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9260E">
      <w:pPr>
        <w:divId w:val="1512793649"/>
        <w:rPr>
          <w:rFonts w:eastAsia="Times New Roman"/>
          <w:vanish/>
        </w:rPr>
      </w:pPr>
      <w:r>
        <w:rPr>
          <w:rFonts w:eastAsia="Times New Roman"/>
          <w:vanish/>
        </w:rPr>
        <w:t>000101247712/312021Q3false</w:t>
      </w:r>
      <w:r>
        <w:rPr>
          <w:rFonts w:ascii="Segoe UI Symbol" w:eastAsia="Times New Roman" w:hAnsi="Segoe UI Symbol" w:cs="Segoe UI Symbol"/>
          <w:vanish/>
        </w:rPr>
        <w:t>☒</w:t>
      </w:r>
      <w:r>
        <w:rPr>
          <w:rFonts w:eastAsia="Times New Roman"/>
          <w:vanish/>
        </w:rPr>
        <w:t>http://fasb.org/us-gaap/2021-01-31#AccountingStandardsUpdate202006MemberP10MP5DP5D00010124772021-01-012021-09-300001012477exch:XNMS2021-01-012021-09-30xbrli:shares00010124772021-11-04iso4217:USD00010124772021-07-01</w:t>
      </w:r>
      <w:r>
        <w:rPr>
          <w:rFonts w:eastAsia="Times New Roman"/>
          <w:vanish/>
        </w:rPr>
        <w:t>2021-09-3000010124772020-07-012020-09-3000010124772020-01-012020-09-3000010124772021-01-012021-06-30iso4217:USDxbrli:shares00010124772021-09-3000010124772020-12-310001012477us-gaap:CommonStockMember2020-12-310001012477us-gaap:PreferredStockMember2020-12-31</w:t>
      </w:r>
      <w:r>
        <w:rPr>
          <w:rFonts w:eastAsia="Times New Roman"/>
          <w:vanish/>
        </w:rPr>
        <w:t>0001012477us-gaap:AdditionalPaidInCapitalMember2020-12-310001012477us-gaap:RetainedEarningsMember2020-12-310001012477us-gaap:AccumulatedOtherComprehensiveIncomeMember2020-12-3100010124772020-01-012020-12-310001012477us-gaap:AdditionalPaidInCapitalMembersrt</w:t>
      </w:r>
      <w:r>
        <w:rPr>
          <w:rFonts w:eastAsia="Times New Roman"/>
          <w:vanish/>
        </w:rPr>
        <w:t>:CumulativeEffectPeriodOfAdoptionAdjustmentMember2020-12-310001012477us-gaap:RetainedEarningsMembersrt:CumulativeEffectPeriodOfAdoptionAdjustmentMember2020-12-310001012477srt:CumulativeEffectPeriodOfAdoptionAdjustmentMember2020-12-310001012477us-gaap:Retai</w:t>
      </w:r>
      <w:r>
        <w:rPr>
          <w:rFonts w:eastAsia="Times New Roman"/>
          <w:vanish/>
        </w:rPr>
        <w:t>nedEarningsMember2021-01-012021-03-3100010124772021-01-012021-03-310001012477us-gaap:AccumulatedOtherComprehensiveIncomeMember2021-01-012021-03-310001012477us-gaap:CommonStockMember2021-01-012021-03-310001012477us-gaap:AdditionalPaidInCapitalMember2021-01-</w:t>
      </w:r>
      <w:r>
        <w:rPr>
          <w:rFonts w:eastAsia="Times New Roman"/>
          <w:vanish/>
        </w:rPr>
        <w:t>012021-03-310001012477us-gaap:CommonStockMember2021-03-310001012477us-gaap:PreferredStockMember2021-03-310001012477us-gaap:AdditionalPaidInCapitalMember2021-03-310001012477us-gaap:RetainedEarningsMember2021-03-310001012477us-gaap:AccumulatedOtherComprehens</w:t>
      </w:r>
      <w:r>
        <w:rPr>
          <w:rFonts w:eastAsia="Times New Roman"/>
          <w:vanish/>
        </w:rPr>
        <w:t>iveIncomeMember2021-03-3100010124772021-03-310001012477us-gaap:RetainedEarningsMember2021-04-012021-06-3000010124772021-04-012021-06-300001012477us-gaap:AccumulatedOtherComprehensiveIncomeMember2021-04-012021-06-300001012477us-gaap:AdditionalPaidInCapitalM</w:t>
      </w:r>
      <w:r>
        <w:rPr>
          <w:rFonts w:eastAsia="Times New Roman"/>
          <w:vanish/>
        </w:rPr>
        <w:t>ember2021-04-012021-06-300001012477us-gaap:CommonStockMember2021-06-300001012477us-gaap:PreferredStockMember2021-06-300001012477us-gaap:AdditionalPaidInCapitalMember2021-06-300001012477us-gaap:RetainedEarningsMember2021-06-300001012477us-gaap:AccumulatedOt</w:t>
      </w:r>
      <w:r>
        <w:rPr>
          <w:rFonts w:eastAsia="Times New Roman"/>
          <w:vanish/>
        </w:rPr>
        <w:t>herComprehensiveIncomeMember2021-06-3000010124772021-06-300001012477us-gaap:RetainedEarningsMember2021-07-012021-09-300001012477us-gaap:AccumulatedOtherComprehensiveIncomeMember2021-07-012021-09-300001012477us-gaap:CommonStockMember2021-07-012021-09-300001</w:t>
      </w:r>
      <w:r>
        <w:rPr>
          <w:rFonts w:eastAsia="Times New Roman"/>
          <w:vanish/>
        </w:rPr>
        <w:t>012477us-gaap:AdditionalPaidInCapitalMember2021-07-012021-09-300001012477us-gaap:CommonStockMember2021-09-300001012477us-gaap:PreferredStockMember2021-09-300001012477us-gaap:AdditionalPaidInCapitalMember2021-09-300001012477us-gaap:RetainedEarningsMember202</w:t>
      </w:r>
      <w:r>
        <w:rPr>
          <w:rFonts w:eastAsia="Times New Roman"/>
          <w:vanish/>
        </w:rPr>
        <w:t>1-09-300001012477us-gaap:AccumulatedOtherComprehensiveIncomeMember2021-09-300001012477us-gaap:CommonStockMember2019-12-310001012477us-gaap:PreferredStockMember2019-12-310001012477us-gaap:AdditionalPaidInCapitalMember2019-12-310001012477us-gaap:RetainedEarn</w:t>
      </w:r>
      <w:r>
        <w:rPr>
          <w:rFonts w:eastAsia="Times New Roman"/>
          <w:vanish/>
        </w:rPr>
        <w:t>ingsMember2019-12-310001012477us-gaap:AccumulatedOtherComprehensiveIncomeMember2019-12-310001012477us-gaap:TreasuryStockMember2019-12-3100010124772019-12-310001012477us-gaap:RetainedEarningsMember2020-01-012020-03-3100010124772020-01-012020-03-310001012477</w:t>
      </w:r>
      <w:r>
        <w:rPr>
          <w:rFonts w:eastAsia="Times New Roman"/>
          <w:vanish/>
        </w:rPr>
        <w:t>us-gaap:AccumulatedOtherComprehensiveIncomeMember2020-01-012020-03-310001012477us-gaap:CommonStockMember2020-01-012020-03-310001012477us-gaap:AdditionalPaidInCapitalMember2020-01-012020-03-310001012477us-gaap:PreferredStockMember2020-01-012020-03-310001012</w:t>
      </w:r>
      <w:r>
        <w:rPr>
          <w:rFonts w:eastAsia="Times New Roman"/>
          <w:vanish/>
        </w:rPr>
        <w:t>477us-gaap:CommonStockMember2020-03-310001012477us-gaap:PreferredStockMember2020-03-310001012477us-gaap:AdditionalPaidInCapitalMember2020-03-310001012477us-gaap:RetainedEarningsMember2020-03-310001012477us-gaap:AccumulatedOtherComprehensiveIncomeMember2020</w:t>
      </w:r>
      <w:r>
        <w:rPr>
          <w:rFonts w:eastAsia="Times New Roman"/>
          <w:vanish/>
        </w:rPr>
        <w:t>-03-310001012477us-gaap:TreasuryStockMember2020-03-3100010124772020-03-310001012477us-gaap:RetainedEarningsMember2020-04-012020-06-3000010124772020-04-012020-06-300001012477us-gaap:AccumulatedOtherComprehensiveIncomeMember2020-04-012020-06-300001012477us-g</w:t>
      </w:r>
      <w:r>
        <w:rPr>
          <w:rFonts w:eastAsia="Times New Roman"/>
          <w:vanish/>
        </w:rPr>
        <w:t>aap:CommonStockMember2020-04-012020-06-300001012477us-gaap:AdditionalPaidInCapitalMember2020-04-012020-06-300001012477us-gaap:CommonStockMember2020-06-300001012477us-gaap:PreferredStockMember2020-06-300001012477us-gaap:AdditionalPaidInCapitalMember2020-06-</w:t>
      </w:r>
      <w:r>
        <w:rPr>
          <w:rFonts w:eastAsia="Times New Roman"/>
          <w:vanish/>
        </w:rPr>
        <w:t>300001012477us-gaap:RetainedEarningsMember2020-06-300001012477us-gaap:AccumulatedOtherComprehensiveIncomeMember2020-06-300001012477us-gaap:TreasuryStockMember2020-06-3000010124772020-06-300001012477us-gaap:RetainedEarningsMember2020-07-012020-09-3000010124</w:t>
      </w:r>
      <w:r>
        <w:rPr>
          <w:rFonts w:eastAsia="Times New Roman"/>
          <w:vanish/>
        </w:rPr>
        <w:t>77us-gaap:AccumulatedOtherComprehensiveIncomeMember2020-07-012020-09-300001012477us-gaap:CommonStockMember2020-07-012020-09-300001012477us-gaap:AdditionalPaidInCapitalMember2020-07-012020-09-300001012477us-gaap:TreasuryStockMember2020-07-012020-09-30000101</w:t>
      </w:r>
      <w:r>
        <w:rPr>
          <w:rFonts w:eastAsia="Times New Roman"/>
          <w:vanish/>
        </w:rPr>
        <w:t>2477us-gaap:CommonStockMember2020-09-300001012477us-gaap:PreferredStockMember2020-09-300001012477us-gaap:AdditionalPaidInCapitalMember2020-09-300001012477us-gaap:RetainedEarningsMember2020-09-300001012477us-gaap:AccumulatedOtherComprehensiveIncomeMember202</w:t>
      </w:r>
      <w:r>
        <w:rPr>
          <w:rFonts w:eastAsia="Times New Roman"/>
          <w:vanish/>
        </w:rPr>
        <w:t>0-09-300001012477us-gaap:TreasuryStockMember2020-09-3000010124772020-09-30xbrli:pure0001012477avdl:A450PercentExchangeableSeniorNotesDue2023Memberus-gaap:SeniorNotesMember2020-12-310001012477us-gaap:DisposalGroupDisposedOfBySaleNotDiscontinuedOperationsMem</w:t>
      </w:r>
      <w:r>
        <w:rPr>
          <w:rFonts w:eastAsia="Times New Roman"/>
          <w:vanish/>
        </w:rPr>
        <w:t>beravdl:BloxiverzVazculepAkovazandNouressMember2020-06-300001012477us-gaap:DisposalGroupDisposedOfBySaleNotDiscontinuedOperationsMemberavdl:BloxiverzVazculepAkovazandNouressMember2020-01-012020-06-300001012477us-gaap:DisposalGroupDisposedOfBySaleNotDiscont</w:t>
      </w:r>
      <w:r>
        <w:rPr>
          <w:rFonts w:eastAsia="Times New Roman"/>
          <w:vanish/>
        </w:rPr>
        <w:t>inuedOperationsMemberavdl:BloxiverzVazculepAkovazandNouressMember2020-01-012020-12-310001012477us-gaap:DisposalGroupDisposedOfBySaleNotDiscontinuedOperationsMemberavdl:BloxiverzVazculepAkovazandNouressMember2021-01-012021-09-300001012477us-gaap:DisposalGro</w:t>
      </w:r>
      <w:r>
        <w:rPr>
          <w:rFonts w:eastAsia="Times New Roman"/>
          <w:vanish/>
        </w:rPr>
        <w:t>upDisposedOfBySaleNotDiscontinuedOperationsMemberavdl:BloxiverzVazculepAkovazandNouressMember2020-09-300001012477us-gaap:DisposalGroupDisposedOfBySaleNotDiscontinuedOperationsMemberavdl:BloxiverzVazculepAkovazandNouressMember2020-01-012020-09-300001012477u</w:t>
      </w:r>
      <w:r>
        <w:rPr>
          <w:rFonts w:eastAsia="Times New Roman"/>
          <w:vanish/>
        </w:rPr>
        <w:t>s-gaap:DisposalGroupDisposedOfBySaleNotDiscontinuedOperationsMemberavdl:BloxiverzVazculepAkovazandNouressMember2020-06-302020-06-300001012477srt:ScenarioPreviouslyReportedMember2020-01-012020-09-300001012477srt:RestatementAdjustmentMembersrt:ProFormaMember</w:t>
      </w:r>
      <w:r>
        <w:rPr>
          <w:rFonts w:eastAsia="Times New Roman"/>
          <w:vanish/>
        </w:rPr>
        <w:t>2020-01-012020-09-300001012477srt:ProFormaMember2020-01-012020-09-300001012477srt:RestatementAdjustmentMemberus-gaap:DisposalGroupDisposedOfBySaleNotDiscontinuedOperationsMembersrt:ProFormaMember2020-01-012020-09-300001012477us-gaap:FairValueMeasurementsRe</w:t>
      </w:r>
      <w:r>
        <w:rPr>
          <w:rFonts w:eastAsia="Times New Roman"/>
          <w:vanish/>
        </w:rPr>
        <w:t>curringMemberus-gaap:FairValueInputsLevel1Memberavdl:MutualAndMoneyMarketFundsMember2021-09-300001012477us-gaap:FairValueMeasurementsRecurringMemberus-gaap:FairValueInputsLevel2Memberavdl:MutualAndMoneyMarketFundsMember2021-09-300001012477us-gaap:FairValue</w:t>
      </w:r>
      <w:r>
        <w:rPr>
          <w:rFonts w:eastAsia="Times New Roman"/>
          <w:vanish/>
        </w:rPr>
        <w:t>MeasurementsRecurringMemberus-gaap:FairValueInputsLevel3Memberavdl:MutualAndMoneyMarketFundsMember2021-09-300001012477us-gaap:FairValueMeasurementsRecurringMemberus-gaap:FairValueInputsLevel1Memberavdl:MutualAndMoneyMarketFundsMember2020-12-310001012477us-</w:t>
      </w:r>
      <w:r>
        <w:rPr>
          <w:rFonts w:eastAsia="Times New Roman"/>
          <w:vanish/>
        </w:rPr>
        <w:t>gaap:FairValueMeasurementsRecurringMemberus-gaap:FairValueInputsLevel2Memberavdl:MutualAndMoneyMarketFundsMember2020-12-310001012477us-gaap:FairValueMeasurementsRecurringMemberus-gaap:FairValueInputsLevel3Memberavdl:MutualAndMoneyMarketFundsMember2020-12-3</w:t>
      </w:r>
      <w:r>
        <w:rPr>
          <w:rFonts w:eastAsia="Times New Roman"/>
          <w:vanish/>
        </w:rPr>
        <w:t>10001012477us-gaap:FairValueMeasurementsRecurringMemberus-gaap:FairValueInputsLevel1Memberus-gaap:CorporateDebtSecuritiesMember2021-09-300001012477us-gaap:FairValueMeasurementsRecurringMemberus-gaap:FairValueInputsLevel2Memberus-gaap:CorporateDebtSecuritie</w:t>
      </w:r>
      <w:r>
        <w:rPr>
          <w:rFonts w:eastAsia="Times New Roman"/>
          <w:vanish/>
        </w:rPr>
        <w:t>sMember2021-09-300001012477us-gaap:FairValueMeasurementsRecurringMemberus-gaap:CorporateDebtSecuritiesMemberus-gaap:FairValueInputsLevel3Member2021-09-300001012477us-gaap:FairValueMeasurementsRecurringMemberus-gaap:FairValueInputsLevel1Memberus-gaap:Corpor</w:t>
      </w:r>
      <w:r>
        <w:rPr>
          <w:rFonts w:eastAsia="Times New Roman"/>
          <w:vanish/>
        </w:rPr>
        <w:t>ateDebtSecuritiesMember2020-12-310001012477us-gaap:FairValueMeasurementsRecurringMemberus-gaap:FairValueInputsLevel2Memberus-gaap:CorporateDebtSecuritiesMember2020-12-310001012477us-gaap:FairValueMeasurementsRecurringMemberus-gaap:CorporateDebtSecuritiesMe</w:t>
      </w:r>
      <w:r>
        <w:rPr>
          <w:rFonts w:eastAsia="Times New Roman"/>
          <w:vanish/>
        </w:rPr>
        <w:t>mberus-gaap:FairValueInputsLevel3Member2020-12-310001012477us-gaap:USGovernmentAgenciesDebtSecuritiesMemberus-gaap:FairValueMeasurementsRecurringMemberus-gaap:FairValueInputsLevel1Member2021-09-300001012477us-gaap:USGovernmentAgenciesDebtSecuritiesMemberus</w:t>
      </w:r>
      <w:r>
        <w:rPr>
          <w:rFonts w:eastAsia="Times New Roman"/>
          <w:vanish/>
        </w:rPr>
        <w:t>-gaap:FairValueMeasurementsRecurringMemberus-gaap:FairValueInputsLevel2Member2021-09-300001012477us-gaap:USGovernmentAgenciesDebtSecuritiesMemberus-gaap:FairValueMeasurementsRecurringMemberus-gaap:FairValueInputsLevel3Member2021-09-300001012477us-gaap:USGo</w:t>
      </w:r>
      <w:r>
        <w:rPr>
          <w:rFonts w:eastAsia="Times New Roman"/>
          <w:vanish/>
        </w:rPr>
        <w:t>vernmentAgenciesDebtSecuritiesMemberus-gaap:FairValueMeasurementsRecurringMemberus-gaap:FairValueInputsLevel1Member2020-12-310001012477us-gaap:USGovernmentAgenciesDebtSecuritiesMemberus-gaap:FairValueMeasurementsRecurringMemberus-gaap:FairValueInputsLevel2</w:t>
      </w:r>
      <w:r>
        <w:rPr>
          <w:rFonts w:eastAsia="Times New Roman"/>
          <w:vanish/>
        </w:rPr>
        <w:t>Member2020-12-310001012477us-gaap:USGovernmentAgenciesDebtSecuritiesMemberus-gaap:FairValueMeasurementsRecurringMemberus-gaap:FairValueInputsLevel3Member2020-12-310001012477us-gaap:FixedIncomeSecuritiesMemberus-gaap:FairValueMeasurementsRecurringMemberus-g</w:t>
      </w:r>
      <w:r>
        <w:rPr>
          <w:rFonts w:eastAsia="Times New Roman"/>
          <w:vanish/>
        </w:rPr>
        <w:t>aap:FairValueInputsLevel1Member2021-09-300001012477us-gaap:FixedIncomeSecuritiesMemberus-gaap:FairValueMeasurementsRecurringMemberus-gaap:FairValueInputsLevel2Member2021-09-300001012477us-gaap:FixedIncomeSecuritiesMemberus-gaap:FairValueMeasurementsRecurri</w:t>
      </w:r>
      <w:r>
        <w:rPr>
          <w:rFonts w:eastAsia="Times New Roman"/>
          <w:vanish/>
        </w:rPr>
        <w:t>ngMemberus-gaap:FairValueInputsLevel3Member2021-09-300001012477us-gaap:FixedIncomeSecuritiesMemberus-gaap:FairValueMeasurementsRecurringMemberus-gaap:FairValueInputsLevel1Member2020-12-310001012477us-gaap:FixedIncomeSecuritiesMemberus-gaap:FairValueMeasure</w:t>
      </w:r>
      <w:r>
        <w:rPr>
          <w:rFonts w:eastAsia="Times New Roman"/>
          <w:vanish/>
        </w:rPr>
        <w:t>mentsRecurringMemberus-gaap:FairValueInputsLevel2Member2020-12-310001012477us-gaap:FixedIncomeSecuritiesMemberus-gaap:FairValueMeasurementsRecurringMemberus-gaap:FairValueInputsLevel3Member2020-12-310001012477us-gaap:FairValueMeasurementsRecurringMemberus-</w:t>
      </w:r>
      <w:r>
        <w:rPr>
          <w:rFonts w:eastAsia="Times New Roman"/>
          <w:vanish/>
        </w:rPr>
        <w:t>gaap:FairValueInputsLevel1Member2021-09-300001012477us-gaap:FairValueMeasurementsRecurringMemberus-gaap:FairValueInputsLevel2Member2021-09-300001012477us-gaap:FairValueMeasurementsRecurringMemberus-gaap:FairValueInputsLevel3Member2021-09-300001012477us-gaa</w:t>
      </w:r>
      <w:r>
        <w:rPr>
          <w:rFonts w:eastAsia="Times New Roman"/>
          <w:vanish/>
        </w:rPr>
        <w:t>p:FairValueMeasurementsRecurringMemberus-gaap:FairValueInputsLevel1Member2020-12-310001012477us-gaap:FairValueMeasurementsRecurringMemberus-gaap:FairValueInputsLevel2Member2020-12-310001012477us-gaap:FairValueMeasurementsRecurringMemberus-gaap:FairValueInp</w:t>
      </w:r>
      <w:r>
        <w:rPr>
          <w:rFonts w:eastAsia="Times New Roman"/>
          <w:vanish/>
        </w:rPr>
        <w:t>utsLevel3Member2020-12-310001012477avdl:A450PercentExchangeableSeniorNotesDue2023Memberus-gaap:SeniorNotesMember2021-09-300001012477avdl:MutualAndMoneyMarketFundsMember2021-09-300001012477us-gaap:CorporateDebtSecuritiesMember2021-09-300001012477us-gaap:USG</w:t>
      </w:r>
      <w:r>
        <w:rPr>
          <w:rFonts w:eastAsia="Times New Roman"/>
          <w:vanish/>
        </w:rPr>
        <w:t>overnmentAgenciesDebtSecuritiesMember2021-09-300001012477us-gaap:FixedIncomeSecuritiesMember2021-09-300001012477avdl:MutualAndMoneyMarketFundsMember2020-12-310001012477us-gaap:CorporateDebtSecuritiesMember2020-12-310001012477us-gaap:USGovernmentAgenciesDeb</w:t>
      </w:r>
      <w:r>
        <w:rPr>
          <w:rFonts w:eastAsia="Times New Roman"/>
          <w:vanish/>
        </w:rPr>
        <w:t>tSecuritiesMember2020-12-310001012477us-gaap:FixedIncomeSecuritiesMember2020-12-310001012477avdl:DebtSecuritiesExcludingMoneyMarketFundsAvailableForSaleMember2021-09-300001012477us-gaap:SeniorNotesMember2021-09-300001012477us-gaap:SeniorNotesMember2020-12-</w:t>
      </w:r>
      <w:r>
        <w:rPr>
          <w:rFonts w:eastAsia="Times New Roman"/>
          <w:vanish/>
        </w:rPr>
        <w:t>310001012477us-gaap:ConvertibleDebtMemberavdl:A450PercentExchangeableSeniorNotesDue2023Member2018-02-160001012477us-gaap:ConvertibleDebtMemberavdl:A450PercentExchangeableSeniorNotesDue2023Member2018-02-162018-02-16utr:Rate00010124772018-02-162018-02-160001</w:t>
      </w:r>
      <w:r>
        <w:rPr>
          <w:rFonts w:eastAsia="Times New Roman"/>
          <w:vanish/>
        </w:rPr>
        <w:t>012477us-gaap:ConvertibleDebtMemberus-gaap:DebtInstrumentRedemptionPeriodOneMemberavdl:A450PercentExchangeableSeniorNotesDue2023Member2018-02-162018-02-16avdl:day0001012477us-gaap:DebtInstrumentRedemptionPeriodTwoMemberus-gaap:ConvertibleDebtMemberavdl:A45</w:t>
      </w:r>
      <w:r>
        <w:rPr>
          <w:rFonts w:eastAsia="Times New Roman"/>
          <w:vanish/>
        </w:rPr>
        <w:t>0PercentExchangeableSeniorNotesDue2023Member2018-02-162018-02-160001012477us-gaap:ConvertibleDebtMemberavdl:A450PercentExchangeableSeniorNotesDue2023Memberus-gaap:DebtInstrumentRedemptionPeriodThreeMember2018-02-162018-02-160001012477avdl:TwoThousandNinete</w:t>
      </w:r>
      <w:r>
        <w:rPr>
          <w:rFonts w:eastAsia="Times New Roman"/>
          <w:vanish/>
        </w:rPr>
        <w:t>enCorporateFrenchRestructuringObligationMember2020-12-310001012477us-gaap:EmployeeSeveranceMemberavdl:TwoThousandNineteenCorporateFrenchRestructuringObligationMember2021-01-012021-09-300001012477avdl:TwoThousandNineteenCorporateFrenchRestructuringObligatio</w:t>
      </w:r>
      <w:r>
        <w:rPr>
          <w:rFonts w:eastAsia="Times New Roman"/>
          <w:vanish/>
        </w:rPr>
        <w:t>nMember2021-01-012021-09-300001012477avdl:TwoThousandNineteenCorporateFrenchRestructuringObligationMember2021-09-300001012477us-gaap:EmployeeSeveranceMemberavdl:CorporateWorkforceReductionMember2019-03-310001012477us-gaap:EmployeeSeveranceMemberavdl:Corpor</w:t>
      </w:r>
      <w:r>
        <w:rPr>
          <w:rFonts w:eastAsia="Times New Roman"/>
          <w:vanish/>
        </w:rPr>
        <w:t>ateWorkforceReductionMember2021-01-012021-09-300001012477us-gaap:EmployeeSeveranceMemberavdl:CorporateWorkforceReductionMember2021-09-300001012477us-gaap:AccumulatedTranslationAdjustmentMember2021-06-300001012477us-gaap:AccumulatedTranslationAdjustmentMemb</w:t>
      </w:r>
      <w:r>
        <w:rPr>
          <w:rFonts w:eastAsia="Times New Roman"/>
          <w:vanish/>
        </w:rPr>
        <w:t>er2020-06-300001012477us-gaap:AccumulatedTranslationAdjustmentMember2020-12-310001012477us-gaap:AccumulatedTranslationAdjustmentMember2019-12-310001012477us-gaap:AccumulatedTranslationAdjustmentMember2021-07-012021-09-300001012477us-gaap:AccumulatedTransla</w:t>
      </w:r>
      <w:r>
        <w:rPr>
          <w:rFonts w:eastAsia="Times New Roman"/>
          <w:vanish/>
        </w:rPr>
        <w:t>tionAdjustmentMember2020-07-012020-09-300001012477us-gaap:AccumulatedTranslationAdjustmentMember2021-01-012021-09-300001012477us-gaap:AccumulatedTranslationAdjustmentMember2020-01-012020-09-300001012477us-gaap:AccumulatedTranslationAdjustmentMember2021-09-</w:t>
      </w:r>
      <w:r>
        <w:rPr>
          <w:rFonts w:eastAsia="Times New Roman"/>
          <w:vanish/>
        </w:rPr>
        <w:t>300001012477us-gaap:AccumulatedTranslationAdjustmentMember2020-09-300001012477us-gaap:AccumulatedNetUnrealizedInvestmentGainLossMember2021-06-300001012477us-gaap:AccumulatedNetUnrealizedInvestmentGainLossMember2020-06-300001012477us-gaap:AccumulatedNetUnre</w:t>
      </w:r>
      <w:r>
        <w:rPr>
          <w:rFonts w:eastAsia="Times New Roman"/>
          <w:vanish/>
        </w:rPr>
        <w:t>alizedInvestmentGainLossMember2020-12-310001012477us-gaap:AccumulatedNetUnrealizedInvestmentGainLossMember2019-12-310001012477us-gaap:AccumulatedNetUnrealizedInvestmentGainLossMember2021-07-012021-09-300001012477us-gaap:AccumulatedNetUnrealizedInvestmentGa</w:t>
      </w:r>
      <w:r>
        <w:rPr>
          <w:rFonts w:eastAsia="Times New Roman"/>
          <w:vanish/>
        </w:rPr>
        <w:t>inLossMember2020-07-012020-09-300001012477us-gaap:AccumulatedNetUnrealizedInvestmentGainLossMember2021-01-012021-09-300001012477us-gaap:AccumulatedNetUnrealizedInvestmentGainLossMember2020-01-012020-09-300001012477us-gaap:AccumulatedNetUnrealizedInvestment</w:t>
      </w:r>
      <w:r>
        <w:rPr>
          <w:rFonts w:eastAsia="Times New Roman"/>
          <w:vanish/>
        </w:rPr>
        <w:t>GainLossMember2021-09-300001012477us-gaap:AccumulatedNetUnrealizedInvestmentGainLossMember2020-09-30avdl:segment0001012477avdl:BloxiverzMember2020-01-012020-09-300001012477avdl:VazculepMember2020-01-012020-09-300001012477avdl:AkovazMember2020-01-012020-09-</w:t>
      </w:r>
      <w:r>
        <w:rPr>
          <w:rFonts w:eastAsia="Times New Roman"/>
          <w:vanish/>
        </w:rPr>
        <w:t>300001012477avdl:OtherProductsMember2020-01-012020-09-300001012477srt:MaximumMember2021-09-30</w:t>
      </w:r>
    </w:p>
    <w:p w:rsidR="00000000" w:rsidRDefault="0099260E">
      <w:pPr>
        <w:divId w:val="302085252"/>
        <w:rPr>
          <w:rFonts w:eastAsia="Times New Roman"/>
        </w:rPr>
      </w:pPr>
    </w:p>
    <w:p w:rsidR="00000000" w:rsidRDefault="0099260E">
      <w:pPr>
        <w:jc w:val="center"/>
        <w:rPr>
          <w:rFonts w:eastAsia="Times New Roman"/>
        </w:rPr>
      </w:pPr>
      <w:r>
        <w:rPr>
          <w:rFonts w:eastAsia="Times New Roman"/>
          <w:b/>
          <w:bCs/>
          <w:color w:val="000000"/>
          <w:sz w:val="28"/>
          <w:szCs w:val="28"/>
        </w:rPr>
        <w:t>UNITED STATES</w:t>
      </w:r>
    </w:p>
    <w:p w:rsidR="00000000" w:rsidRDefault="0099260E">
      <w:pPr>
        <w:jc w:val="center"/>
        <w:rPr>
          <w:rFonts w:eastAsia="Times New Roman"/>
        </w:rPr>
      </w:pPr>
      <w:r>
        <w:rPr>
          <w:rFonts w:eastAsia="Times New Roman"/>
          <w:b/>
          <w:bCs/>
          <w:color w:val="000000"/>
          <w:sz w:val="28"/>
          <w:szCs w:val="28"/>
        </w:rPr>
        <w:t>SECURITIES AND EXCHANGE COMMISSION            </w:t>
      </w:r>
    </w:p>
    <w:p w:rsidR="00000000" w:rsidRDefault="0099260E">
      <w:pPr>
        <w:jc w:val="center"/>
        <w:rPr>
          <w:rFonts w:eastAsia="Times New Roman"/>
        </w:rPr>
      </w:pPr>
      <w:r>
        <w:rPr>
          <w:rFonts w:eastAsia="Times New Roman"/>
          <w:b/>
          <w:bCs/>
          <w:color w:val="000000"/>
        </w:rPr>
        <w:t>Washington, D.C. 20549</w:t>
      </w:r>
    </w:p>
    <w:p w:rsidR="00000000" w:rsidRDefault="0099260E">
      <w:pPr>
        <w:ind w:firstLine="720"/>
        <w:divId w:val="1027604966"/>
        <w:rPr>
          <w:rFonts w:eastAsia="Times New Roman"/>
        </w:rPr>
      </w:pPr>
      <w:r>
        <w:rPr>
          <w:rFonts w:eastAsia="Times New Roman"/>
          <w:color w:val="000000"/>
          <w:sz w:val="20"/>
          <w:szCs w:val="20"/>
        </w:rPr>
        <w:t> </w:t>
      </w:r>
    </w:p>
    <w:p w:rsidR="00000000" w:rsidRDefault="0099260E">
      <w:pPr>
        <w:jc w:val="center"/>
        <w:rPr>
          <w:rFonts w:eastAsia="Times New Roman"/>
        </w:rPr>
      </w:pPr>
      <w:r>
        <w:rPr>
          <w:rFonts w:eastAsia="Times New Roman"/>
          <w:color w:val="000000"/>
          <w:sz w:val="20"/>
          <w:szCs w:val="20"/>
        </w:rPr>
        <w:t>———————</w:t>
      </w:r>
    </w:p>
    <w:p w:rsidR="00000000" w:rsidRDefault="0099260E">
      <w:pPr>
        <w:jc w:val="center"/>
        <w:divId w:val="1267421709"/>
        <w:rPr>
          <w:rFonts w:eastAsia="Times New Roman"/>
        </w:rPr>
      </w:pPr>
      <w:r>
        <w:rPr>
          <w:rFonts w:eastAsia="Times New Roman"/>
          <w:b/>
          <w:bCs/>
          <w:color w:val="000000"/>
          <w:sz w:val="28"/>
          <w:szCs w:val="28"/>
        </w:rPr>
        <w:t xml:space="preserve">FORM 10-Q </w:t>
      </w:r>
    </w:p>
    <w:p w:rsidR="00000000" w:rsidRDefault="0099260E">
      <w:pPr>
        <w:jc w:val="center"/>
        <w:rPr>
          <w:rFonts w:eastAsia="Times New Roman"/>
        </w:rPr>
      </w:pPr>
      <w:r>
        <w:rPr>
          <w:rFonts w:eastAsia="Times New Roman"/>
          <w:color w:val="000000"/>
          <w:sz w:val="20"/>
          <w:szCs w:val="20"/>
        </w:rPr>
        <w:t>———————</w:t>
      </w:r>
    </w:p>
    <w:p w:rsidR="00000000" w:rsidRDefault="0099260E">
      <w:pPr>
        <w:ind w:hanging="540"/>
        <w:divId w:val="1652253442"/>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w:t>
      </w:r>
      <w:r>
        <w:rPr>
          <w:rFonts w:eastAsia="Times New Roman"/>
          <w:color w:val="000000"/>
        </w:rPr>
        <w:t xml:space="preserve"> 15(d) OF THE SECURITIES EXCHANGE ACT OF 1934</w:t>
      </w:r>
    </w:p>
    <w:p w:rsidR="00000000" w:rsidRDefault="0099260E">
      <w:pPr>
        <w:ind w:firstLine="720"/>
        <w:jc w:val="center"/>
        <w:rPr>
          <w:rFonts w:eastAsia="Times New Roman"/>
        </w:rPr>
      </w:pPr>
      <w:r>
        <w:rPr>
          <w:rFonts w:eastAsia="Times New Roman"/>
          <w:b/>
          <w:bCs/>
          <w:color w:val="000000"/>
          <w:sz w:val="20"/>
          <w:szCs w:val="20"/>
        </w:rPr>
        <w:t> </w:t>
      </w:r>
    </w:p>
    <w:p w:rsidR="00000000" w:rsidRDefault="0099260E">
      <w:pPr>
        <w:jc w:val="center"/>
        <w:rPr>
          <w:rFonts w:eastAsia="Times New Roman"/>
        </w:rPr>
      </w:pPr>
      <w:r>
        <w:rPr>
          <w:rFonts w:eastAsia="Times New Roman"/>
          <w:color w:val="000000"/>
          <w:sz w:val="20"/>
          <w:szCs w:val="20"/>
        </w:rPr>
        <w:t xml:space="preserve">For the quarterly period ended: September 30, 2021 </w:t>
      </w:r>
    </w:p>
    <w:p w:rsidR="00000000" w:rsidRDefault="0099260E">
      <w:pPr>
        <w:jc w:val="center"/>
        <w:rPr>
          <w:rFonts w:eastAsia="Times New Roman"/>
        </w:rPr>
      </w:pPr>
    </w:p>
    <w:p w:rsidR="00000000" w:rsidRDefault="0099260E">
      <w:pPr>
        <w:jc w:val="center"/>
        <w:divId w:val="1630554874"/>
        <w:rPr>
          <w:rFonts w:eastAsia="Times New Roman"/>
        </w:rPr>
      </w:pPr>
      <w:r>
        <w:rPr>
          <w:rFonts w:eastAsia="Times New Roman"/>
          <w:color w:val="000000"/>
          <w:sz w:val="20"/>
          <w:szCs w:val="20"/>
        </w:rPr>
        <w:t>OR</w:t>
      </w:r>
    </w:p>
    <w:p w:rsidR="00000000" w:rsidRDefault="0099260E">
      <w:pPr>
        <w:ind w:hanging="540"/>
        <w:divId w:val="1768501704"/>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 OF THE SECURITIES EXCHANGE ACT OF 1934</w:t>
      </w:r>
    </w:p>
    <w:p w:rsidR="00000000" w:rsidRDefault="0099260E">
      <w:pPr>
        <w:jc w:val="center"/>
        <w:divId w:val="1730153225"/>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trPr>
          <w:divId w:val="1836340779"/>
          <w:jc w:val="center"/>
        </w:trPr>
        <w:tc>
          <w:tcPr>
            <w:tcW w:w="50" w:type="pct"/>
            <w:vAlign w:val="center"/>
            <w:hideMark/>
          </w:tcPr>
          <w:p w:rsidR="00000000" w:rsidRDefault="0099260E">
            <w:pPr>
              <w:jc w:val="center"/>
              <w:rPr>
                <w:rFonts w:eastAsia="Times New Roman"/>
              </w:rPr>
            </w:pPr>
          </w:p>
        </w:tc>
        <w:tc>
          <w:tcPr>
            <w:tcW w:w="49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836340779"/>
          <w:jc w:val="center"/>
        </w:trPr>
        <w:tc>
          <w:tcPr>
            <w:tcW w:w="0" w:type="auto"/>
            <w:gridSpan w:val="3"/>
            <w:tcMar>
              <w:top w:w="30" w:type="dxa"/>
              <w:left w:w="20" w:type="dxa"/>
              <w:bottom w:w="30" w:type="dxa"/>
              <w:right w:w="20" w:type="dxa"/>
            </w:tcMar>
            <w:vAlign w:val="center"/>
            <w:hideMark/>
          </w:tcPr>
          <w:p w:rsidR="00000000" w:rsidRDefault="0099260E">
            <w:pPr>
              <w:spacing w:after="100"/>
              <w:jc w:val="center"/>
              <w:rPr>
                <w:rFonts w:eastAsia="Times New Roman"/>
              </w:rPr>
            </w:pPr>
            <w:r>
              <w:rPr>
                <w:rFonts w:eastAsia="Times New Roman"/>
                <w:b/>
                <w:bCs/>
                <w:color w:val="000000"/>
                <w:sz w:val="20"/>
                <w:szCs w:val="20"/>
              </w:rPr>
              <w:t>Commission File Number: 000-28508</w:t>
            </w:r>
          </w:p>
        </w:tc>
      </w:tr>
    </w:tbl>
    <w:p w:rsidR="00000000" w:rsidRDefault="0099260E">
      <w:pPr>
        <w:ind w:firstLine="720"/>
        <w:divId w:val="1420760197"/>
        <w:rPr>
          <w:rFonts w:eastAsia="Times New Roman"/>
        </w:rPr>
      </w:pPr>
      <w:r>
        <w:rPr>
          <w:rFonts w:eastAsia="Times New Roman"/>
          <w:color w:val="000000"/>
          <w:sz w:val="20"/>
          <w:szCs w:val="20"/>
        </w:rPr>
        <w:t> </w:t>
      </w:r>
    </w:p>
    <w:p w:rsidR="00000000" w:rsidRDefault="0099260E">
      <w:pPr>
        <w:jc w:val="center"/>
        <w:rPr>
          <w:rFonts w:eastAsia="Times New Roman"/>
        </w:rPr>
      </w:pPr>
      <w:r>
        <w:rPr>
          <w:rFonts w:eastAsia="Times New Roman"/>
          <w:color w:val="000000"/>
          <w:sz w:val="20"/>
          <w:szCs w:val="20"/>
        </w:rPr>
        <w:t>———————</w:t>
      </w:r>
    </w:p>
    <w:p w:rsidR="00000000" w:rsidRDefault="0099260E">
      <w:pPr>
        <w:jc w:val="center"/>
        <w:divId w:val="939023735"/>
        <w:rPr>
          <w:rFonts w:eastAsia="Times New Roman"/>
        </w:rPr>
      </w:pPr>
      <w:r>
        <w:rPr>
          <w:rFonts w:eastAsia="Times New Roman"/>
          <w:b/>
          <w:bCs/>
          <w:color w:val="000000"/>
          <w:sz w:val="36"/>
          <w:szCs w:val="36"/>
        </w:rPr>
        <w:t xml:space="preserve">AVADEL PHARMACEUTICALS PLC </w:t>
      </w:r>
    </w:p>
    <w:p w:rsidR="00000000" w:rsidRDefault="0099260E">
      <w:pPr>
        <w:jc w:val="center"/>
        <w:rPr>
          <w:rFonts w:eastAsia="Times New Roman"/>
        </w:rPr>
      </w:pPr>
      <w:r>
        <w:rPr>
          <w:rFonts w:eastAsia="Times New Roman"/>
          <w:color w:val="000000"/>
          <w:sz w:val="20"/>
          <w:szCs w:val="20"/>
        </w:rPr>
        <w:t>(Exact name of registrant as specified in its charter)</w:t>
      </w:r>
    </w:p>
    <w:p w:rsidR="00000000" w:rsidRDefault="0099260E">
      <w:pPr>
        <w:jc w:val="center"/>
        <w:rPr>
          <w:rFonts w:eastAsia="Times New Roman"/>
        </w:rPr>
      </w:pPr>
      <w:r>
        <w:rPr>
          <w:rFonts w:eastAsia="Times New Roman"/>
          <w:color w:val="000000"/>
          <w:sz w:val="20"/>
          <w:szCs w:val="20"/>
        </w:rPr>
        <w:t>———————</w:t>
      </w:r>
    </w:p>
    <w:p w:rsidR="00000000" w:rsidRDefault="0099260E">
      <w:pPr>
        <w:ind w:firstLine="720"/>
        <w:divId w:val="1151486936"/>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trPr>
          <w:divId w:val="1088387142"/>
        </w:trPr>
        <w:tc>
          <w:tcPr>
            <w:tcW w:w="50" w:type="pct"/>
            <w:vAlign w:val="center"/>
            <w:hideMark/>
          </w:tcPr>
          <w:p w:rsidR="00000000" w:rsidRDefault="0099260E">
            <w:pPr>
              <w:ind w:firstLine="720"/>
              <w:rPr>
                <w:rFonts w:eastAsia="Times New Roman"/>
              </w:rPr>
            </w:pPr>
          </w:p>
        </w:tc>
        <w:tc>
          <w:tcPr>
            <w:tcW w:w="178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2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78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088387142"/>
        </w:trPr>
        <w:tc>
          <w:tcPr>
            <w:tcW w:w="0" w:type="auto"/>
            <w:gridSpan w:val="3"/>
            <w:tcMar>
              <w:top w:w="30" w:type="dxa"/>
              <w:left w:w="20" w:type="dxa"/>
              <w:bottom w:w="30" w:type="dxa"/>
              <w:right w:w="20" w:type="dxa"/>
            </w:tcMar>
            <w:vAlign w:val="center"/>
            <w:hideMark/>
          </w:tcPr>
          <w:p w:rsidR="00000000" w:rsidRDefault="0099260E">
            <w:pPr>
              <w:spacing w:after="100"/>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rsidR="00000000" w:rsidRDefault="0099260E">
            <w:pPr>
              <w:spacing w:after="100"/>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rsidR="00000000" w:rsidRDefault="0099260E">
            <w:pPr>
              <w:spacing w:after="100"/>
              <w:jc w:val="center"/>
              <w:rPr>
                <w:rFonts w:eastAsia="Times New Roman"/>
              </w:rPr>
            </w:pPr>
            <w:r>
              <w:rPr>
                <w:rFonts w:eastAsia="Times New Roman"/>
                <w:b/>
                <w:bCs/>
                <w:color w:val="000000"/>
                <w:sz w:val="20"/>
                <w:szCs w:val="20"/>
              </w:rPr>
              <w:t>98-1341933</w:t>
            </w:r>
          </w:p>
        </w:tc>
      </w:tr>
      <w:tr w:rsidR="00000000">
        <w:trPr>
          <w:divId w:val="1088387142"/>
        </w:trPr>
        <w:tc>
          <w:tcPr>
            <w:tcW w:w="0" w:type="auto"/>
            <w:gridSpan w:val="3"/>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(I.R.S. Employer Identification No.)</w:t>
            </w:r>
          </w:p>
        </w:tc>
      </w:tr>
    </w:tbl>
    <w:p w:rsidR="00000000" w:rsidRDefault="0099260E">
      <w:pPr>
        <w:ind w:firstLine="720"/>
        <w:jc w:val="center"/>
        <w:rPr>
          <w:rFonts w:eastAsia="Times New Roman"/>
        </w:rPr>
      </w:pPr>
      <w:r>
        <w:rPr>
          <w:rFonts w:eastAsia="Times New Roman"/>
          <w:color w:val="000000"/>
          <w:sz w:val="20"/>
          <w:szCs w:val="20"/>
        </w:rPr>
        <w:t> </w:t>
      </w:r>
    </w:p>
    <w:p w:rsidR="00000000" w:rsidRDefault="0099260E">
      <w:pPr>
        <w:jc w:val="center"/>
        <w:rPr>
          <w:rFonts w:eastAsia="Times New Roman"/>
        </w:rPr>
      </w:pPr>
      <w:r>
        <w:rPr>
          <w:rFonts w:eastAsia="Times New Roman"/>
          <w:b/>
          <w:bCs/>
          <w:color w:val="000000"/>
          <w:sz w:val="20"/>
          <w:szCs w:val="20"/>
        </w:rPr>
        <w:t xml:space="preserve">10 Earlsfort Terrace </w:t>
      </w:r>
    </w:p>
    <w:p w:rsidR="00000000" w:rsidRDefault="0099260E">
      <w:pPr>
        <w:jc w:val="center"/>
        <w:rPr>
          <w:rFonts w:eastAsia="Times New Roman"/>
        </w:rPr>
      </w:pPr>
      <w:r>
        <w:rPr>
          <w:rFonts w:eastAsia="Times New Roman"/>
          <w:b/>
          <w:bCs/>
          <w:color w:val="000000"/>
          <w:sz w:val="20"/>
          <w:szCs w:val="20"/>
        </w:rPr>
        <w:t xml:space="preserve">Dublin 2, Ireland </w:t>
      </w:r>
    </w:p>
    <w:p w:rsidR="00000000" w:rsidRDefault="0099260E">
      <w:pPr>
        <w:jc w:val="center"/>
        <w:rPr>
          <w:rFonts w:eastAsia="Times New Roman"/>
        </w:rPr>
      </w:pPr>
      <w:r>
        <w:rPr>
          <w:rFonts w:eastAsia="Times New Roman"/>
          <w:b/>
          <w:bCs/>
          <w:color w:val="000000"/>
          <w:sz w:val="20"/>
          <w:szCs w:val="20"/>
        </w:rPr>
        <w:t xml:space="preserve">D02 T380 </w:t>
      </w:r>
    </w:p>
    <w:p w:rsidR="00000000" w:rsidRDefault="0099260E">
      <w:pPr>
        <w:ind w:firstLine="45"/>
        <w:jc w:val="center"/>
        <w:rPr>
          <w:rFonts w:eastAsia="Times New Roman"/>
        </w:rPr>
      </w:pPr>
      <w:r>
        <w:rPr>
          <w:rFonts w:eastAsia="Times New Roman"/>
          <w:color w:val="000000"/>
          <w:sz w:val="20"/>
          <w:szCs w:val="20"/>
        </w:rPr>
        <w:t>(Address of Principal Executive Office and Zip Code)</w:t>
      </w:r>
    </w:p>
    <w:p w:rsidR="00000000" w:rsidRDefault="0099260E">
      <w:pPr>
        <w:ind w:firstLine="720"/>
        <w:jc w:val="center"/>
        <w:rPr>
          <w:rFonts w:eastAsia="Times New Roman"/>
        </w:rPr>
      </w:pPr>
      <w:r>
        <w:rPr>
          <w:rFonts w:eastAsia="Times New Roman"/>
          <w:b/>
          <w:bCs/>
          <w:color w:val="000000"/>
          <w:sz w:val="20"/>
          <w:szCs w:val="20"/>
        </w:rPr>
        <w:t> </w:t>
      </w:r>
    </w:p>
    <w:p w:rsidR="00000000" w:rsidRDefault="0099260E">
      <w:pPr>
        <w:jc w:val="center"/>
        <w:rPr>
          <w:rFonts w:eastAsia="Times New Roman"/>
        </w:rPr>
      </w:pPr>
      <w:r>
        <w:rPr>
          <w:rFonts w:eastAsia="Times New Roman"/>
          <w:b/>
          <w:bCs/>
          <w:color w:val="000000"/>
          <w:sz w:val="20"/>
          <w:szCs w:val="20"/>
        </w:rPr>
        <w:t xml:space="preserve">+353-1-901-5201 </w:t>
      </w:r>
    </w:p>
    <w:p w:rsidR="00000000" w:rsidRDefault="0099260E">
      <w:pPr>
        <w:ind w:firstLine="45"/>
        <w:jc w:val="center"/>
        <w:rPr>
          <w:rFonts w:eastAsia="Times New Roman"/>
        </w:rPr>
      </w:pPr>
      <w:r>
        <w:rPr>
          <w:rFonts w:eastAsia="Times New Roman"/>
          <w:color w:val="000000"/>
          <w:sz w:val="20"/>
          <w:szCs w:val="20"/>
        </w:rPr>
        <w:t>(Registrant’s telephone number, including area code)</w:t>
      </w:r>
    </w:p>
    <w:p w:rsidR="00000000" w:rsidRDefault="0099260E">
      <w:pPr>
        <w:ind w:firstLine="720"/>
        <w:divId w:val="1336609677"/>
        <w:rPr>
          <w:rFonts w:eastAsia="Times New Roman"/>
        </w:rPr>
      </w:pPr>
      <w:r>
        <w:rPr>
          <w:rFonts w:eastAsia="Times New Roman"/>
          <w:color w:val="000000"/>
          <w:sz w:val="20"/>
          <w:szCs w:val="20"/>
        </w:rPr>
        <w:t> </w:t>
      </w:r>
    </w:p>
    <w:p w:rsidR="00000000" w:rsidRDefault="0099260E">
      <w:pPr>
        <w:jc w:val="center"/>
        <w:rPr>
          <w:rFonts w:eastAsia="Times New Roman"/>
        </w:rPr>
      </w:pPr>
      <w:r>
        <w:rPr>
          <w:rFonts w:eastAsia="Times New Roman"/>
          <w:b/>
          <w:bCs/>
          <w:color w:val="000000"/>
          <w:sz w:val="20"/>
          <w:szCs w:val="20"/>
        </w:rPr>
        <w:t>N/A</w:t>
      </w:r>
    </w:p>
    <w:p w:rsidR="00000000" w:rsidRDefault="0099260E">
      <w:pPr>
        <w:jc w:val="center"/>
        <w:rPr>
          <w:rFonts w:eastAsia="Times New Roman"/>
        </w:rPr>
      </w:pPr>
      <w:r>
        <w:rPr>
          <w:rFonts w:eastAsia="Times New Roman"/>
          <w:color w:val="000000"/>
          <w:sz w:val="20"/>
          <w:szCs w:val="20"/>
        </w:rPr>
        <w:t>(Former name, former address and former fiscal year, if changed since last report) </w:t>
      </w:r>
    </w:p>
    <w:p w:rsidR="00000000" w:rsidRDefault="0099260E">
      <w:pPr>
        <w:jc w:val="center"/>
        <w:rPr>
          <w:rFonts w:eastAsia="Times New Roman"/>
        </w:rPr>
      </w:pPr>
      <w:r>
        <w:rPr>
          <w:rFonts w:eastAsia="Times New Roman"/>
          <w:color w:val="000000"/>
          <w:sz w:val="20"/>
          <w:szCs w:val="20"/>
        </w:rPr>
        <w:t>———————</w:t>
      </w:r>
    </w:p>
    <w:p w:rsidR="00000000" w:rsidRDefault="0099260E">
      <w:pPr>
        <w:jc w:val="both"/>
        <w:rPr>
          <w:rFonts w:eastAsia="Times New Roman"/>
        </w:rPr>
      </w:pPr>
      <w:r>
        <w:rPr>
          <w:rFonts w:eastAsia="Times New Roman"/>
          <w:color w:val="000000"/>
          <w:sz w:val="20"/>
          <w:szCs w:val="20"/>
        </w:rPr>
        <w:t>Securities registered pursuant to</w:t>
      </w:r>
      <w:r>
        <w:rPr>
          <w:rFonts w:eastAsia="Times New Roman"/>
          <w:color w:val="000000"/>
          <w:sz w:val="20"/>
          <w:szCs w:val="20"/>
        </w:rPr>
        <w:t xml:space="preserve"> Section 12(b) of the Act:</w:t>
      </w:r>
    </w:p>
    <w:p w:rsidR="00000000" w:rsidRDefault="0099260E">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jc w:val="center"/>
        </w:trPr>
        <w:tc>
          <w:tcPr>
            <w:tcW w:w="50" w:type="pct"/>
            <w:vAlign w:val="center"/>
            <w:hideMark/>
          </w:tcPr>
          <w:p w:rsidR="00000000" w:rsidRDefault="0099260E">
            <w:pPr>
              <w:jc w:val="both"/>
              <w:rPr>
                <w:rFonts w:eastAsia="Times New Roman"/>
              </w:rPr>
            </w:pPr>
          </w:p>
        </w:tc>
        <w:tc>
          <w:tcPr>
            <w:tcW w:w="161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61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61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Name of each exchange on which registered</w:t>
            </w: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99260E">
            <w:pPr>
              <w:spacing w:after="100"/>
              <w:jc w:val="center"/>
              <w:rPr>
                <w:rFonts w:eastAsia="Times New Roman"/>
              </w:rPr>
            </w:pPr>
            <w:r>
              <w:rPr>
                <w:rFonts w:eastAsia="Times New Roman"/>
                <w:color w:val="000000"/>
                <w:sz w:val="20"/>
                <w:szCs w:val="20"/>
              </w:rPr>
              <w:t>The Nasdaq Global Market</w:t>
            </w:r>
          </w:p>
        </w:tc>
      </w:tr>
      <w:tr w:rsidR="00000000">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99260E">
            <w:pPr>
              <w:spacing w:after="100"/>
              <w:jc w:val="center"/>
              <w:divId w:val="1039477812"/>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99260E">
            <w:pPr>
              <w:spacing w:after="100"/>
              <w:jc w:val="center"/>
              <w:divId w:val="1815487855"/>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r>
    </w:tbl>
    <w:p w:rsidR="00000000" w:rsidRDefault="0099260E">
      <w:pPr>
        <w:divId w:val="483394097"/>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rsidR="00000000" w:rsidRDefault="0099260E">
      <w:pPr>
        <w:divId w:val="524757822"/>
        <w:rPr>
          <w:rFonts w:eastAsia="Times New Roman"/>
        </w:rPr>
      </w:pPr>
      <w:r>
        <w:rPr>
          <w:rFonts w:eastAsia="Times New Roman"/>
          <w:color w:val="000000"/>
          <w:sz w:val="20"/>
          <w:szCs w:val="20"/>
        </w:rPr>
        <w:lastRenderedPageBreak/>
        <w:t> </w:t>
      </w:r>
    </w:p>
    <w:p w:rsidR="00000000" w:rsidRDefault="0099260E">
      <w:pPr>
        <w:divId w:val="2117365678"/>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rsidR="00000000" w:rsidRDefault="0099260E">
      <w:pPr>
        <w:jc w:val="both"/>
        <w:rPr>
          <w:rFonts w:eastAsia="Times New Roman"/>
        </w:rPr>
      </w:pPr>
    </w:p>
    <w:p w:rsidR="00000000" w:rsidRDefault="0099260E">
      <w:pPr>
        <w:divId w:val="206914181"/>
        <w:rPr>
          <w:rFonts w:eastAsia="Times New Roman"/>
        </w:rPr>
      </w:pPr>
    </w:p>
    <w:p w:rsidR="00000000" w:rsidRDefault="0099260E">
      <w:pPr>
        <w:rPr>
          <w:rFonts w:eastAsia="Times New Roman"/>
        </w:rPr>
      </w:pPr>
      <w:r>
        <w:rPr>
          <w:rFonts w:eastAsia="Times New Roman"/>
        </w:rPr>
        <w:pict>
          <v:rect id="_x0000_i1025" style="width:0;height:1.5pt" o:hralign="center" o:hrstd="t" o:hr="t" fillcolor="#a0a0a0" stroked="f"/>
        </w:pict>
      </w:r>
    </w:p>
    <w:p w:rsidR="00000000" w:rsidRDefault="0099260E">
      <w:pPr>
        <w:divId w:val="921647712"/>
        <w:rPr>
          <w:rFonts w:eastAsia="Times New Roman"/>
        </w:rPr>
      </w:pPr>
    </w:p>
    <w:p w:rsidR="00000000" w:rsidRDefault="0099260E">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99260E">
      <w:pPr>
        <w:ind w:firstLine="720"/>
        <w:divId w:val="1480684187"/>
        <w:rPr>
          <w:rFonts w:eastAsia="Times New Roman"/>
        </w:rPr>
      </w:pP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99260E">
      <w:pPr>
        <w:ind w:firstLine="720"/>
        <w:divId w:val="1190335452"/>
        <w:rPr>
          <w:rFonts w:eastAsia="Times New Roman"/>
        </w:rPr>
      </w:pPr>
      <w:r>
        <w:rPr>
          <w:rFonts w:eastAsia="Times New Roman"/>
          <w:color w:val="000000"/>
          <w:sz w:val="20"/>
          <w:szCs w:val="20"/>
        </w:rPr>
        <w:t> </w:t>
      </w:r>
    </w:p>
    <w:p w:rsidR="00000000" w:rsidRDefault="0099260E">
      <w:pPr>
        <w:jc w:val="both"/>
        <w:divId w:val="1991860004"/>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trPr>
          <w:divId w:val="492569157"/>
        </w:trPr>
        <w:tc>
          <w:tcPr>
            <w:tcW w:w="50" w:type="pct"/>
            <w:vAlign w:val="center"/>
            <w:hideMark/>
          </w:tcPr>
          <w:p w:rsidR="00000000" w:rsidRDefault="0099260E">
            <w:pPr>
              <w:jc w:val="both"/>
              <w:rPr>
                <w:rFonts w:eastAsia="Times New Roman"/>
              </w:rPr>
            </w:pPr>
          </w:p>
        </w:tc>
        <w:tc>
          <w:tcPr>
            <w:tcW w:w="193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5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93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5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492569157"/>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ascii="Wingdings" w:eastAsia="Times New Roman" w:hAnsi="Wingdings"/>
                <w:color w:val="000000"/>
                <w:sz w:val="20"/>
                <w:szCs w:val="20"/>
              </w:rPr>
              <w:t>þ</w:t>
            </w:r>
          </w:p>
        </w:tc>
      </w:tr>
      <w:tr w:rsidR="00000000">
        <w:trPr>
          <w:divId w:val="492569157"/>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xml:space="preserve">Non-accelerated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ascii="Segoe UI Symbol" w:eastAsia="Times New Roman" w:hAnsi="Segoe UI Symbol" w:cs="Segoe UI Symbol"/>
                <w:color w:val="000000"/>
                <w:sz w:val="20"/>
                <w:szCs w:val="20"/>
              </w:rPr>
              <w:t>☐</w:t>
            </w:r>
          </w:p>
        </w:tc>
      </w:tr>
      <w:tr w:rsidR="00000000">
        <w:trPr>
          <w:divId w:val="492569157"/>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99260E">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99260E">
      <w:pPr>
        <w:ind w:firstLine="720"/>
        <w:jc w:val="both"/>
        <w:rPr>
          <w:rFonts w:eastAsia="Times New Roman"/>
        </w:rPr>
      </w:pP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99260E">
      <w:pPr>
        <w:ind w:firstLine="720"/>
        <w:jc w:val="both"/>
        <w:rPr>
          <w:rFonts w:eastAsia="Times New Roman"/>
        </w:rPr>
      </w:pP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At November 4, 2021, 58,620,088 ordinary shares, nominal value $0.01 each, of the Company were outstanding.</w:t>
      </w:r>
    </w:p>
    <w:p w:rsidR="00000000" w:rsidRDefault="0099260E">
      <w:pPr>
        <w:jc w:val="center"/>
        <w:rPr>
          <w:rFonts w:eastAsia="Times New Roman"/>
        </w:rPr>
      </w:pPr>
    </w:p>
    <w:p w:rsidR="00000000" w:rsidRDefault="0099260E">
      <w:pPr>
        <w:jc w:val="center"/>
        <w:rPr>
          <w:rFonts w:eastAsia="Times New Roman"/>
        </w:rPr>
      </w:pPr>
    </w:p>
    <w:p w:rsidR="00000000" w:rsidRDefault="0099260E">
      <w:pPr>
        <w:divId w:val="476843537"/>
        <w:rPr>
          <w:rFonts w:eastAsia="Times New Roman"/>
        </w:rPr>
      </w:pPr>
    </w:p>
    <w:p w:rsidR="00000000" w:rsidRDefault="0099260E">
      <w:pPr>
        <w:rPr>
          <w:rFonts w:eastAsia="Times New Roman"/>
        </w:rPr>
      </w:pPr>
      <w:r>
        <w:rPr>
          <w:rFonts w:eastAsia="Times New Roman"/>
        </w:rPr>
        <w:pict>
          <v:rect id="_x0000_i1026" style="width:0;height:1.5pt" o:hralign="center" o:hrstd="t" o:hr="t" fillcolor="#a0a0a0" stroked="f"/>
        </w:pict>
      </w:r>
    </w:p>
    <w:p w:rsidR="00000000" w:rsidRDefault="0099260E">
      <w:pPr>
        <w:divId w:val="440490512"/>
        <w:rPr>
          <w:rFonts w:eastAsia="Times New Roman"/>
        </w:rPr>
      </w:pPr>
    </w:p>
    <w:p w:rsidR="00000000" w:rsidRDefault="0099260E">
      <w:pPr>
        <w:jc w:val="center"/>
        <w:divId w:val="1318071307"/>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trPr>
          <w:divId w:val="973565623"/>
        </w:trPr>
        <w:tc>
          <w:tcPr>
            <w:tcW w:w="50" w:type="pct"/>
            <w:vAlign w:val="center"/>
            <w:hideMark/>
          </w:tcPr>
          <w:p w:rsidR="00000000" w:rsidRDefault="0099260E">
            <w:pPr>
              <w:jc w:val="center"/>
              <w:rPr>
                <w:rFonts w:eastAsia="Times New Roman"/>
              </w:rPr>
            </w:pPr>
          </w:p>
        </w:tc>
        <w:tc>
          <w:tcPr>
            <w:tcW w:w="354"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9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28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973565623"/>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20"/>
                <w:szCs w:val="20"/>
              </w:rPr>
              <w:t>Page #</w:t>
            </w:r>
          </w:p>
        </w:tc>
      </w:tr>
      <w:tr w:rsidR="00000000">
        <w:trPr>
          <w:divId w:val="973565623"/>
        </w:trPr>
        <w:tc>
          <w:tcPr>
            <w:tcW w:w="0" w:type="auto"/>
            <w:gridSpan w:val="6"/>
            <w:shd w:val="clear" w:color="auto" w:fill="CCEEFF"/>
            <w:tcMar>
              <w:top w:w="30" w:type="dxa"/>
              <w:left w:w="20" w:type="dxa"/>
              <w:bottom w:w="30" w:type="dxa"/>
              <w:right w:w="20" w:type="dxa"/>
            </w:tcMar>
            <w:vAlign w:val="bottom"/>
            <w:hideMark/>
          </w:tcPr>
          <w:p w:rsidR="00000000" w:rsidRDefault="0099260E">
            <w:pPr>
              <w:spacing w:after="100"/>
              <w:divId w:val="889459698"/>
              <w:rPr>
                <w:rFonts w:eastAsia="Times New Roman"/>
              </w:rPr>
            </w:pPr>
            <w:hyperlink w:anchor="i0ffe2b9b1f8a4a769ed7d2268e417c30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0" w:history="1">
              <w:r>
                <w:rPr>
                  <w:rStyle w:val="a3"/>
                  <w:rFonts w:eastAsia="Times New Roman"/>
                  <w:sz w:val="20"/>
                  <w:szCs w:val="20"/>
                </w:rPr>
                <w:t>3</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20"/>
                <w:szCs w:val="20"/>
              </w:rPr>
              <w:t> </w:t>
            </w:r>
          </w:p>
        </w:tc>
      </w:tr>
      <w:tr w:rsidR="00000000">
        <w:trPr>
          <w:divId w:val="973565623"/>
        </w:trPr>
        <w:tc>
          <w:tcPr>
            <w:tcW w:w="0" w:type="auto"/>
            <w:gridSpan w:val="6"/>
            <w:shd w:val="clear" w:color="auto" w:fill="CCEEFF"/>
            <w:tcMar>
              <w:top w:w="30" w:type="dxa"/>
              <w:left w:w="20" w:type="dxa"/>
              <w:bottom w:w="30" w:type="dxa"/>
              <w:right w:w="20" w:type="dxa"/>
            </w:tcMar>
            <w:vAlign w:val="bottom"/>
            <w:hideMark/>
          </w:tcPr>
          <w:p w:rsidR="00000000" w:rsidRDefault="0099260E">
            <w:pPr>
              <w:spacing w:after="100"/>
              <w:divId w:val="941915068"/>
              <w:rPr>
                <w:rFonts w:eastAsia="Times New Roman"/>
              </w:rPr>
            </w:pPr>
            <w:hyperlink w:anchor="i0ffe2b9b1f8a4a769ed7d2268e417c30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20"/>
                <w:szCs w:val="20"/>
              </w:rPr>
              <w:t> </w:t>
            </w:r>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358243098"/>
              <w:rPr>
                <w:rFonts w:eastAsia="Times New Roman"/>
              </w:rPr>
            </w:pPr>
            <w:hyperlink w:anchor="i0ffe2b9b1f8a4a769ed7d2268e417c30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6" w:history="1">
              <w:r>
                <w:rPr>
                  <w:rStyle w:val="a3"/>
                  <w:rFonts w:eastAsia="Times New Roman"/>
                  <w:sz w:val="20"/>
                  <w:szCs w:val="20"/>
                </w:rPr>
                <w:t>4</w:t>
              </w:r>
            </w:hyperlink>
          </w:p>
        </w:tc>
      </w:tr>
      <w:tr w:rsidR="00000000">
        <w:trPr>
          <w:divId w:val="973565623"/>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319584158"/>
              <w:rPr>
                <w:rFonts w:eastAsia="Times New Roman"/>
              </w:rPr>
            </w:pPr>
            <w:hyperlink w:anchor="i0ffe2b9b1f8a4a769ed7d2268e417c30_88" w:history="1">
              <w:r>
                <w:rPr>
                  <w:rStyle w:val="a3"/>
                  <w:rFonts w:eastAsia="Times New Roman"/>
                  <w:sz w:val="20"/>
                  <w:szCs w:val="20"/>
                </w:rPr>
                <w:t>Management’s Discussion and Analysis of F</w:t>
              </w:r>
              <w:r>
                <w:rPr>
                  <w:rStyle w:val="a3"/>
                  <w:rFonts w:eastAsia="Times New Roman"/>
                  <w:sz w:val="20"/>
                  <w:szCs w:val="20"/>
                </w:rPr>
                <w:t>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88" w:history="1">
              <w:r>
                <w:rPr>
                  <w:rStyle w:val="a3"/>
                  <w:rFonts w:eastAsia="Times New Roman"/>
                  <w:sz w:val="20"/>
                  <w:szCs w:val="20"/>
                </w:rPr>
                <w:t>24</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189295937"/>
              <w:rPr>
                <w:rFonts w:eastAsia="Times New Roman"/>
              </w:rPr>
            </w:pPr>
            <w:hyperlink w:anchor="i0ffe2b9b1f8a4a769ed7d2268e417c30_109"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09" w:history="1">
              <w:r>
                <w:rPr>
                  <w:rStyle w:val="a3"/>
                  <w:rFonts w:eastAsia="Times New Roman"/>
                  <w:sz w:val="20"/>
                  <w:szCs w:val="20"/>
                </w:rPr>
                <w:t>34</w:t>
              </w:r>
            </w:hyperlink>
          </w:p>
        </w:tc>
      </w:tr>
      <w:tr w:rsidR="00000000">
        <w:trPr>
          <w:divId w:val="973565623"/>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lastRenderedPageBreak/>
              <w:t>Item 4.</w:t>
            </w: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216867017"/>
              <w:rPr>
                <w:rFonts w:eastAsia="Times New Roman"/>
              </w:rPr>
            </w:pPr>
            <w:hyperlink w:anchor="i0ffe2b9b1f8a4a769ed7d2268e417c30_112"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12" w:history="1">
              <w:r>
                <w:rPr>
                  <w:rStyle w:val="a3"/>
                  <w:rFonts w:eastAsia="Times New Roman"/>
                  <w:sz w:val="20"/>
                  <w:szCs w:val="20"/>
                </w:rPr>
                <w:t>34</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20"/>
                <w:szCs w:val="20"/>
              </w:rPr>
              <w:t> </w:t>
            </w:r>
          </w:p>
        </w:tc>
      </w:tr>
      <w:tr w:rsidR="00000000">
        <w:trPr>
          <w:divId w:val="973565623"/>
        </w:trPr>
        <w:tc>
          <w:tcPr>
            <w:tcW w:w="0" w:type="auto"/>
            <w:gridSpan w:val="6"/>
            <w:shd w:val="clear" w:color="auto" w:fill="CCEEFF"/>
            <w:tcMar>
              <w:top w:w="30" w:type="dxa"/>
              <w:left w:w="20" w:type="dxa"/>
              <w:bottom w:w="30" w:type="dxa"/>
              <w:right w:w="20" w:type="dxa"/>
            </w:tcMar>
            <w:vAlign w:val="bottom"/>
            <w:hideMark/>
          </w:tcPr>
          <w:p w:rsidR="00000000" w:rsidRDefault="0099260E">
            <w:pPr>
              <w:spacing w:after="100"/>
              <w:divId w:val="1397706868"/>
              <w:rPr>
                <w:rFonts w:eastAsia="Times New Roman"/>
              </w:rPr>
            </w:pPr>
            <w:hyperlink w:anchor="i0ffe2b9b1f8a4a769ed7d2268e417c30_115"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20"/>
                <w:szCs w:val="20"/>
              </w:rPr>
              <w:t> </w:t>
            </w:r>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176040446"/>
              <w:rPr>
                <w:rFonts w:eastAsia="Times New Roman"/>
              </w:rPr>
            </w:pPr>
            <w:hyperlink w:anchor="i0ffe2b9b1f8a4a769ed7d2268e417c30_11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18" w:history="1">
              <w:r>
                <w:rPr>
                  <w:rStyle w:val="a3"/>
                  <w:rFonts w:eastAsia="Times New Roman"/>
                  <w:sz w:val="20"/>
                  <w:szCs w:val="20"/>
                </w:rPr>
                <w:t>34</w:t>
              </w:r>
            </w:hyperlink>
          </w:p>
        </w:tc>
      </w:tr>
      <w:tr w:rsidR="00000000">
        <w:trPr>
          <w:divId w:val="973565623"/>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47460624"/>
              <w:rPr>
                <w:rFonts w:eastAsia="Times New Roman"/>
              </w:rPr>
            </w:pPr>
            <w:hyperlink w:anchor="i0ffe2b9b1f8a4a769ed7d2268e417c30_121"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21" w:history="1">
              <w:r>
                <w:rPr>
                  <w:rStyle w:val="a3"/>
                  <w:rFonts w:eastAsia="Times New Roman"/>
                  <w:sz w:val="20"/>
                  <w:szCs w:val="20"/>
                </w:rPr>
                <w:t>34</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995499444"/>
              <w:rPr>
                <w:rFonts w:eastAsia="Times New Roman"/>
              </w:rPr>
            </w:pPr>
            <w:hyperlink w:anchor="i0ffe2b9b1f8a4a769ed7d2268e417c30_124"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24" w:history="1">
              <w:r>
                <w:rPr>
                  <w:rStyle w:val="a3"/>
                  <w:rFonts w:eastAsia="Times New Roman"/>
                  <w:sz w:val="20"/>
                  <w:szCs w:val="20"/>
                </w:rPr>
                <w:t>38</w:t>
              </w:r>
            </w:hyperlink>
          </w:p>
        </w:tc>
      </w:tr>
      <w:tr w:rsidR="00000000">
        <w:trPr>
          <w:divId w:val="973565623"/>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40597640"/>
              <w:rPr>
                <w:rFonts w:eastAsia="Times New Roman"/>
              </w:rPr>
            </w:pPr>
            <w:hyperlink w:anchor="i0ffe2b9b1f8a4a769ed7d2268e417c30_127"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27" w:history="1">
              <w:r>
                <w:rPr>
                  <w:rStyle w:val="a3"/>
                  <w:rFonts w:eastAsia="Times New Roman"/>
                  <w:sz w:val="20"/>
                  <w:szCs w:val="20"/>
                </w:rPr>
                <w:t>38</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408386716"/>
              <w:rPr>
                <w:rFonts w:eastAsia="Times New Roman"/>
              </w:rPr>
            </w:pPr>
            <w:hyperlink w:anchor="i0ffe2b9b1f8a4a769ed7d2268e417c30_130"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30" w:history="1">
              <w:r>
                <w:rPr>
                  <w:rStyle w:val="a3"/>
                  <w:rFonts w:eastAsia="Times New Roman"/>
                  <w:sz w:val="20"/>
                  <w:szCs w:val="20"/>
                </w:rPr>
                <w:t>38</w:t>
              </w:r>
            </w:hyperlink>
          </w:p>
        </w:tc>
      </w:tr>
      <w:tr w:rsidR="00000000">
        <w:trPr>
          <w:divId w:val="973565623"/>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532235018"/>
              <w:rPr>
                <w:rFonts w:eastAsia="Times New Roman"/>
              </w:rPr>
            </w:pPr>
            <w:hyperlink w:anchor="i0ffe2b9b1f8a4a769ed7d2268e417c30_133"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33" w:history="1">
              <w:r>
                <w:rPr>
                  <w:rStyle w:val="a3"/>
                  <w:rFonts w:eastAsia="Times New Roman"/>
                  <w:sz w:val="20"/>
                  <w:szCs w:val="20"/>
                </w:rPr>
                <w:t>38</w:t>
              </w:r>
            </w:hyperlink>
          </w:p>
        </w:tc>
      </w:tr>
      <w:tr w:rsidR="00000000">
        <w:trPr>
          <w:divId w:val="973565623"/>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1909075155"/>
              <w:rPr>
                <w:rFonts w:eastAsia="Times New Roman"/>
              </w:rPr>
            </w:pPr>
            <w:hyperlink w:anchor="i0ffe2b9b1f8a4a769ed7d2268e417c30_136"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hyperlink w:anchor="i0ffe2b9b1f8a4a769ed7d2268e417c30_136" w:history="1">
              <w:r>
                <w:rPr>
                  <w:rStyle w:val="a3"/>
                  <w:rFonts w:eastAsia="Times New Roman"/>
                  <w:sz w:val="20"/>
                  <w:szCs w:val="20"/>
                </w:rPr>
                <w:t>38</w:t>
              </w:r>
            </w:hyperlink>
          </w:p>
        </w:tc>
      </w:tr>
    </w:tbl>
    <w:p w:rsidR="00000000" w:rsidRDefault="0099260E">
      <w:pPr>
        <w:ind w:firstLine="720"/>
        <w:divId w:val="510608106"/>
        <w:rPr>
          <w:rFonts w:eastAsia="Times New Roman"/>
        </w:rPr>
      </w:pP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We own various trademark registrations and applications, and unregistered trademarks, including Avadel™, Micropump™, LiquiTime™ and</w:t>
      </w:r>
      <w:r>
        <w:rPr>
          <w:rFonts w:eastAsia="Times New Roman"/>
          <w:color w:val="000000"/>
        </w:rPr>
        <w:t xml:space="preserve"> </w:t>
      </w:r>
      <w:r>
        <w:rPr>
          <w:rFonts w:eastAsia="Times New Roman"/>
          <w:color w:val="000000"/>
          <w:sz w:val="20"/>
          <w:szCs w:val="20"/>
        </w:rPr>
        <w:t>Medusa™. All other trade names, trademarks and service marks of other companies appearing in this Quarterly Report are the p</w:t>
      </w:r>
      <w:r>
        <w:rPr>
          <w:rFonts w:eastAsia="Times New Roman"/>
          <w:color w:val="000000"/>
          <w:sz w:val="20"/>
          <w:szCs w:val="20"/>
        </w:rPr>
        <w:t>roperty of their respective holders. Solely for convenience, the trademarks and trade names in this Quarterly Report may be referred to without the</w:t>
      </w:r>
      <w:r>
        <w:rPr>
          <w:rFonts w:eastAsia="Times New Roman"/>
          <w:color w:val="000000"/>
          <w:sz w:val="20"/>
          <w:szCs w:val="20"/>
        </w:rPr>
        <w:t> </w:t>
      </w:r>
      <w:r>
        <w:rPr>
          <w:rFonts w:eastAsia="Times New Roman"/>
          <w:color w:val="000000"/>
          <w:sz w:val="13"/>
          <w:szCs w:val="13"/>
        </w:rPr>
        <w:t>®</w:t>
      </w:r>
      <w:r>
        <w:rPr>
          <w:rFonts w:eastAsia="Times New Roman"/>
          <w:color w:val="000000"/>
          <w:sz w:val="20"/>
          <w:szCs w:val="20"/>
        </w:rPr>
        <w:t> and ™ symbols, but such references should not be construed as any indicator that their respective owners w</w:t>
      </w:r>
      <w:r>
        <w:rPr>
          <w:rFonts w:eastAsia="Times New Roman"/>
          <w:color w:val="000000"/>
          <w:sz w:val="20"/>
          <w:szCs w:val="20"/>
        </w:rPr>
        <w:t xml:space="preserve">ill not assert, to the fullest extent under applicable law, their rights thereto. We do not intend to use or display other companies’ trademarks and trade names to imply a relationship with, or endorsement or sponsorship of us by, any other companies.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F</w:t>
      </w:r>
      <w:r>
        <w:rPr>
          <w:rFonts w:eastAsia="Times New Roman"/>
          <w:color w:val="000000"/>
          <w:sz w:val="20"/>
          <w:szCs w:val="20"/>
        </w:rPr>
        <w:t>rom time to time, we may use our website, our LinkedIn or our Twitter account (@AvadelPharma) to distribute material information. Our financial and other material information is routinely posted to and accessible on the Investors section of our website, av</w:t>
      </w:r>
      <w:r>
        <w:rPr>
          <w:rFonts w:eastAsia="Times New Roman"/>
          <w:color w:val="000000"/>
          <w:sz w:val="20"/>
          <w:szCs w:val="20"/>
        </w:rPr>
        <w:t xml:space="preserve">ailable at www.avadel.com. Investors are encouraged to review the Investors section of our website because we may post material information on that site that is not otherwise disseminated by us. Information that is contained in and can be accessed through </w:t>
      </w:r>
      <w:r>
        <w:rPr>
          <w:rFonts w:eastAsia="Times New Roman"/>
          <w:color w:val="000000"/>
          <w:sz w:val="20"/>
          <w:szCs w:val="20"/>
        </w:rPr>
        <w:t xml:space="preserve">our website, LinkedIn account or our Twitter posts are not incorporated into, and does not form a part of, this Quarterly Report. </w:t>
      </w:r>
    </w:p>
    <w:p w:rsidR="00000000" w:rsidRDefault="0099260E">
      <w:pPr>
        <w:jc w:val="both"/>
        <w:rPr>
          <w:rFonts w:eastAsia="Times New Roman"/>
        </w:rPr>
      </w:pPr>
    </w:p>
    <w:p w:rsidR="00000000" w:rsidRDefault="0099260E">
      <w:pPr>
        <w:jc w:val="center"/>
        <w:divId w:val="806431105"/>
        <w:rPr>
          <w:rFonts w:eastAsia="Times New Roman"/>
        </w:rPr>
      </w:pPr>
      <w:r>
        <w:rPr>
          <w:rFonts w:eastAsia="Times New Roman"/>
          <w:color w:val="000000"/>
          <w:sz w:val="20"/>
          <w:szCs w:val="20"/>
        </w:rPr>
        <w:t>- 2 -</w:t>
      </w:r>
    </w:p>
    <w:p w:rsidR="00000000" w:rsidRDefault="0099260E">
      <w:pPr>
        <w:rPr>
          <w:rFonts w:eastAsia="Times New Roman"/>
        </w:rPr>
      </w:pPr>
      <w:r>
        <w:rPr>
          <w:rFonts w:eastAsia="Times New Roman"/>
        </w:rPr>
        <w:pict>
          <v:rect id="_x0000_i1027" style="width:0;height:1.5pt" o:hralign="center" o:hrstd="t" o:hr="t" fillcolor="#a0a0a0" stroked="f"/>
        </w:pict>
      </w:r>
    </w:p>
    <w:p w:rsidR="00000000" w:rsidRDefault="0099260E">
      <w:pPr>
        <w:divId w:val="1210918184"/>
        <w:rPr>
          <w:rFonts w:eastAsia="Times New Roman"/>
        </w:rPr>
      </w:pPr>
    </w:p>
    <w:p w:rsidR="00000000" w:rsidRDefault="0099260E">
      <w:pPr>
        <w:jc w:val="center"/>
        <w:divId w:val="509563927"/>
        <w:rPr>
          <w:rFonts w:eastAsia="Times New Roman"/>
        </w:rPr>
      </w:pPr>
      <w:r>
        <w:rPr>
          <w:rFonts w:eastAsia="Times New Roman"/>
          <w:b/>
          <w:bCs/>
          <w:color w:val="000000"/>
          <w:sz w:val="20"/>
          <w:szCs w:val="20"/>
        </w:rPr>
        <w:t>Cautionary Disclosure Regarding Forward-Looking Statements</w:t>
      </w:r>
    </w:p>
    <w:p w:rsidR="00000000" w:rsidRDefault="0099260E">
      <w:pPr>
        <w:ind w:firstLine="720"/>
        <w:jc w:val="center"/>
        <w:rPr>
          <w:rFonts w:eastAsia="Times New Roman"/>
        </w:rPr>
      </w:pPr>
      <w:r>
        <w:rPr>
          <w:rFonts w:eastAsia="Times New Roman"/>
          <w:b/>
          <w:bCs/>
          <w:color w:val="000000"/>
          <w:sz w:val="20"/>
          <w:szCs w:val="20"/>
        </w:rPr>
        <w:t> </w:t>
      </w:r>
    </w:p>
    <w:p w:rsidR="00000000" w:rsidRDefault="0099260E">
      <w:pPr>
        <w:jc w:val="both"/>
        <w:rPr>
          <w:rFonts w:eastAsia="Times New Roman"/>
        </w:rPr>
      </w:pPr>
      <w:r>
        <w:rPr>
          <w:rFonts w:eastAsia="Times New Roman"/>
          <w:color w:val="000000"/>
          <w:sz w:val="20"/>
          <w:szCs w:val="20"/>
        </w:rPr>
        <w:t xml:space="preserve">This Quarterly Report on Form 10-Q includes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Any statements about our expectations, beliefs, plans, objectives,</w:t>
      </w:r>
      <w:r>
        <w:rPr>
          <w:rFonts w:eastAsia="Times New Roman"/>
          <w:color w:val="000000"/>
          <w:sz w:val="20"/>
          <w:szCs w:val="20"/>
        </w:rPr>
        <w:t xml:space="preserve"> assumptions or future events or performance are not historical facts and may be forward-looking. These statements are often, but are not always, made through the use of words or phrases such as “may,” “will,” “could,” “should,” “expects,” “intends,” “plan</w:t>
      </w:r>
      <w:r>
        <w:rPr>
          <w:rFonts w:eastAsia="Times New Roman"/>
          <w:color w:val="000000"/>
          <w:sz w:val="20"/>
          <w:szCs w:val="20"/>
        </w:rPr>
        <w:t>s,” “anticipates,” “believes,” “estimates,” “predicts,” “projects,” “potential,” “continue,” and similar expressions, or the negative of these terms, or similar expressions. Accordingly, these statements involve estimates, assumptions, risks and uncertaint</w:t>
      </w:r>
      <w:r>
        <w:rPr>
          <w:rFonts w:eastAsia="Times New Roman"/>
          <w:color w:val="000000"/>
          <w:sz w:val="20"/>
          <w:szCs w:val="20"/>
        </w:rPr>
        <w:t xml:space="preserve">ies which could cause actual results to differ materially from those expressed in them.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w:t>
      </w:r>
      <w:r>
        <w:rPr>
          <w:rFonts w:eastAsia="Times New Roman"/>
          <w:color w:val="000000"/>
          <w:sz w:val="20"/>
          <w:szCs w:val="20"/>
        </w:rPr>
        <w:t>le to our management. These statements relate to future events or our future financial performance, and involve known and unknown risks, uncertainties and other factors that may cause our actual results, levels of activity, performance or achievements to b</w:t>
      </w:r>
      <w:r>
        <w:rPr>
          <w:rFonts w:eastAsia="Times New Roman"/>
          <w:color w:val="000000"/>
          <w:sz w:val="20"/>
          <w:szCs w:val="20"/>
        </w:rPr>
        <w:t xml:space="preserve">e materially different from any future results, levels of activity, performance or </w:t>
      </w:r>
      <w:r>
        <w:rPr>
          <w:rFonts w:eastAsia="Times New Roman"/>
          <w:color w:val="000000"/>
          <w:sz w:val="20"/>
          <w:szCs w:val="20"/>
        </w:rPr>
        <w:lastRenderedPageBreak/>
        <w:t>achievements expressed or implied by these forward-looking statements. Forward-looking statements include, but are not limited to, statements about:</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color w:val="000000"/>
          <w:sz w:val="20"/>
          <w:szCs w:val="20"/>
        </w:rPr>
        <w:t>•Our reliance on a sin</w:t>
      </w:r>
      <w:r>
        <w:rPr>
          <w:rFonts w:eastAsia="Times New Roman"/>
          <w:color w:val="000000"/>
          <w:sz w:val="20"/>
          <w:szCs w:val="20"/>
        </w:rPr>
        <w:t>gle lead product candidate, FT218, the timing of and our ability to obtain regulatory approval, if at all;</w:t>
      </w:r>
    </w:p>
    <w:p w:rsidR="00000000" w:rsidRDefault="0099260E">
      <w:pPr>
        <w:ind w:hanging="360"/>
        <w:jc w:val="both"/>
        <w:rPr>
          <w:rFonts w:eastAsia="Times New Roman"/>
        </w:rPr>
      </w:pPr>
      <w:r>
        <w:rPr>
          <w:rFonts w:eastAsia="Times New Roman"/>
          <w:color w:val="000000"/>
          <w:sz w:val="20"/>
          <w:szCs w:val="20"/>
        </w:rPr>
        <w:t>•Our ability to obtain desired regulatory exclusivity for FT218, including orphan drug exclusivity;</w:t>
      </w:r>
    </w:p>
    <w:p w:rsidR="00000000" w:rsidRDefault="0099260E">
      <w:pPr>
        <w:ind w:hanging="360"/>
        <w:jc w:val="both"/>
        <w:rPr>
          <w:rFonts w:eastAsia="Times New Roman"/>
        </w:rPr>
      </w:pPr>
      <w:r>
        <w:rPr>
          <w:rFonts w:eastAsia="Times New Roman"/>
          <w:color w:val="000000"/>
          <w:sz w:val="20"/>
          <w:szCs w:val="20"/>
        </w:rPr>
        <w:t xml:space="preserve">•Our ability to successfully commercialize FT218 </w:t>
      </w:r>
      <w:r>
        <w:rPr>
          <w:rFonts w:eastAsia="Times New Roman"/>
          <w:color w:val="000000"/>
          <w:sz w:val="20"/>
          <w:szCs w:val="20"/>
        </w:rPr>
        <w:t xml:space="preserve">in a timely manner or at all, if approved; </w:t>
      </w:r>
    </w:p>
    <w:p w:rsidR="00000000" w:rsidRDefault="0099260E">
      <w:pPr>
        <w:ind w:hanging="360"/>
        <w:jc w:val="both"/>
        <w:rPr>
          <w:rFonts w:eastAsia="Times New Roman"/>
        </w:rPr>
      </w:pPr>
      <w:r>
        <w:rPr>
          <w:rFonts w:eastAsia="Times New Roman"/>
          <w:color w:val="000000"/>
          <w:sz w:val="20"/>
          <w:szCs w:val="20"/>
        </w:rPr>
        <w:t>•The ability of FT218, if approved and launched commercially, to gain market acceptance;</w:t>
      </w:r>
    </w:p>
    <w:p w:rsidR="00000000" w:rsidRDefault="0099260E">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FT218, if ap</w:t>
      </w:r>
      <w:r>
        <w:rPr>
          <w:rFonts w:eastAsia="Times New Roman"/>
          <w:color w:val="000000"/>
          <w:sz w:val="20"/>
          <w:szCs w:val="20"/>
        </w:rPr>
        <w:t>proved;</w:t>
      </w:r>
    </w:p>
    <w:p w:rsidR="00000000" w:rsidRDefault="0099260E">
      <w:pPr>
        <w:ind w:hanging="360"/>
        <w:jc w:val="both"/>
        <w:rPr>
          <w:rFonts w:eastAsia="Times New Roman"/>
        </w:rPr>
      </w:pPr>
      <w:r>
        <w:rPr>
          <w:rFonts w:eastAsia="Times New Roman"/>
          <w:color w:val="000000"/>
          <w:sz w:val="20"/>
          <w:szCs w:val="20"/>
        </w:rPr>
        <w:t>•Our dependence on a single manufacturer for the manufacturing of our lead product candidate and a single supplier for certain raw materials in our lead product candidate and any failure of such third party suppliers to either manufacture our produ</w:t>
      </w:r>
      <w:r>
        <w:rPr>
          <w:rFonts w:eastAsia="Times New Roman"/>
          <w:color w:val="000000"/>
          <w:sz w:val="20"/>
          <w:szCs w:val="20"/>
        </w:rPr>
        <w:t>ct candidate in a timely manner or to deliver sufficient quantities of these raw materials, which could have a material adverse effect on our business;</w:t>
      </w:r>
    </w:p>
    <w:p w:rsidR="00000000" w:rsidRDefault="0099260E">
      <w:pPr>
        <w:ind w:hanging="360"/>
        <w:jc w:val="both"/>
        <w:rPr>
          <w:rFonts w:eastAsia="Times New Roman"/>
        </w:rPr>
      </w:pPr>
      <w:r>
        <w:rPr>
          <w:rFonts w:eastAsia="Times New Roman"/>
          <w:color w:val="000000"/>
          <w:sz w:val="20"/>
          <w:szCs w:val="20"/>
        </w:rPr>
        <w:t>•Our ability to finance our operations on acceptable terms, either through the raising of capital, the i</w:t>
      </w:r>
      <w:r>
        <w:rPr>
          <w:rFonts w:eastAsia="Times New Roman"/>
          <w:color w:val="000000"/>
          <w:sz w:val="20"/>
          <w:szCs w:val="20"/>
        </w:rPr>
        <w:t>ncurrence of convertible or other indebtedness or through strategic financing or commercialization partnerships;</w:t>
      </w:r>
    </w:p>
    <w:p w:rsidR="00000000" w:rsidRDefault="0099260E">
      <w:pPr>
        <w:ind w:hanging="360"/>
        <w:jc w:val="both"/>
        <w:rPr>
          <w:rFonts w:eastAsia="Times New Roman"/>
        </w:rPr>
      </w:pPr>
      <w:r>
        <w:rPr>
          <w:rFonts w:eastAsia="Times New Roman"/>
          <w:color w:val="000000"/>
          <w:sz w:val="20"/>
          <w:szCs w:val="20"/>
        </w:rPr>
        <w:t>•Our expectations about the potential market size and market participation for our lead product candidate, if approved and commercialized;</w:t>
      </w:r>
    </w:p>
    <w:p w:rsidR="00000000" w:rsidRDefault="0099260E">
      <w:pPr>
        <w:ind w:hanging="360"/>
        <w:jc w:val="both"/>
        <w:rPr>
          <w:rFonts w:eastAsia="Times New Roman"/>
        </w:rPr>
      </w:pPr>
      <w:r>
        <w:rPr>
          <w:rFonts w:eastAsia="Times New Roman"/>
          <w:color w:val="000000"/>
          <w:sz w:val="20"/>
          <w:szCs w:val="20"/>
        </w:rPr>
        <w:t>•Our</w:t>
      </w:r>
      <w:r>
        <w:rPr>
          <w:rFonts w:eastAsia="Times New Roman"/>
          <w:color w:val="000000"/>
          <w:sz w:val="20"/>
          <w:szCs w:val="20"/>
        </w:rPr>
        <w:t xml:space="preserve"> expectations about pending and potential future patent infringement claims against us; </w:t>
      </w:r>
    </w:p>
    <w:p w:rsidR="00000000" w:rsidRDefault="0099260E">
      <w:pPr>
        <w:ind w:hanging="360"/>
        <w:jc w:val="both"/>
        <w:rPr>
          <w:rFonts w:eastAsia="Times New Roman"/>
        </w:rPr>
      </w:pPr>
      <w:r>
        <w:rPr>
          <w:rFonts w:eastAsia="Times New Roman"/>
          <w:color w:val="000000"/>
          <w:sz w:val="20"/>
          <w:szCs w:val="20"/>
        </w:rPr>
        <w:t>•Any further restructuring actions that may be required and our ability to obtain any required consents (including any consents required pursuant to the Indenture gove</w:t>
      </w:r>
      <w:r>
        <w:rPr>
          <w:rFonts w:eastAsia="Times New Roman"/>
          <w:color w:val="000000"/>
          <w:sz w:val="20"/>
          <w:szCs w:val="20"/>
        </w:rPr>
        <w:t xml:space="preserve">rning our exchange notes due 2023, or the 2023 Notes); </w:t>
      </w:r>
    </w:p>
    <w:p w:rsidR="00000000" w:rsidRDefault="0099260E">
      <w:pPr>
        <w:ind w:hanging="360"/>
        <w:jc w:val="both"/>
        <w:rPr>
          <w:rFonts w:eastAsia="Times New Roman"/>
        </w:rPr>
      </w:pPr>
      <w:r>
        <w:rPr>
          <w:rFonts w:eastAsia="Times New Roman"/>
          <w:color w:val="000000"/>
          <w:sz w:val="20"/>
          <w:szCs w:val="20"/>
        </w:rPr>
        <w:t>•Our ability to continue to service the 2023 Notes, including making the ongoing interest payments on the 2023 Notes, settling exchanges of the 2023 Notes in cash or completing any required repurchase</w:t>
      </w:r>
      <w:r>
        <w:rPr>
          <w:rFonts w:eastAsia="Times New Roman"/>
          <w:color w:val="000000"/>
          <w:sz w:val="20"/>
          <w:szCs w:val="20"/>
        </w:rPr>
        <w:t xml:space="preserve">s of the 2023 Notes; </w:t>
      </w:r>
    </w:p>
    <w:p w:rsidR="00000000" w:rsidRDefault="0099260E">
      <w:pPr>
        <w:ind w:hanging="360"/>
        <w:jc w:val="both"/>
        <w:rPr>
          <w:rFonts w:eastAsia="Times New Roman"/>
        </w:rPr>
      </w:pPr>
      <w:r>
        <w:rPr>
          <w:rFonts w:eastAsia="Times New Roman"/>
          <w:color w:val="000000"/>
          <w:sz w:val="20"/>
          <w:szCs w:val="20"/>
        </w:rPr>
        <w:t>•The potential impact of COVID-19 on our business and future operating results;</w:t>
      </w:r>
    </w:p>
    <w:p w:rsidR="00000000" w:rsidRDefault="0099260E">
      <w:pPr>
        <w:ind w:hanging="360"/>
        <w:jc w:val="both"/>
        <w:rPr>
          <w:rFonts w:eastAsia="Times New Roman"/>
        </w:rPr>
      </w:pPr>
      <w:r>
        <w:rPr>
          <w:rFonts w:eastAsia="Times New Roman"/>
          <w:color w:val="000000"/>
          <w:sz w:val="20"/>
          <w:szCs w:val="20"/>
        </w:rPr>
        <w:t>•Our ability to hire and retain members of our management team and our employees; and</w:t>
      </w:r>
    </w:p>
    <w:p w:rsidR="00000000" w:rsidRDefault="0099260E">
      <w:pPr>
        <w:ind w:hanging="360"/>
        <w:jc w:val="both"/>
        <w:rPr>
          <w:rFonts w:eastAsia="Times New Roman"/>
        </w:rPr>
      </w:pPr>
      <w:r>
        <w:rPr>
          <w:rFonts w:eastAsia="Times New Roman"/>
          <w:color w:val="000000"/>
          <w:sz w:val="20"/>
          <w:szCs w:val="20"/>
        </w:rPr>
        <w:t>•Competition existing today or that will likely arise in the future.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These forward-looking statements are neither promises nor guarantees of future performance due to a variety of risks and uncertainties and other factors more fully discussed in the “Risk Factors” section in Part I, Item 1A of the Annual Report on Form 1</w:t>
      </w:r>
      <w:r>
        <w:rPr>
          <w:rFonts w:eastAsia="Times New Roman"/>
          <w:color w:val="000000"/>
          <w:sz w:val="20"/>
          <w:szCs w:val="20"/>
        </w:rPr>
        <w:t>0-K filed with the U.S. Securities and Exchange Commission (“SEC”) on March 9, 2021 and the risk factors and cautionary statements described in other documents that we file from time to time with the SEC. Given these uncertainties, readers should not place</w:t>
      </w:r>
      <w:r>
        <w:rPr>
          <w:rFonts w:eastAsia="Times New Roman"/>
          <w:color w:val="000000"/>
          <w:sz w:val="20"/>
          <w:szCs w:val="20"/>
        </w:rPr>
        <w:t xml:space="preserve"> undue reliance on our forward-looking statements. These forward-looking statements speak only as of the date on which the statements were made and are not guarantees of future performance. Except as required by law, we assume no obligation to update these</w:t>
      </w:r>
      <w:r>
        <w:rPr>
          <w:rFonts w:eastAsia="Times New Roman"/>
          <w:color w:val="000000"/>
          <w:sz w:val="20"/>
          <w:szCs w:val="20"/>
        </w:rPr>
        <w:t xml:space="preserve"> forward-looking statements publicly, or to revise any forward-looking statements to reflect events or developments occurring after the date of this Quarterly Report, even if new information becomes available in the future.</w:t>
      </w:r>
    </w:p>
    <w:p w:rsidR="00000000" w:rsidRDefault="0099260E">
      <w:pPr>
        <w:divId w:val="631716233"/>
        <w:rPr>
          <w:rFonts w:eastAsia="Times New Roman"/>
        </w:rPr>
      </w:pPr>
    </w:p>
    <w:p w:rsidR="00000000" w:rsidRDefault="0099260E">
      <w:pPr>
        <w:jc w:val="center"/>
        <w:divId w:val="1655327975"/>
        <w:rPr>
          <w:rFonts w:eastAsia="Times New Roman"/>
        </w:rPr>
      </w:pPr>
      <w:r>
        <w:rPr>
          <w:rFonts w:eastAsia="Times New Roman"/>
          <w:color w:val="000000"/>
          <w:sz w:val="20"/>
          <w:szCs w:val="20"/>
        </w:rPr>
        <w:t>- 3 -</w:t>
      </w:r>
    </w:p>
    <w:p w:rsidR="00000000" w:rsidRDefault="0099260E">
      <w:pPr>
        <w:rPr>
          <w:rFonts w:eastAsia="Times New Roman"/>
        </w:rPr>
      </w:pPr>
      <w:r>
        <w:rPr>
          <w:rFonts w:eastAsia="Times New Roman"/>
        </w:rPr>
        <w:pict>
          <v:rect id="_x0000_i1028" style="width:0;height:1.5pt" o:hralign="center" o:hrstd="t" o:hr="t" fillcolor="#a0a0a0" stroked="f"/>
        </w:pict>
      </w:r>
    </w:p>
    <w:p w:rsidR="00000000" w:rsidRDefault="0099260E">
      <w:pPr>
        <w:divId w:val="1840846881"/>
        <w:rPr>
          <w:rFonts w:eastAsia="Times New Roman"/>
        </w:rPr>
      </w:pPr>
    </w:p>
    <w:p w:rsidR="00000000" w:rsidRDefault="0099260E">
      <w:pPr>
        <w:jc w:val="center"/>
        <w:divId w:val="1848134887"/>
        <w:rPr>
          <w:rFonts w:eastAsia="Times New Roman"/>
        </w:rPr>
      </w:pPr>
      <w:r>
        <w:rPr>
          <w:rFonts w:eastAsia="Times New Roman"/>
          <w:b/>
          <w:bCs/>
          <w:color w:val="000000"/>
          <w:sz w:val="20"/>
          <w:szCs w:val="20"/>
        </w:rPr>
        <w:t>PART I – FINANCIAL INFORMATION </w:t>
      </w:r>
    </w:p>
    <w:p w:rsidR="00000000" w:rsidRDefault="0099260E">
      <w:pPr>
        <w:divId w:val="1359238636"/>
        <w:rPr>
          <w:rFonts w:eastAsia="Times New Roman"/>
        </w:rPr>
      </w:pPr>
      <w:r>
        <w:rPr>
          <w:rFonts w:eastAsia="Times New Roman"/>
          <w:b/>
          <w:bCs/>
          <w:color w:val="000000"/>
          <w:sz w:val="20"/>
          <w:szCs w:val="20"/>
        </w:rPr>
        <w:t>ITEM 1.      FINANCIAL STATEMENTS </w:t>
      </w:r>
    </w:p>
    <w:p w:rsidR="00000000" w:rsidRDefault="0099260E">
      <w:pPr>
        <w:jc w:val="center"/>
        <w:divId w:val="1320813714"/>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STATEMENTS OF (LOSS) INCOME</w:t>
      </w:r>
    </w:p>
    <w:p w:rsidR="00000000" w:rsidRDefault="0099260E">
      <w:pPr>
        <w:jc w:val="center"/>
        <w:rPr>
          <w:rFonts w:eastAsia="Times New Roman"/>
        </w:rPr>
      </w:pPr>
      <w:r>
        <w:rPr>
          <w:rFonts w:eastAsia="Times New Roman"/>
          <w:i/>
          <w:iCs/>
          <w:color w:val="000000"/>
          <w:sz w:val="20"/>
          <w:szCs w:val="20"/>
        </w:rPr>
        <w:t>(In thousands, except per share data)</w:t>
      </w:r>
    </w:p>
    <w:p w:rsidR="00000000" w:rsidRDefault="0099260E">
      <w:pPr>
        <w:jc w:val="center"/>
        <w:rPr>
          <w:rFonts w:eastAsia="Times New Roman"/>
        </w:rPr>
      </w:pPr>
      <w:r>
        <w:rPr>
          <w:rFonts w:eastAsia="Times New Roman"/>
          <w:i/>
          <w:iCs/>
          <w:color w:val="000000"/>
          <w:sz w:val="20"/>
          <w:szCs w:val="20"/>
        </w:rPr>
        <w:t>(Unaudited)</w:t>
      </w:r>
    </w:p>
    <w:p w:rsidR="00000000" w:rsidRDefault="0099260E">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258"/>
        <w:gridCol w:w="39"/>
        <w:gridCol w:w="36"/>
        <w:gridCol w:w="36"/>
        <w:gridCol w:w="36"/>
        <w:gridCol w:w="110"/>
        <w:gridCol w:w="988"/>
        <w:gridCol w:w="36"/>
        <w:gridCol w:w="36"/>
        <w:gridCol w:w="36"/>
        <w:gridCol w:w="36"/>
        <w:gridCol w:w="110"/>
        <w:gridCol w:w="988"/>
        <w:gridCol w:w="36"/>
        <w:gridCol w:w="36"/>
        <w:gridCol w:w="36"/>
        <w:gridCol w:w="36"/>
        <w:gridCol w:w="110"/>
        <w:gridCol w:w="988"/>
        <w:gridCol w:w="36"/>
        <w:gridCol w:w="36"/>
        <w:gridCol w:w="36"/>
        <w:gridCol w:w="36"/>
        <w:gridCol w:w="110"/>
        <w:gridCol w:w="989"/>
        <w:gridCol w:w="36"/>
      </w:tblGrid>
      <w:tr w:rsidR="00000000">
        <w:trPr>
          <w:jc w:val="center"/>
        </w:trPr>
        <w:tc>
          <w:tcPr>
            <w:tcW w:w="50" w:type="pct"/>
            <w:vAlign w:val="center"/>
            <w:hideMark/>
          </w:tcPr>
          <w:p w:rsidR="00000000" w:rsidRDefault="0099260E">
            <w:pPr>
              <w:jc w:val="center"/>
              <w:rPr>
                <w:rFonts w:eastAsia="Times New Roman"/>
              </w:rPr>
            </w:pPr>
          </w:p>
        </w:tc>
        <w:tc>
          <w:tcPr>
            <w:tcW w:w="199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lastRenderedPageBreak/>
              <w:t>Operating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4,380 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15,156 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Restructuring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(226)</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(62,410)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1,531 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(1,929)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(3,259)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(5,788)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(9,686)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(16,743)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(66,501)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Income tax benefit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(5,040)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w:t>
            </w:r>
            <w:r>
              <w:rPr>
                <w:rFonts w:eastAsia="Times New Roman"/>
                <w:color w:val="000000"/>
                <w:sz w:val="18"/>
                <w:szCs w:val="18"/>
              </w:rPr>
              <w:t>11,473)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(9,258)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(11,703)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(55,028)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(0.38)</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(0.94)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58,585 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58,213 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51,206 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58,585 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58,213 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58,506 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52,849 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divId w:val="951404949"/>
        <w:rPr>
          <w:rFonts w:eastAsia="Times New Roman"/>
        </w:rPr>
      </w:pPr>
      <w:r>
        <w:rPr>
          <w:rFonts w:eastAsia="Times New Roman"/>
          <w:i/>
          <w:iCs/>
          <w:color w:val="000000"/>
          <w:sz w:val="20"/>
          <w:szCs w:val="20"/>
        </w:rPr>
        <w:t> </w:t>
      </w:r>
    </w:p>
    <w:p w:rsidR="00000000" w:rsidRDefault="0099260E">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99260E">
      <w:pPr>
        <w:jc w:val="center"/>
        <w:divId w:val="2050834316"/>
        <w:rPr>
          <w:rFonts w:eastAsia="Times New Roman"/>
        </w:rPr>
      </w:pPr>
      <w:r>
        <w:rPr>
          <w:rFonts w:eastAsia="Times New Roman"/>
          <w:color w:val="000000"/>
          <w:sz w:val="20"/>
          <w:szCs w:val="20"/>
        </w:rPr>
        <w:t>- 4 -</w:t>
      </w:r>
    </w:p>
    <w:p w:rsidR="00000000" w:rsidRDefault="0099260E">
      <w:pPr>
        <w:rPr>
          <w:rFonts w:eastAsia="Times New Roman"/>
        </w:rPr>
      </w:pPr>
      <w:r>
        <w:rPr>
          <w:rFonts w:eastAsia="Times New Roman"/>
        </w:rPr>
        <w:pict>
          <v:rect id="_x0000_i1029" style="width:0;height:1.5pt" o:hralign="center" o:hrstd="t" o:hr="t" fillcolor="#a0a0a0" stroked="f"/>
        </w:pict>
      </w:r>
    </w:p>
    <w:p w:rsidR="00000000" w:rsidRDefault="0099260E">
      <w:pPr>
        <w:divId w:val="1494756082"/>
        <w:rPr>
          <w:rFonts w:eastAsia="Times New Roman"/>
        </w:rPr>
      </w:pPr>
    </w:p>
    <w:p w:rsidR="00000000" w:rsidRDefault="0099260E">
      <w:pPr>
        <w:jc w:val="center"/>
        <w:divId w:val="988170001"/>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STATEMENTS OF COMPREHENSIVE (LOSS) INCOME</w:t>
      </w:r>
    </w:p>
    <w:p w:rsidR="00000000" w:rsidRDefault="0099260E">
      <w:pPr>
        <w:jc w:val="center"/>
        <w:rPr>
          <w:rFonts w:eastAsia="Times New Roman"/>
        </w:rPr>
      </w:pPr>
      <w:r>
        <w:rPr>
          <w:rFonts w:eastAsia="Times New Roman"/>
          <w:i/>
          <w:iCs/>
          <w:color w:val="000000"/>
          <w:sz w:val="20"/>
          <w:szCs w:val="20"/>
        </w:rPr>
        <w:t>(In thousands)</w:t>
      </w:r>
    </w:p>
    <w:p w:rsidR="00000000" w:rsidRDefault="0099260E">
      <w:pPr>
        <w:jc w:val="center"/>
        <w:rPr>
          <w:rFonts w:eastAsia="Times New Roman"/>
        </w:rPr>
      </w:pPr>
      <w:r>
        <w:rPr>
          <w:rFonts w:eastAsia="Times New Roman"/>
          <w:i/>
          <w:iCs/>
          <w:color w:val="000000"/>
          <w:sz w:val="20"/>
          <w:szCs w:val="20"/>
        </w:rPr>
        <w:t>(Unaudited)</w:t>
      </w:r>
    </w:p>
    <w:p w:rsidR="00000000" w:rsidRDefault="0099260E">
      <w:pPr>
        <w:jc w:val="center"/>
        <w:rPr>
          <w:rFonts w:eastAsia="Times New Roman"/>
        </w:rPr>
      </w:pP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180"/>
        <w:gridCol w:w="37"/>
        <w:gridCol w:w="36"/>
        <w:gridCol w:w="36"/>
        <w:gridCol w:w="36"/>
        <w:gridCol w:w="110"/>
        <w:gridCol w:w="1029"/>
        <w:gridCol w:w="36"/>
        <w:gridCol w:w="36"/>
        <w:gridCol w:w="36"/>
        <w:gridCol w:w="36"/>
        <w:gridCol w:w="110"/>
        <w:gridCol w:w="1029"/>
        <w:gridCol w:w="36"/>
        <w:gridCol w:w="36"/>
        <w:gridCol w:w="36"/>
        <w:gridCol w:w="36"/>
        <w:gridCol w:w="110"/>
        <w:gridCol w:w="982"/>
        <w:gridCol w:w="36"/>
        <w:gridCol w:w="36"/>
        <w:gridCol w:w="36"/>
        <w:gridCol w:w="36"/>
        <w:gridCol w:w="110"/>
        <w:gridCol w:w="982"/>
        <w:gridCol w:w="36"/>
      </w:tblGrid>
      <w:tr w:rsidR="00000000">
        <w:trPr>
          <w:jc w:val="center"/>
        </w:trPr>
        <w:tc>
          <w:tcPr>
            <w:tcW w:w="50" w:type="pct"/>
            <w:vAlign w:val="center"/>
            <w:hideMark/>
          </w:tcPr>
          <w:p w:rsidR="00000000" w:rsidRDefault="0099260E">
            <w:pPr>
              <w:jc w:val="center"/>
              <w:rPr>
                <w:rFonts w:eastAsia="Times New Roman"/>
              </w:rPr>
            </w:pPr>
          </w:p>
        </w:tc>
        <w:tc>
          <w:tcPr>
            <w:tcW w:w="198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6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6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(11,703)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(55,028)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18,306 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lastRenderedPageBreak/>
              <w:t>Other comprehensive (loss) income, net of tax:</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Foreign currency translation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(839)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divId w:val="1668897825"/>
              <w:rPr>
                <w:rFonts w:eastAsia="Times New Roman"/>
              </w:rPr>
            </w:pPr>
            <w:r>
              <w:rPr>
                <w:rFonts w:eastAsia="Times New Roman"/>
                <w:color w:val="000000"/>
                <w:sz w:val="18"/>
                <w:szCs w:val="18"/>
              </w:rPr>
              <w:t>Net other comprehensive (loss) income, net of income tax (benefit) provision of $(59), $1, $(220) and $131, respectively</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(854)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349 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other comprehensive (loss) income, net of tax</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(11,103)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(56,721)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ind w:firstLine="720"/>
        <w:jc w:val="center"/>
        <w:rPr>
          <w:rFonts w:eastAsia="Times New Roman"/>
        </w:rPr>
      </w:pPr>
      <w:r>
        <w:rPr>
          <w:rFonts w:eastAsia="Times New Roman"/>
          <w:color w:val="000000"/>
          <w:sz w:val="20"/>
          <w:szCs w:val="20"/>
        </w:rPr>
        <w:t> </w:t>
      </w:r>
    </w:p>
    <w:p w:rsidR="00000000" w:rsidRDefault="0099260E">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99260E">
      <w:pPr>
        <w:jc w:val="center"/>
        <w:divId w:val="2142844597"/>
        <w:rPr>
          <w:rFonts w:eastAsia="Times New Roman"/>
        </w:rPr>
      </w:pPr>
      <w:r>
        <w:rPr>
          <w:rFonts w:eastAsia="Times New Roman"/>
          <w:color w:val="000000"/>
          <w:sz w:val="20"/>
          <w:szCs w:val="20"/>
        </w:rPr>
        <w:t>- 5 -</w:t>
      </w:r>
    </w:p>
    <w:p w:rsidR="00000000" w:rsidRDefault="0099260E">
      <w:pPr>
        <w:rPr>
          <w:rFonts w:eastAsia="Times New Roman"/>
        </w:rPr>
      </w:pPr>
      <w:r>
        <w:rPr>
          <w:rFonts w:eastAsia="Times New Roman"/>
        </w:rPr>
        <w:pict>
          <v:rect id="_x0000_i1030" style="width:0;height:1.5pt" o:hralign="center" o:hrstd="t" o:hr="t" fillcolor="#a0a0a0" stroked="f"/>
        </w:pict>
      </w:r>
    </w:p>
    <w:p w:rsidR="00000000" w:rsidRDefault="0099260E">
      <w:pPr>
        <w:divId w:val="1928690434"/>
        <w:rPr>
          <w:rFonts w:eastAsia="Times New Roman"/>
        </w:rPr>
      </w:pPr>
    </w:p>
    <w:p w:rsidR="00000000" w:rsidRDefault="0099260E">
      <w:pPr>
        <w:jc w:val="center"/>
        <w:divId w:val="1439637726"/>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BALANCE SHEETS</w:t>
      </w:r>
    </w:p>
    <w:p w:rsidR="00000000" w:rsidRDefault="0099260E">
      <w:pPr>
        <w:jc w:val="center"/>
        <w:rPr>
          <w:rFonts w:eastAsia="Times New Roman"/>
        </w:rPr>
      </w:pPr>
      <w:r>
        <w:rPr>
          <w:rFonts w:eastAsia="Times New Roman"/>
          <w:i/>
          <w:iCs/>
          <w:color w:val="000000"/>
          <w:sz w:val="20"/>
          <w:szCs w:val="20"/>
        </w:rPr>
        <w:t>(In thousands, except per share data)</w:t>
      </w:r>
    </w:p>
    <w:p w:rsidR="00000000" w:rsidRDefault="0099260E">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6"/>
        <w:gridCol w:w="36"/>
        <w:gridCol w:w="36"/>
        <w:gridCol w:w="36"/>
        <w:gridCol w:w="111"/>
        <w:gridCol w:w="1241"/>
        <w:gridCol w:w="36"/>
      </w:tblGrid>
      <w:tr w:rsidR="00000000">
        <w:trPr>
          <w:jc w:val="center"/>
        </w:trPr>
        <w:tc>
          <w:tcPr>
            <w:tcW w:w="50" w:type="pct"/>
            <w:vAlign w:val="center"/>
            <w:hideMark/>
          </w:tcPr>
          <w:p w:rsidR="00000000" w:rsidRDefault="0099260E">
            <w:pPr>
              <w:jc w:val="center"/>
              <w:rPr>
                <w:rFonts w:eastAsia="Times New Roman"/>
              </w:rPr>
            </w:pPr>
          </w:p>
        </w:tc>
        <w:tc>
          <w:tcPr>
            <w:tcW w:w="31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79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79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58,169 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122,924 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149,680 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2,493 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3,326 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22,234 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38,726 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205,820 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263,454 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2,070 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2,604 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961 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3,445 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38,098 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24,939 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264,089 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 xml:space="preserve">LIABILITIES AND SHAREHOLDERS’ EQUITY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vAlign w:val="center"/>
            <w:hideMark/>
          </w:tcPr>
          <w:p w:rsidR="00000000" w:rsidRDefault="0099260E">
            <w:pPr>
              <w:spacing w:after="100"/>
              <w:jc w:val="right"/>
              <w:rPr>
                <w:rFonts w:eastAsia="Times New Roman"/>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504 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6,874 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2,934 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8,738 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6,501 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142,086 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1,460 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1,840 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3,999 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4,212 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165,132 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99260E">
            <w:pPr>
              <w:spacing w:after="100"/>
              <w:divId w:val="1933928386"/>
              <w:rPr>
                <w:rFonts w:eastAsia="Times New Roman"/>
              </w:rPr>
            </w:pPr>
            <w:r>
              <w:rPr>
                <w:rFonts w:eastAsia="Times New Roman"/>
                <w:color w:val="000000"/>
                <w:sz w:val="18"/>
                <w:szCs w:val="18"/>
              </w:rPr>
              <w:t>Preferred shares, nominal value of $0.01 per share; 50,000 shares authorized; 488 issued and outstanding at September 30, 2021 and 488 issued and outstanding at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737509035"/>
              <w:rPr>
                <w:rFonts w:eastAsia="Times New Roman"/>
              </w:rPr>
            </w:pPr>
            <w:r>
              <w:rPr>
                <w:rFonts w:eastAsia="Times New Roman"/>
                <w:color w:val="000000"/>
                <w:sz w:val="18"/>
                <w:szCs w:val="18"/>
              </w:rPr>
              <w:t>Ordinary shares, nominal value of $0.01 per share; 500,000 shares authorized; 58,616 issued and outstanding at September 30, 2021 and 58,396 issued and outstanding at December 31,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546,565 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566,916 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(425,455)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(384,187)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(22,744)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(21,051)</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shareholders’ equity</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98,957 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liabilities and shareholders’ equity</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264,089 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ind w:firstLine="720"/>
        <w:jc w:val="center"/>
        <w:divId w:val="257907863"/>
        <w:rPr>
          <w:rFonts w:eastAsia="Times New Roman"/>
        </w:rPr>
      </w:pPr>
      <w:r>
        <w:rPr>
          <w:rFonts w:eastAsia="Times New Roman"/>
          <w:i/>
          <w:iCs/>
          <w:color w:val="000000"/>
          <w:sz w:val="20"/>
          <w:szCs w:val="20"/>
        </w:rPr>
        <w:t> See accompanying notes to unaudited condensed consolidated financial statements.</w:t>
      </w:r>
    </w:p>
    <w:p w:rsidR="00000000" w:rsidRDefault="0099260E">
      <w:pPr>
        <w:jc w:val="center"/>
        <w:divId w:val="1011953644"/>
        <w:rPr>
          <w:rFonts w:eastAsia="Times New Roman"/>
        </w:rPr>
      </w:pPr>
      <w:r>
        <w:rPr>
          <w:rFonts w:eastAsia="Times New Roman"/>
          <w:color w:val="000000"/>
          <w:sz w:val="20"/>
          <w:szCs w:val="20"/>
        </w:rPr>
        <w:t>- 6 -</w:t>
      </w:r>
    </w:p>
    <w:p w:rsidR="00000000" w:rsidRDefault="0099260E">
      <w:pPr>
        <w:rPr>
          <w:rFonts w:eastAsia="Times New Roman"/>
        </w:rPr>
      </w:pPr>
      <w:r>
        <w:rPr>
          <w:rFonts w:eastAsia="Times New Roman"/>
        </w:rPr>
        <w:pict>
          <v:rect id="_x0000_i1031" style="width:0;height:1.5pt" o:hralign="center" o:hrstd="t" o:hr="t" fillcolor="#a0a0a0" stroked="f"/>
        </w:pict>
      </w:r>
    </w:p>
    <w:p w:rsidR="00000000" w:rsidRDefault="0099260E">
      <w:pPr>
        <w:divId w:val="1778676769"/>
        <w:rPr>
          <w:rFonts w:eastAsia="Times New Roman"/>
        </w:rPr>
      </w:pPr>
    </w:p>
    <w:p w:rsidR="00000000" w:rsidRDefault="0099260E">
      <w:pPr>
        <w:jc w:val="center"/>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STATEMENTS OF SHAREHOLDERS’ EQUITY</w:t>
      </w:r>
    </w:p>
    <w:p w:rsidR="00000000" w:rsidRDefault="0099260E">
      <w:pPr>
        <w:jc w:val="center"/>
        <w:rPr>
          <w:rFonts w:eastAsia="Times New Roman"/>
        </w:rPr>
      </w:pPr>
      <w:r>
        <w:rPr>
          <w:rFonts w:eastAsia="Times New Roman"/>
          <w:i/>
          <w:iCs/>
          <w:color w:val="000000"/>
          <w:sz w:val="20"/>
          <w:szCs w:val="20"/>
        </w:rPr>
        <w:t>(In thousands)</w:t>
      </w:r>
    </w:p>
    <w:p w:rsidR="00000000" w:rsidRDefault="0099260E">
      <w:pPr>
        <w:jc w:val="center"/>
        <w:rPr>
          <w:rFonts w:eastAsia="Times New Roman"/>
        </w:rPr>
      </w:pPr>
      <w:r>
        <w:rPr>
          <w:rFonts w:eastAsia="Times New Roman"/>
          <w:i/>
          <w:iCs/>
          <w:color w:val="000000"/>
          <w:sz w:val="20"/>
          <w:szCs w:val="20"/>
        </w:rPr>
        <w:t>(unaudited)</w:t>
      </w:r>
    </w:p>
    <w:p w:rsidR="00000000" w:rsidRDefault="0099260E">
      <w:pPr>
        <w:divId w:val="105852294"/>
        <w:rPr>
          <w:rFonts w:eastAsia="Times New Roman"/>
        </w:rPr>
      </w:pPr>
    </w:p>
    <w:p w:rsidR="00000000" w:rsidRDefault="0099260E">
      <w:pPr>
        <w:jc w:val="center"/>
        <w:rPr>
          <w:rFonts w:eastAsia="Times New Roman"/>
        </w:rPr>
      </w:pPr>
      <w:r>
        <w:rPr>
          <w:rFonts w:eastAsia="Times New Roman"/>
          <w:b/>
          <w:bCs/>
          <w:color w:val="000000"/>
          <w:sz w:val="20"/>
          <w:szCs w:val="20"/>
        </w:rPr>
        <w:t xml:space="preserve">Nine Months Ended September 30, 2021 </w:t>
      </w:r>
    </w:p>
    <w:tbl>
      <w:tblPr>
        <w:tblW w:w="4972" w:type="pct"/>
        <w:jc w:val="center"/>
        <w:tblCellMar>
          <w:top w:w="15" w:type="dxa"/>
          <w:left w:w="15" w:type="dxa"/>
          <w:bottom w:w="15" w:type="dxa"/>
          <w:right w:w="15" w:type="dxa"/>
        </w:tblCellMar>
        <w:tblLook w:val="04A0" w:firstRow="1" w:lastRow="0" w:firstColumn="1" w:lastColumn="0" w:noHBand="0" w:noVBand="1"/>
      </w:tblPr>
      <w:tblGrid>
        <w:gridCol w:w="64"/>
        <w:gridCol w:w="1196"/>
        <w:gridCol w:w="37"/>
        <w:gridCol w:w="36"/>
        <w:gridCol w:w="36"/>
        <w:gridCol w:w="36"/>
        <w:gridCol w:w="60"/>
        <w:gridCol w:w="496"/>
        <w:gridCol w:w="37"/>
        <w:gridCol w:w="37"/>
        <w:gridCol w:w="37"/>
        <w:gridCol w:w="37"/>
        <w:gridCol w:w="111"/>
        <w:gridCol w:w="593"/>
        <w:gridCol w:w="36"/>
        <w:gridCol w:w="36"/>
        <w:gridCol w:w="36"/>
        <w:gridCol w:w="36"/>
        <w:gridCol w:w="60"/>
        <w:gridCol w:w="496"/>
        <w:gridCol w:w="37"/>
        <w:gridCol w:w="36"/>
        <w:gridCol w:w="36"/>
        <w:gridCol w:w="36"/>
        <w:gridCol w:w="111"/>
        <w:gridCol w:w="593"/>
        <w:gridCol w:w="36"/>
        <w:gridCol w:w="36"/>
        <w:gridCol w:w="36"/>
        <w:gridCol w:w="36"/>
        <w:gridCol w:w="111"/>
        <w:gridCol w:w="760"/>
        <w:gridCol w:w="36"/>
        <w:gridCol w:w="36"/>
        <w:gridCol w:w="36"/>
        <w:gridCol w:w="36"/>
        <w:gridCol w:w="113"/>
        <w:gridCol w:w="936"/>
        <w:gridCol w:w="36"/>
        <w:gridCol w:w="36"/>
        <w:gridCol w:w="36"/>
        <w:gridCol w:w="36"/>
        <w:gridCol w:w="126"/>
        <w:gridCol w:w="1052"/>
        <w:gridCol w:w="36"/>
        <w:gridCol w:w="36"/>
        <w:gridCol w:w="36"/>
        <w:gridCol w:w="36"/>
        <w:gridCol w:w="116"/>
        <w:gridCol w:w="963"/>
        <w:gridCol w:w="36"/>
      </w:tblGrid>
      <w:tr w:rsidR="00000000">
        <w:trPr>
          <w:jc w:val="center"/>
        </w:trPr>
        <w:tc>
          <w:tcPr>
            <w:tcW w:w="50" w:type="pct"/>
            <w:vAlign w:val="center"/>
            <w:hideMark/>
          </w:tcPr>
          <w:p w:rsidR="00000000" w:rsidRDefault="0099260E">
            <w:pPr>
              <w:jc w:val="center"/>
              <w:rPr>
                <w:rFonts w:eastAsia="Times New Roman"/>
              </w:rPr>
            </w:pPr>
          </w:p>
        </w:tc>
        <w:tc>
          <w:tcPr>
            <w:tcW w:w="9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t>equity</w:t>
            </w: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Impact of the adoption of ASU 2020-0</w:t>
            </w: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w:t>
            </w: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542,093 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(383,872)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2,001 </w:t>
            </w:r>
          </w:p>
        </w:tc>
        <w:tc>
          <w:tcPr>
            <w:tcW w:w="0" w:type="auto"/>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Balance, June 30, 2021</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544,094 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(403,453)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2,359 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2,359 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Balance, September 30, 2021</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58,616 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546,565 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(425,455)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98,957 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bl>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rPr>
          <w:rFonts w:eastAsia="Times New Roman"/>
        </w:rPr>
      </w:pPr>
    </w:p>
    <w:p w:rsidR="00000000" w:rsidRDefault="0099260E">
      <w:pPr>
        <w:jc w:val="center"/>
        <w:divId w:val="361322515"/>
        <w:rPr>
          <w:rFonts w:eastAsia="Times New Roman"/>
        </w:rPr>
      </w:pPr>
      <w:r>
        <w:rPr>
          <w:rFonts w:eastAsia="Times New Roman"/>
          <w:color w:val="000000"/>
          <w:sz w:val="20"/>
          <w:szCs w:val="20"/>
        </w:rPr>
        <w:t>- 7 -</w:t>
      </w:r>
    </w:p>
    <w:p w:rsidR="00000000" w:rsidRDefault="0099260E">
      <w:pPr>
        <w:rPr>
          <w:rFonts w:eastAsia="Times New Roman"/>
        </w:rPr>
      </w:pPr>
      <w:r>
        <w:rPr>
          <w:rFonts w:eastAsia="Times New Roman"/>
        </w:rPr>
        <w:pict>
          <v:rect id="_x0000_i1032" style="width:0;height:1.5pt" o:hralign="center" o:hrstd="t" o:hr="t" fillcolor="#a0a0a0" stroked="f"/>
        </w:pict>
      </w:r>
    </w:p>
    <w:p w:rsidR="00000000" w:rsidRDefault="0099260E">
      <w:pPr>
        <w:divId w:val="165947416"/>
        <w:rPr>
          <w:rFonts w:eastAsia="Times New Roman"/>
        </w:rPr>
      </w:pPr>
    </w:p>
    <w:p w:rsidR="00000000" w:rsidRDefault="0099260E">
      <w:pPr>
        <w:jc w:val="center"/>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STATEMENTS OF SHAREHOLDERS’ EQUITY</w:t>
      </w:r>
    </w:p>
    <w:p w:rsidR="00000000" w:rsidRDefault="0099260E">
      <w:pPr>
        <w:jc w:val="center"/>
        <w:rPr>
          <w:rFonts w:eastAsia="Times New Roman"/>
        </w:rPr>
      </w:pPr>
      <w:r>
        <w:rPr>
          <w:rFonts w:eastAsia="Times New Roman"/>
          <w:i/>
          <w:iCs/>
          <w:color w:val="000000"/>
          <w:sz w:val="20"/>
          <w:szCs w:val="20"/>
        </w:rPr>
        <w:t>(In thousands)</w:t>
      </w:r>
    </w:p>
    <w:p w:rsidR="00000000" w:rsidRDefault="0099260E">
      <w:pPr>
        <w:jc w:val="center"/>
        <w:rPr>
          <w:rFonts w:eastAsia="Times New Roman"/>
        </w:rPr>
      </w:pPr>
      <w:r>
        <w:rPr>
          <w:rFonts w:eastAsia="Times New Roman"/>
          <w:i/>
          <w:iCs/>
          <w:color w:val="000000"/>
          <w:sz w:val="20"/>
          <w:szCs w:val="20"/>
        </w:rPr>
        <w:t>(unaudited)</w:t>
      </w:r>
    </w:p>
    <w:p w:rsidR="00000000" w:rsidRDefault="0099260E">
      <w:pPr>
        <w:jc w:val="center"/>
        <w:rPr>
          <w:rFonts w:eastAsia="Times New Roman"/>
        </w:rPr>
      </w:pPr>
    </w:p>
    <w:p w:rsidR="00000000" w:rsidRDefault="0099260E">
      <w:pPr>
        <w:jc w:val="center"/>
        <w:rPr>
          <w:rFonts w:eastAsia="Times New Roman"/>
        </w:rPr>
      </w:pPr>
      <w:r>
        <w:rPr>
          <w:rFonts w:eastAsia="Times New Roman"/>
          <w:b/>
          <w:bCs/>
          <w:color w:val="000000"/>
          <w:sz w:val="20"/>
          <w:szCs w:val="20"/>
        </w:rPr>
        <w:t xml:space="preserve">Nine Months Ended September 30,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1066"/>
        <w:gridCol w:w="37"/>
        <w:gridCol w:w="36"/>
        <w:gridCol w:w="36"/>
        <w:gridCol w:w="36"/>
        <w:gridCol w:w="68"/>
        <w:gridCol w:w="429"/>
        <w:gridCol w:w="37"/>
        <w:gridCol w:w="37"/>
        <w:gridCol w:w="36"/>
        <w:gridCol w:w="36"/>
        <w:gridCol w:w="101"/>
        <w:gridCol w:w="512"/>
        <w:gridCol w:w="36"/>
        <w:gridCol w:w="36"/>
        <w:gridCol w:w="36"/>
        <w:gridCol w:w="36"/>
        <w:gridCol w:w="68"/>
        <w:gridCol w:w="429"/>
        <w:gridCol w:w="37"/>
        <w:gridCol w:w="36"/>
        <w:gridCol w:w="36"/>
        <w:gridCol w:w="36"/>
        <w:gridCol w:w="101"/>
        <w:gridCol w:w="512"/>
        <w:gridCol w:w="36"/>
        <w:gridCol w:w="36"/>
        <w:gridCol w:w="36"/>
        <w:gridCol w:w="36"/>
        <w:gridCol w:w="101"/>
        <w:gridCol w:w="663"/>
        <w:gridCol w:w="36"/>
        <w:gridCol w:w="36"/>
        <w:gridCol w:w="36"/>
        <w:gridCol w:w="36"/>
        <w:gridCol w:w="117"/>
        <w:gridCol w:w="819"/>
        <w:gridCol w:w="36"/>
        <w:gridCol w:w="36"/>
        <w:gridCol w:w="36"/>
        <w:gridCol w:w="36"/>
        <w:gridCol w:w="115"/>
        <w:gridCol w:w="937"/>
        <w:gridCol w:w="36"/>
        <w:gridCol w:w="36"/>
        <w:gridCol w:w="36"/>
        <w:gridCol w:w="36"/>
        <w:gridCol w:w="64"/>
        <w:gridCol w:w="433"/>
        <w:gridCol w:w="36"/>
        <w:gridCol w:w="36"/>
        <w:gridCol w:w="36"/>
        <w:gridCol w:w="36"/>
        <w:gridCol w:w="100"/>
        <w:gridCol w:w="547"/>
        <w:gridCol w:w="36"/>
        <w:gridCol w:w="36"/>
        <w:gridCol w:w="36"/>
        <w:gridCol w:w="36"/>
        <w:gridCol w:w="129"/>
        <w:gridCol w:w="845"/>
        <w:gridCol w:w="36"/>
      </w:tblGrid>
      <w:tr w:rsidR="00000000">
        <w:trPr>
          <w:jc w:val="center"/>
        </w:trPr>
        <w:tc>
          <w:tcPr>
            <w:tcW w:w="50" w:type="pct"/>
            <w:vAlign w:val="center"/>
            <w:hideMark/>
          </w:tcPr>
          <w:p w:rsidR="00000000" w:rsidRDefault="0099260E">
            <w:pPr>
              <w:jc w:val="center"/>
              <w:rPr>
                <w:rFonts w:eastAsia="Times New Roman"/>
              </w:rPr>
            </w:pPr>
          </w:p>
        </w:tc>
        <w:tc>
          <w:tcPr>
            <w:tcW w:w="75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5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1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4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32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Ordinary shares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Preferred shares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Additional paid-in</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Accumulated</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Treasury shares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 (deficit)</w:t>
            </w: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capital</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deficit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loss</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 xml:space="preserve">equity </w:t>
            </w:r>
          </w:p>
        </w:tc>
        <w:tc>
          <w:tcPr>
            <w:tcW w:w="0" w:type="auto"/>
            <w:vAlign w:val="center"/>
            <w:hideMark/>
          </w:tcPr>
          <w:p w:rsidR="00000000" w:rsidRDefault="0099260E">
            <w:pPr>
              <w:spacing w:after="100"/>
              <w:rPr>
                <w:rFonts w:eastAsia="Times New Roman"/>
                <w:sz w:val="20"/>
                <w:szCs w:val="20"/>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434,391 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(391,215)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(22,806)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(865)</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(865)</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(821)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(821)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146 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1,387 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1,389 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8,680 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488 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60,641 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60,733 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742 </w:t>
            </w:r>
          </w:p>
        </w:tc>
        <w:tc>
          <w:tcPr>
            <w:tcW w:w="0" w:type="auto"/>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742 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Balance, March 31,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51,812 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497,249 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(392,080)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(23,627)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30,874 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30,874 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1,109 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1,109 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392 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393 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11,630 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116,858 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116,974 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Balance, June 30,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63,537 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615,207 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(361,206)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(22,518)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182,125 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(11,703)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(11,703)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Retirement of treasury shares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(49,944)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49,998 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99260E">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Balance, September 30,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58,243 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565,440 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(372,909)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(21,918)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171,200 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2"/>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bl>
    <w:p w:rsidR="00000000" w:rsidRDefault="0099260E">
      <w:pPr>
        <w:jc w:val="center"/>
        <w:rPr>
          <w:rFonts w:eastAsia="Times New Roman"/>
        </w:rPr>
      </w:pPr>
    </w:p>
    <w:p w:rsidR="00000000" w:rsidRDefault="0099260E">
      <w:pPr>
        <w:jc w:val="center"/>
        <w:divId w:val="639530850"/>
        <w:rPr>
          <w:rFonts w:eastAsia="Times New Roman"/>
        </w:rPr>
      </w:pPr>
      <w:r>
        <w:rPr>
          <w:rFonts w:eastAsia="Times New Roman"/>
          <w:color w:val="000000"/>
          <w:sz w:val="20"/>
          <w:szCs w:val="20"/>
        </w:rPr>
        <w:t>- 8 -</w:t>
      </w:r>
    </w:p>
    <w:p w:rsidR="00000000" w:rsidRDefault="0099260E">
      <w:pPr>
        <w:rPr>
          <w:rFonts w:eastAsia="Times New Roman"/>
        </w:rPr>
      </w:pPr>
      <w:r>
        <w:rPr>
          <w:rFonts w:eastAsia="Times New Roman"/>
        </w:rPr>
        <w:pict>
          <v:rect id="_x0000_i1033" style="width:0;height:1.5pt" o:hralign="center" o:hrstd="t" o:hr="t" fillcolor="#a0a0a0" stroked="f"/>
        </w:pict>
      </w:r>
    </w:p>
    <w:p w:rsidR="00000000" w:rsidRDefault="0099260E">
      <w:pPr>
        <w:divId w:val="1854803278"/>
        <w:rPr>
          <w:rFonts w:eastAsia="Times New Roman"/>
        </w:rPr>
      </w:pPr>
    </w:p>
    <w:p w:rsidR="00000000" w:rsidRDefault="0099260E">
      <w:pPr>
        <w:jc w:val="center"/>
        <w:divId w:val="1949966157"/>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CONDENSED CONSOLIDATED STATEMENTS OF CASH FLOWS</w:t>
      </w:r>
    </w:p>
    <w:p w:rsidR="00000000" w:rsidRDefault="0099260E">
      <w:pPr>
        <w:jc w:val="center"/>
        <w:rPr>
          <w:rFonts w:eastAsia="Times New Roman"/>
        </w:rPr>
      </w:pPr>
      <w:r>
        <w:rPr>
          <w:rFonts w:eastAsia="Times New Roman"/>
          <w:i/>
          <w:iCs/>
          <w:color w:val="000000"/>
          <w:sz w:val="16"/>
          <w:szCs w:val="16"/>
        </w:rPr>
        <w:t>(In thousands)</w:t>
      </w:r>
      <w:r>
        <w:rPr>
          <w:rFonts w:eastAsia="Times New Roman"/>
          <w:color w:val="000000"/>
          <w:sz w:val="16"/>
          <w:szCs w:val="16"/>
        </w:rPr>
        <w:t> </w:t>
      </w:r>
    </w:p>
    <w:p w:rsidR="00000000" w:rsidRDefault="0099260E">
      <w:pPr>
        <w:jc w:val="center"/>
        <w:rPr>
          <w:rFonts w:eastAsia="Times New Roman"/>
        </w:rPr>
      </w:pPr>
      <w:r>
        <w:rPr>
          <w:rFonts w:eastAsia="Times New Roman"/>
          <w:i/>
          <w:iCs/>
          <w:color w:val="000000"/>
          <w:sz w:val="16"/>
          <w:szCs w:val="16"/>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4"/>
        <w:gridCol w:w="5602"/>
        <w:gridCol w:w="39"/>
        <w:gridCol w:w="36"/>
        <w:gridCol w:w="36"/>
        <w:gridCol w:w="36"/>
        <w:gridCol w:w="100"/>
        <w:gridCol w:w="1053"/>
        <w:gridCol w:w="36"/>
        <w:gridCol w:w="36"/>
        <w:gridCol w:w="36"/>
        <w:gridCol w:w="36"/>
        <w:gridCol w:w="101"/>
        <w:gridCol w:w="1054"/>
        <w:gridCol w:w="36"/>
      </w:tblGrid>
      <w:tr w:rsidR="00000000">
        <w:trPr>
          <w:jc w:val="center"/>
        </w:trPr>
        <w:tc>
          <w:tcPr>
            <w:tcW w:w="50" w:type="pct"/>
            <w:vAlign w:val="center"/>
            <w:hideMark/>
          </w:tcPr>
          <w:p w:rsidR="00000000" w:rsidRDefault="0099260E">
            <w:pPr>
              <w:jc w:val="center"/>
              <w:rPr>
                <w:rFonts w:eastAsia="Times New Roman"/>
              </w:rPr>
            </w:pPr>
          </w:p>
        </w:tc>
        <w:tc>
          <w:tcPr>
            <w:tcW w:w="340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7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7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6"/>
                <w:szCs w:val="16"/>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6"/>
                <w:szCs w:val="16"/>
              </w:rPr>
              <w:t>(55,028)</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6"/>
                <w:szCs w:val="16"/>
              </w:rPr>
              <w:t>18,306 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Adjustments to reconcile net (loss) income to 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614 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1,297 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3,327 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435 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937 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4,835 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Change in deferred taxes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(11,322)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(4,582)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6,088 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1,705 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Gain from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(45,760)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Gain from the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(166)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Other adjustments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1,056 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changes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8,281 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Inventories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(1,352)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1,759 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Research and development tax credit receivable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3,079 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2,036 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Accounts payable &amp;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(201)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(4,051)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2,421 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(6,625)</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(5,323)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(866)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Other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(2,228)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(3,337)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(54,804)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(29,609)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16,500 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17,250 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Proceeds from sales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83,726 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30,075 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Purchases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(58,591)</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(124,254)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cash provided by (used in) investing activities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41,609 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(76,962)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Proceeds from the February 2020 private placement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60,570 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Proceeds from the May 2020 public offering</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116,924 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Proceeds from stock option exercises and employee stock purchase plan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2,006 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cash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179,500 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(621)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406 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16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Net change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(13,553)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73,335 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Cash and cash equivalents at January 1,</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71,722 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9,774 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Cash and cash equivalents at September 30,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58,169 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83,109 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Supplemental disclosures of cash flow information:</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Interest paid</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6,469 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6,469 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6"/>
                <w:szCs w:val="16"/>
              </w:rPr>
              <w:t>     Income taxes paid (refund)</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6"/>
                <w:szCs w:val="16"/>
              </w:rPr>
              <w:t>(1,788)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center"/>
        <w:rPr>
          <w:rFonts w:eastAsia="Times New Roman"/>
        </w:rPr>
      </w:pPr>
      <w:r>
        <w:rPr>
          <w:rFonts w:eastAsia="Times New Roman"/>
          <w:i/>
          <w:iCs/>
          <w:color w:val="000000"/>
          <w:sz w:val="16"/>
          <w:szCs w:val="16"/>
        </w:rPr>
        <w:t>See accompanying notes to unaudited condensed consolidated financial statements</w:t>
      </w:r>
    </w:p>
    <w:p w:rsidR="00000000" w:rsidRDefault="0099260E">
      <w:pPr>
        <w:jc w:val="center"/>
        <w:divId w:val="1129785706"/>
        <w:rPr>
          <w:rFonts w:eastAsia="Times New Roman"/>
        </w:rPr>
      </w:pPr>
      <w:r>
        <w:rPr>
          <w:rFonts w:eastAsia="Times New Roman"/>
          <w:color w:val="000000"/>
          <w:sz w:val="20"/>
          <w:szCs w:val="20"/>
        </w:rPr>
        <w:t>- 9 -</w:t>
      </w:r>
    </w:p>
    <w:p w:rsidR="00000000" w:rsidRDefault="0099260E">
      <w:pPr>
        <w:rPr>
          <w:rFonts w:eastAsia="Times New Roman"/>
        </w:rPr>
      </w:pPr>
      <w:r>
        <w:rPr>
          <w:rFonts w:eastAsia="Times New Roman"/>
        </w:rPr>
        <w:pict>
          <v:rect id="_x0000_i1034" style="width:0;height:1.5pt" o:hralign="center" o:hrstd="t" o:hr="t" fillcolor="#a0a0a0" stroked="f"/>
        </w:pict>
      </w:r>
    </w:p>
    <w:p w:rsidR="00000000" w:rsidRDefault="0099260E">
      <w:pPr>
        <w:divId w:val="1647933369"/>
        <w:rPr>
          <w:rFonts w:eastAsia="Times New Roman"/>
        </w:rPr>
      </w:pPr>
    </w:p>
    <w:p w:rsidR="00000000" w:rsidRDefault="0099260E">
      <w:pPr>
        <w:jc w:val="center"/>
        <w:divId w:val="935676950"/>
        <w:rPr>
          <w:rFonts w:eastAsia="Times New Roman"/>
        </w:rPr>
      </w:pPr>
      <w:r>
        <w:rPr>
          <w:rFonts w:eastAsia="Times New Roman"/>
          <w:b/>
          <w:bCs/>
          <w:color w:val="000000"/>
          <w:sz w:val="20"/>
          <w:szCs w:val="20"/>
        </w:rPr>
        <w:t>AVADEL PHARMACEUTICALS PLC</w:t>
      </w:r>
    </w:p>
    <w:p w:rsidR="00000000" w:rsidRDefault="0099260E">
      <w:pPr>
        <w:jc w:val="center"/>
        <w:rPr>
          <w:rFonts w:eastAsia="Times New Roman"/>
        </w:rPr>
      </w:pPr>
      <w:r>
        <w:rPr>
          <w:rFonts w:eastAsia="Times New Roman"/>
          <w:b/>
          <w:bCs/>
          <w:color w:val="000000"/>
          <w:sz w:val="20"/>
          <w:szCs w:val="20"/>
        </w:rPr>
        <w:t>NOTES TO THE UNAUDITED CONDENSED CONSOLIDATED FINANCIAL STATEMENTS</w:t>
      </w:r>
    </w:p>
    <w:p w:rsidR="00000000" w:rsidRDefault="0099260E">
      <w:pPr>
        <w:jc w:val="center"/>
        <w:rPr>
          <w:rFonts w:eastAsia="Times New Roman"/>
        </w:rPr>
      </w:pPr>
      <w:r>
        <w:rPr>
          <w:rFonts w:eastAsia="Times New Roman"/>
          <w:i/>
          <w:iCs/>
          <w:color w:val="000000"/>
          <w:sz w:val="20"/>
          <w:szCs w:val="20"/>
        </w:rPr>
        <w:t>(In thousands, except per share data) </w:t>
      </w:r>
    </w:p>
    <w:p w:rsidR="00000000" w:rsidRDefault="0099260E">
      <w:pPr>
        <w:jc w:val="both"/>
        <w:divId w:val="2114324483"/>
        <w:rPr>
          <w:rFonts w:eastAsia="Times New Roman"/>
        </w:rPr>
      </w:pPr>
    </w:p>
    <w:p w:rsidR="00000000" w:rsidRDefault="0099260E">
      <w:pPr>
        <w:jc w:val="both"/>
        <w:divId w:val="1484808158"/>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99260E">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Pharmaceuticals plc (Nasdaq: AVDL) (“Avadel,” the “Company,” “we,” “our,” or “us”) is a biopharmaceutical company. We are registered as an Irish public limited company. Our headquarte</w:t>
      </w:r>
      <w:r>
        <w:rPr>
          <w:rFonts w:eastAsia="Times New Roman"/>
          <w:color w:val="000000"/>
          <w:sz w:val="20"/>
          <w:szCs w:val="20"/>
        </w:rPr>
        <w:t>rs are in Dublin, Ireland and we have operations in St. Louis, Missouri, United States.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Our lead product candidate, FT218, is an investigational once-nightly, extended-release formulation of sodium oxybate for the treatment of excessive daytime sleepines</w:t>
      </w:r>
      <w:r>
        <w:rPr>
          <w:rFonts w:eastAsia="Times New Roman"/>
          <w:color w:val="000000"/>
          <w:sz w:val="20"/>
          <w:szCs w:val="20"/>
        </w:rPr>
        <w:t>s (“EDS”) and cataplexy in adults with narcolepsy. We are primarily focused on the development and potential United States (“U.S.”) Food and Drug Administration (“FDA”) approval of FT218. In December 2020, we submitted a New Drug Application (“NDA”) to the</w:t>
      </w:r>
      <w:r>
        <w:rPr>
          <w:rFonts w:eastAsia="Times New Roman"/>
          <w:color w:val="000000"/>
          <w:sz w:val="20"/>
          <w:szCs w:val="20"/>
        </w:rPr>
        <w:t xml:space="preserve"> FDA for FT218 to treat excessive daytime sleepiness and cataplexy in adults with narcolepsy. In February 2021, the NDA for FT218 was accepted by the FDA and was assigned a Prescription Drug User Fee Act (“PDUFA”) target action date of October 15, 2021. On</w:t>
      </w:r>
      <w:r>
        <w:rPr>
          <w:rFonts w:eastAsia="Times New Roman"/>
          <w:color w:val="000000"/>
          <w:sz w:val="20"/>
          <w:szCs w:val="20"/>
        </w:rPr>
        <w:t xml:space="preserve"> October 15, 2021, we announced that the FDA informed us that the review of our NDA for FT218 was ongoing beyond its previously assigned target action date. </w:t>
      </w:r>
    </w:p>
    <w:p w:rsidR="00000000" w:rsidRDefault="0099260E">
      <w:pPr>
        <w:divId w:val="1881938423"/>
        <w:rPr>
          <w:rFonts w:eastAsia="Times New Roman"/>
        </w:rPr>
      </w:pPr>
    </w:p>
    <w:p w:rsidR="00000000" w:rsidRDefault="0099260E">
      <w:pPr>
        <w:jc w:val="both"/>
        <w:rPr>
          <w:rFonts w:eastAsia="Times New Roman"/>
        </w:rPr>
      </w:pPr>
      <w:r>
        <w:rPr>
          <w:rFonts w:eastAsia="Times New Roman"/>
          <w:color w:val="000000"/>
          <w:sz w:val="20"/>
          <w:szCs w:val="20"/>
        </w:rPr>
        <w:t>Outside of our lead product candidate, we continue to evaluate opportunities to expand our produ</w:t>
      </w:r>
      <w:r>
        <w:rPr>
          <w:rFonts w:eastAsia="Times New Roman"/>
          <w:color w:val="000000"/>
          <w:sz w:val="20"/>
          <w:szCs w:val="20"/>
        </w:rPr>
        <w:t>ct portfolio. As of September 30, 2021, we do not have any approved or commercialized products in our portfolio.</w:t>
      </w:r>
    </w:p>
    <w:p w:rsidR="00000000" w:rsidRDefault="0099260E">
      <w:pPr>
        <w:jc w:val="both"/>
        <w:rPr>
          <w:rFonts w:eastAsia="Times New Roman"/>
        </w:rPr>
      </w:pPr>
    </w:p>
    <w:p w:rsidR="00000000" w:rsidRDefault="0099260E">
      <w:pPr>
        <w:jc w:val="both"/>
        <w:divId w:val="986935582"/>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September 30, 2021, which is derived from the prior year 2020</w:t>
      </w:r>
      <w:r>
        <w:rPr>
          <w:rFonts w:eastAsia="Times New Roman"/>
          <w:color w:val="000000"/>
          <w:sz w:val="20"/>
          <w:szCs w:val="20"/>
        </w:rPr>
        <w:t xml:space="preserve"> audited consolidated financial statements, and the interim unaudited condensed consolidated financial statements presented herein, have been prepared in accordance with accounting principles generally accepted in the U.S. (U.S. GAAP), the requirements of </w:t>
      </w:r>
      <w:r>
        <w:rPr>
          <w:rFonts w:eastAsia="Times New Roman"/>
          <w:color w:val="000000"/>
          <w:sz w:val="20"/>
          <w:szCs w:val="20"/>
        </w:rPr>
        <w:t>Form 10-Q and Article 10 of Regulation S-X and, consequently, do not include all information or footnotes required by U.S. GAAP for complete financial statements or all the disclosures normally made in an Annual Report on Form 10-K. Accordingly, the unaudi</w:t>
      </w:r>
      <w:r>
        <w:rPr>
          <w:rFonts w:eastAsia="Times New Roman"/>
          <w:color w:val="000000"/>
          <w:sz w:val="20"/>
          <w:szCs w:val="20"/>
        </w:rPr>
        <w:t>ted condensed consolidated financial statements included herein should be read in conjunction with the audited consolidated financial statements and footnotes included in the Company’s 2020 Annual Report on Form 10-K filed with the SEC on March 9, 2021.</w:t>
      </w:r>
    </w:p>
    <w:p w:rsidR="00000000" w:rsidRDefault="0099260E">
      <w:pPr>
        <w:jc w:val="both"/>
        <w:rPr>
          <w:rFonts w:eastAsia="Times New Roman"/>
        </w:rPr>
      </w:pPr>
      <w:r>
        <w:rPr>
          <w:rFonts w:eastAsia="Times New Roman"/>
          <w:color w:val="000000"/>
          <w:sz w:val="20"/>
          <w:szCs w:val="20"/>
        </w:rPr>
        <w:t>Th</w:t>
      </w:r>
      <w:r>
        <w:rPr>
          <w:rFonts w:eastAsia="Times New Roman"/>
          <w:color w:val="000000"/>
          <w:sz w:val="20"/>
          <w:szCs w:val="20"/>
        </w:rPr>
        <w:t>e unaudited condensed consolidated financial statements include the accounts of the Company and subsidiaries, and reflect all adjustments (consisting only of normal recurring adjustments) that are, in the opinion of management, necessary for a fair present</w:t>
      </w:r>
      <w:r>
        <w:rPr>
          <w:rFonts w:eastAsia="Times New Roman"/>
          <w:color w:val="000000"/>
          <w:sz w:val="20"/>
          <w:szCs w:val="20"/>
        </w:rPr>
        <w:t xml:space="preserve">ation of the Company’s financial position, results of operations and cash flows for the dates and periods presented. All intercompany accounts and transactions have been eliminated. Results for interim periods are not necessarily indicative of the results </w:t>
      </w:r>
      <w:r>
        <w:rPr>
          <w:rFonts w:eastAsia="Times New Roman"/>
          <w:color w:val="000000"/>
          <w:sz w:val="20"/>
          <w:szCs w:val="20"/>
        </w:rPr>
        <w:t>to be expected during the remainder of the current year or for any future period.</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Reclassifications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Certain reclassifications are made to prior year amounts whenever necessary to conform with the current year presentation. Certain adjustments have been</w:t>
      </w:r>
      <w:r>
        <w:rPr>
          <w:rFonts w:eastAsia="Times New Roman"/>
          <w:color w:val="000000"/>
          <w:sz w:val="20"/>
          <w:szCs w:val="20"/>
        </w:rPr>
        <w:t xml:space="preserve"> made to the balances within </w:t>
      </w:r>
      <w:r>
        <w:rPr>
          <w:rFonts w:eastAsia="Times New Roman"/>
          <w:i/>
          <w:iCs/>
          <w:color w:val="000000"/>
          <w:sz w:val="20"/>
          <w:szCs w:val="20"/>
        </w:rPr>
        <w:t>Note 11: Other Assets and Liabilities</w:t>
      </w:r>
      <w:r>
        <w:rPr>
          <w:rFonts w:eastAsia="Times New Roman"/>
          <w:color w:val="000000"/>
          <w:sz w:val="20"/>
          <w:szCs w:val="20"/>
        </w:rPr>
        <w:t xml:space="preserve"> for the year ended December 31, 2020 to condense line items of the same nature into a single line. </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Revenue.</w:t>
      </w:r>
      <w:r>
        <w:rPr>
          <w:rFonts w:eastAsia="Times New Roman"/>
          <w:color w:val="000000"/>
          <w:sz w:val="20"/>
          <w:szCs w:val="20"/>
        </w:rPr>
        <w:t xml:space="preserve"> Prior to June 30, 2020, revenue was earned from the sales of pharmaceutical pr</w:t>
      </w:r>
      <w:r>
        <w:rPr>
          <w:rFonts w:eastAsia="Times New Roman"/>
          <w:color w:val="000000"/>
          <w:sz w:val="20"/>
          <w:szCs w:val="20"/>
        </w:rPr>
        <w:t>oducts.</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Product Sales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Prior to June 30, 2020, we sold products primarily through wholesalers and considered these wholesalers to be our customers. Under ASC 606, revenue from product sales is recognized when the customer obtains control of our product,</w:t>
      </w:r>
      <w:r>
        <w:rPr>
          <w:rFonts w:eastAsia="Times New Roman"/>
          <w:color w:val="000000"/>
          <w:sz w:val="20"/>
          <w:szCs w:val="20"/>
        </w:rPr>
        <w:t xml:space="preserve"> which occurs typically upon receipt by the customer. Our gross product sales were subject to a variety of price adjustments in arriving at reported net product sales. These adjustments included estimates of product returns, chargebacks, payment discounts,</w:t>
      </w:r>
      <w:r>
        <w:rPr>
          <w:rFonts w:eastAsia="Times New Roman"/>
          <w:color w:val="000000"/>
          <w:sz w:val="20"/>
          <w:szCs w:val="20"/>
        </w:rPr>
        <w:t xml:space="preserve"> rebates, and other sales allowances and were estimated based on analysis of historical data for the product or comparable products, future expectations for such products and other judgments and analysis. </w:t>
      </w:r>
    </w:p>
    <w:p w:rsidR="00000000" w:rsidRDefault="0099260E">
      <w:pPr>
        <w:jc w:val="both"/>
        <w:rPr>
          <w:rFonts w:eastAsia="Times New Roman"/>
        </w:rPr>
      </w:pPr>
    </w:p>
    <w:p w:rsidR="00000000" w:rsidRDefault="0099260E">
      <w:pPr>
        <w:jc w:val="both"/>
        <w:rPr>
          <w:rFonts w:eastAsia="Times New Roman"/>
        </w:rPr>
      </w:pPr>
      <w:r>
        <w:rPr>
          <w:rFonts w:eastAsia="Times New Roman"/>
          <w:color w:val="0D0D0D"/>
          <w:sz w:val="20"/>
          <w:szCs w:val="20"/>
        </w:rPr>
        <w:t xml:space="preserve">For a complete discussion of the accounting for </w:t>
      </w:r>
      <w:r>
        <w:rPr>
          <w:rFonts w:eastAsia="Times New Roman"/>
          <w:color w:val="0D0D0D"/>
          <w:sz w:val="20"/>
          <w:szCs w:val="20"/>
        </w:rPr>
        <w:t xml:space="preserve">net product revenue, see </w:t>
      </w:r>
      <w:r>
        <w:rPr>
          <w:rFonts w:eastAsia="Times New Roman"/>
          <w:i/>
          <w:iCs/>
          <w:color w:val="0D0D0D"/>
          <w:sz w:val="20"/>
          <w:szCs w:val="20"/>
        </w:rPr>
        <w:t xml:space="preserve">Note </w:t>
      </w:r>
      <w:r>
        <w:rPr>
          <w:rFonts w:eastAsia="Times New Roman"/>
          <w:i/>
          <w:iCs/>
          <w:color w:val="000000"/>
          <w:sz w:val="20"/>
          <w:szCs w:val="20"/>
        </w:rPr>
        <w:t>4</w:t>
      </w:r>
      <w:r>
        <w:rPr>
          <w:rFonts w:eastAsia="Times New Roman"/>
          <w:i/>
          <w:iCs/>
          <w:color w:val="0D0D0D"/>
          <w:sz w:val="20"/>
          <w:szCs w:val="20"/>
        </w:rPr>
        <w:t>: Revenue Recognition</w:t>
      </w:r>
      <w:r>
        <w:rPr>
          <w:rFonts w:eastAsia="Times New Roman"/>
          <w:color w:val="0D0D0D"/>
          <w:sz w:val="20"/>
          <w:szCs w:val="20"/>
        </w:rPr>
        <w:t>.</w:t>
      </w:r>
    </w:p>
    <w:p w:rsidR="00000000" w:rsidRDefault="0099260E">
      <w:pPr>
        <w:jc w:val="both"/>
        <w:rPr>
          <w:rFonts w:eastAsia="Times New Roman"/>
        </w:rPr>
      </w:pPr>
    </w:p>
    <w:p w:rsidR="00000000" w:rsidRDefault="0099260E">
      <w:pPr>
        <w:jc w:val="center"/>
        <w:divId w:val="949438493"/>
        <w:rPr>
          <w:rFonts w:eastAsia="Times New Roman"/>
        </w:rPr>
      </w:pPr>
      <w:r>
        <w:rPr>
          <w:rFonts w:eastAsia="Times New Roman"/>
          <w:color w:val="000000"/>
          <w:sz w:val="20"/>
          <w:szCs w:val="20"/>
        </w:rPr>
        <w:t>- 10 -</w:t>
      </w:r>
    </w:p>
    <w:p w:rsidR="00000000" w:rsidRDefault="0099260E">
      <w:pPr>
        <w:rPr>
          <w:rFonts w:eastAsia="Times New Roman"/>
        </w:rPr>
      </w:pPr>
      <w:r>
        <w:rPr>
          <w:rFonts w:eastAsia="Times New Roman"/>
        </w:rPr>
        <w:pict>
          <v:rect id="_x0000_i1035" style="width:0;height:1.5pt" o:hralign="center" o:hrstd="t" o:hr="t" fillcolor="#a0a0a0" stroked="f"/>
        </w:pict>
      </w:r>
    </w:p>
    <w:p w:rsidR="00000000" w:rsidRDefault="0099260E">
      <w:pPr>
        <w:divId w:val="1018047785"/>
        <w:rPr>
          <w:rFonts w:eastAsia="Times New Roman"/>
        </w:rPr>
      </w:pPr>
    </w:p>
    <w:p w:rsidR="00000000" w:rsidRDefault="0099260E">
      <w:pPr>
        <w:jc w:val="both"/>
        <w:divId w:val="1106315075"/>
        <w:rPr>
          <w:rFonts w:eastAsia="Times New Roman"/>
        </w:rPr>
      </w:pPr>
      <w:r>
        <w:rPr>
          <w:rFonts w:eastAsia="Times New Roman"/>
          <w:b/>
          <w:bCs/>
          <w:color w:val="000000"/>
          <w:sz w:val="20"/>
          <w:szCs w:val="20"/>
        </w:rPr>
        <w:t>NOTE 2: Newly Issued Accounting Standards</w:t>
      </w:r>
    </w:p>
    <w:p w:rsidR="00000000" w:rsidRDefault="0099260E">
      <w:pPr>
        <w:divId w:val="784932688"/>
        <w:rPr>
          <w:rFonts w:eastAsia="Times New Roman"/>
        </w:rPr>
      </w:pPr>
      <w:r>
        <w:rPr>
          <w:rFonts w:eastAsia="Times New Roman"/>
          <w:b/>
          <w:bCs/>
          <w:i/>
          <w:iCs/>
          <w:color w:val="000000"/>
          <w:sz w:val="20"/>
          <w:szCs w:val="20"/>
        </w:rPr>
        <w:t>Recently Adopted Accounting Guidance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In December 2019, the Financial Accounting Standards Board (“FASB”) issued Accounting Standards Update (“ASU”) 2019-12, </w:t>
      </w:r>
      <w:r>
        <w:rPr>
          <w:rFonts w:eastAsia="Times New Roman"/>
          <w:i/>
          <w:iCs/>
          <w:color w:val="000000"/>
          <w:sz w:val="20"/>
          <w:szCs w:val="20"/>
        </w:rPr>
        <w:t>Income Taxes (Top</w:t>
      </w:r>
      <w:r>
        <w:rPr>
          <w:rFonts w:eastAsia="Times New Roman"/>
          <w:i/>
          <w:iCs/>
          <w:color w:val="000000"/>
          <w:sz w:val="20"/>
          <w:szCs w:val="20"/>
        </w:rPr>
        <w:t>ic 740): Simplifying the Accounting for Income Taxes</w:t>
      </w:r>
      <w:r>
        <w:rPr>
          <w:rFonts w:eastAsia="Times New Roman"/>
          <w:color w:val="000000"/>
          <w:sz w:val="20"/>
          <w:szCs w:val="20"/>
        </w:rPr>
        <w:t>, as part of its overall simplification initiative to reduce costs and complexity of applying accounting standards while maintaining or improving the usefulness of the information provided to users of fin</w:t>
      </w:r>
      <w:r>
        <w:rPr>
          <w:rFonts w:eastAsia="Times New Roman"/>
          <w:color w:val="000000"/>
          <w:sz w:val="20"/>
          <w:szCs w:val="20"/>
        </w:rPr>
        <w:t xml:space="preserve">ancial statements. The FASB’s amendments primarily impact ASC 740, </w:t>
      </w:r>
      <w:r>
        <w:rPr>
          <w:rFonts w:eastAsia="Times New Roman"/>
          <w:i/>
          <w:iCs/>
          <w:color w:val="000000"/>
          <w:sz w:val="20"/>
          <w:szCs w:val="20"/>
        </w:rPr>
        <w:t>Income Taxes</w:t>
      </w:r>
      <w:r>
        <w:rPr>
          <w:rFonts w:eastAsia="Times New Roman"/>
          <w:color w:val="000000"/>
          <w:sz w:val="20"/>
          <w:szCs w:val="20"/>
        </w:rPr>
        <w:t xml:space="preserve">, and may impact both interim and annual reporting periods. ASU 2019-12 is effective for fiscal years beginning after December 15, 2020, and interim periods within those fiscal </w:t>
      </w:r>
      <w:r>
        <w:rPr>
          <w:rFonts w:eastAsia="Times New Roman"/>
          <w:color w:val="000000"/>
          <w:sz w:val="20"/>
          <w:szCs w:val="20"/>
        </w:rPr>
        <w:t xml:space="preserve">years and early adoption is permitted. We adopted the provisions of ASU 2019-12 on January 1, 2021. Adoption of ASU 2019-12 did not have any impact on our unaudited condensed consolidated financial statements.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August 2020, the FASB issued ASU 2020-06</w:t>
      </w:r>
      <w:r>
        <w:rPr>
          <w:rFonts w:eastAsia="Times New Roman"/>
          <w:color w:val="000000"/>
          <w:sz w:val="20"/>
          <w:szCs w:val="20"/>
        </w:rPr>
        <w:t xml:space="preserve">, </w:t>
      </w:r>
      <w:r>
        <w:rPr>
          <w:rFonts w:eastAsia="Times New Roman"/>
          <w:i/>
          <w:iCs/>
          <w:color w:val="000000"/>
          <w:sz w:val="20"/>
          <w:szCs w:val="20"/>
        </w:rPr>
        <w:t>Debt with Conversion and Other Options (Subtopic 470-20) and Derivatives and Hedging- Contracts in Entity’s Own Equity (Subtopic 815-40)</w:t>
      </w:r>
      <w:r>
        <w:rPr>
          <w:rFonts w:eastAsia="Times New Roman"/>
          <w:color w:val="000000"/>
          <w:sz w:val="20"/>
          <w:szCs w:val="20"/>
        </w:rPr>
        <w:t>, to reduce the complexity associated with applying U.S. GAAP principles for certain financial instruments with charac</w:t>
      </w:r>
      <w:r>
        <w:rPr>
          <w:rFonts w:eastAsia="Times New Roman"/>
          <w:color w:val="000000"/>
          <w:sz w:val="20"/>
          <w:szCs w:val="20"/>
        </w:rPr>
        <w:t>teristics of liabilities and equity. The amendments in this ASU reduce the number of accounting models for convertible instruments and expand the existing disclosure requirements over earnings per share as it relates to convertible instruments. Convertible</w:t>
      </w:r>
      <w:r>
        <w:rPr>
          <w:rFonts w:eastAsia="Times New Roman"/>
          <w:color w:val="000000"/>
          <w:sz w:val="20"/>
          <w:szCs w:val="20"/>
        </w:rPr>
        <w:t xml:space="preserve"> debt will be accounted for as a single liability measured at its amortized cost, as long as no other features require bifurcation and recognition as derivatives. The update also requires the if-converted method to be used for convertible instruments and t</w:t>
      </w:r>
      <w:r>
        <w:rPr>
          <w:rFonts w:eastAsia="Times New Roman"/>
          <w:color w:val="000000"/>
          <w:sz w:val="20"/>
          <w:szCs w:val="20"/>
        </w:rPr>
        <w:t>he effect of potential share settlement be included in the diluted earnings per share calculation when an instrument may be settled in cash or shares. This ASU is effective for our fiscal year beginning January 1, 2022 and interim periods therein. Early ad</w:t>
      </w:r>
      <w:r>
        <w:rPr>
          <w:rFonts w:eastAsia="Times New Roman"/>
          <w:color w:val="000000"/>
          <w:sz w:val="20"/>
          <w:szCs w:val="20"/>
        </w:rPr>
        <w:t xml:space="preserve">option is permitted, but no earlier than fiscal years beginning after December 15, 2020. The amendments may be adopted through either a modified retrospective method, or a fully retrospective method.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The Company elected to early adopt ASU 2020-06 as of </w:t>
      </w:r>
      <w:r>
        <w:rPr>
          <w:rFonts w:eastAsia="Times New Roman"/>
          <w:color w:val="000000"/>
          <w:sz w:val="20"/>
          <w:szCs w:val="20"/>
        </w:rPr>
        <w:t>January 1, 2021 using a modified retrospective method. The Company’s 4.50% exchangeable senior notes due 2023 (the “2023 Notes”) are a convertible instrument with a cash-conversion feature that is accounted for within the scope of Subtopic 470-20. The Comp</w:t>
      </w:r>
      <w:r>
        <w:rPr>
          <w:rFonts w:eastAsia="Times New Roman"/>
          <w:color w:val="000000"/>
          <w:sz w:val="20"/>
          <w:szCs w:val="20"/>
        </w:rPr>
        <w:t>any calculated the cumulative-effect adjustment as of January 1, 2021 by comparing (i) the historical amortization schedule for the 2023 Notes through December 31, 2020 and (ii) an updated amortization schedule wherein the conversion feature within the 202</w:t>
      </w:r>
      <w:r>
        <w:rPr>
          <w:rFonts w:eastAsia="Times New Roman"/>
          <w:color w:val="000000"/>
          <w:sz w:val="20"/>
          <w:szCs w:val="20"/>
        </w:rPr>
        <w:t xml:space="preserve">3 Notes would not be separated as an equity component and subsequently recognized as non-cash interest expense under ASC 835-30. The adoption resulted in a $26,699 decrease in additional paid-in capital, a $12,939 increase in long-term debt, and a $13,760 </w:t>
      </w:r>
      <w:r>
        <w:rPr>
          <w:rFonts w:eastAsia="Times New Roman"/>
          <w:color w:val="000000"/>
          <w:sz w:val="20"/>
          <w:szCs w:val="20"/>
        </w:rPr>
        <w:t xml:space="preserve">increase to the opening balance of retained earnings. </w:t>
      </w:r>
    </w:p>
    <w:p w:rsidR="00000000" w:rsidRDefault="0099260E">
      <w:pPr>
        <w:divId w:val="1606765943"/>
        <w:rPr>
          <w:rFonts w:eastAsia="Times New Roman"/>
        </w:rPr>
      </w:pPr>
    </w:p>
    <w:p w:rsidR="00000000" w:rsidRDefault="0099260E">
      <w:pPr>
        <w:divId w:val="1987465335"/>
        <w:rPr>
          <w:rFonts w:eastAsia="Times New Roman"/>
        </w:rPr>
      </w:pPr>
      <w:r>
        <w:rPr>
          <w:rFonts w:eastAsia="Times New Roman"/>
          <w:b/>
          <w:bCs/>
          <w:color w:val="000000"/>
          <w:sz w:val="20"/>
          <w:szCs w:val="20"/>
        </w:rPr>
        <w:t xml:space="preserve">NOTE 3: Disposition of the Hospital Products </w:t>
      </w:r>
    </w:p>
    <w:p w:rsidR="00000000" w:rsidRDefault="0099260E">
      <w:pPr>
        <w:divId w:val="24328145"/>
        <w:rPr>
          <w:rFonts w:eastAsia="Times New Roman"/>
        </w:rPr>
      </w:pPr>
    </w:p>
    <w:p w:rsidR="00000000" w:rsidRDefault="0099260E">
      <w:pPr>
        <w:jc w:val="both"/>
        <w:rPr>
          <w:rFonts w:eastAsia="Times New Roman"/>
        </w:rPr>
      </w:pPr>
      <w:r>
        <w:rPr>
          <w:rFonts w:eastAsia="Times New Roman"/>
          <w:color w:val="000000"/>
          <w:sz w:val="20"/>
          <w:szCs w:val="20"/>
        </w:rPr>
        <w:t>On June 30, 2020 (the “Closing Date”), we announced the sale of our portfolio of sterile injectable drugs used in the hospital setting (“Hospital Produ</w:t>
      </w:r>
      <w:r>
        <w:rPr>
          <w:rFonts w:eastAsia="Times New Roman"/>
          <w:color w:val="000000"/>
          <w:sz w:val="20"/>
          <w:szCs w:val="20"/>
        </w:rPr>
        <w:t>cts”), which included our three commercial products, Akovaz, Bloxiverz and Vazculep, as well as Nouress, to Exela Sterile Medicines LLC (“Exela Buyer”) pursuant to an Asset Purchase Agreement (the “Transaction”).</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Pursuant to the Asset Purchase Agreement,</w:t>
      </w:r>
      <w:r>
        <w:rPr>
          <w:rFonts w:eastAsia="Times New Roman"/>
          <w:color w:val="000000"/>
          <w:sz w:val="20"/>
          <w:szCs w:val="20"/>
        </w:rPr>
        <w:t xml:space="preserve"> the Exela Buyer agreed to pay a total aggregate consideration amount of $42,000, of which $14,500 was paid on the Closing Date and an additional $27,500 was paid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installments following the Closing Date. During the year ended December </w:t>
      </w:r>
      <w:r>
        <w:rPr>
          <w:rFonts w:eastAsia="Times New Roman"/>
          <w:color w:val="000000"/>
          <w:sz w:val="20"/>
          <w:szCs w:val="20"/>
        </w:rPr>
        <w:t xml:space="preserve">31, 2020, we collected four installment payments, totaling $11,000. We collected the remaining six installment payments, totaling $16,500, during 2021. In connection with the sale of the Hospital Products, the parties also agreed to cause the dismissal of </w:t>
      </w:r>
      <w:r>
        <w:rPr>
          <w:rFonts w:eastAsia="Times New Roman"/>
          <w:color w:val="000000"/>
          <w:sz w:val="20"/>
          <w:szCs w:val="20"/>
        </w:rPr>
        <w:t>the pending civil litigation related to Nouress in the District Court for the District of Delaware.</w:t>
      </w:r>
    </w:p>
    <w:p w:rsidR="00000000" w:rsidRDefault="0099260E">
      <w:pPr>
        <w:divId w:val="1654800008"/>
        <w:rPr>
          <w:rFonts w:eastAsia="Times New Roman"/>
        </w:rPr>
      </w:pP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We were party to a Membe</w:t>
      </w:r>
      <w:r>
        <w:rPr>
          <w:rFonts w:eastAsia="Times New Roman"/>
          <w:color w:val="000000"/>
          <w:sz w:val="20"/>
          <w:szCs w:val="20"/>
        </w:rPr>
        <w:t>rship Interest Purchase Agreement, dated March 13, 2012, by and among us, Avadel Legacy, Breaking Stick Holdings, LLC, Deerfield Private Design International II, L.P. (“Deerfield International”), Deerfield Private Design Fund II, L.P. (“Deerfield Fund”) an</w:t>
      </w:r>
      <w:r>
        <w:rPr>
          <w:rFonts w:eastAsia="Times New Roman"/>
          <w:color w:val="000000"/>
          <w:sz w:val="20"/>
          <w:szCs w:val="20"/>
        </w:rPr>
        <w:t>d Horizon Santé FLML, Sarl (“Horizon”) (the “Deerfield MIPA”) and a Royalty Agreement, dated February 4, 2013, by and among us, Avadel Legacy, the Deerfield Fund and Horizon (the “Deerfield Royalty Agreement”). In connection with the closing of the sale of</w:t>
      </w:r>
      <w:r>
        <w:rPr>
          <w:rFonts w:eastAsia="Times New Roman"/>
          <w:color w:val="000000"/>
          <w:sz w:val="20"/>
          <w:szCs w:val="20"/>
        </w:rPr>
        <w:t xml:space="preserve"> the Hospital Products, the Deerfield MIPA (with respect to certain sections thereof) and the Royalty Agreement were assigned to the Exela Buyer. Pursuant to the Purchase Agreement, the Exela Buyer assumed and will pay, perform, satisfy and discharge the l</w:t>
      </w:r>
      <w:r>
        <w:rPr>
          <w:rFonts w:eastAsia="Times New Roman"/>
          <w:color w:val="000000"/>
          <w:sz w:val="20"/>
          <w:szCs w:val="20"/>
        </w:rPr>
        <w:t>iabilities and obligations of Avadel Legacy under the Deerfield Royalty Agreement for obligations that arise after the Closing Date.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were also party to a Royalty Agreement, dated December 3, 2013, by and between us, Avadel Legacy and Broadfin Healthca</w:t>
      </w:r>
      <w:r>
        <w:rPr>
          <w:rFonts w:eastAsia="Times New Roman"/>
          <w:color w:val="000000"/>
          <w:sz w:val="20"/>
          <w:szCs w:val="20"/>
        </w:rPr>
        <w:t xml:space="preserve">re Master Fund, Ltd. (the “Broadfin Royalty Agreement”). In connection with the closing of the sale of the Hospital Products, the Broadfin Royalty Agreement was assigned to the Exela Buyer and the Exela Buyer assumed and shall pay, </w:t>
      </w:r>
    </w:p>
    <w:p w:rsidR="00000000" w:rsidRDefault="0099260E">
      <w:pPr>
        <w:jc w:val="center"/>
        <w:divId w:val="87241865"/>
        <w:rPr>
          <w:rFonts w:eastAsia="Times New Roman"/>
        </w:rPr>
      </w:pPr>
      <w:r>
        <w:rPr>
          <w:rFonts w:eastAsia="Times New Roman"/>
          <w:color w:val="000000"/>
          <w:sz w:val="20"/>
          <w:szCs w:val="20"/>
        </w:rPr>
        <w:t>- 11 -</w:t>
      </w:r>
    </w:p>
    <w:p w:rsidR="00000000" w:rsidRDefault="0099260E">
      <w:pPr>
        <w:rPr>
          <w:rFonts w:eastAsia="Times New Roman"/>
        </w:rPr>
      </w:pPr>
      <w:r>
        <w:rPr>
          <w:rFonts w:eastAsia="Times New Roman"/>
        </w:rPr>
        <w:pict>
          <v:rect id="_x0000_i1036" style="width:0;height:1.5pt" o:hralign="center" o:hrstd="t" o:hr="t" fillcolor="#a0a0a0" stroked="f"/>
        </w:pict>
      </w:r>
    </w:p>
    <w:p w:rsidR="00000000" w:rsidRDefault="0099260E">
      <w:pPr>
        <w:divId w:val="822628268"/>
        <w:rPr>
          <w:rFonts w:eastAsia="Times New Roman"/>
        </w:rPr>
      </w:pPr>
    </w:p>
    <w:p w:rsidR="00000000" w:rsidRDefault="0099260E">
      <w:pPr>
        <w:jc w:val="both"/>
        <w:rPr>
          <w:rFonts w:eastAsia="Times New Roman"/>
        </w:rPr>
      </w:pPr>
      <w:r>
        <w:rPr>
          <w:rFonts w:eastAsia="Times New Roman"/>
          <w:color w:val="000000"/>
          <w:sz w:val="20"/>
          <w:szCs w:val="20"/>
        </w:rPr>
        <w:t>perform, satisfy and discharge the liabilities and obligations of Avadel Legacy under the Broadfin Royalty Agreement for obligations that arise after the Closing Date.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following table represents the major classes of assets and l</w:t>
      </w:r>
      <w:r>
        <w:rPr>
          <w:rFonts w:eastAsia="Times New Roman"/>
          <w:color w:val="000000"/>
          <w:sz w:val="20"/>
          <w:szCs w:val="20"/>
        </w:rPr>
        <w:t xml:space="preserve">iabilities either transferred to the Exela Buyer or eliminated by us due to the sale of the Hospital Products in exchange for aggregate consideration of $42,000, less transaction fees of $2,928. </w:t>
      </w:r>
    </w:p>
    <w:p w:rsidR="00000000" w:rsidRDefault="0099260E">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6448"/>
        <w:gridCol w:w="38"/>
        <w:gridCol w:w="36"/>
        <w:gridCol w:w="36"/>
        <w:gridCol w:w="36"/>
        <w:gridCol w:w="110"/>
        <w:gridCol w:w="1447"/>
        <w:gridCol w:w="36"/>
        <w:gridCol w:w="36"/>
        <w:gridCol w:w="36"/>
      </w:tblGrid>
      <w:tr w:rsidR="00000000">
        <w:trPr>
          <w:jc w:val="center"/>
        </w:trPr>
        <w:tc>
          <w:tcPr>
            <w:tcW w:w="50" w:type="pct"/>
            <w:vAlign w:val="center"/>
            <w:hideMark/>
          </w:tcPr>
          <w:p w:rsidR="00000000" w:rsidRDefault="0099260E">
            <w:pPr>
              <w:jc w:val="both"/>
              <w:rPr>
                <w:rFonts w:eastAsia="Times New Roman"/>
              </w:rPr>
            </w:pPr>
          </w:p>
        </w:tc>
        <w:tc>
          <w:tcPr>
            <w:tcW w:w="393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9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June 30, 2020</w:t>
            </w:r>
          </w:p>
        </w:tc>
        <w:tc>
          <w:tcPr>
            <w:tcW w:w="0" w:type="auto"/>
            <w:vAlign w:val="center"/>
            <w:hideMark/>
          </w:tcPr>
          <w:p w:rsidR="00000000" w:rsidRDefault="0099260E">
            <w:pPr>
              <w:spacing w:after="100"/>
              <w:jc w:val="center"/>
              <w:rPr>
                <w:rFonts w:eastAsia="Times New Roman"/>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bl>
    <w:p w:rsidR="00000000" w:rsidRDefault="0099260E">
      <w:pPr>
        <w:jc w:val="center"/>
        <w:rPr>
          <w:rFonts w:eastAsia="Times New Roman"/>
        </w:rPr>
      </w:pPr>
    </w:p>
    <w:p w:rsidR="00000000" w:rsidRDefault="0099260E">
      <w:pPr>
        <w:jc w:val="both"/>
        <w:rPr>
          <w:rFonts w:eastAsia="Times New Roman"/>
        </w:rPr>
      </w:pPr>
      <w:r>
        <w:rPr>
          <w:rFonts w:eastAsia="Times New Roman"/>
          <w:color w:val="000000"/>
          <w:sz w:val="20"/>
          <w:szCs w:val="20"/>
        </w:rPr>
        <w:t>We evaluated various qualitative and quantitative factors related to the disposition of the Hospital Products and determined that it did not meet the criteria for presentation as a discontinued operation.</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unaudited pro forma condensed combined statem</w:t>
      </w:r>
      <w:r>
        <w:rPr>
          <w:rFonts w:eastAsia="Times New Roman"/>
          <w:color w:val="000000"/>
          <w:sz w:val="20"/>
          <w:szCs w:val="20"/>
        </w:rPr>
        <w:t>ent of income (loss) for the nine months ended September 30, 2020 included below is being provided for information purposes only and are not necessarily indicative of the results of operations that would have resulted if the Transaction had actually occurr</w:t>
      </w:r>
      <w:r>
        <w:rPr>
          <w:rFonts w:eastAsia="Times New Roman"/>
          <w:color w:val="000000"/>
          <w:sz w:val="20"/>
          <w:szCs w:val="20"/>
        </w:rPr>
        <w:t>ed on the date indicated. The pro forma adjustments are based on available information and assumptions that the Company believes are attributable to the sale.</w:t>
      </w:r>
    </w:p>
    <w:p w:rsidR="00000000" w:rsidRDefault="0099260E">
      <w:pPr>
        <w:jc w:val="both"/>
        <w:rPr>
          <w:rFonts w:eastAsia="Times New Roman"/>
        </w:rPr>
      </w:pPr>
    </w:p>
    <w:p w:rsidR="00000000" w:rsidRDefault="0099260E">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1"/>
        <w:gridCol w:w="1000"/>
        <w:gridCol w:w="37"/>
        <w:gridCol w:w="36"/>
        <w:gridCol w:w="36"/>
        <w:gridCol w:w="36"/>
        <w:gridCol w:w="111"/>
        <w:gridCol w:w="1000"/>
        <w:gridCol w:w="37"/>
        <w:gridCol w:w="36"/>
        <w:gridCol w:w="36"/>
        <w:gridCol w:w="36"/>
        <w:gridCol w:w="37"/>
        <w:gridCol w:w="1005"/>
        <w:gridCol w:w="36"/>
        <w:gridCol w:w="36"/>
        <w:gridCol w:w="36"/>
        <w:gridCol w:w="36"/>
        <w:gridCol w:w="110"/>
        <w:gridCol w:w="1004"/>
        <w:gridCol w:w="36"/>
      </w:tblGrid>
      <w:tr w:rsidR="00000000">
        <w:tc>
          <w:tcPr>
            <w:tcW w:w="50" w:type="pct"/>
            <w:vAlign w:val="center"/>
            <w:hideMark/>
          </w:tcPr>
          <w:p w:rsidR="00000000" w:rsidRDefault="0099260E">
            <w:pPr>
              <w:jc w:val="both"/>
              <w:rPr>
                <w:rFonts w:eastAsia="Times New Roman"/>
              </w:rPr>
            </w:pPr>
          </w:p>
        </w:tc>
        <w:tc>
          <w:tcPr>
            <w:tcW w:w="197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4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5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Unaudited Pro Forma Condensed Combined Statement of Income (Loss)</w:t>
            </w:r>
          </w:p>
        </w:tc>
      </w:tr>
      <w:tr w:rsidR="00000000">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Pro Forma</w:t>
            </w:r>
          </w:p>
        </w:tc>
      </w:tr>
      <w:tr w:rsidR="00000000">
        <w:trPr>
          <w:trHeight w:val="60"/>
        </w:trPr>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(22,175)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2,259 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(8,489)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18"/>
                <w:szCs w:val="18"/>
              </w:rPr>
              <w:t>(b)</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(6,230)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20,075 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(13,686)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6,389 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9,048 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(13,251)</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(4,203)</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Adjustments to the pro forma unaudited condensed combined statements of income (loss)</w:t>
      </w:r>
    </w:p>
    <w:p w:rsidR="00000000" w:rsidRDefault="0099260E">
      <w:pPr>
        <w:divId w:val="2083987150"/>
        <w:rPr>
          <w:rFonts w:eastAsia="Times New Roman"/>
        </w:rPr>
      </w:pPr>
    </w:p>
    <w:p w:rsidR="00000000" w:rsidRDefault="0099260E">
      <w:pPr>
        <w:jc w:val="both"/>
        <w:rPr>
          <w:rFonts w:eastAsia="Times New Roman"/>
        </w:rPr>
      </w:pPr>
      <w:r>
        <w:rPr>
          <w:rFonts w:eastAsia="Times New Roman"/>
          <w:color w:val="000000"/>
          <w:sz w:val="20"/>
          <w:szCs w:val="20"/>
        </w:rPr>
        <w:t>(a)</w:t>
      </w:r>
      <w:r>
        <w:rPr>
          <w:rFonts w:eastAsia="Times New Roman"/>
          <w:color w:val="000000"/>
        </w:rPr>
        <w:t xml:space="preserve"> </w:t>
      </w:r>
      <w:r>
        <w:rPr>
          <w:rFonts w:eastAsia="Times New Roman"/>
          <w:color w:val="000000"/>
          <w:sz w:val="20"/>
          <w:szCs w:val="20"/>
        </w:rPr>
        <w:t>This adjustment reflects product sales attributable to the Hospital Products.</w:t>
      </w:r>
    </w:p>
    <w:p w:rsidR="00000000" w:rsidRDefault="0099260E">
      <w:pPr>
        <w:divId w:val="1222912359"/>
        <w:rPr>
          <w:rFonts w:eastAsia="Times New Roman"/>
        </w:rPr>
      </w:pPr>
    </w:p>
    <w:p w:rsidR="00000000" w:rsidRDefault="0099260E">
      <w:pPr>
        <w:jc w:val="both"/>
        <w:rPr>
          <w:rFonts w:eastAsia="Times New Roman"/>
        </w:rPr>
      </w:pPr>
      <w:r>
        <w:rPr>
          <w:rFonts w:eastAsia="Times New Roman"/>
          <w:color w:val="000000"/>
          <w:sz w:val="20"/>
          <w:szCs w:val="20"/>
        </w:rPr>
        <w:t>(b)</w:t>
      </w:r>
      <w:r>
        <w:rPr>
          <w:rFonts w:eastAsia="Times New Roman"/>
          <w:color w:val="000000"/>
        </w:rPr>
        <w:t xml:space="preserve"> </w:t>
      </w:r>
      <w:r>
        <w:rPr>
          <w:rFonts w:eastAsia="Times New Roman"/>
          <w:color w:val="000000"/>
          <w:sz w:val="20"/>
          <w:szCs w:val="20"/>
        </w:rPr>
        <w:t>This adjustment reflects the following estimated expenses attributable to the Hospital Products:</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Cost of products of $3,540.</w:t>
      </w: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Research and development expenses of $407.</w:t>
      </w: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Selling, general and administrative expenses of $809.</w:t>
      </w: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Intangible asset amortization on acquired development technology for Vazculep of $406. </w:t>
      </w: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Changes in fair value of related party contingent consideration of $</w:t>
      </w:r>
      <w:r>
        <w:rPr>
          <w:rFonts w:eastAsia="Times New Roman"/>
          <w:color w:val="000000"/>
          <w:sz w:val="20"/>
          <w:szCs w:val="20"/>
        </w:rPr>
        <w:t>3,327.</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99260E">
      <w:pPr>
        <w:divId w:val="1464229389"/>
        <w:rPr>
          <w:rFonts w:eastAsia="Times New Roman"/>
        </w:rPr>
      </w:pPr>
    </w:p>
    <w:p w:rsidR="00000000" w:rsidRDefault="0099260E">
      <w:pPr>
        <w:jc w:val="both"/>
        <w:rPr>
          <w:rFonts w:eastAsia="Times New Roman"/>
        </w:rPr>
      </w:pPr>
      <w:r>
        <w:rPr>
          <w:rFonts w:eastAsia="Times New Roman"/>
          <w:color w:val="000000"/>
          <w:sz w:val="20"/>
          <w:szCs w:val="20"/>
        </w:rPr>
        <w:t>(c)</w:t>
      </w:r>
      <w:r>
        <w:rPr>
          <w:rFonts w:eastAsia="Times New Roman"/>
          <w:color w:val="000000"/>
        </w:rPr>
        <w:t xml:space="preserve"> </w:t>
      </w:r>
      <w:r>
        <w:rPr>
          <w:rFonts w:eastAsia="Times New Roman"/>
          <w:color w:val="000000"/>
          <w:sz w:val="20"/>
          <w:szCs w:val="20"/>
        </w:rPr>
        <w:t>This amount reflects the adjustments noted in (a) and (b) above, as well as estimated Changes in fair value of related party payable</w:t>
      </w:r>
      <w:r>
        <w:rPr>
          <w:rFonts w:eastAsia="Times New Roman"/>
          <w:color w:val="000000"/>
        </w:rPr>
        <w:t xml:space="preserve"> </w:t>
      </w:r>
      <w:r>
        <w:rPr>
          <w:rFonts w:eastAsia="Times New Roman"/>
          <w:color w:val="000000"/>
          <w:sz w:val="20"/>
          <w:szCs w:val="20"/>
        </w:rPr>
        <w:t>of $435 attributable to the Hospital Products.</w:t>
      </w:r>
      <w:r>
        <w:rPr>
          <w:rFonts w:eastAsia="Times New Roman"/>
          <w:color w:val="000000"/>
        </w:rPr>
        <w:t xml:space="preserve"> </w:t>
      </w:r>
      <w:r>
        <w:rPr>
          <w:rFonts w:eastAsia="Times New Roman"/>
          <w:color w:val="000000"/>
          <w:sz w:val="20"/>
          <w:szCs w:val="20"/>
        </w:rPr>
        <w:t>T</w:t>
      </w:r>
      <w:r>
        <w:rPr>
          <w:rFonts w:eastAsia="Times New Roman"/>
          <w:color w:val="000000"/>
          <w:sz w:val="20"/>
          <w:szCs w:val="20"/>
        </w:rPr>
        <w:t>he Company will no longer be responsible for these payments.</w:t>
      </w:r>
    </w:p>
    <w:p w:rsidR="00000000" w:rsidRDefault="0099260E">
      <w:pPr>
        <w:divId w:val="715816241"/>
        <w:rPr>
          <w:rFonts w:eastAsia="Times New Roman"/>
        </w:rPr>
      </w:pPr>
    </w:p>
    <w:p w:rsidR="00000000" w:rsidRDefault="0099260E">
      <w:pPr>
        <w:jc w:val="center"/>
        <w:divId w:val="2124684448"/>
        <w:rPr>
          <w:rFonts w:eastAsia="Times New Roman"/>
        </w:rPr>
      </w:pPr>
      <w:r>
        <w:rPr>
          <w:rFonts w:eastAsia="Times New Roman"/>
          <w:color w:val="000000"/>
          <w:sz w:val="20"/>
          <w:szCs w:val="20"/>
        </w:rPr>
        <w:t>- 12 -</w:t>
      </w:r>
    </w:p>
    <w:p w:rsidR="00000000" w:rsidRDefault="0099260E">
      <w:pPr>
        <w:rPr>
          <w:rFonts w:eastAsia="Times New Roman"/>
        </w:rPr>
      </w:pPr>
      <w:r>
        <w:rPr>
          <w:rFonts w:eastAsia="Times New Roman"/>
        </w:rPr>
        <w:pict>
          <v:rect id="_x0000_i1037" style="width:0;height:1.5pt" o:hralign="center" o:hrstd="t" o:hr="t" fillcolor="#a0a0a0" stroked="f"/>
        </w:pict>
      </w:r>
    </w:p>
    <w:p w:rsidR="00000000" w:rsidRDefault="0099260E">
      <w:pPr>
        <w:divId w:val="752123616"/>
        <w:rPr>
          <w:rFonts w:eastAsia="Times New Roman"/>
        </w:rPr>
      </w:pPr>
    </w:p>
    <w:p w:rsidR="00000000" w:rsidRDefault="0099260E">
      <w:pPr>
        <w:divId w:val="2044820939"/>
        <w:rPr>
          <w:rFonts w:eastAsia="Times New Roman"/>
        </w:rPr>
      </w:pPr>
      <w:r>
        <w:rPr>
          <w:rFonts w:eastAsia="Times New Roman"/>
          <w:b/>
          <w:bCs/>
          <w:color w:val="000000"/>
          <w:sz w:val="20"/>
          <w:szCs w:val="20"/>
        </w:rPr>
        <w:t>NOTE 4: Revenue Recognition</w:t>
      </w:r>
    </w:p>
    <w:p w:rsidR="00000000" w:rsidRDefault="0099260E">
      <w:pPr>
        <w:divId w:val="253515278"/>
        <w:rPr>
          <w:rFonts w:eastAsia="Times New Roman"/>
        </w:rPr>
      </w:pPr>
    </w:p>
    <w:p w:rsidR="00000000" w:rsidRDefault="0099260E">
      <w:pPr>
        <w:jc w:val="both"/>
        <w:rPr>
          <w:rFonts w:eastAsia="Times New Roman"/>
        </w:rPr>
      </w:pPr>
      <w:r>
        <w:rPr>
          <w:rFonts w:eastAsia="Times New Roman"/>
          <w:color w:val="000000"/>
          <w:sz w:val="20"/>
          <w:szCs w:val="20"/>
        </w:rPr>
        <w:t xml:space="preserve">Prior to June 30, 2020, we generated revenue primarily from the sale of pharmaceutical products to customers. On June </w:t>
      </w:r>
      <w:r>
        <w:rPr>
          <w:rFonts w:eastAsia="Times New Roman"/>
          <w:color w:val="000000"/>
          <w:sz w:val="20"/>
          <w:szCs w:val="20"/>
        </w:rPr>
        <w:t xml:space="preserve">30, 2020, we sold the Hospital Products. See </w:t>
      </w:r>
      <w:r>
        <w:rPr>
          <w:rFonts w:eastAsia="Times New Roman"/>
          <w:i/>
          <w:iCs/>
          <w:color w:val="000000"/>
          <w:sz w:val="20"/>
          <w:szCs w:val="20"/>
        </w:rPr>
        <w:t>Note 3: Disposition of the Hospital Products.</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D0D0D"/>
          <w:sz w:val="20"/>
          <w:szCs w:val="20"/>
        </w:rPr>
        <w:t xml:space="preserve">Product Sales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Prior to June 30, 2020, we sold products primarily through wholesalers and considered these wholesalers to be our customers. Revenue from product sales was recognized when the customer obtained control of our product and our performance obligations were me</w:t>
      </w:r>
      <w:r>
        <w:rPr>
          <w:rFonts w:eastAsia="Times New Roman"/>
          <w:color w:val="000000"/>
          <w:sz w:val="20"/>
          <w:szCs w:val="20"/>
        </w:rPr>
        <w:t>t, which occurred typically upon receipt of delivery to the customer. As is customary in the pharmaceutical industry, our gross product sales were subject to a variety of price adjustments in arriving at reported net product sales. These adjustments includ</w:t>
      </w:r>
      <w:r>
        <w:rPr>
          <w:rFonts w:eastAsia="Times New Roman"/>
          <w:color w:val="000000"/>
          <w:sz w:val="20"/>
          <w:szCs w:val="20"/>
        </w:rPr>
        <w:t>ed estimates for product returns, chargebacks, payment discounts, rebates, and other sales allowances and are estimated when the product is delivered based on analysis of historical data for the product or comparable products, as well as future expectation</w:t>
      </w:r>
      <w:r>
        <w:rPr>
          <w:rFonts w:eastAsia="Times New Roman"/>
          <w:color w:val="000000"/>
          <w:sz w:val="20"/>
          <w:szCs w:val="20"/>
        </w:rPr>
        <w:t xml:space="preserve">s for such products.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D0D0D"/>
          <w:sz w:val="20"/>
          <w:szCs w:val="20"/>
        </w:rPr>
        <w:t>Reserves to Reduce Gross Revenues to Net Revenues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Revenues from product sales were recorded at the net selling price, which included estimated reserves to reduce gross product sales to net product sales resulting from product retu</w:t>
      </w:r>
      <w:r>
        <w:rPr>
          <w:rFonts w:eastAsia="Times New Roman"/>
          <w:color w:val="000000"/>
          <w:sz w:val="20"/>
          <w:szCs w:val="20"/>
        </w:rPr>
        <w:t>rns, chargebacks, payment discounts, rebates, and other sales allowances that are offered within contracts between the Company and its customers and end users. These reserves were based on the amounts earned or to be claimed on the related sales and were c</w:t>
      </w:r>
      <w:r>
        <w:rPr>
          <w:rFonts w:eastAsia="Times New Roman"/>
          <w:color w:val="000000"/>
          <w:sz w:val="20"/>
          <w:szCs w:val="20"/>
        </w:rPr>
        <w:t xml:space="preserve">lassified as reductions of accounts receivable if the amount is payable to the customer, except in the case of the estimated reserve for future expired product returns, which are classified as a liability. The reserves are classified as a liability if the </w:t>
      </w:r>
      <w:r>
        <w:rPr>
          <w:rFonts w:eastAsia="Times New Roman"/>
          <w:color w:val="000000"/>
          <w:sz w:val="20"/>
          <w:szCs w:val="20"/>
        </w:rPr>
        <w:t>amount is payable to a party other than a customer. Where appropriate, these estimated reserves take into consideration relevant factors such as the Company’s historical experience, current contractual and statutory requirements, specific known market even</w:t>
      </w:r>
      <w:r>
        <w:rPr>
          <w:rFonts w:eastAsia="Times New Roman"/>
          <w:color w:val="000000"/>
          <w:sz w:val="20"/>
          <w:szCs w:val="20"/>
        </w:rPr>
        <w:t>ts and trends, industry data and forecasted customer buying and payment patterns. Overall, these reserves reflect the Company’s best estimates to reduce gross selling price to net selling price to which it expects to be entitled based on the terms of its c</w:t>
      </w:r>
      <w:r>
        <w:rPr>
          <w:rFonts w:eastAsia="Times New Roman"/>
          <w:color w:val="000000"/>
          <w:sz w:val="20"/>
          <w:szCs w:val="20"/>
        </w:rPr>
        <w:t xml:space="preserve">ontracts. The actual selling price ultimately received may differ from the Company’s estimates.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D0D0D"/>
          <w:sz w:val="20"/>
          <w:szCs w:val="20"/>
        </w:rPr>
        <w:t>Product Returns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Consistent with industry practice, the Company maintained a returns policy that generally offered customers a right of return for product t</w:t>
      </w:r>
      <w:r>
        <w:rPr>
          <w:rFonts w:eastAsia="Times New Roman"/>
          <w:color w:val="000000"/>
          <w:sz w:val="20"/>
          <w:szCs w:val="20"/>
        </w:rPr>
        <w:t>hat has been purchased from the Company. The Company estimated the amount of product returns and records this estimate as a reduction of revenue in the period the related product revenue was recognized. The Company estimated product return liabilities base</w:t>
      </w:r>
      <w:r>
        <w:rPr>
          <w:rFonts w:eastAsia="Times New Roman"/>
          <w:color w:val="000000"/>
          <w:sz w:val="20"/>
          <w:szCs w:val="20"/>
        </w:rPr>
        <w:t xml:space="preserve">d on analysis of historical data for the product or comparable products, as well as future expectations for such products </w:t>
      </w:r>
      <w:r>
        <w:rPr>
          <w:rFonts w:eastAsia="Times New Roman"/>
          <w:color w:val="0D0D0D"/>
          <w:sz w:val="20"/>
          <w:szCs w:val="20"/>
        </w:rPr>
        <w:t xml:space="preserve">and other judgments and analysis.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D0D0D"/>
          <w:sz w:val="20"/>
          <w:szCs w:val="20"/>
        </w:rPr>
        <w:t xml:space="preserve">Chargebacks, Discounts and Rebates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Chargebacks, discounts and rebates represent the estimated obligations resulting from contractual commitments to sell products to its customers or end users at prices lower than the list prices charged to our wholesale customers. Customers charge the Compa</w:t>
      </w:r>
      <w:r>
        <w:rPr>
          <w:rFonts w:eastAsia="Times New Roman"/>
          <w:color w:val="000000"/>
          <w:sz w:val="20"/>
          <w:szCs w:val="20"/>
        </w:rPr>
        <w:t>ny for the difference between the gross selling price they pay for the product and the ultimate contractual price agreed to between the Company and these end users. These reserves are established in the same period that the related revenue is recognized, r</w:t>
      </w:r>
      <w:r>
        <w:rPr>
          <w:rFonts w:eastAsia="Times New Roman"/>
          <w:color w:val="000000"/>
          <w:sz w:val="20"/>
          <w:szCs w:val="20"/>
        </w:rPr>
        <w:t>esulting in a reduction of product revenue and accounts receivable. Chargebacks, discounts and rebates are estimated at the time of sale to the customer.</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D0D0D"/>
          <w:sz w:val="20"/>
          <w:szCs w:val="20"/>
        </w:rPr>
        <w:t>Disaggregation of revenue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Company’s source of revenue was from the sale of pharmaceutical prod</w:t>
      </w:r>
      <w:r>
        <w:rPr>
          <w:rFonts w:eastAsia="Times New Roman"/>
          <w:color w:val="000000"/>
          <w:sz w:val="20"/>
          <w:szCs w:val="20"/>
        </w:rPr>
        <w:t xml:space="preserve">ucts, which are equally affected by the same economic factors as it relates to the nature, amount, timing, and uncertainty of revenue and cash flows. For further detail about the Company’s revenues by product, see </w:t>
      </w:r>
      <w:r>
        <w:rPr>
          <w:rFonts w:eastAsia="Times New Roman"/>
          <w:i/>
          <w:iCs/>
          <w:color w:val="000000"/>
          <w:sz w:val="20"/>
          <w:szCs w:val="20"/>
        </w:rPr>
        <w:t>Note 15: Revenue by Product</w:t>
      </w:r>
      <w:r>
        <w:rPr>
          <w:rFonts w:eastAsia="Times New Roman"/>
          <w:color w:val="000000"/>
          <w:sz w:val="20"/>
          <w:szCs w:val="20"/>
        </w:rPr>
        <w:t>.</w:t>
      </w:r>
    </w:p>
    <w:p w:rsidR="00000000" w:rsidRDefault="0099260E">
      <w:pPr>
        <w:divId w:val="1787699873"/>
        <w:rPr>
          <w:rFonts w:eastAsia="Times New Roman"/>
        </w:rPr>
      </w:pPr>
    </w:p>
    <w:p w:rsidR="00000000" w:rsidRDefault="0099260E">
      <w:pPr>
        <w:jc w:val="both"/>
        <w:rPr>
          <w:rFonts w:eastAsia="Times New Roman"/>
        </w:rPr>
      </w:pPr>
      <w:r>
        <w:rPr>
          <w:rFonts w:eastAsia="Times New Roman"/>
          <w:b/>
          <w:bCs/>
          <w:i/>
          <w:iCs/>
          <w:color w:val="0D0D0D"/>
          <w:sz w:val="20"/>
          <w:szCs w:val="20"/>
        </w:rPr>
        <w:t>Contract Ba</w:t>
      </w:r>
      <w:r>
        <w:rPr>
          <w:rFonts w:eastAsia="Times New Roman"/>
          <w:b/>
          <w:bCs/>
          <w:i/>
          <w:iCs/>
          <w:color w:val="0D0D0D"/>
          <w:sz w:val="20"/>
          <w:szCs w:val="20"/>
        </w:rPr>
        <w:t>lances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Company does not recognize revenue in advance of invoicing its customers and therefore has no related contract assets.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 receivable is recognized in the period the Company sells its products and when the Company’s right to consideration is u</w:t>
      </w:r>
      <w:r>
        <w:rPr>
          <w:rFonts w:eastAsia="Times New Roman"/>
          <w:color w:val="000000"/>
          <w:sz w:val="20"/>
          <w:szCs w:val="20"/>
        </w:rPr>
        <w:t xml:space="preserve">nconditional. </w:t>
      </w:r>
    </w:p>
    <w:p w:rsidR="00000000" w:rsidRDefault="0099260E">
      <w:pPr>
        <w:jc w:val="both"/>
        <w:rPr>
          <w:rFonts w:eastAsia="Times New Roman"/>
        </w:rPr>
      </w:pPr>
    </w:p>
    <w:p w:rsidR="00000000" w:rsidRDefault="0099260E">
      <w:pPr>
        <w:jc w:val="center"/>
        <w:divId w:val="268508556"/>
        <w:rPr>
          <w:rFonts w:eastAsia="Times New Roman"/>
        </w:rPr>
      </w:pPr>
      <w:r>
        <w:rPr>
          <w:rFonts w:eastAsia="Times New Roman"/>
          <w:color w:val="000000"/>
          <w:sz w:val="20"/>
          <w:szCs w:val="20"/>
        </w:rPr>
        <w:t>- 13 -</w:t>
      </w:r>
    </w:p>
    <w:p w:rsidR="00000000" w:rsidRDefault="0099260E">
      <w:pPr>
        <w:rPr>
          <w:rFonts w:eastAsia="Times New Roman"/>
        </w:rPr>
      </w:pPr>
      <w:r>
        <w:rPr>
          <w:rFonts w:eastAsia="Times New Roman"/>
        </w:rPr>
        <w:pict>
          <v:rect id="_x0000_i1038" style="width:0;height:1.5pt" o:hralign="center" o:hrstd="t" o:hr="t" fillcolor="#a0a0a0" stroked="f"/>
        </w:pict>
      </w:r>
    </w:p>
    <w:p w:rsidR="00000000" w:rsidRDefault="0099260E">
      <w:pPr>
        <w:divId w:val="1528328456"/>
        <w:rPr>
          <w:rFonts w:eastAsia="Times New Roman"/>
        </w:rPr>
      </w:pPr>
    </w:p>
    <w:p w:rsidR="00000000" w:rsidRDefault="0099260E">
      <w:pPr>
        <w:jc w:val="both"/>
        <w:rPr>
          <w:rFonts w:eastAsia="Times New Roman"/>
        </w:rPr>
      </w:pPr>
      <w:r>
        <w:rPr>
          <w:rFonts w:eastAsia="Times New Roman"/>
          <w:color w:val="0D0D0D"/>
          <w:sz w:val="20"/>
          <w:szCs w:val="20"/>
        </w:rPr>
        <w:t>There were no deferred contract costs at September 30, 2021 or December 31, 2020.</w:t>
      </w:r>
    </w:p>
    <w:p w:rsidR="00000000" w:rsidRDefault="0099260E">
      <w:pPr>
        <w:divId w:val="1023745210"/>
        <w:rPr>
          <w:rFonts w:eastAsia="Times New Roman"/>
        </w:rPr>
      </w:pPr>
    </w:p>
    <w:p w:rsidR="00000000" w:rsidRDefault="0099260E">
      <w:pPr>
        <w:jc w:val="both"/>
        <w:rPr>
          <w:rFonts w:eastAsia="Times New Roman"/>
        </w:rPr>
      </w:pPr>
      <w:r>
        <w:rPr>
          <w:rFonts w:eastAsia="Times New Roman"/>
          <w:b/>
          <w:bCs/>
          <w:i/>
          <w:iCs/>
          <w:color w:val="0D0D0D"/>
          <w:sz w:val="20"/>
          <w:szCs w:val="20"/>
        </w:rPr>
        <w:t>Transaction Price Allocated to the Remaining Performance Obligation</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For product sales, the Company generally</w:t>
      </w:r>
      <w:r>
        <w:rPr>
          <w:rFonts w:eastAsia="Times New Roman"/>
          <w:color w:val="000000"/>
          <w:sz w:val="20"/>
          <w:szCs w:val="20"/>
        </w:rPr>
        <w:t xml:space="preserve"> satisfied its performance obligations within the same period the product was delivered. Product sales recognized in 2020 from performance obligations satisfied (or partially satisfied) in previous periods were immaterial.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Company has elected certai</w:t>
      </w:r>
      <w:r>
        <w:rPr>
          <w:rFonts w:eastAsia="Times New Roman"/>
          <w:color w:val="000000"/>
          <w:sz w:val="20"/>
          <w:szCs w:val="20"/>
        </w:rPr>
        <w:t>n of the practical expedients from the disclosure requirement for remaining performance obligations for specific situations in which an entity need not estimate variable consideration to recognize revenue. Accordingly, the Company applies the practical exp</w:t>
      </w:r>
      <w:r>
        <w:rPr>
          <w:rFonts w:eastAsia="Times New Roman"/>
          <w:color w:val="000000"/>
          <w:sz w:val="20"/>
          <w:szCs w:val="20"/>
        </w:rPr>
        <w:t>edient in ASC 606 to its stand-alone contracts and does not disclose information about variable consideration from remaining performance obligations for which the Company recognizes revenue.</w:t>
      </w:r>
    </w:p>
    <w:p w:rsidR="00000000" w:rsidRDefault="0099260E">
      <w:pPr>
        <w:jc w:val="both"/>
        <w:rPr>
          <w:rFonts w:eastAsia="Times New Roman"/>
        </w:rPr>
      </w:pPr>
    </w:p>
    <w:p w:rsidR="00000000" w:rsidRDefault="0099260E">
      <w:pPr>
        <w:jc w:val="both"/>
        <w:divId w:val="253124925"/>
        <w:rPr>
          <w:rFonts w:eastAsia="Times New Roman"/>
        </w:rPr>
      </w:pPr>
      <w:r>
        <w:rPr>
          <w:rFonts w:eastAsia="Times New Roman"/>
          <w:b/>
          <w:bCs/>
          <w:color w:val="000000"/>
          <w:sz w:val="20"/>
          <w:szCs w:val="20"/>
        </w:rPr>
        <w:t>NOTE 5: Fair Value Measurement</w:t>
      </w:r>
    </w:p>
    <w:p w:rsidR="00000000" w:rsidRDefault="0099260E">
      <w:pPr>
        <w:jc w:val="both"/>
        <w:rPr>
          <w:rFonts w:eastAsia="Times New Roman"/>
        </w:rPr>
      </w:pPr>
      <w:r>
        <w:rPr>
          <w:rFonts w:eastAsia="Times New Roman"/>
          <w:color w:val="000000"/>
          <w:sz w:val="20"/>
          <w:szCs w:val="20"/>
        </w:rPr>
        <w:t>The Company is required to measu</w:t>
      </w:r>
      <w:r>
        <w:rPr>
          <w:rFonts w:eastAsia="Times New Roman"/>
          <w:color w:val="000000"/>
          <w:sz w:val="20"/>
          <w:szCs w:val="20"/>
        </w:rPr>
        <w:t>re certain assets and liabilities at fair value, either upon initial recognition or for subsequent accounting or reporting. For example, we use fair value extensively when accounting for and reporting certain financial instruments, when measuring certain c</w:t>
      </w:r>
      <w:r>
        <w:rPr>
          <w:rFonts w:eastAsia="Times New Roman"/>
          <w:color w:val="000000"/>
          <w:sz w:val="20"/>
          <w:szCs w:val="20"/>
        </w:rPr>
        <w:t>ontingent consideration liabilities and in the initial recognition of net assets acquired in a business combination. Fair value is estimated by applying the hierarchy described below, which prioritizes the inputs used to measure fair value into three level</w:t>
      </w:r>
      <w:r>
        <w:rPr>
          <w:rFonts w:eastAsia="Times New Roman"/>
          <w:color w:val="000000"/>
          <w:sz w:val="20"/>
          <w:szCs w:val="20"/>
        </w:rPr>
        <w:t>s and bases the categorization within the hierarchy upon the lowest level of input that is available and significant to the fair value measurement.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ASC 820, “Fair Value Measurements and Disclosures,” </w:t>
      </w:r>
      <w:r>
        <w:rPr>
          <w:rFonts w:eastAsia="Times New Roman"/>
          <w:color w:val="000000"/>
          <w:sz w:val="20"/>
          <w:szCs w:val="20"/>
        </w:rPr>
        <w:t>defines fair value as a market-based measurement that should be determined based on the assumptions that marketplace participants would use in pricing an asset or liability. When estimating fair value, depending on the nature and complexity of the asset or</w:t>
      </w:r>
      <w:r>
        <w:rPr>
          <w:rFonts w:eastAsia="Times New Roman"/>
          <w:color w:val="000000"/>
          <w:sz w:val="20"/>
          <w:szCs w:val="20"/>
        </w:rPr>
        <w:t xml:space="preserve"> liability, we may generally use one or each of the following techniques:  </w:t>
      </w:r>
    </w:p>
    <w:p w:rsidR="00000000" w:rsidRDefault="0099260E">
      <w:pPr>
        <w:jc w:val="both"/>
        <w:rPr>
          <w:rFonts w:eastAsia="Times New Roman"/>
        </w:rPr>
      </w:pPr>
    </w:p>
    <w:p w:rsidR="00000000" w:rsidRDefault="0099260E">
      <w:pPr>
        <w:ind w:hanging="360"/>
        <w:jc w:val="both"/>
        <w:divId w:val="1946109614"/>
        <w:rPr>
          <w:rFonts w:eastAsia="Times New Roman"/>
        </w:rPr>
      </w:pPr>
      <w:r>
        <w:rPr>
          <w:rFonts w:eastAsia="Times New Roman"/>
          <w:color w:val="000000"/>
          <w:sz w:val="20"/>
          <w:szCs w:val="20"/>
        </w:rPr>
        <w:t xml:space="preserve">•Income approach, which is based on the present value of a future stream of net cash flows. </w:t>
      </w:r>
    </w:p>
    <w:p w:rsidR="00000000" w:rsidRDefault="0099260E">
      <w:pPr>
        <w:ind w:hanging="360"/>
        <w:jc w:val="both"/>
        <w:divId w:val="755177147"/>
        <w:rPr>
          <w:rFonts w:eastAsia="Times New Roman"/>
        </w:rPr>
      </w:pPr>
      <w:r>
        <w:rPr>
          <w:rFonts w:eastAsia="Times New Roman"/>
          <w:color w:val="000000"/>
          <w:sz w:val="20"/>
          <w:szCs w:val="20"/>
        </w:rPr>
        <w:t>•Market approach, which is based on market prices and other information from market t</w:t>
      </w:r>
      <w:r>
        <w:rPr>
          <w:rFonts w:eastAsia="Times New Roman"/>
          <w:color w:val="000000"/>
          <w:sz w:val="20"/>
          <w:szCs w:val="20"/>
        </w:rPr>
        <w:t>ransactions involving identical or comparable assets or liabilities.</w:t>
      </w:r>
    </w:p>
    <w:p w:rsidR="00000000" w:rsidRDefault="0099260E">
      <w:pPr>
        <w:jc w:val="both"/>
        <w:divId w:val="618803328"/>
        <w:rPr>
          <w:rFonts w:eastAsia="Times New Roman"/>
        </w:rPr>
      </w:pPr>
      <w:r>
        <w:rPr>
          <w:rFonts w:eastAsia="Times New Roman"/>
          <w:color w:val="000000"/>
          <w:sz w:val="20"/>
          <w:szCs w:val="20"/>
        </w:rPr>
        <w:t>As a basis for considering the assumptions used in these techniques, the standard establishes a three-tier fair value hierarchy which prioritizes the inputs used in measuring fair value a</w:t>
      </w:r>
      <w:r>
        <w:rPr>
          <w:rFonts w:eastAsia="Times New Roman"/>
          <w:color w:val="000000"/>
          <w:sz w:val="20"/>
          <w:szCs w:val="20"/>
        </w:rPr>
        <w:t>s follows:  </w:t>
      </w:r>
    </w:p>
    <w:p w:rsidR="00000000" w:rsidRDefault="0099260E">
      <w:pPr>
        <w:ind w:hanging="360"/>
        <w:jc w:val="both"/>
        <w:divId w:val="1139030350"/>
        <w:rPr>
          <w:rFonts w:eastAsia="Times New Roman"/>
        </w:rPr>
      </w:pPr>
      <w:r>
        <w:rPr>
          <w:rFonts w:eastAsia="Times New Roman"/>
          <w:color w:val="000000"/>
          <w:sz w:val="20"/>
          <w:szCs w:val="20"/>
        </w:rPr>
        <w:t xml:space="preserve">•Level 1 - Quoted prices for identical assets or liabilities in active markets. </w:t>
      </w:r>
    </w:p>
    <w:p w:rsidR="00000000" w:rsidRDefault="0099260E">
      <w:pPr>
        <w:ind w:hanging="360"/>
        <w:jc w:val="both"/>
        <w:divId w:val="2073042216"/>
        <w:rPr>
          <w:rFonts w:eastAsia="Times New Roman"/>
        </w:rPr>
      </w:pPr>
      <w:r>
        <w:rPr>
          <w:rFonts w:eastAsia="Times New Roman"/>
          <w:color w:val="000000"/>
          <w:sz w:val="20"/>
          <w:szCs w:val="20"/>
        </w:rPr>
        <w:t xml:space="preserve">•Level 2 - Quoted prices for similar assets or liabilities in active markets, or quoted prices for identical or similar assets or liabilities in markets that are </w:t>
      </w:r>
      <w:r>
        <w:rPr>
          <w:rFonts w:eastAsia="Times New Roman"/>
          <w:color w:val="000000"/>
          <w:sz w:val="20"/>
          <w:szCs w:val="20"/>
        </w:rPr>
        <w:t xml:space="preserve">not active, or inputs other than quoted prices that are directly or indirectly observable, or inputs that are derived principally from, or corroborated by, observable market data by correlation or other means. </w:t>
      </w:r>
    </w:p>
    <w:p w:rsidR="00000000" w:rsidRDefault="0099260E">
      <w:pPr>
        <w:ind w:hanging="360"/>
        <w:jc w:val="both"/>
        <w:divId w:val="188883214"/>
        <w:rPr>
          <w:rFonts w:eastAsia="Times New Roman"/>
        </w:rPr>
      </w:pPr>
      <w:r>
        <w:rPr>
          <w:rFonts w:eastAsia="Times New Roman"/>
          <w:color w:val="000000"/>
          <w:sz w:val="20"/>
          <w:szCs w:val="20"/>
        </w:rPr>
        <w:t>•Level 3 - Unobservable inputs that reflect e</w:t>
      </w:r>
      <w:r>
        <w:rPr>
          <w:rFonts w:eastAsia="Times New Roman"/>
          <w:color w:val="000000"/>
          <w:sz w:val="20"/>
          <w:szCs w:val="20"/>
        </w:rPr>
        <w:t xml:space="preserve">stimates and assumptions. </w:t>
      </w:r>
    </w:p>
    <w:p w:rsidR="00000000" w:rsidRDefault="0099260E">
      <w:pPr>
        <w:jc w:val="both"/>
        <w:divId w:val="473643138"/>
        <w:rPr>
          <w:rFonts w:eastAsia="Times New Roman"/>
        </w:rPr>
      </w:pPr>
      <w:r>
        <w:rPr>
          <w:rFonts w:eastAsia="Times New Roman"/>
          <w:color w:val="000000"/>
          <w:sz w:val="20"/>
          <w:szCs w:val="20"/>
        </w:rPr>
        <w:t>The following table summarizes the financial instruments measured at fair value on a recurring basis classified in the fair value hierarchy (Level 1, 2 or 3) based on the inputs used for valuation in the accompanying unaudited co</w:t>
      </w:r>
      <w:r>
        <w:rPr>
          <w:rFonts w:eastAsia="Times New Roman"/>
          <w:color w:val="000000"/>
          <w:sz w:val="20"/>
          <w:szCs w:val="20"/>
        </w:rPr>
        <w:t>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trPr>
          <w:divId w:val="570506390"/>
        </w:trPr>
        <w:tc>
          <w:tcPr>
            <w:tcW w:w="50" w:type="pct"/>
            <w:vAlign w:val="center"/>
            <w:hideMark/>
          </w:tcPr>
          <w:p w:rsidR="00000000" w:rsidRDefault="0099260E">
            <w:pPr>
              <w:jc w:val="both"/>
              <w:rPr>
                <w:rFonts w:eastAsia="Times New Roman"/>
              </w:rPr>
            </w:pPr>
          </w:p>
        </w:tc>
        <w:tc>
          <w:tcPr>
            <w:tcW w:w="178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As of 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As of December 31, 2020</w:t>
            </w:r>
          </w:p>
        </w:tc>
      </w:tr>
      <w:tr w:rsidR="00000000">
        <w:trPr>
          <w:divId w:val="57050639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Level 3</w:t>
            </w:r>
          </w:p>
        </w:tc>
      </w:tr>
      <w:tr w:rsidR="00000000">
        <w:trPr>
          <w:divId w:val="57050639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1991014962"/>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6</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88,568 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104,672 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57050639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19,071 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22,155 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570506390"/>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13,462 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18,999 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570506390"/>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3,854 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570506390"/>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88,568 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34,356 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104,672 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45,008 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570506390"/>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570506390"/>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bl>
    <w:p w:rsidR="00000000" w:rsidRDefault="0099260E">
      <w:pPr>
        <w:jc w:val="both"/>
        <w:rPr>
          <w:rFonts w:eastAsia="Times New Roman"/>
        </w:rPr>
      </w:pPr>
    </w:p>
    <w:p w:rsidR="00000000" w:rsidRDefault="0099260E">
      <w:pPr>
        <w:jc w:val="center"/>
        <w:divId w:val="1818493511"/>
        <w:rPr>
          <w:rFonts w:eastAsia="Times New Roman"/>
        </w:rPr>
      </w:pPr>
      <w:r>
        <w:rPr>
          <w:rFonts w:eastAsia="Times New Roman"/>
          <w:color w:val="000000"/>
          <w:sz w:val="20"/>
          <w:szCs w:val="20"/>
        </w:rPr>
        <w:t>- 14 -</w:t>
      </w:r>
    </w:p>
    <w:p w:rsidR="00000000" w:rsidRDefault="0099260E">
      <w:pPr>
        <w:rPr>
          <w:rFonts w:eastAsia="Times New Roman"/>
        </w:rPr>
      </w:pPr>
      <w:r>
        <w:rPr>
          <w:rFonts w:eastAsia="Times New Roman"/>
        </w:rPr>
        <w:pict>
          <v:rect id="_x0000_i1039" style="width:0;height:1.5pt" o:hralign="center" o:hrstd="t" o:hr="t" fillcolor="#a0a0a0" stroked="f"/>
        </w:pict>
      </w:r>
    </w:p>
    <w:p w:rsidR="00000000" w:rsidRDefault="0099260E">
      <w:pPr>
        <w:divId w:val="1875733934"/>
        <w:rPr>
          <w:rFonts w:eastAsia="Times New Roman"/>
        </w:rPr>
      </w:pPr>
    </w:p>
    <w:p w:rsidR="00000000" w:rsidRDefault="0099260E">
      <w:pPr>
        <w:jc w:val="both"/>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w:t>
      </w:r>
      <w:r>
        <w:rPr>
          <w:rFonts w:eastAsia="Times New Roman"/>
          <w:color w:val="000000"/>
          <w:sz w:val="20"/>
          <w:szCs w:val="20"/>
        </w:rPr>
        <w:t>ertain financial assets or liabilities. During the periods ended September 30, 2021 and December 31, 2020, respectively, there were no transfers in and out of Level 1, 2, or 3. During the three and nine months ended September 30, 2021 and 2020, respectivel</w:t>
      </w:r>
      <w:r>
        <w:rPr>
          <w:rFonts w:eastAsia="Times New Roman"/>
          <w:color w:val="000000"/>
          <w:sz w:val="20"/>
          <w:szCs w:val="20"/>
        </w:rPr>
        <w:t xml:space="preserve">y, we did not recognize any allowances for credit losses. </w:t>
      </w:r>
    </w:p>
    <w:p w:rsidR="00000000" w:rsidRDefault="0099260E">
      <w:pPr>
        <w:jc w:val="both"/>
        <w:rPr>
          <w:rFonts w:eastAsia="Times New Roman"/>
        </w:rPr>
      </w:pPr>
    </w:p>
    <w:p w:rsidR="00000000" w:rsidRDefault="0099260E">
      <w:pPr>
        <w:divId w:val="839588391"/>
        <w:rPr>
          <w:rFonts w:eastAsia="Times New Roman"/>
        </w:rPr>
      </w:pPr>
      <w:r>
        <w:rPr>
          <w:rFonts w:eastAsia="Times New Roman"/>
          <w:color w:val="000000"/>
          <w:sz w:val="20"/>
          <w:szCs w:val="20"/>
        </w:rPr>
        <w:t>Some of the Company’</w:t>
      </w:r>
      <w:r>
        <w:rPr>
          <w:rFonts w:eastAsia="Times New Roman"/>
          <w:color w:val="000000"/>
          <w:sz w:val="20"/>
          <w:szCs w:val="20"/>
        </w:rPr>
        <w:t xml:space="preserve">s financial instruments, such as cash and cash equivalents and accounts payable, are reflected in the balance sheet at carrying value, which approximates fair value due to their short-term nature. </w:t>
      </w:r>
    </w:p>
    <w:p w:rsidR="00000000" w:rsidRDefault="0099260E">
      <w:pPr>
        <w:divId w:val="1748768884"/>
        <w:rPr>
          <w:rFonts w:eastAsia="Times New Roman"/>
        </w:rPr>
      </w:pPr>
    </w:p>
    <w:p w:rsidR="00000000" w:rsidRDefault="0099260E">
      <w:pPr>
        <w:divId w:val="903830460"/>
        <w:rPr>
          <w:rFonts w:eastAsia="Times New Roman"/>
        </w:rPr>
      </w:pPr>
      <w:r>
        <w:rPr>
          <w:rFonts w:eastAsia="Times New Roman"/>
          <w:b/>
          <w:bCs/>
          <w:color w:val="000000"/>
          <w:sz w:val="20"/>
          <w:szCs w:val="20"/>
        </w:rPr>
        <w:t>Debt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estimate the fair value of our $143,750 aggreg</w:t>
      </w:r>
      <w:r>
        <w:rPr>
          <w:rFonts w:eastAsia="Times New Roman"/>
          <w:color w:val="000000"/>
          <w:sz w:val="20"/>
          <w:szCs w:val="20"/>
        </w:rPr>
        <w:t xml:space="preserve">ate principal amount of the 2023 Notes based on interest rates that would be currently available to the Company for issuance of similar types of debt instruments with similar terms and remaining maturities or recent trading prices obtained from brokers (a </w:t>
      </w:r>
      <w:r>
        <w:rPr>
          <w:rFonts w:eastAsia="Times New Roman"/>
          <w:color w:val="000000"/>
          <w:sz w:val="20"/>
          <w:szCs w:val="20"/>
        </w:rPr>
        <w:t>Level 2 input). The estimated fair value of the 2023 Notes at September 30, 2021 is $166,570.</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9: Long-Term Debt</w:t>
      </w:r>
      <w:r>
        <w:rPr>
          <w:rFonts w:eastAsia="Times New Roman"/>
          <w:color w:val="000000"/>
          <w:sz w:val="20"/>
          <w:szCs w:val="20"/>
        </w:rPr>
        <w:t xml:space="preserve"> for additional information regarding our debt obligations.</w:t>
      </w:r>
    </w:p>
    <w:p w:rsidR="00000000" w:rsidRDefault="0099260E">
      <w:pPr>
        <w:jc w:val="both"/>
        <w:rPr>
          <w:rFonts w:eastAsia="Times New Roman"/>
        </w:rPr>
      </w:pPr>
    </w:p>
    <w:p w:rsidR="00000000" w:rsidRDefault="0099260E">
      <w:pPr>
        <w:jc w:val="both"/>
        <w:divId w:val="1760517251"/>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99260E">
      <w:pPr>
        <w:jc w:val="both"/>
        <w:divId w:val="922445581"/>
        <w:rPr>
          <w:rFonts w:eastAsia="Times New Roman"/>
        </w:rPr>
      </w:pPr>
      <w:r>
        <w:rPr>
          <w:rFonts w:eastAsia="Times New Roman"/>
          <w:color w:val="000000"/>
          <w:sz w:val="20"/>
          <w:szCs w:val="20"/>
        </w:rPr>
        <w:t>The Company has investments in available-</w:t>
      </w:r>
      <w:r>
        <w:rPr>
          <w:rFonts w:eastAsia="Times New Roman"/>
          <w:color w:val="000000"/>
          <w:sz w:val="20"/>
          <w:szCs w:val="20"/>
        </w:rPr>
        <w:t>for-sale debt securities which are recorded at fair market value. The change in the fair value of equity investments is recognized in our unaudited condensed consolidated statements of (loss) income and the change in the fair value of available-for-sale de</w:t>
      </w:r>
      <w:r>
        <w:rPr>
          <w:rFonts w:eastAsia="Times New Roman"/>
          <w:color w:val="000000"/>
          <w:sz w:val="20"/>
          <w:szCs w:val="20"/>
        </w:rPr>
        <w:t>bt investments is recorded as other comprehensive loss in shareholders’ equity, net of income tax effects. As of September 30, 2021, we considered any decreases in fair value on our marketable securities to be driven by factors other than credit risk, incl</w:t>
      </w:r>
      <w:r>
        <w:rPr>
          <w:rFonts w:eastAsia="Times New Roman"/>
          <w:color w:val="000000"/>
          <w:sz w:val="20"/>
          <w:szCs w:val="20"/>
        </w:rPr>
        <w:t xml:space="preserve">uding market risk. </w:t>
      </w:r>
    </w:p>
    <w:p w:rsidR="00000000" w:rsidRDefault="0099260E">
      <w:pPr>
        <w:jc w:val="both"/>
        <w:rPr>
          <w:rFonts w:eastAsia="Times New Roman"/>
        </w:rPr>
      </w:pPr>
      <w:r>
        <w:rPr>
          <w:rFonts w:eastAsia="Times New Roman"/>
          <w:color w:val="000000"/>
          <w:sz w:val="20"/>
          <w:szCs w:val="20"/>
        </w:rPr>
        <w:t>The following tables show the Company’s available-for-sale securities’ adjusted cost, gross unrealized gains, gross unrealized losses and fair value by significant investment category as of September 30, 2021 and December 31, 2020, resp</w:t>
      </w:r>
      <w:r>
        <w:rPr>
          <w:rFonts w:eastAsia="Times New Roman"/>
          <w:color w:val="000000"/>
          <w:sz w:val="20"/>
          <w:szCs w:val="20"/>
        </w:rPr>
        <w:t>ectively:</w:t>
      </w:r>
    </w:p>
    <w:p w:rsidR="00000000" w:rsidRDefault="0099260E">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c>
          <w:tcPr>
            <w:tcW w:w="50" w:type="pct"/>
            <w:vAlign w:val="center"/>
            <w:hideMark/>
          </w:tcPr>
          <w:p w:rsidR="00000000" w:rsidRDefault="0099260E">
            <w:pPr>
              <w:jc w:val="both"/>
              <w:rPr>
                <w:rFonts w:eastAsia="Times New Roman"/>
              </w:rPr>
            </w:pPr>
          </w:p>
        </w:tc>
        <w:tc>
          <w:tcPr>
            <w:tcW w:w="233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87,965 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1,083 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88,568 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18,935 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19,071 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13,503 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13,462 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1,818 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1,823 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122,221 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122,924 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divId w:val="697197974"/>
        <w:rPr>
          <w:rFonts w:eastAsia="Times New Roman"/>
          <w:vanish/>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rPr>
          <w:divId w:val="697197974"/>
        </w:trPr>
        <w:tc>
          <w:tcPr>
            <w:tcW w:w="50" w:type="pct"/>
            <w:vAlign w:val="center"/>
            <w:hideMark/>
          </w:tcPr>
          <w:p w:rsidR="00000000" w:rsidRDefault="0099260E">
            <w:pPr>
              <w:jc w:val="both"/>
              <w:rPr>
                <w:rFonts w:eastAsia="Times New Roman"/>
              </w:rPr>
            </w:pPr>
          </w:p>
        </w:tc>
        <w:tc>
          <w:tcPr>
            <w:tcW w:w="233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697197974"/>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69719797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Fair Value</w:t>
            </w:r>
          </w:p>
        </w:tc>
      </w:tr>
      <w:tr w:rsidR="00000000">
        <w:trPr>
          <w:divId w:val="69719797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697197974"/>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69719797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103,404 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697197974"/>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21,811 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69719797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18,849 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697197974"/>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3,839 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697197974"/>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147,903 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divId w:val="1187594456"/>
        <w:rPr>
          <w:rFonts w:eastAsia="Times New Roman"/>
        </w:rPr>
      </w:pPr>
      <w:r>
        <w:rPr>
          <w:rFonts w:eastAsia="Times New Roman"/>
          <w:color w:val="000000"/>
          <w:sz w:val="20"/>
          <w:szCs w:val="20"/>
        </w:rPr>
        <w:t>We determine realized gains or losses on the sale of marketable securities on a specific identification method. We reflect these gains and losses as a component of investment and other income (expense), net in the accompanying unaudited condensed consolida</w:t>
      </w:r>
      <w:r>
        <w:rPr>
          <w:rFonts w:eastAsia="Times New Roman"/>
          <w:color w:val="000000"/>
          <w:sz w:val="20"/>
          <w:szCs w:val="20"/>
        </w:rPr>
        <w:t>ted statements of (loss) income.</w:t>
      </w:r>
    </w:p>
    <w:p w:rsidR="00000000" w:rsidRDefault="0099260E">
      <w:pPr>
        <w:jc w:val="both"/>
        <w:rPr>
          <w:rFonts w:eastAsia="Times New Roman"/>
        </w:rPr>
      </w:pPr>
      <w:r>
        <w:rPr>
          <w:rFonts w:eastAsia="Times New Roman"/>
          <w:color w:val="000000"/>
          <w:sz w:val="20"/>
          <w:szCs w:val="20"/>
        </w:rPr>
        <w:t>We recognized gross realized gains of $22 and $136 for the three months ended September 30, 2021 and 2020, respectively. These realized gains were offset by realized losses of $66 and $8 for the three months ended September</w:t>
      </w:r>
      <w:r>
        <w:rPr>
          <w:rFonts w:eastAsia="Times New Roman"/>
          <w:color w:val="000000"/>
          <w:sz w:val="20"/>
          <w:szCs w:val="20"/>
        </w:rPr>
        <w:t> 30, 2021 and 2020, respectively. We recognized gross realized gains of $74 and $426 for the nine months ended September 30, 2021 and 2020, respectively. These realized gains were offset by realized losses of $173 and $886 for the nine months ended Septemb</w:t>
      </w:r>
      <w:r>
        <w:rPr>
          <w:rFonts w:eastAsia="Times New Roman"/>
          <w:color w:val="000000"/>
          <w:sz w:val="20"/>
          <w:szCs w:val="20"/>
        </w:rPr>
        <w:t xml:space="preserve">er 30, 2021 and 2020, respectively. </w:t>
      </w:r>
    </w:p>
    <w:p w:rsidR="00000000" w:rsidRDefault="0099260E">
      <w:pPr>
        <w:jc w:val="both"/>
        <w:rPr>
          <w:rFonts w:eastAsia="Times New Roman"/>
        </w:rPr>
      </w:pPr>
    </w:p>
    <w:p w:rsidR="00000000" w:rsidRDefault="0099260E">
      <w:pPr>
        <w:jc w:val="center"/>
        <w:divId w:val="1197692900"/>
        <w:rPr>
          <w:rFonts w:eastAsia="Times New Roman"/>
        </w:rPr>
      </w:pPr>
      <w:r>
        <w:rPr>
          <w:rFonts w:eastAsia="Times New Roman"/>
          <w:color w:val="000000"/>
          <w:sz w:val="20"/>
          <w:szCs w:val="20"/>
        </w:rPr>
        <w:t>- 15 -</w:t>
      </w:r>
    </w:p>
    <w:p w:rsidR="00000000" w:rsidRDefault="0099260E">
      <w:pPr>
        <w:rPr>
          <w:rFonts w:eastAsia="Times New Roman"/>
        </w:rPr>
      </w:pPr>
      <w:r>
        <w:rPr>
          <w:rFonts w:eastAsia="Times New Roman"/>
        </w:rPr>
        <w:pict>
          <v:rect id="_x0000_i1040" style="width:0;height:1.5pt" o:hralign="center" o:hrstd="t" o:hr="t" fillcolor="#a0a0a0" stroked="f"/>
        </w:pict>
      </w:r>
    </w:p>
    <w:p w:rsidR="00000000" w:rsidRDefault="0099260E">
      <w:pPr>
        <w:divId w:val="2054497062"/>
        <w:rPr>
          <w:rFonts w:eastAsia="Times New Roman"/>
        </w:rPr>
      </w:pPr>
    </w:p>
    <w:p w:rsidR="00000000" w:rsidRDefault="0099260E">
      <w:pPr>
        <w:jc w:val="both"/>
        <w:rPr>
          <w:rFonts w:eastAsia="Times New Roman"/>
        </w:rPr>
      </w:pPr>
      <w:r>
        <w:rPr>
          <w:rFonts w:eastAsia="Times New Roman"/>
          <w:color w:val="000000"/>
          <w:sz w:val="20"/>
          <w:szCs w:val="20"/>
        </w:rPr>
        <w:t>The following table summarizes the estimated fair value of our investments in marketable debt securities, accounted for as available-for-sale debt securities and classified by the contractual maturity date of the securities as of September 30, 2021:</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tc>
          <w:tcPr>
            <w:tcW w:w="50" w:type="pct"/>
            <w:vAlign w:val="center"/>
            <w:hideMark/>
          </w:tcPr>
          <w:p w:rsidR="00000000" w:rsidRDefault="0099260E">
            <w:pPr>
              <w:jc w:val="both"/>
              <w:rPr>
                <w:rFonts w:eastAsia="Times New Roman"/>
              </w:rPr>
            </w:pPr>
          </w:p>
        </w:tc>
        <w:tc>
          <w:tcPr>
            <w:tcW w:w="167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Maturities</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Total</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4,733 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14,012 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19,071 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10,915 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1,294 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13,462 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1,170 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653 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26,097 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34,356 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have classified our investment in available-for-sale marketable debt securities as current assets in the unaudited condensed consolidated balance sheets as the securities need to be available for use, if required, t</w:t>
      </w:r>
      <w:r>
        <w:rPr>
          <w:rFonts w:eastAsia="Times New Roman"/>
          <w:color w:val="000000"/>
          <w:sz w:val="20"/>
          <w:szCs w:val="20"/>
        </w:rPr>
        <w:t xml:space="preserve">o fund current operations. There are no restrictions on the sale of any securities in our investment portfolio.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Total gross unrealized losses of our available-for-sale debt securities at September 30, 2021 were immaterial. The unrealized losses are driv</w:t>
      </w:r>
      <w:r>
        <w:rPr>
          <w:rFonts w:eastAsia="Times New Roman"/>
          <w:color w:val="000000"/>
          <w:sz w:val="20"/>
          <w:szCs w:val="20"/>
        </w:rPr>
        <w:t xml:space="preserve">en by factors other than credit risk and have been in an unrealized loss position for less than one year. We do not intend to sell the investments and it is not more likely than not that we will be required to sell the investments before recovery of their </w:t>
      </w:r>
      <w:r>
        <w:rPr>
          <w:rFonts w:eastAsia="Times New Roman"/>
          <w:color w:val="000000"/>
          <w:sz w:val="20"/>
          <w:szCs w:val="20"/>
        </w:rPr>
        <w:t>amortized cost bases.</w:t>
      </w:r>
    </w:p>
    <w:p w:rsidR="00000000" w:rsidRDefault="0099260E">
      <w:pPr>
        <w:jc w:val="both"/>
        <w:rPr>
          <w:rFonts w:eastAsia="Times New Roman"/>
        </w:rPr>
      </w:pPr>
    </w:p>
    <w:p w:rsidR="00000000" w:rsidRDefault="0099260E">
      <w:pPr>
        <w:divId w:val="937251461"/>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Goodwill and Intangible Assets</w:t>
      </w:r>
    </w:p>
    <w:p w:rsidR="00000000" w:rsidRDefault="0099260E">
      <w:pPr>
        <w:jc w:val="both"/>
        <w:rPr>
          <w:rFonts w:eastAsia="Times New Roman"/>
        </w:rPr>
      </w:pPr>
      <w:r>
        <w:rPr>
          <w:rFonts w:eastAsia="Times New Roman"/>
          <w:color w:val="000000"/>
          <w:sz w:val="20"/>
          <w:szCs w:val="20"/>
        </w:rPr>
        <w:t>The Company’s goodwill is $16,836 at September 30, 2021 and December 31, 2020.</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Company recorded amortization expense related to an amortizable intangible asset that was assumed by the Exe</w:t>
      </w:r>
      <w:r>
        <w:rPr>
          <w:rFonts w:eastAsia="Times New Roman"/>
          <w:color w:val="000000"/>
          <w:sz w:val="20"/>
          <w:szCs w:val="20"/>
        </w:rPr>
        <w:t xml:space="preserve">la Buyer as part of the disposition of the Hospital Products on June 30, 2020 of $406 for the nine months ended September 30, 2020. Refer to </w:t>
      </w:r>
      <w:r>
        <w:rPr>
          <w:rFonts w:eastAsia="Times New Roman"/>
          <w:i/>
          <w:iCs/>
          <w:color w:val="000000"/>
          <w:sz w:val="20"/>
          <w:szCs w:val="20"/>
        </w:rPr>
        <w:t>Note 3: Disposition of the Hospital Products</w:t>
      </w:r>
      <w:r>
        <w:rPr>
          <w:rFonts w:eastAsia="Times New Roman"/>
          <w:color w:val="000000"/>
          <w:sz w:val="20"/>
          <w:szCs w:val="20"/>
        </w:rPr>
        <w:t xml:space="preserve">. There was no amortization expense recorded during the three and nine </w:t>
      </w:r>
      <w:r>
        <w:rPr>
          <w:rFonts w:eastAsia="Times New Roman"/>
          <w:color w:val="000000"/>
          <w:sz w:val="20"/>
          <w:szCs w:val="20"/>
        </w:rPr>
        <w:t>months ended September 30, 2021 and the three months ended September 30, 2020.</w:t>
      </w:r>
    </w:p>
    <w:p w:rsidR="00000000" w:rsidRDefault="0099260E">
      <w:pPr>
        <w:jc w:val="both"/>
        <w:rPr>
          <w:rFonts w:eastAsia="Times New Roman"/>
        </w:rPr>
      </w:pPr>
    </w:p>
    <w:p w:rsidR="00000000" w:rsidRDefault="0099260E">
      <w:pPr>
        <w:divId w:val="1592009635"/>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Contingent Consideration Payable </w:t>
      </w:r>
    </w:p>
    <w:p w:rsidR="00000000" w:rsidRDefault="0099260E">
      <w:pPr>
        <w:jc w:val="both"/>
        <w:rPr>
          <w:rFonts w:eastAsia="Times New Roman"/>
        </w:rPr>
      </w:pPr>
      <w:r>
        <w:rPr>
          <w:rFonts w:eastAsia="Times New Roman"/>
          <w:color w:val="000000"/>
          <w:sz w:val="20"/>
          <w:szCs w:val="20"/>
        </w:rPr>
        <w:t>Prior to the sale of the Hospital Products on June 30, 2020, we computed the fair value of the contingent consideration using several</w:t>
      </w:r>
      <w:r>
        <w:rPr>
          <w:rFonts w:eastAsia="Times New Roman"/>
          <w:color w:val="000000"/>
          <w:sz w:val="20"/>
          <w:szCs w:val="20"/>
        </w:rPr>
        <w:t xml:space="preserve"> significant assumptions and when those assumptions changed, due to underlying market conditions, the fair value of these liabilities changed as well. Each of the underlying assumptions used to determine the fair values of these contingent liabilities coul</w:t>
      </w:r>
      <w:r>
        <w:rPr>
          <w:rFonts w:eastAsia="Times New Roman"/>
          <w:color w:val="000000"/>
          <w:sz w:val="20"/>
          <w:szCs w:val="20"/>
        </w:rPr>
        <w:t>d, and often did, change based on adjustments in current market conditions, competition and other factors. Prior to the sale of the Hospital Products, these changes had a material impact on our unaudited condensed consolidated statements of (loss) income a</w:t>
      </w:r>
      <w:r>
        <w:rPr>
          <w:rFonts w:eastAsia="Times New Roman"/>
          <w:color w:val="000000"/>
          <w:sz w:val="20"/>
          <w:szCs w:val="20"/>
        </w:rPr>
        <w:t>nd balance sheets. As part of the sale of the Hospital Products on June 30, 2020, the Exela Buyer assumed and will pay, perform, satisfy and discharge the liabilities and obligations of Avadel Legacy and the Company under the Deerfield Royalty Agreement. A</w:t>
      </w:r>
      <w:r>
        <w:rPr>
          <w:rFonts w:eastAsia="Times New Roman"/>
          <w:color w:val="000000"/>
          <w:sz w:val="20"/>
          <w:szCs w:val="20"/>
        </w:rPr>
        <w:t xml:space="preserve">s of September 30, 2021 and December 31, 2020, the balance of the contingent consideration payable is $0.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following table summarizes changes to the contingent consideration payable, a recurring Level 3 measurement, for the nine-month period ended Se</w:t>
      </w:r>
      <w:r>
        <w:rPr>
          <w:rFonts w:eastAsia="Times New Roman"/>
          <w:color w:val="000000"/>
          <w:sz w:val="20"/>
          <w:szCs w:val="20"/>
        </w:rPr>
        <w:t>ptember 30, 2020:</w:t>
      </w:r>
    </w:p>
    <w:p w:rsidR="00000000" w:rsidRDefault="0099260E">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tc>
          <w:tcPr>
            <w:tcW w:w="50" w:type="pct"/>
            <w:vAlign w:val="center"/>
            <w:hideMark/>
          </w:tcPr>
          <w:p w:rsidR="00000000" w:rsidRDefault="0099260E">
            <w:pPr>
              <w:jc w:val="both"/>
              <w:rPr>
                <w:rFonts w:eastAsia="Times New Roman"/>
              </w:rPr>
            </w:pPr>
          </w:p>
        </w:tc>
        <w:tc>
          <w:tcPr>
            <w:tcW w:w="393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92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Contingent Consideration Payable Rollforward:</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Balance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17,327 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Payments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(6,189)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847795360"/>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3,762 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(14,900)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Balance, September 30, 2020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ind w:hanging="180"/>
        <w:jc w:val="both"/>
        <w:rPr>
          <w:rFonts w:eastAsia="Times New Roman"/>
        </w:rPr>
      </w:pPr>
    </w:p>
    <w:p w:rsidR="00000000" w:rsidRDefault="0099260E">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Fair value adjustments are reported as changes in fair value of contingent consideration and other expense - changes in fair value of contingent consideration payable in the unaudited condensed consolidated statements of (loss) income.</w:t>
      </w:r>
    </w:p>
    <w:p w:rsidR="00000000" w:rsidRDefault="0099260E">
      <w:pPr>
        <w:ind w:hanging="180"/>
        <w:jc w:val="both"/>
        <w:rPr>
          <w:rFonts w:eastAsia="Times New Roman"/>
        </w:rPr>
      </w:pPr>
    </w:p>
    <w:p w:rsidR="00000000" w:rsidRDefault="0099260E">
      <w:pPr>
        <w:jc w:val="center"/>
        <w:divId w:val="110365335"/>
        <w:rPr>
          <w:rFonts w:eastAsia="Times New Roman"/>
        </w:rPr>
      </w:pPr>
      <w:r>
        <w:rPr>
          <w:rFonts w:eastAsia="Times New Roman"/>
          <w:color w:val="000000"/>
          <w:sz w:val="20"/>
          <w:szCs w:val="20"/>
        </w:rPr>
        <w:t>- 16 -</w:t>
      </w:r>
    </w:p>
    <w:p w:rsidR="00000000" w:rsidRDefault="0099260E">
      <w:pPr>
        <w:rPr>
          <w:rFonts w:eastAsia="Times New Roman"/>
        </w:rPr>
      </w:pPr>
      <w:r>
        <w:rPr>
          <w:rFonts w:eastAsia="Times New Roman"/>
        </w:rPr>
        <w:pict>
          <v:rect id="_x0000_i1041" style="width:0;height:1.5pt" o:hralign="center" o:hrstd="t" o:hr="t" fillcolor="#a0a0a0" stroked="f"/>
        </w:pict>
      </w:r>
    </w:p>
    <w:p w:rsidR="00000000" w:rsidRDefault="0099260E">
      <w:pPr>
        <w:divId w:val="1522011065"/>
        <w:rPr>
          <w:rFonts w:eastAsia="Times New Roman"/>
        </w:rPr>
      </w:pPr>
    </w:p>
    <w:p w:rsidR="00000000" w:rsidRDefault="0099260E">
      <w:pPr>
        <w:divId w:val="1638413421"/>
        <w:rPr>
          <w:rFonts w:eastAsia="Times New Roman"/>
        </w:rPr>
      </w:pPr>
      <w:r>
        <w:rPr>
          <w:rFonts w:eastAsia="Times New Roman"/>
          <w:b/>
          <w:bCs/>
          <w:color w:val="000000"/>
          <w:sz w:val="20"/>
          <w:szCs w:val="20"/>
        </w:rPr>
        <w:t>NOTE 9: Long-Term Debt</w:t>
      </w:r>
    </w:p>
    <w:p w:rsidR="00000000" w:rsidRDefault="0099260E">
      <w:pPr>
        <w:divId w:val="1326202356"/>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787"/>
        <w:gridCol w:w="36"/>
        <w:gridCol w:w="36"/>
        <w:gridCol w:w="36"/>
        <w:gridCol w:w="36"/>
        <w:gridCol w:w="111"/>
        <w:gridCol w:w="1448"/>
        <w:gridCol w:w="36"/>
        <w:gridCol w:w="36"/>
        <w:gridCol w:w="36"/>
        <w:gridCol w:w="36"/>
        <w:gridCol w:w="111"/>
        <w:gridCol w:w="1448"/>
        <w:gridCol w:w="36"/>
      </w:tblGrid>
      <w:tr w:rsidR="00000000">
        <w:trPr>
          <w:divId w:val="1148672948"/>
          <w:jc w:val="center"/>
        </w:trPr>
        <w:tc>
          <w:tcPr>
            <w:tcW w:w="50" w:type="pct"/>
            <w:vAlign w:val="center"/>
            <w:hideMark/>
          </w:tcPr>
          <w:p w:rsidR="00000000" w:rsidRDefault="0099260E">
            <w:pPr>
              <w:rPr>
                <w:rFonts w:eastAsia="Times New Roman"/>
              </w:rPr>
            </w:pPr>
          </w:p>
        </w:tc>
        <w:tc>
          <w:tcPr>
            <w:tcW w:w="291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92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921"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148672948"/>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1148672948"/>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1640302231"/>
              <w:rPr>
                <w:rFonts w:eastAsia="Times New Roman"/>
              </w:rPr>
            </w:pPr>
            <w:r>
              <w:rPr>
                <w:rFonts w:eastAsia="Times New Roman"/>
                <w:color w:val="000000"/>
                <w:sz w:val="18"/>
                <w:szCs w:val="18"/>
              </w:rPr>
              <w:t>Principal amount of 4.50% exchangeable senior notes due 2023</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48672948"/>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(1,664)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(15,540)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48672948"/>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142,086 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48672948"/>
          <w:jc w:val="center"/>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148672948"/>
          <w:jc w:val="center"/>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148672948"/>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48672948"/>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142,086 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4867294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148672948"/>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148672948"/>
          <w:jc w:val="center"/>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center"/>
        <w:rPr>
          <w:rFonts w:eastAsia="Times New Roman"/>
        </w:rPr>
      </w:pPr>
    </w:p>
    <w:p w:rsidR="00000000" w:rsidRDefault="0099260E">
      <w:pPr>
        <w:jc w:val="both"/>
        <w:rPr>
          <w:rFonts w:eastAsia="Times New Roman"/>
        </w:rPr>
      </w:pPr>
      <w:r>
        <w:rPr>
          <w:rFonts w:eastAsia="Times New Roman"/>
          <w:color w:val="000000"/>
          <w:sz w:val="20"/>
          <w:szCs w:val="20"/>
        </w:rPr>
        <w:t>For the three months ended September 30, 2021 and 2020, the total interest expense was $1,929 and $3,259, respectively, with coupon interest expense of $1,617 for each period and the amortization of debt issuance costs and debt discount of $312 and $1,642,</w:t>
      </w:r>
      <w:r>
        <w:rPr>
          <w:rFonts w:eastAsia="Times New Roman"/>
          <w:color w:val="000000"/>
          <w:sz w:val="20"/>
          <w:szCs w:val="20"/>
        </w:rPr>
        <w:t xml:space="preserve"> respectively.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For the nine months ended September 30, 2021 and 2020, the total interest expense was $5,788 and $9,686, respectively, with coupon interest expense of $4,851 </w:t>
      </w:r>
      <w:r>
        <w:rPr>
          <w:rFonts w:eastAsia="Times New Roman"/>
          <w:color w:val="000000"/>
          <w:sz w:val="20"/>
          <w:szCs w:val="20"/>
        </w:rPr>
        <w:t xml:space="preserve">for each period and the amortization of debt issuance costs and debt discount of $937 and $4,835, respectively.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As described in </w:t>
      </w:r>
      <w:r>
        <w:rPr>
          <w:rFonts w:eastAsia="Times New Roman"/>
          <w:i/>
          <w:iCs/>
          <w:color w:val="000000"/>
          <w:sz w:val="20"/>
          <w:szCs w:val="20"/>
        </w:rPr>
        <w:t>Note 2: Newly Issued Accounting Standards</w:t>
      </w:r>
      <w:r>
        <w:rPr>
          <w:rFonts w:eastAsia="Times New Roman"/>
          <w:color w:val="000000"/>
          <w:sz w:val="20"/>
          <w:szCs w:val="20"/>
        </w:rPr>
        <w:t>, the Company elected to early adopt ASU 2020-06 as of January 1, 2021 using a modif</w:t>
      </w:r>
      <w:r>
        <w:rPr>
          <w:rFonts w:eastAsia="Times New Roman"/>
          <w:color w:val="000000"/>
          <w:sz w:val="20"/>
          <w:szCs w:val="20"/>
        </w:rPr>
        <w:t xml:space="preserve">ied retrospective method. The adoption resulted in a $12,939 increase in long-term debt and a $26,699 decrease in the equity component of the 2023 Notes.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2023 Notes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February 16, 2018, Avadel Finance Cayman Limited, a Cayman Islands exempted company</w:t>
      </w:r>
      <w:r>
        <w:rPr>
          <w:rFonts w:eastAsia="Times New Roman"/>
          <w:color w:val="000000"/>
          <w:sz w:val="20"/>
          <w:szCs w:val="20"/>
        </w:rPr>
        <w:t xml:space="preserve"> and an indirect wholly-owned subsidiary of the Company (the “Issuer”), issued $125,000 aggregate principal amount of 4.50% exchangeable senior notes due 2023 (the “2023 Notes”) in a private placement (the “Offering”) to qualified institutional buyers purs</w:t>
      </w:r>
      <w:r>
        <w:rPr>
          <w:rFonts w:eastAsia="Times New Roman"/>
          <w:color w:val="000000"/>
          <w:sz w:val="20"/>
          <w:szCs w:val="20"/>
        </w:rPr>
        <w:t>uant to Rule 144A under the Securities Act. In connection with the Offering, the Issuer granted the initial purchasers of the 2023 Notes a 30-day option to purchase up to an additional $18,750 aggregate principal amount of the 2023 Notes, which was fully e</w:t>
      </w:r>
      <w:r>
        <w:rPr>
          <w:rFonts w:eastAsia="Times New Roman"/>
          <w:color w:val="000000"/>
          <w:sz w:val="20"/>
          <w:szCs w:val="20"/>
        </w:rPr>
        <w:t>xercised on February 16, 2018. Net proceeds received by the Company, after issuance costs and discounts of $6,190, were approximately $137,560. The 2023 Notes are the Company’s senior unsecured obligations and rank equally in right of payment with all of t</w:t>
      </w:r>
      <w:r>
        <w:rPr>
          <w:rFonts w:eastAsia="Times New Roman"/>
          <w:color w:val="000000"/>
          <w:sz w:val="20"/>
          <w:szCs w:val="20"/>
        </w:rPr>
        <w:t>he Company’s existing and future senior unsecured indebtedness and effectively junior to any of the Company’s existing and future secured indebtedness, to the extent of the value of the assets securing such indebtedness.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2023 Notes will be exchangeab</w:t>
      </w:r>
      <w:r>
        <w:rPr>
          <w:rFonts w:eastAsia="Times New Roman"/>
          <w:color w:val="000000"/>
          <w:sz w:val="20"/>
          <w:szCs w:val="20"/>
        </w:rPr>
        <w:t>le at the option of the holders at an initial exchange rate of 92.6956 ADSs per $1 principal amount of 2023 Notes, which is equivalent to an initial exchange price of approximately $10.79 per ADS. Such initial exchange price represents a premium of approxi</w:t>
      </w:r>
      <w:r>
        <w:rPr>
          <w:rFonts w:eastAsia="Times New Roman"/>
          <w:color w:val="000000"/>
          <w:sz w:val="20"/>
          <w:szCs w:val="20"/>
        </w:rPr>
        <w:t>mately 20% to the $8.99 per ADS closing price on The Nasdaq Global Market on February 13, 2018. Upon the exchange of any 2023 Notes, the Issuer will pay or cause to be delivered, as the case may be, cash, ADSs or a combination of cash and ADSs, at the Issu</w:t>
      </w:r>
      <w:r>
        <w:rPr>
          <w:rFonts w:eastAsia="Times New Roman"/>
          <w:color w:val="000000"/>
          <w:sz w:val="20"/>
          <w:szCs w:val="20"/>
        </w:rPr>
        <w:t>er’s election. Holders of the 2023 Notes may convert their 2023 Notes, at their option, only under the following circumstances prior to the close of business on the business day immediately preceding August 1, 2022, under the circumstances and during the p</w:t>
      </w:r>
      <w:r>
        <w:rPr>
          <w:rFonts w:eastAsia="Times New Roman"/>
          <w:color w:val="000000"/>
          <w:sz w:val="20"/>
          <w:szCs w:val="20"/>
        </w:rPr>
        <w:t>eriods set forth below and regardless of the conditions described below, on or after August 1, 2022 and prior to the close of business on the business day immediately preceding the maturity date:</w:t>
      </w:r>
    </w:p>
    <w:p w:rsidR="00000000" w:rsidRDefault="0099260E">
      <w:pPr>
        <w:divId w:val="1002394508"/>
        <w:rPr>
          <w:rFonts w:eastAsia="Times New Roman"/>
        </w:rPr>
      </w:pPr>
    </w:p>
    <w:p w:rsidR="00000000" w:rsidRDefault="0099260E">
      <w:pPr>
        <w:ind w:hanging="360"/>
        <w:jc w:val="both"/>
        <w:rPr>
          <w:rFonts w:eastAsia="Times New Roman"/>
        </w:rPr>
      </w:pPr>
      <w:r>
        <w:rPr>
          <w:rFonts w:eastAsia="Times New Roman"/>
          <w:color w:val="000000"/>
          <w:sz w:val="20"/>
          <w:szCs w:val="20"/>
        </w:rPr>
        <w:t>•Prior to the close of business on the business day immedi</w:t>
      </w:r>
      <w:r>
        <w:rPr>
          <w:rFonts w:eastAsia="Times New Roman"/>
          <w:color w:val="000000"/>
          <w:sz w:val="20"/>
          <w:szCs w:val="20"/>
        </w:rPr>
        <w:t>ately preceding August 1, 2022, a holder of the 2023 Notes may surrender all or any portion of its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w:t>
      </w:r>
      <w:r>
        <w:rPr>
          <w:rFonts w:eastAsia="Times New Roman"/>
          <w:color w:val="000000"/>
          <w:sz w:val="20"/>
          <w:szCs w:val="20"/>
        </w:rPr>
        <w:t>in which the trading price per $1 principal amount of 2023 Notes, as determined following a request by a holder of the 2023 Notes, for each trading day of the measurement period was less than 98% of the product of the last reported sale price of the ADSs a</w:t>
      </w:r>
      <w:r>
        <w:rPr>
          <w:rFonts w:eastAsia="Times New Roman"/>
          <w:color w:val="000000"/>
          <w:sz w:val="20"/>
          <w:szCs w:val="20"/>
        </w:rPr>
        <w:t>nd the exchange rate on each such trading day.</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color w:val="000000"/>
          <w:sz w:val="20"/>
          <w:szCs w:val="20"/>
        </w:rPr>
        <w:t xml:space="preserve">•If a transaction or event that constitutes a fundamental change or a make-whole fundamental change occurs prior to the close of business on the business day immediately preceding August 1, 2022, regardless </w:t>
      </w:r>
      <w:r>
        <w:rPr>
          <w:rFonts w:eastAsia="Times New Roman"/>
          <w:color w:val="000000"/>
          <w:sz w:val="20"/>
          <w:szCs w:val="20"/>
        </w:rPr>
        <w:t>of whether a holder of the 2023 Notes has the right to require the Company to repurchase the 2023 Notes, or if Avadel is a party to a merger event that occurs prior to the close of business on the business day immediately preceding August 1, 2022, all or a</w:t>
      </w:r>
      <w:r>
        <w:rPr>
          <w:rFonts w:eastAsia="Times New Roman"/>
          <w:color w:val="000000"/>
          <w:sz w:val="20"/>
          <w:szCs w:val="20"/>
        </w:rPr>
        <w:t xml:space="preserve">ny </w:t>
      </w:r>
    </w:p>
    <w:p w:rsidR="00000000" w:rsidRDefault="0099260E">
      <w:pPr>
        <w:jc w:val="center"/>
        <w:divId w:val="1150900951"/>
        <w:rPr>
          <w:rFonts w:eastAsia="Times New Roman"/>
        </w:rPr>
      </w:pPr>
      <w:r>
        <w:rPr>
          <w:rFonts w:eastAsia="Times New Roman"/>
          <w:color w:val="000000"/>
          <w:sz w:val="20"/>
          <w:szCs w:val="20"/>
        </w:rPr>
        <w:t>- 17 -</w:t>
      </w:r>
    </w:p>
    <w:p w:rsidR="00000000" w:rsidRDefault="0099260E">
      <w:pPr>
        <w:rPr>
          <w:rFonts w:eastAsia="Times New Roman"/>
        </w:rPr>
      </w:pPr>
      <w:r>
        <w:rPr>
          <w:rFonts w:eastAsia="Times New Roman"/>
        </w:rPr>
        <w:pict>
          <v:rect id="_x0000_i1042" style="width:0;height:1.5pt" o:hralign="center" o:hrstd="t" o:hr="t" fillcolor="#a0a0a0" stroked="f"/>
        </w:pict>
      </w:r>
    </w:p>
    <w:p w:rsidR="00000000" w:rsidRDefault="0099260E">
      <w:pPr>
        <w:divId w:val="1670013013"/>
        <w:rPr>
          <w:rFonts w:eastAsia="Times New Roman"/>
        </w:rPr>
      </w:pPr>
    </w:p>
    <w:p w:rsidR="00000000" w:rsidRDefault="0099260E">
      <w:pPr>
        <w:jc w:val="both"/>
        <w:rPr>
          <w:rFonts w:eastAsia="Times New Roman"/>
        </w:rPr>
      </w:pPr>
      <w:r>
        <w:rPr>
          <w:rFonts w:eastAsia="Times New Roman"/>
          <w:color w:val="000000"/>
          <w:sz w:val="20"/>
          <w:szCs w:val="20"/>
        </w:rPr>
        <w:t>portion of a the holder’s 2023 Notes may be surrendered for exchange at any time from or after the date that is 95 scheduled trading days prior to the anticipated effective date of the transaction (or, if l</w:t>
      </w:r>
      <w:r>
        <w:rPr>
          <w:rFonts w:eastAsia="Times New Roman"/>
          <w:color w:val="000000"/>
          <w:sz w:val="20"/>
          <w:szCs w:val="20"/>
        </w:rPr>
        <w:t>ater, the earlier of (x) the business day after the Company gives notice of such transaction and (y) the actual effective date of such transaction) until 35 trading days after the actual effective date of such transaction or, if such transaction also const</w:t>
      </w:r>
      <w:r>
        <w:rPr>
          <w:rFonts w:eastAsia="Times New Roman"/>
          <w:color w:val="000000"/>
          <w:sz w:val="20"/>
          <w:szCs w:val="20"/>
        </w:rPr>
        <w:t xml:space="preserve">itutes a fundamental change, until the related fundamental change repurchase date. </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color w:val="000000"/>
          <w:sz w:val="20"/>
          <w:szCs w:val="20"/>
        </w:rPr>
        <w:t>•Prior to the close of business on the business day immediately preceding August 1, 2022, a holder of the 2023 Notes may surrender all or any portion of its 2023 Notes fo</w:t>
      </w:r>
      <w:r>
        <w:rPr>
          <w:rFonts w:eastAsia="Times New Roman"/>
          <w:color w:val="000000"/>
          <w:sz w:val="20"/>
          <w:szCs w:val="20"/>
        </w:rPr>
        <w:t xml:space="preserve">r exchange at any time during any calendar quarter commencing after the calendar quarter ending on June 30, 2018 (and only during such calendar quarter), if the last reported sale price of the ADSs for at least 20 trading days (whether or not consecutive) </w:t>
      </w:r>
      <w:r>
        <w:rPr>
          <w:rFonts w:eastAsia="Times New Roman"/>
          <w:color w:val="000000"/>
          <w:sz w:val="20"/>
          <w:szCs w:val="20"/>
        </w:rPr>
        <w:t xml:space="preserve">during the period of 30 consecutive trading days ending on, and including, the last trading day of the immediately preceding calendar quarter is greater than or equal to 130% of the exchange price on each applicable trading day. </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color w:val="000000"/>
          <w:sz w:val="20"/>
          <w:szCs w:val="20"/>
        </w:rPr>
        <w:t>•If the Company calls th</w:t>
      </w:r>
      <w:r>
        <w:rPr>
          <w:rFonts w:eastAsia="Times New Roman"/>
          <w:color w:val="000000"/>
          <w:sz w:val="20"/>
          <w:szCs w:val="20"/>
        </w:rPr>
        <w:t xml:space="preserve">e 2023 Notes for redemption pursuant to Article 16 to the Indenture prior to the close of business on the business day immediately preceding August 1, 2022, then a holder of the 2023 Notes may surrender all or any portion of its 2023 Notes for exchange at </w:t>
      </w:r>
      <w:r>
        <w:rPr>
          <w:rFonts w:eastAsia="Times New Roman"/>
          <w:color w:val="000000"/>
          <w:sz w:val="20"/>
          <w:szCs w:val="20"/>
        </w:rPr>
        <w:t>any time prior to the close of business on the second business day prior to the redemption date, even if the 2023 Notes are not otherwise exchangeable at such time. After that time, the right to exchange shall expire, unless the Company defaults in the pay</w:t>
      </w:r>
      <w:r>
        <w:rPr>
          <w:rFonts w:eastAsia="Times New Roman"/>
          <w:color w:val="000000"/>
          <w:sz w:val="20"/>
          <w:szCs w:val="20"/>
        </w:rPr>
        <w:t>ment of the redemption price, in which case a holder of the 2023 Notes may exchange its 2023 Notes until the redemption price has been paid or duly provided for.</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We considered the guidance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host instruments, are deemed to be conventional, as defined by</w:t>
      </w:r>
      <w:r>
        <w:rPr>
          <w:rFonts w:eastAsia="Times New Roman"/>
          <w:color w:val="000000"/>
          <w:sz w:val="20"/>
          <w:szCs w:val="20"/>
        </w:rPr>
        <w:t xml:space="preserve"> ASC 815-40. We determined that this exception applies due, in part, to our ability to settle the 2023 Notes in cash, ADSs or a combination of cash and ADSs, at our option. We have therefore applied the guidance provided by ASC 470-20, </w:t>
      </w:r>
      <w:r>
        <w:rPr>
          <w:rFonts w:eastAsia="Times New Roman"/>
          <w:i/>
          <w:iCs/>
          <w:color w:val="000000"/>
          <w:sz w:val="20"/>
          <w:szCs w:val="20"/>
        </w:rPr>
        <w:t>Debt with Conversion</w:t>
      </w:r>
      <w:r>
        <w:rPr>
          <w:rFonts w:eastAsia="Times New Roman"/>
          <w:i/>
          <w:iCs/>
          <w:color w:val="000000"/>
          <w:sz w:val="20"/>
          <w:szCs w:val="20"/>
        </w:rPr>
        <w:t xml:space="preserve"> and Other Options</w:t>
      </w:r>
      <w:r>
        <w:rPr>
          <w:rFonts w:eastAsia="Times New Roman"/>
          <w:color w:val="000000"/>
          <w:sz w:val="20"/>
          <w:szCs w:val="20"/>
        </w:rPr>
        <w:t xml:space="preserve">, as amended by ASU 2020-06. </w:t>
      </w:r>
    </w:p>
    <w:p w:rsidR="00000000" w:rsidRDefault="0099260E">
      <w:pPr>
        <w:jc w:val="both"/>
        <w:rPr>
          <w:rFonts w:eastAsia="Times New Roman"/>
        </w:rPr>
      </w:pPr>
    </w:p>
    <w:p w:rsidR="00000000" w:rsidRDefault="0099260E">
      <w:pPr>
        <w:divId w:val="1387946843"/>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 xml:space="preserve">Income Taxes </w:t>
      </w:r>
    </w:p>
    <w:p w:rsidR="00000000" w:rsidRDefault="0099260E">
      <w:pPr>
        <w:divId w:val="1304502694"/>
        <w:rPr>
          <w:rFonts w:eastAsia="Times New Roman"/>
        </w:rPr>
      </w:pPr>
    </w:p>
    <w:p w:rsidR="00000000" w:rsidRDefault="0099260E">
      <w:pPr>
        <w:divId w:val="1972132433"/>
        <w:rPr>
          <w:rFonts w:eastAsia="Times New Roman"/>
        </w:rPr>
      </w:pPr>
      <w:r>
        <w:rPr>
          <w:rFonts w:eastAsia="Times New Roman"/>
          <w:color w:val="000000"/>
          <w:sz w:val="20"/>
          <w:szCs w:val="20"/>
        </w:rPr>
        <w:t xml:space="preserve">The income tax benefit was $5,101 for the three months ended September 30, 2021 resulting in an effective tax rate of 18.8%. The income tax benefit was $5,040 </w:t>
      </w:r>
      <w:r>
        <w:rPr>
          <w:rFonts w:eastAsia="Times New Roman"/>
          <w:color w:val="000000"/>
          <w:sz w:val="20"/>
          <w:szCs w:val="20"/>
        </w:rPr>
        <w:t>for the three months ended September 30, 2020 resulting in an effective tax rate of 30.1%. The decrease in the effective tax rate for the three months ended September 30, 2021, when compared to the same period in 2020, is primarily attributable to a change</w:t>
      </w:r>
      <w:r>
        <w:rPr>
          <w:rFonts w:eastAsia="Times New Roman"/>
          <w:color w:val="000000"/>
          <w:sz w:val="20"/>
          <w:szCs w:val="20"/>
        </w:rPr>
        <w:t xml:space="preserve"> in the mix of losses in our foreign entities.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income tax benefit was $11,473 for the nine months ended September 30, 2021 resulting in an effective tax rate of 17.3%. The income tax benefit was $9,258 for the nine months ended September 30, 2020 res</w:t>
      </w:r>
      <w:r>
        <w:rPr>
          <w:rFonts w:eastAsia="Times New Roman"/>
          <w:color w:val="000000"/>
          <w:sz w:val="20"/>
          <w:szCs w:val="20"/>
        </w:rPr>
        <w:t>ulting in an effective tax rate of (102.3)%. The net increase in the effective income tax rate for the nine months ended September 30, 2021 as compared to the prior period in 2020 is primarily due to the discrete tax benefits recognized during the nine mon</w:t>
      </w:r>
      <w:r>
        <w:rPr>
          <w:rFonts w:eastAsia="Times New Roman"/>
          <w:color w:val="000000"/>
          <w:sz w:val="20"/>
          <w:szCs w:val="20"/>
        </w:rPr>
        <w:t xml:space="preserve">ths ended September 30, 2020 under the Coronavirus Aid, Relief and Economic Security Act, also known as the CARES Act, which did not occur during the nine months ended September 30, 2021. </w:t>
      </w:r>
    </w:p>
    <w:p w:rsidR="00000000" w:rsidRDefault="0099260E">
      <w:pPr>
        <w:divId w:val="26486899"/>
        <w:rPr>
          <w:rFonts w:eastAsia="Times New Roman"/>
        </w:rPr>
      </w:pPr>
    </w:p>
    <w:p w:rsidR="00000000" w:rsidRDefault="0099260E">
      <w:pPr>
        <w:divId w:val="1325087124"/>
        <w:rPr>
          <w:rFonts w:eastAsia="Times New Roman"/>
        </w:rPr>
      </w:pPr>
      <w:r>
        <w:rPr>
          <w:rFonts w:eastAsia="Times New Roman"/>
          <w:b/>
          <w:bCs/>
          <w:color w:val="000000"/>
          <w:sz w:val="20"/>
          <w:szCs w:val="20"/>
        </w:rPr>
        <w:t>NOTE 11:</w:t>
      </w:r>
      <w:r>
        <w:rPr>
          <w:rFonts w:eastAsia="Times New Roman"/>
          <w:color w:val="000000"/>
          <w:sz w:val="20"/>
          <w:szCs w:val="20"/>
        </w:rPr>
        <w:t xml:space="preserve"> </w:t>
      </w:r>
      <w:r>
        <w:rPr>
          <w:rFonts w:eastAsia="Times New Roman"/>
          <w:b/>
          <w:bCs/>
          <w:color w:val="000000"/>
          <w:sz w:val="20"/>
          <w:szCs w:val="20"/>
        </w:rPr>
        <w:t>Other Assets and Liabilities </w:t>
      </w:r>
    </w:p>
    <w:p w:rsidR="00000000" w:rsidRDefault="0099260E">
      <w:pPr>
        <w:divId w:val="169759506"/>
        <w:rPr>
          <w:rFonts w:eastAsia="Times New Roman"/>
        </w:rPr>
      </w:pPr>
      <w:r>
        <w:rPr>
          <w:rFonts w:eastAsia="Times New Roman"/>
          <w:color w:val="000000"/>
          <w:sz w:val="20"/>
          <w:szCs w:val="20"/>
        </w:rPr>
        <w:t>Various other assets and l</w:t>
      </w:r>
      <w:r>
        <w:rPr>
          <w:rFonts w:eastAsia="Times New Roman"/>
          <w:color w:val="000000"/>
          <w:sz w:val="20"/>
          <w:szCs w:val="20"/>
        </w:rPr>
        <w:t>iabilities are summarized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116989950"/>
        </w:trPr>
        <w:tc>
          <w:tcPr>
            <w:tcW w:w="50" w:type="pct"/>
            <w:vAlign w:val="center"/>
            <w:hideMark/>
          </w:tcPr>
          <w:p w:rsidR="00000000" w:rsidRDefault="0099260E">
            <w:pPr>
              <w:rPr>
                <w:rFonts w:eastAsia="Times New Roman"/>
              </w:rPr>
            </w:pPr>
          </w:p>
        </w:tc>
        <w:tc>
          <w:tcPr>
            <w:tcW w:w="30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1698995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11698995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1698995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Income tax receivable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18,789 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18,615 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2,787 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798 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Guarantee from Armistice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Short-term deposit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1980720093"/>
              <w:rPr>
                <w:rFonts w:eastAsia="Times New Roman"/>
              </w:rPr>
            </w:pPr>
            <w:r>
              <w:rPr>
                <w:rFonts w:eastAsia="Times New Roman"/>
                <w:color w:val="000000"/>
                <w:sz w:val="18"/>
                <w:szCs w:val="18"/>
              </w:rPr>
              <w:t xml:space="preserve">Receivable from Exela (see </w:t>
            </w:r>
            <w:r>
              <w:rPr>
                <w:rFonts w:eastAsia="Times New Roman"/>
                <w:i/>
                <w:iCs/>
                <w:color w:val="000000"/>
                <w:sz w:val="18"/>
                <w:szCs w:val="18"/>
              </w:rPr>
              <w:t>Note 3</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16,500 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16989950"/>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851260353"/>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center"/>
        <w:divId w:val="1381630497"/>
        <w:rPr>
          <w:rFonts w:eastAsia="Times New Roman"/>
        </w:rPr>
      </w:pPr>
      <w:r>
        <w:rPr>
          <w:rFonts w:eastAsia="Times New Roman"/>
          <w:color w:val="000000"/>
          <w:sz w:val="20"/>
          <w:szCs w:val="20"/>
        </w:rPr>
        <w:t>- 1</w:t>
      </w:r>
      <w:r>
        <w:rPr>
          <w:rFonts w:eastAsia="Times New Roman"/>
          <w:color w:val="000000"/>
          <w:sz w:val="20"/>
          <w:szCs w:val="20"/>
        </w:rPr>
        <w:t>8 -</w:t>
      </w:r>
    </w:p>
    <w:p w:rsidR="00000000" w:rsidRDefault="0099260E">
      <w:pPr>
        <w:rPr>
          <w:rFonts w:eastAsia="Times New Roman"/>
        </w:rPr>
      </w:pPr>
      <w:r>
        <w:rPr>
          <w:rFonts w:eastAsia="Times New Roman"/>
        </w:rPr>
        <w:pict>
          <v:rect id="_x0000_i1043" style="width:0;height:1.5pt" o:hralign="center" o:hrstd="t" o:hr="t" fillcolor="#a0a0a0" stroked="f"/>
        </w:pict>
      </w:r>
    </w:p>
    <w:p w:rsidR="00000000" w:rsidRDefault="0099260E">
      <w:pPr>
        <w:divId w:val="75670800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088766822"/>
        </w:trPr>
        <w:tc>
          <w:tcPr>
            <w:tcW w:w="50" w:type="pct"/>
            <w:vAlign w:val="center"/>
            <w:hideMark/>
          </w:tcPr>
          <w:p w:rsidR="00000000" w:rsidRDefault="0099260E">
            <w:pPr>
              <w:rPr>
                <w:rFonts w:eastAsia="Times New Roman"/>
              </w:rPr>
            </w:pPr>
          </w:p>
        </w:tc>
        <w:tc>
          <w:tcPr>
            <w:tcW w:w="30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088766822"/>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108876682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088766822"/>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29,798 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18,256 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08876682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7,071 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5,201 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088766822"/>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1,050 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08876682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088766822"/>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2044018472"/>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24,939 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99260E">
            <w:pPr>
              <w:rPr>
                <w:rFonts w:eastAsia="Times New Roman"/>
              </w:rPr>
            </w:pPr>
          </w:p>
        </w:tc>
        <w:tc>
          <w:tcPr>
            <w:tcW w:w="30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Accrued professional fees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4,661 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2,781 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2,403 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1,697 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Accrued outsource contract costs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Customer allowances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722 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1,030 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1135099116"/>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12</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1116408217"/>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divId w:val="1678463416"/>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1678463416"/>
        </w:trPr>
        <w:tc>
          <w:tcPr>
            <w:tcW w:w="50" w:type="pct"/>
            <w:vAlign w:val="center"/>
            <w:hideMark/>
          </w:tcPr>
          <w:p w:rsidR="00000000" w:rsidRDefault="0099260E">
            <w:pPr>
              <w:rPr>
                <w:rFonts w:eastAsia="Times New Roman"/>
              </w:rPr>
            </w:pPr>
          </w:p>
        </w:tc>
        <w:tc>
          <w:tcPr>
            <w:tcW w:w="30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678463416"/>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167846341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678463416"/>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1,078 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678463416"/>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678463416"/>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678463416"/>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2,026 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678463416"/>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99426220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divId w:val="59679556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726374577"/>
        </w:trPr>
        <w:tc>
          <w:tcPr>
            <w:tcW w:w="50" w:type="pct"/>
            <w:vAlign w:val="center"/>
            <w:hideMark/>
          </w:tcPr>
          <w:p w:rsidR="00000000" w:rsidRDefault="0099260E">
            <w:pPr>
              <w:rPr>
                <w:rFonts w:eastAsia="Times New Roman"/>
              </w:rPr>
            </w:pPr>
          </w:p>
        </w:tc>
        <w:tc>
          <w:tcPr>
            <w:tcW w:w="307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84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726374577"/>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September 30, 2021</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December 31, 2020</w:t>
            </w:r>
          </w:p>
        </w:tc>
      </w:tr>
      <w:tr w:rsidR="00000000">
        <w:trPr>
          <w:divId w:val="172637457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726374577"/>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Tax liabilities and other</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3,155 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3,159 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726374577"/>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726374577"/>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698241258"/>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3,999 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divId w:val="1057893510"/>
        <w:rPr>
          <w:rFonts w:eastAsia="Times New Roman"/>
        </w:rPr>
      </w:pPr>
    </w:p>
    <w:p w:rsidR="00000000" w:rsidRDefault="0099260E">
      <w:pPr>
        <w:jc w:val="both"/>
        <w:divId w:val="432556329"/>
        <w:rPr>
          <w:rFonts w:eastAsia="Times New Roman"/>
        </w:rPr>
      </w:pPr>
      <w:r>
        <w:rPr>
          <w:rFonts w:eastAsia="Times New Roman"/>
          <w:b/>
          <w:bCs/>
          <w:color w:val="000000"/>
          <w:sz w:val="20"/>
          <w:szCs w:val="20"/>
        </w:rPr>
        <w:t>NOTE 12: Restructuring Costs</w:t>
      </w:r>
    </w:p>
    <w:p w:rsidR="00000000" w:rsidRDefault="0099260E">
      <w:pPr>
        <w:jc w:val="both"/>
        <w:divId w:val="1141386130"/>
        <w:rPr>
          <w:rFonts w:eastAsia="Times New Roman"/>
        </w:rPr>
      </w:pPr>
      <w:r>
        <w:rPr>
          <w:rFonts w:eastAsia="Times New Roman"/>
          <w:i/>
          <w:iCs/>
          <w:color w:val="000000"/>
          <w:sz w:val="20"/>
          <w:szCs w:val="20"/>
        </w:rPr>
        <w:t>2019 French Restructuring</w:t>
      </w:r>
    </w:p>
    <w:p w:rsidR="00000000" w:rsidRDefault="0099260E">
      <w:pPr>
        <w:jc w:val="both"/>
        <w:divId w:val="614409616"/>
        <w:rPr>
          <w:rFonts w:eastAsia="Times New Roman"/>
        </w:rPr>
      </w:pPr>
      <w:r>
        <w:rPr>
          <w:rFonts w:eastAsia="Times New Roman"/>
          <w:color w:val="000000"/>
          <w:sz w:val="20"/>
          <w:szCs w:val="20"/>
        </w:rPr>
        <w:t>During the second quarter of 2019, the Company initiated a plan to substantially reduce all of its workforce at its Vénissieux, France site (“2019 French Restructuring”). This reduction was part of a</w:t>
      </w:r>
      <w:r>
        <w:rPr>
          <w:rFonts w:eastAsia="Times New Roman"/>
          <w:color w:val="000000"/>
          <w:sz w:val="20"/>
          <w:szCs w:val="20"/>
        </w:rPr>
        <w:t>n effort to align the Company’s cost structure with our ongoing and future planned projects. The reduction in workforce was completed during 2020. Restructuring (income) charges associated with this plan recognized during the three and nine months ended Se</w:t>
      </w:r>
      <w:r>
        <w:rPr>
          <w:rFonts w:eastAsia="Times New Roman"/>
          <w:color w:val="000000"/>
          <w:sz w:val="20"/>
          <w:szCs w:val="20"/>
        </w:rPr>
        <w:t xml:space="preserve">ptember 30, 2021 and 2020 were immaterial. </w:t>
      </w:r>
    </w:p>
    <w:p w:rsidR="00000000" w:rsidRDefault="0099260E">
      <w:pPr>
        <w:jc w:val="both"/>
        <w:divId w:val="540286843"/>
        <w:rPr>
          <w:rFonts w:eastAsia="Times New Roman"/>
        </w:rPr>
      </w:pPr>
      <w:r>
        <w:rPr>
          <w:rFonts w:eastAsia="Times New Roman"/>
          <w:color w:val="000000"/>
          <w:sz w:val="20"/>
          <w:szCs w:val="20"/>
        </w:rPr>
        <w:t>The following table sets forth activities for the Company’s cost reduction plan obligations as of September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979"/>
        <w:gridCol w:w="36"/>
        <w:gridCol w:w="36"/>
        <w:gridCol w:w="36"/>
        <w:gridCol w:w="36"/>
        <w:gridCol w:w="110"/>
        <w:gridCol w:w="917"/>
        <w:gridCol w:w="36"/>
        <w:gridCol w:w="36"/>
        <w:gridCol w:w="36"/>
      </w:tblGrid>
      <w:tr w:rsidR="00000000">
        <w:trPr>
          <w:divId w:val="2083288664"/>
          <w:jc w:val="center"/>
        </w:trPr>
        <w:tc>
          <w:tcPr>
            <w:tcW w:w="50" w:type="pct"/>
            <w:vAlign w:val="center"/>
            <w:hideMark/>
          </w:tcPr>
          <w:p w:rsidR="00000000" w:rsidRDefault="0099260E">
            <w:pPr>
              <w:jc w:val="both"/>
              <w:rPr>
                <w:rFonts w:eastAsia="Times New Roman"/>
              </w:rPr>
            </w:pPr>
          </w:p>
        </w:tc>
        <w:tc>
          <w:tcPr>
            <w:tcW w:w="425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9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99260E">
            <w:pPr>
              <w:spacing w:after="100"/>
              <w:jc w:val="center"/>
              <w:rPr>
                <w:rFonts w:eastAsia="Times New Roman"/>
              </w:rPr>
            </w:pPr>
          </w:p>
        </w:tc>
        <w:tc>
          <w:tcPr>
            <w:tcW w:w="0" w:type="auto"/>
            <w:vAlign w:val="center"/>
            <w:hideMark/>
          </w:tcPr>
          <w:p w:rsidR="00000000" w:rsidRDefault="0099260E">
            <w:pPr>
              <w:spacing w:after="100"/>
              <w:rPr>
                <w:rFonts w:eastAsia="Times New Roman"/>
                <w:sz w:val="20"/>
                <w:szCs w:val="20"/>
              </w:rPr>
            </w:pPr>
          </w:p>
        </w:tc>
      </w:tr>
      <w:tr w:rsidR="00000000">
        <w:trPr>
          <w:divId w:val="2083288664"/>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Income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2083288664"/>
          <w:jc w:val="center"/>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Balance of restructuring accrual at September 30,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vAlign w:val="center"/>
            <w:hideMark/>
          </w:tcPr>
          <w:p w:rsidR="00000000" w:rsidRDefault="0099260E">
            <w:pPr>
              <w:spacing w:after="100"/>
              <w:jc w:val="right"/>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The 2019 French Restructuring liabilities of $43 </w:t>
      </w:r>
      <w:r>
        <w:rPr>
          <w:rFonts w:eastAsia="Times New Roman"/>
          <w:color w:val="000000"/>
          <w:sz w:val="20"/>
          <w:szCs w:val="20"/>
        </w:rPr>
        <w:t>are included in the unaudited condensed consolidated balance sheet in accrued expenses at September 30, 2021.</w:t>
      </w:r>
    </w:p>
    <w:p w:rsidR="00000000" w:rsidRDefault="0099260E">
      <w:pPr>
        <w:jc w:val="both"/>
        <w:rPr>
          <w:rFonts w:eastAsia="Times New Roman"/>
        </w:rPr>
      </w:pPr>
    </w:p>
    <w:p w:rsidR="00000000" w:rsidRDefault="0099260E">
      <w:pPr>
        <w:jc w:val="center"/>
        <w:divId w:val="1276905371"/>
        <w:rPr>
          <w:rFonts w:eastAsia="Times New Roman"/>
        </w:rPr>
      </w:pPr>
      <w:r>
        <w:rPr>
          <w:rFonts w:eastAsia="Times New Roman"/>
          <w:color w:val="000000"/>
          <w:sz w:val="20"/>
          <w:szCs w:val="20"/>
        </w:rPr>
        <w:t>- 19 -</w:t>
      </w:r>
    </w:p>
    <w:p w:rsidR="00000000" w:rsidRDefault="0099260E">
      <w:pPr>
        <w:rPr>
          <w:rFonts w:eastAsia="Times New Roman"/>
        </w:rPr>
      </w:pPr>
      <w:r>
        <w:rPr>
          <w:rFonts w:eastAsia="Times New Roman"/>
        </w:rPr>
        <w:pict>
          <v:rect id="_x0000_i1044" style="width:0;height:1.5pt" o:hralign="center" o:hrstd="t" o:hr="t" fillcolor="#a0a0a0" stroked="f"/>
        </w:pict>
      </w:r>
    </w:p>
    <w:p w:rsidR="00000000" w:rsidRDefault="0099260E">
      <w:pPr>
        <w:divId w:val="1847860012"/>
        <w:rPr>
          <w:rFonts w:eastAsia="Times New Roman"/>
        </w:rPr>
      </w:pPr>
    </w:p>
    <w:p w:rsidR="00000000" w:rsidRDefault="0099260E">
      <w:pPr>
        <w:jc w:val="both"/>
        <w:rPr>
          <w:rFonts w:eastAsia="Times New Roman"/>
        </w:rPr>
      </w:pPr>
      <w:r>
        <w:rPr>
          <w:rFonts w:eastAsia="Times New Roman"/>
          <w:i/>
          <w:iCs/>
          <w:color w:val="000000"/>
          <w:sz w:val="20"/>
          <w:szCs w:val="20"/>
        </w:rPr>
        <w:t>2019 Corporate Restructuring</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During the first quarter of 2019, the Company announced a plan to reduce its corporate workforce by more than 50% (“2019 Corporate Restructuring”). The reduction in workforce was primarily a result of the exit of Noctiva during the first quarter of 2019, a</w:t>
      </w:r>
      <w:r>
        <w:rPr>
          <w:rFonts w:eastAsia="Times New Roman"/>
          <w:color w:val="000000"/>
          <w:sz w:val="20"/>
          <w:szCs w:val="20"/>
        </w:rPr>
        <w:t xml:space="preserve">s well as an effort to better align the Company’s remaining cost structure at our U.S. and Ireland locations with our ongoing and future planned projects. The reduction in workforce was completed during 2020. The restructuring charges associated with this </w:t>
      </w:r>
      <w:r>
        <w:rPr>
          <w:rFonts w:eastAsia="Times New Roman"/>
          <w:color w:val="000000"/>
          <w:sz w:val="20"/>
          <w:szCs w:val="20"/>
        </w:rPr>
        <w:t>plan recognized during the three and nine months ended September 30, 2021 and 2020 were immaterial.</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During 2021, the Company paid $272 for its cost reduction plan obligations and has no remaining obligation for the 2019 Corporate Restructuring plan as of</w:t>
      </w:r>
      <w:r>
        <w:rPr>
          <w:rFonts w:eastAsia="Times New Roman"/>
          <w:color w:val="000000"/>
          <w:sz w:val="20"/>
          <w:szCs w:val="20"/>
        </w:rPr>
        <w:t xml:space="preserve"> September 30, 2021.</w:t>
      </w:r>
    </w:p>
    <w:p w:rsidR="00000000" w:rsidRDefault="0099260E">
      <w:pPr>
        <w:jc w:val="both"/>
        <w:rPr>
          <w:rFonts w:eastAsia="Times New Roman"/>
        </w:rPr>
      </w:pPr>
    </w:p>
    <w:p w:rsidR="00000000" w:rsidRDefault="0099260E">
      <w:pPr>
        <w:divId w:val="1028335545"/>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Net (Loss) Income Per Share</w:t>
      </w: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Basic net (loss) income per share is calculated by dividing net (loss) income by the weighted average number of shares outstanding during each period. Diluted net (loss) income per share is calcu</w:t>
      </w:r>
      <w:r>
        <w:rPr>
          <w:rFonts w:eastAsia="Times New Roman"/>
          <w:color w:val="000000"/>
          <w:sz w:val="20"/>
          <w:szCs w:val="20"/>
        </w:rPr>
        <w:t>lated by dividing net (loss) income - diluted by the diluted number of shares outstanding during each period. Except where the result would be anti-dilutive to net (loss) income, diluted net (loss) income per share would be calculated assuming the impact o</w:t>
      </w:r>
      <w:r>
        <w:rPr>
          <w:rFonts w:eastAsia="Times New Roman"/>
          <w:color w:val="000000"/>
          <w:sz w:val="20"/>
          <w:szCs w:val="20"/>
        </w:rPr>
        <w:t xml:space="preserve">f the conversion of the 2023 Notes, the conversion of our preferred shares, the exercise of outstanding equity compensation awards, and ordinary shares expected to be issued under our employee stock purchase plan (“ESPP”).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have a choice to settle the</w:t>
      </w:r>
      <w:r>
        <w:rPr>
          <w:rFonts w:eastAsia="Times New Roman"/>
          <w:color w:val="000000"/>
          <w:sz w:val="20"/>
          <w:szCs w:val="20"/>
        </w:rPr>
        <w:t xml:space="preserve"> conversion obligation under the 2023 Notes in cash, shares or any combination of the two. We utilize the if-converted method to reflect the impact of the conversion of the 2023 Notes, unless the result is anti-dilutive. This method assumes the conversion </w:t>
      </w:r>
      <w:r>
        <w:rPr>
          <w:rFonts w:eastAsia="Times New Roman"/>
          <w:color w:val="000000"/>
          <w:sz w:val="20"/>
          <w:szCs w:val="20"/>
        </w:rPr>
        <w:t>of the 2023 Notes into shares of our ordinary shares and reflects the elimination of the interest expense related to the 2023 Notes.</w:t>
      </w:r>
    </w:p>
    <w:p w:rsidR="00000000" w:rsidRDefault="0099260E">
      <w:pPr>
        <w:divId w:val="2075077437"/>
        <w:rPr>
          <w:rFonts w:eastAsia="Times New Roman"/>
        </w:rPr>
      </w:pPr>
    </w:p>
    <w:p w:rsidR="00000000" w:rsidRDefault="0099260E">
      <w:pPr>
        <w:jc w:val="both"/>
        <w:rPr>
          <w:rFonts w:eastAsia="Times New Roman"/>
        </w:rPr>
      </w:pPr>
      <w:r>
        <w:rPr>
          <w:rFonts w:eastAsia="Times New Roman"/>
          <w:color w:val="000000"/>
          <w:sz w:val="20"/>
          <w:szCs w:val="20"/>
        </w:rPr>
        <w:t>The dilutive effect of the stock options, restricted stock units, preferred shares and ordinary shares expected to be iss</w:t>
      </w:r>
      <w:r>
        <w:rPr>
          <w:rFonts w:eastAsia="Times New Roman"/>
          <w:color w:val="000000"/>
          <w:sz w:val="20"/>
          <w:szCs w:val="20"/>
        </w:rPr>
        <w:t xml:space="preserve">ued under our ESPP has been calculated using the treasury stock method. The dilutive effect of the performance share units (“PSUs”) will be calculated using the treasury stock method, if and when the contingent vesting condition is achieved.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 reconcili</w:t>
      </w:r>
      <w:r>
        <w:rPr>
          <w:rFonts w:eastAsia="Times New Roman"/>
          <w:color w:val="000000"/>
          <w:sz w:val="20"/>
          <w:szCs w:val="20"/>
        </w:rPr>
        <w:t>ation of basic and diluted net (loss) income per share, together with the related shares outstanding in thousands is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3785"/>
        <w:gridCol w:w="39"/>
        <w:gridCol w:w="36"/>
        <w:gridCol w:w="36"/>
        <w:gridCol w:w="36"/>
        <w:gridCol w:w="110"/>
        <w:gridCol w:w="860"/>
        <w:gridCol w:w="36"/>
        <w:gridCol w:w="36"/>
        <w:gridCol w:w="36"/>
        <w:gridCol w:w="36"/>
        <w:gridCol w:w="110"/>
        <w:gridCol w:w="860"/>
        <w:gridCol w:w="36"/>
        <w:gridCol w:w="36"/>
        <w:gridCol w:w="36"/>
        <w:gridCol w:w="36"/>
        <w:gridCol w:w="110"/>
        <w:gridCol w:w="860"/>
        <w:gridCol w:w="36"/>
        <w:gridCol w:w="36"/>
        <w:gridCol w:w="36"/>
        <w:gridCol w:w="36"/>
        <w:gridCol w:w="110"/>
        <w:gridCol w:w="846"/>
        <w:gridCol w:w="36"/>
      </w:tblGrid>
      <w:tr w:rsidR="00000000">
        <w:trPr>
          <w:divId w:val="286468482"/>
        </w:trPr>
        <w:tc>
          <w:tcPr>
            <w:tcW w:w="50" w:type="pct"/>
            <w:vAlign w:val="center"/>
            <w:hideMark/>
          </w:tcPr>
          <w:p w:rsidR="00000000" w:rsidRDefault="0099260E">
            <w:pPr>
              <w:jc w:val="both"/>
              <w:rPr>
                <w:rFonts w:eastAsia="Times New Roman"/>
              </w:rPr>
            </w:pPr>
          </w:p>
        </w:tc>
        <w:tc>
          <w:tcPr>
            <w:tcW w:w="23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5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5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1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5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8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r>
      <w:tr w:rsidR="00000000">
        <w:trPr>
          <w:divId w:val="286468482"/>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Net (Loss) Income Per Share:</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r>
      <w:tr w:rsidR="00000000">
        <w:trPr>
          <w:divId w:val="28646848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(11,703)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(55,028)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18,306 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286468482"/>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286468482"/>
          <w:trHeight w:val="280"/>
        </w:trPr>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58,585 </w:t>
            </w:r>
          </w:p>
        </w:tc>
        <w:tc>
          <w:tcPr>
            <w:tcW w:w="0" w:type="auto"/>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58,213 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58,506 </w:t>
            </w:r>
          </w:p>
        </w:tc>
        <w:tc>
          <w:tcPr>
            <w:tcW w:w="0" w:type="auto"/>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51,206 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286468482"/>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1,643 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286468482"/>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58,506 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52,849 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286468482"/>
          <w:trHeight w:val="300"/>
        </w:trPr>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286468482"/>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(0.38)</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(0.94)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286468482"/>
        </w:trPr>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divId w:val="1655379744"/>
              <w:rPr>
                <w:rFonts w:eastAsia="Times New Roman"/>
              </w:rPr>
            </w:pPr>
            <w:r>
              <w:rPr>
                <w:rFonts w:eastAsia="Times New Roman"/>
                <w:color w:val="000000"/>
                <w:sz w:val="18"/>
                <w:szCs w:val="18"/>
              </w:rPr>
              <w:t xml:space="preserve">Net (loss) income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(0.94)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Potential ordinary shares of 15,684 and 15,969 were excluded from the calculation of weighted average shares for the th</w:t>
      </w:r>
      <w:r>
        <w:rPr>
          <w:rFonts w:eastAsia="Times New Roman"/>
          <w:color w:val="000000"/>
          <w:sz w:val="20"/>
          <w:szCs w:val="20"/>
        </w:rPr>
        <w:t>ree months ended September 30, 2021 and 2020, respectively, and potential ordinary shares of 15,497 and 15,789 were excluded from the calculation of weighted average shares for the nine months ended September 30, 2021 and 2020, respectively, because either</w:t>
      </w:r>
      <w:r>
        <w:rPr>
          <w:rFonts w:eastAsia="Times New Roman"/>
          <w:color w:val="000000"/>
          <w:sz w:val="20"/>
          <w:szCs w:val="20"/>
        </w:rPr>
        <w:t xml:space="preserve"> their effect was considered to be anti-dilutive or they were related to shares from PSUs for which the contingent vesting condition had not been achieved. For the three and nine months ended September 30, 2021 and for the three months ended September 30, </w:t>
      </w:r>
      <w:r>
        <w:rPr>
          <w:rFonts w:eastAsia="Times New Roman"/>
          <w:color w:val="000000"/>
          <w:sz w:val="20"/>
          <w:szCs w:val="20"/>
        </w:rPr>
        <w:t>2020, the effects of dilutive securities were entirely excluded from the calculation of net loss per share as a net loss was reported in these periods. </w:t>
      </w:r>
    </w:p>
    <w:p w:rsidR="00000000" w:rsidRDefault="0099260E">
      <w:pPr>
        <w:jc w:val="both"/>
        <w:rPr>
          <w:rFonts w:eastAsia="Times New Roman"/>
        </w:rPr>
      </w:pPr>
    </w:p>
    <w:p w:rsidR="00000000" w:rsidRDefault="0099260E">
      <w:pPr>
        <w:jc w:val="center"/>
        <w:divId w:val="1947419490"/>
        <w:rPr>
          <w:rFonts w:eastAsia="Times New Roman"/>
        </w:rPr>
      </w:pPr>
      <w:r>
        <w:rPr>
          <w:rFonts w:eastAsia="Times New Roman"/>
          <w:color w:val="000000"/>
          <w:sz w:val="20"/>
          <w:szCs w:val="20"/>
        </w:rPr>
        <w:t>- 20 -</w:t>
      </w:r>
    </w:p>
    <w:p w:rsidR="00000000" w:rsidRDefault="0099260E">
      <w:pPr>
        <w:rPr>
          <w:rFonts w:eastAsia="Times New Roman"/>
        </w:rPr>
      </w:pPr>
      <w:r>
        <w:rPr>
          <w:rFonts w:eastAsia="Times New Roman"/>
        </w:rPr>
        <w:pict>
          <v:rect id="_x0000_i1045" style="width:0;height:1.5pt" o:hralign="center" o:hrstd="t" o:hr="t" fillcolor="#a0a0a0" stroked="f"/>
        </w:pict>
      </w:r>
    </w:p>
    <w:p w:rsidR="00000000" w:rsidRDefault="0099260E">
      <w:pPr>
        <w:divId w:val="1998680374"/>
        <w:rPr>
          <w:rFonts w:eastAsia="Times New Roman"/>
        </w:rPr>
      </w:pPr>
    </w:p>
    <w:p w:rsidR="00000000" w:rsidRDefault="0099260E">
      <w:pPr>
        <w:divId w:val="819925320"/>
        <w:rPr>
          <w:rFonts w:eastAsia="Times New Roman"/>
        </w:rPr>
      </w:pPr>
      <w:r>
        <w:rPr>
          <w:rFonts w:eastAsia="Times New Roman"/>
          <w:b/>
          <w:bCs/>
          <w:color w:val="000000"/>
          <w:sz w:val="20"/>
          <w:szCs w:val="20"/>
        </w:rPr>
        <w:t>NOTE 14:</w:t>
      </w:r>
      <w:r>
        <w:rPr>
          <w:rFonts w:eastAsia="Times New Roman"/>
          <w:color w:val="000000"/>
          <w:sz w:val="20"/>
          <w:szCs w:val="20"/>
        </w:rPr>
        <w:t xml:space="preserve"> </w:t>
      </w:r>
      <w:r>
        <w:rPr>
          <w:rFonts w:eastAsia="Times New Roman"/>
          <w:b/>
          <w:bCs/>
          <w:color w:val="000000"/>
          <w:sz w:val="20"/>
          <w:szCs w:val="20"/>
        </w:rPr>
        <w:t>Comprehensive Loss </w:t>
      </w:r>
    </w:p>
    <w:p w:rsidR="00000000" w:rsidRDefault="0099260E">
      <w:pPr>
        <w:jc w:val="both"/>
        <w:divId w:val="1958095305"/>
        <w:rPr>
          <w:rFonts w:eastAsia="Times New Roman"/>
        </w:rPr>
      </w:pPr>
      <w:r>
        <w:rPr>
          <w:rFonts w:eastAsia="Times New Roman"/>
          <w:color w:val="000000"/>
          <w:sz w:val="20"/>
          <w:szCs w:val="20"/>
        </w:rPr>
        <w:t>The following table shows t</w:t>
      </w:r>
      <w:r>
        <w:rPr>
          <w:rFonts w:eastAsia="Times New Roman"/>
          <w:color w:val="000000"/>
          <w:sz w:val="20"/>
          <w:szCs w:val="20"/>
        </w:rPr>
        <w:t>he components of accumulated other comprehensive loss for the three and nine months ended September 30, 2021 and 2020, respectively, net of tax effects: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45"/>
        <w:gridCol w:w="37"/>
        <w:gridCol w:w="36"/>
        <w:gridCol w:w="36"/>
        <w:gridCol w:w="36"/>
        <w:gridCol w:w="110"/>
        <w:gridCol w:w="853"/>
        <w:gridCol w:w="36"/>
        <w:gridCol w:w="36"/>
        <w:gridCol w:w="36"/>
        <w:gridCol w:w="36"/>
        <w:gridCol w:w="110"/>
        <w:gridCol w:w="855"/>
        <w:gridCol w:w="36"/>
        <w:gridCol w:w="36"/>
        <w:gridCol w:w="36"/>
        <w:gridCol w:w="36"/>
        <w:gridCol w:w="110"/>
        <w:gridCol w:w="855"/>
        <w:gridCol w:w="36"/>
        <w:gridCol w:w="36"/>
        <w:gridCol w:w="36"/>
        <w:gridCol w:w="36"/>
        <w:gridCol w:w="110"/>
        <w:gridCol w:w="807"/>
        <w:gridCol w:w="36"/>
      </w:tblGrid>
      <w:tr w:rsidR="00000000">
        <w:trPr>
          <w:divId w:val="756708980"/>
        </w:trPr>
        <w:tc>
          <w:tcPr>
            <w:tcW w:w="50" w:type="pct"/>
            <w:vAlign w:val="center"/>
            <w:hideMark/>
          </w:tcPr>
          <w:p w:rsidR="00000000" w:rsidRDefault="0099260E">
            <w:pPr>
              <w:jc w:val="both"/>
              <w:rPr>
                <w:rFonts w:eastAsia="Times New Roman"/>
              </w:rPr>
            </w:pPr>
          </w:p>
        </w:tc>
        <w:tc>
          <w:tcPr>
            <w:tcW w:w="234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3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756708980"/>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r>
      <w:tr w:rsidR="00000000">
        <w:trPr>
          <w:divId w:val="7567089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r>
      <w:tr w:rsidR="00000000">
        <w:trPr>
          <w:divId w:val="75670898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756708980"/>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756708980"/>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w:t>
            </w:r>
            <w:r>
              <w:rPr>
                <w:rFonts w:eastAsia="Times New Roman"/>
                <w:color w:val="000000"/>
                <w:sz w:val="18"/>
                <w:szCs w:val="18"/>
              </w:rPr>
              <w:t>23,229)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(23,733)</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(23,738)</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Pr>
        <w:tc>
          <w:tcPr>
            <w:tcW w:w="0" w:type="auto"/>
            <w:gridSpan w:val="3"/>
            <w:shd w:val="clear" w:color="auto" w:fill="CCEEFF"/>
            <w:tcMar>
              <w:top w:w="30" w:type="dxa"/>
              <w:left w:w="51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other comprehensive (loss)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(839)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Pr>
        <w:tc>
          <w:tcPr>
            <w:tcW w:w="0" w:type="auto"/>
            <w:gridSpan w:val="3"/>
            <w:shd w:val="clear" w:color="auto" w:fill="FFFF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Balance at September 30,</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(23,466)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(23,466)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Height w:val="280"/>
        </w:trPr>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756708980"/>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Unrealized gain on marketable debt securities,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756708980"/>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1,215 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932 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Pr>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divId w:val="90785383"/>
              <w:rPr>
                <w:rFonts w:eastAsia="Times New Roman"/>
              </w:rPr>
            </w:pPr>
            <w:r>
              <w:rPr>
                <w:rFonts w:eastAsia="Times New Roman"/>
                <w:color w:val="000000"/>
                <w:sz w:val="18"/>
                <w:szCs w:val="18"/>
              </w:rPr>
              <w:t>Net other comprehensive (loss) income, net of income tax (benefit) provision of $(59), $1 $(220) and $131, respectively</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(854)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349 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Pr>
        <w:tc>
          <w:tcPr>
            <w:tcW w:w="0" w:type="auto"/>
            <w:gridSpan w:val="3"/>
            <w:shd w:val="clear" w:color="auto" w:fill="CCEEFF"/>
            <w:tcMar>
              <w:top w:w="30" w:type="dxa"/>
              <w:left w:w="38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Balance at September 30,</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756708980"/>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Accumulated other comprehensive loss at September 30,</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bl>
    <w:p w:rsidR="00000000" w:rsidRDefault="0099260E">
      <w:pPr>
        <w:jc w:val="both"/>
        <w:rPr>
          <w:rFonts w:eastAsia="Times New Roman"/>
        </w:rPr>
      </w:pPr>
      <w:r>
        <w:rPr>
          <w:rFonts w:eastAsia="Times New Roman"/>
          <w:color w:val="000000"/>
          <w:sz w:val="20"/>
          <w:szCs w:val="20"/>
        </w:rPr>
        <w:t>The effect on the Company’s unaudited condensed consolidated financial statements of amounts reclassified out of accumulated other comprehensive loss was immaterial for all periods presented.</w:t>
      </w:r>
    </w:p>
    <w:p w:rsidR="00000000" w:rsidRDefault="0099260E">
      <w:pPr>
        <w:jc w:val="both"/>
        <w:rPr>
          <w:rFonts w:eastAsia="Times New Roman"/>
        </w:rPr>
      </w:pPr>
    </w:p>
    <w:p w:rsidR="00000000" w:rsidRDefault="0099260E">
      <w:pPr>
        <w:divId w:val="1568759185"/>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Revenue by Product </w:t>
      </w:r>
    </w:p>
    <w:p w:rsidR="00000000" w:rsidRDefault="0099260E">
      <w:pPr>
        <w:divId w:val="547450681"/>
        <w:rPr>
          <w:rFonts w:eastAsia="Times New Roman"/>
        </w:rPr>
      </w:pPr>
    </w:p>
    <w:p w:rsidR="00000000" w:rsidRDefault="0099260E">
      <w:pPr>
        <w:jc w:val="both"/>
        <w:rPr>
          <w:rFonts w:eastAsia="Times New Roman"/>
        </w:rPr>
      </w:pPr>
      <w:r>
        <w:rPr>
          <w:rFonts w:eastAsia="Times New Roman"/>
          <w:color w:val="000000"/>
          <w:sz w:val="20"/>
          <w:szCs w:val="20"/>
        </w:rPr>
        <w:t>The Company has determined that it operates in one segment, the development and commercialization of pharmaceutical products, including controlled-release therapeutic products based on our proprietary polymer based technology</w:t>
      </w:r>
      <w:r>
        <w:rPr>
          <w:rFonts w:eastAsia="Times New Roman"/>
          <w:color w:val="000000"/>
          <w:sz w:val="20"/>
          <w:szCs w:val="20"/>
        </w:rPr>
        <w:t>. The Company’s Chief Operating Decision Maker is the Chief Executive Officer (the “CEO”). The CEO reviews profit and loss information on a consolidated basis to assess performance and make overall operating decisions as well as resource allocations. All p</w:t>
      </w:r>
      <w:r>
        <w:rPr>
          <w:rFonts w:eastAsia="Times New Roman"/>
          <w:color w:val="000000"/>
          <w:sz w:val="20"/>
          <w:szCs w:val="20"/>
        </w:rPr>
        <w:t>roducts were included in one segment because the Company’s products have similar economic and other characteristics, including the nature of the products and production processes, type of customers, distribution methods and regulatory environment. </w:t>
      </w:r>
    </w:p>
    <w:p w:rsidR="00000000" w:rsidRDefault="0099260E">
      <w:pPr>
        <w:jc w:val="both"/>
        <w:rPr>
          <w:rFonts w:eastAsia="Times New Roman"/>
        </w:rPr>
      </w:pPr>
    </w:p>
    <w:p w:rsidR="00000000" w:rsidRDefault="0099260E">
      <w:pPr>
        <w:jc w:val="both"/>
        <w:divId w:val="388501406"/>
        <w:rPr>
          <w:rFonts w:eastAsia="Times New Roman"/>
        </w:rPr>
      </w:pPr>
      <w:r>
        <w:rPr>
          <w:rFonts w:eastAsia="Times New Roman"/>
          <w:color w:val="000000"/>
          <w:sz w:val="20"/>
          <w:szCs w:val="20"/>
        </w:rPr>
        <w:t>On Ju</w:t>
      </w:r>
      <w:r>
        <w:rPr>
          <w:rFonts w:eastAsia="Times New Roman"/>
          <w:color w:val="000000"/>
          <w:sz w:val="20"/>
          <w:szCs w:val="20"/>
        </w:rPr>
        <w:t xml:space="preserve">ne 30, 2020, we sold the Hospital Products. See </w:t>
      </w:r>
      <w:r>
        <w:rPr>
          <w:rFonts w:eastAsia="Times New Roman"/>
          <w:i/>
          <w:iCs/>
          <w:color w:val="000000"/>
          <w:sz w:val="20"/>
          <w:szCs w:val="20"/>
        </w:rPr>
        <w:t>Note 3: Disposition of the Hospital Products</w:t>
      </w:r>
      <w:r>
        <w:rPr>
          <w:rFonts w:eastAsia="Times New Roman"/>
          <w:color w:val="000000"/>
          <w:sz w:val="20"/>
          <w:szCs w:val="20"/>
        </w:rPr>
        <w:t>. The following table presents a summary of total product sales by these products for the nine months ended September 30, 2020. The Company had no revenue during th</w:t>
      </w:r>
      <w:r>
        <w:rPr>
          <w:rFonts w:eastAsia="Times New Roman"/>
          <w:color w:val="000000"/>
          <w:sz w:val="20"/>
          <w:szCs w:val="20"/>
        </w:rPr>
        <w:t>e three and nine months ended September 30, 2021 and the three months ended September 30, 2020: </w:t>
      </w:r>
    </w:p>
    <w:tbl>
      <w:tblPr>
        <w:tblW w:w="5000" w:type="pct"/>
        <w:tblCellMar>
          <w:top w:w="15" w:type="dxa"/>
          <w:left w:w="15" w:type="dxa"/>
          <w:bottom w:w="15" w:type="dxa"/>
          <w:right w:w="15" w:type="dxa"/>
        </w:tblCellMar>
        <w:tblLook w:val="04A0" w:firstRow="1" w:lastRow="0" w:firstColumn="1" w:lastColumn="0" w:noHBand="0" w:noVBand="1"/>
      </w:tblPr>
      <w:tblGrid>
        <w:gridCol w:w="47"/>
        <w:gridCol w:w="6039"/>
        <w:gridCol w:w="37"/>
        <w:gridCol w:w="36"/>
        <w:gridCol w:w="36"/>
        <w:gridCol w:w="36"/>
        <w:gridCol w:w="36"/>
        <w:gridCol w:w="36"/>
        <w:gridCol w:w="111"/>
        <w:gridCol w:w="1856"/>
        <w:gridCol w:w="36"/>
      </w:tblGrid>
      <w:tr w:rsidR="00000000">
        <w:trPr>
          <w:divId w:val="1258295942"/>
        </w:trPr>
        <w:tc>
          <w:tcPr>
            <w:tcW w:w="50" w:type="pct"/>
            <w:vAlign w:val="center"/>
            <w:hideMark/>
          </w:tcPr>
          <w:p w:rsidR="00000000" w:rsidRDefault="0099260E">
            <w:pPr>
              <w:jc w:val="both"/>
              <w:rPr>
                <w:rFonts w:eastAsia="Times New Roman"/>
              </w:rPr>
            </w:pPr>
          </w:p>
        </w:tc>
        <w:tc>
          <w:tcPr>
            <w:tcW w:w="368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116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258295942"/>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r>
      <w:tr w:rsidR="00000000">
        <w:trPr>
          <w:divId w:val="1258295942"/>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Product Sales by Product:</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r>
      <w:tr w:rsidR="00000000">
        <w:trPr>
          <w:divId w:val="125829594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258295942"/>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25829594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258295942"/>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258295942"/>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258295942"/>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258295942"/>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product sales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r>
      <w:tr w:rsidR="00000000">
        <w:trPr>
          <w:divId w:val="1258295942"/>
        </w:trPr>
        <w:tc>
          <w:tcPr>
            <w:tcW w:w="0" w:type="auto"/>
            <w:gridSpan w:val="3"/>
            <w:vAlign w:val="center"/>
            <w:hideMark/>
          </w:tcPr>
          <w:p w:rsidR="00000000" w:rsidRDefault="0099260E">
            <w:pPr>
              <w:spacing w:after="100"/>
              <w:jc w:val="right"/>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258295942"/>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bl>
    <w:p w:rsidR="00000000" w:rsidRDefault="0099260E">
      <w:pPr>
        <w:jc w:val="both"/>
        <w:rPr>
          <w:rFonts w:eastAsia="Times New Roman"/>
        </w:rPr>
      </w:pPr>
    </w:p>
    <w:p w:rsidR="00000000" w:rsidRDefault="0099260E">
      <w:pPr>
        <w:divId w:val="662313882"/>
        <w:rPr>
          <w:rFonts w:eastAsia="Times New Roman"/>
        </w:rPr>
      </w:pPr>
      <w:r>
        <w:rPr>
          <w:rFonts w:eastAsia="Times New Roman"/>
          <w:b/>
          <w:bCs/>
          <w:color w:val="000000"/>
          <w:sz w:val="20"/>
          <w:szCs w:val="20"/>
        </w:rPr>
        <w:t>NOTE 16:</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rsidR="00000000" w:rsidRDefault="0099260E">
      <w:pPr>
        <w:divId w:val="1691489379"/>
        <w:rPr>
          <w:rFonts w:eastAsia="Times New Roman"/>
        </w:rPr>
      </w:pPr>
      <w:r>
        <w:rPr>
          <w:rFonts w:eastAsia="Times New Roman"/>
          <w:b/>
          <w:bCs/>
          <w:i/>
          <w:iCs/>
          <w:color w:val="000000"/>
          <w:sz w:val="20"/>
          <w:szCs w:val="20"/>
        </w:rPr>
        <w:t>Litigation  </w:t>
      </w:r>
    </w:p>
    <w:p w:rsidR="00000000" w:rsidRDefault="0099260E">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Sept</w:t>
      </w:r>
      <w:r>
        <w:rPr>
          <w:rFonts w:eastAsia="Times New Roman"/>
          <w:color w:val="000000"/>
          <w:sz w:val="20"/>
          <w:szCs w:val="20"/>
        </w:rPr>
        <w:t xml:space="preserve">ember 30, 2021 and December 31, 2020, there were no contingent liabilities with respect to any litigation, arbitration or administrative or </w:t>
      </w:r>
    </w:p>
    <w:p w:rsidR="00000000" w:rsidRDefault="0099260E">
      <w:pPr>
        <w:jc w:val="center"/>
        <w:divId w:val="970482181"/>
        <w:rPr>
          <w:rFonts w:eastAsia="Times New Roman"/>
        </w:rPr>
      </w:pPr>
      <w:r>
        <w:rPr>
          <w:rFonts w:eastAsia="Times New Roman"/>
          <w:color w:val="000000"/>
          <w:sz w:val="20"/>
          <w:szCs w:val="20"/>
        </w:rPr>
        <w:t>- 21 -</w:t>
      </w:r>
    </w:p>
    <w:p w:rsidR="00000000" w:rsidRDefault="0099260E">
      <w:pPr>
        <w:rPr>
          <w:rFonts w:eastAsia="Times New Roman"/>
        </w:rPr>
      </w:pPr>
      <w:r>
        <w:rPr>
          <w:rFonts w:eastAsia="Times New Roman"/>
        </w:rPr>
        <w:pict>
          <v:rect id="_x0000_i1046" style="width:0;height:1.5pt" o:hralign="center" o:hrstd="t" o:hr="t" fillcolor="#a0a0a0" stroked="f"/>
        </w:pict>
      </w:r>
    </w:p>
    <w:p w:rsidR="00000000" w:rsidRDefault="0099260E">
      <w:pPr>
        <w:divId w:val="1789079760"/>
        <w:rPr>
          <w:rFonts w:eastAsia="Times New Roman"/>
        </w:rPr>
      </w:pPr>
    </w:p>
    <w:p w:rsidR="00000000" w:rsidRDefault="0099260E">
      <w:pPr>
        <w:jc w:val="both"/>
        <w:rPr>
          <w:rFonts w:eastAsia="Times New Roman"/>
        </w:rPr>
      </w:pPr>
      <w:r>
        <w:rPr>
          <w:rFonts w:eastAsia="Times New Roman"/>
          <w:color w:val="000000"/>
          <w:sz w:val="20"/>
          <w:szCs w:val="20"/>
        </w:rPr>
        <w:t>other proceeding that are reasonably likely to have a material adverse effect on the Company’s unaudited condensed consolidated financial position, results of operations, cash flows or liquidity.</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First Complaint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w:t>
      </w:r>
      <w:r>
        <w:rPr>
          <w:rFonts w:eastAsia="Times New Roman"/>
          <w:color w:val="000000"/>
          <w:sz w:val="20"/>
          <w:szCs w:val="20"/>
        </w:rPr>
        <w:t xml:space="preserve"> May 12, 2021, Jazz Pharmaceuticals, Inc. (“Jazz”) filed a formal complaint (the “First Complaint”) initiating a lawsuit in the United States District Court for the District of Delaware (the “Court”) against Avadel Pharmaceuticals plc, Avadel US Holdings, </w:t>
      </w:r>
      <w:r>
        <w:rPr>
          <w:rFonts w:eastAsia="Times New Roman"/>
          <w:color w:val="000000"/>
          <w:sz w:val="20"/>
          <w:szCs w:val="20"/>
        </w:rPr>
        <w:t>Inc., Avadel Management Corporation, Avadel Legacy Pharmaceuticals, LLC, Avadel Specialty Pharmaceuticals, LLC, and Avadel CNS Pharmaceuticals, LLC (collectively, the “Avadel Parties”). In the First Complaint, Jazz alleges the sodium oxybate product (“Prop</w:t>
      </w:r>
      <w:r>
        <w:rPr>
          <w:rFonts w:eastAsia="Times New Roman"/>
          <w:color w:val="000000"/>
          <w:sz w:val="20"/>
          <w:szCs w:val="20"/>
        </w:rPr>
        <w:t>osed Product”) described in the NDA owned by Avadel CNS Pharmaceuticals, LLC will infringe at least one claim of US Patent No. 8731963, 10758488, 10813885, 10959956 and/or 10966931 (collectively, the “patents-in-suit”). The First Complaint further includes</w:t>
      </w:r>
      <w:r>
        <w:rPr>
          <w:rFonts w:eastAsia="Times New Roman"/>
          <w:color w:val="000000"/>
          <w:sz w:val="20"/>
          <w:szCs w:val="20"/>
        </w:rPr>
        <w:t xml:space="preserve"> typical relief requests such as preliminary and permanent injunctive relief, monetary damages and attorneys’ fees, costs and expenses.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3, 2021, the Avadel Parties timely filed their Answer and Counterclaims (the “Avadel Answer”) with the Court i</w:t>
      </w:r>
      <w:r>
        <w:rPr>
          <w:rFonts w:eastAsia="Times New Roman"/>
          <w:color w:val="000000"/>
          <w:sz w:val="20"/>
          <w:szCs w:val="20"/>
        </w:rPr>
        <w:t>n response to the First Complaint. The Avadel Answer generally denies the allegations set forth in the First Complaint, includes numerous affirmative defenses (including, but not limited to, non-infringement and invalidity of the patents-in-suit), and asse</w:t>
      </w:r>
      <w:r>
        <w:rPr>
          <w:rFonts w:eastAsia="Times New Roman"/>
          <w:color w:val="000000"/>
          <w:sz w:val="20"/>
          <w:szCs w:val="20"/>
        </w:rPr>
        <w:t>rts a number of counterclaims seeking i) a declaratory judgment of non-infringement of each patent-in-suit, and ii) a declaratory judgment of invalidity of each patent-in-suit.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18, 2021, Jazz filed its Answer (“Jazz Answer”) with the Court in res</w:t>
      </w:r>
      <w:r>
        <w:rPr>
          <w:rFonts w:eastAsia="Times New Roman"/>
          <w:color w:val="000000"/>
          <w:sz w:val="20"/>
          <w:szCs w:val="20"/>
        </w:rPr>
        <w:t>ponse to the Avadel Answer. The Jazz Answer generally denies the allegations set forth in the Avadel Answer and sets forth a single affirmative defense asserting that Avadel has failed to state a claim for which relief can be granted.</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21, 2021, t</w:t>
      </w:r>
      <w:r>
        <w:rPr>
          <w:rFonts w:eastAsia="Times New Roman"/>
          <w:color w:val="000000"/>
          <w:sz w:val="20"/>
          <w:szCs w:val="20"/>
        </w:rPr>
        <w:t>he Court issued an oral order requiring the parties to i) confer regarding proposed dates to be included in the Court’s scheduling order for the case, and ii) submit a proposed order, including a proposal for the length and timing of trial, to the Court by</w:t>
      </w:r>
      <w:r>
        <w:rPr>
          <w:rFonts w:eastAsia="Times New Roman"/>
          <w:color w:val="000000"/>
          <w:sz w:val="20"/>
          <w:szCs w:val="20"/>
        </w:rPr>
        <w:t xml:space="preserve"> no later than July 21, 2021.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On July 30, 2021, the Court issued a scheduling order establishing timing for litigation events including i) a claim construction hearing date of August 2, 2022, and ii) a trial date of October 30, 2023.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October 18, 2021, consistent with the scheduling order, Jazz filed a status update with the Court indicating that Jazz did not intend to file a preliminary injunction with the Court at this time.</w:t>
      </w:r>
      <w:r>
        <w:rPr>
          <w:rFonts w:eastAsia="Times New Roman"/>
          <w:color w:val="000000"/>
        </w:rPr>
        <w:t xml:space="preserve"> </w:t>
      </w:r>
      <w:r>
        <w:rPr>
          <w:rFonts w:eastAsia="Times New Roman"/>
          <w:color w:val="000000"/>
          <w:sz w:val="20"/>
          <w:szCs w:val="20"/>
        </w:rPr>
        <w:t>Jazz further indicated that it would provide the Court wi</w:t>
      </w:r>
      <w:r>
        <w:rPr>
          <w:rFonts w:eastAsia="Times New Roman"/>
          <w:color w:val="000000"/>
          <w:sz w:val="20"/>
          <w:szCs w:val="20"/>
        </w:rPr>
        <w:t>th an update regarding whether preliminary injunction proceedings may be necessary after receiving further information regarding the FDA’s action on Avadel’s NDA.</w:t>
      </w:r>
      <w:r>
        <w:rPr>
          <w:rFonts w:eastAsia="Times New Roman"/>
          <w:color w:val="000000"/>
        </w:rPr>
        <w:t xml:space="preserve">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 xml:space="preserve">Second Complaint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August 4, 2021, Jazz filed another formal complaint (the “Second Co</w:t>
      </w:r>
      <w:r>
        <w:rPr>
          <w:rFonts w:eastAsia="Times New Roman"/>
          <w:color w:val="000000"/>
          <w:sz w:val="20"/>
          <w:szCs w:val="20"/>
        </w:rPr>
        <w:t>mplaint”) initiating a lawsuit in the Court against the Avadel Parties. In the Second Complaint, Jazz alleges the Proposed Product described in the NDA owned by Avadel CNS Pharmaceuticals, LLC will infringe at least one claim of US Patent No. 11077079. The</w:t>
      </w:r>
      <w:r>
        <w:rPr>
          <w:rFonts w:eastAsia="Times New Roman"/>
          <w:color w:val="000000"/>
          <w:sz w:val="20"/>
          <w:szCs w:val="20"/>
        </w:rPr>
        <w:t xml:space="preserve"> Second Complaint further includes typical relief requests such as preliminary and permanent injunctive relief, monetary damages and attorneys’ fees, costs and expenses.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October 22, 2021, the Court issued an oral order stating that this case should p</w:t>
      </w:r>
      <w:r>
        <w:rPr>
          <w:rFonts w:eastAsia="Times New Roman"/>
          <w:color w:val="000000"/>
          <w:sz w:val="20"/>
          <w:szCs w:val="20"/>
        </w:rPr>
        <w:t xml:space="preserve">roceed on the same schedule as the case filed on May 12, 2021. </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 xml:space="preserve">Material Commitments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17: Contingent Liabilities and Commitments</w:t>
      </w:r>
      <w:r>
        <w:rPr>
          <w:rFonts w:eastAsia="Times New Roman"/>
          <w:color w:val="000000"/>
          <w:sz w:val="20"/>
          <w:szCs w:val="20"/>
        </w:rPr>
        <w:t xml:space="preserve"> to the Company's consolidated financial statements included in the 2020 Annual Rep</w:t>
      </w:r>
      <w:r>
        <w:rPr>
          <w:rFonts w:eastAsia="Times New Roman"/>
          <w:color w:val="000000"/>
          <w:sz w:val="20"/>
          <w:szCs w:val="20"/>
        </w:rPr>
        <w:t xml:space="preserve">ort on Form 10-K, there were no other material commitments outside of the normal course of business. </w:t>
      </w:r>
    </w:p>
    <w:p w:rsidR="00000000" w:rsidRDefault="0099260E">
      <w:pPr>
        <w:jc w:val="both"/>
        <w:rPr>
          <w:rFonts w:eastAsia="Times New Roman"/>
        </w:rPr>
      </w:pPr>
    </w:p>
    <w:p w:rsidR="00000000" w:rsidRDefault="0099260E">
      <w:pPr>
        <w:jc w:val="center"/>
        <w:divId w:val="1661959957"/>
        <w:rPr>
          <w:rFonts w:eastAsia="Times New Roman"/>
        </w:rPr>
      </w:pPr>
      <w:r>
        <w:rPr>
          <w:rFonts w:eastAsia="Times New Roman"/>
          <w:color w:val="000000"/>
          <w:sz w:val="20"/>
          <w:szCs w:val="20"/>
        </w:rPr>
        <w:t>- 22 -</w:t>
      </w:r>
    </w:p>
    <w:p w:rsidR="00000000" w:rsidRDefault="0099260E">
      <w:pPr>
        <w:rPr>
          <w:rFonts w:eastAsia="Times New Roman"/>
        </w:rPr>
      </w:pPr>
      <w:r>
        <w:rPr>
          <w:rFonts w:eastAsia="Times New Roman"/>
        </w:rPr>
        <w:pict>
          <v:rect id="_x0000_i1047" style="width:0;height:1.5pt" o:hralign="center" o:hrstd="t" o:hr="t" fillcolor="#a0a0a0" stroked="f"/>
        </w:pict>
      </w:r>
    </w:p>
    <w:p w:rsidR="00000000" w:rsidRDefault="0099260E">
      <w:pPr>
        <w:divId w:val="1220939396"/>
        <w:rPr>
          <w:rFonts w:eastAsia="Times New Roman"/>
        </w:rPr>
      </w:pPr>
    </w:p>
    <w:p w:rsidR="00000000" w:rsidRDefault="0099260E">
      <w:pPr>
        <w:jc w:val="both"/>
        <w:rPr>
          <w:rFonts w:eastAsia="Times New Roman"/>
        </w:rPr>
      </w:pPr>
      <w:r>
        <w:rPr>
          <w:rFonts w:eastAsia="Times New Roman"/>
          <w:b/>
          <w:bCs/>
          <w:i/>
          <w:iCs/>
          <w:color w:val="000000"/>
          <w:sz w:val="20"/>
          <w:szCs w:val="20"/>
        </w:rPr>
        <w:t>Guarantees</w:t>
      </w:r>
    </w:p>
    <w:p w:rsidR="00000000" w:rsidRDefault="0099260E">
      <w:pPr>
        <w:jc w:val="both"/>
        <w:rPr>
          <w:rFonts w:eastAsia="Times New Roman"/>
        </w:rPr>
      </w:pPr>
    </w:p>
    <w:p w:rsidR="00000000" w:rsidRDefault="0099260E">
      <w:pPr>
        <w:divId w:val="1139419150"/>
        <w:rPr>
          <w:rFonts w:eastAsia="Times New Roman"/>
        </w:rPr>
      </w:pPr>
      <w:r>
        <w:rPr>
          <w:rFonts w:eastAsia="Times New Roman"/>
          <w:i/>
          <w:iCs/>
          <w:color w:val="000000"/>
          <w:sz w:val="20"/>
          <w:szCs w:val="20"/>
        </w:rPr>
        <w:t>Deerfield Guarantee</w:t>
      </w:r>
    </w:p>
    <w:p w:rsidR="00000000" w:rsidRDefault="0099260E">
      <w:pPr>
        <w:divId w:val="651645646"/>
        <w:rPr>
          <w:rFonts w:eastAsia="Times New Roman"/>
        </w:rPr>
      </w:pPr>
    </w:p>
    <w:p w:rsidR="00000000" w:rsidRDefault="0099260E">
      <w:pPr>
        <w:jc w:val="both"/>
        <w:rPr>
          <w:rFonts w:eastAsia="Times New Roman"/>
        </w:rPr>
      </w:pPr>
      <w:r>
        <w:rPr>
          <w:rFonts w:eastAsia="Times New Roman"/>
          <w:color w:val="000000"/>
          <w:sz w:val="20"/>
          <w:szCs w:val="20"/>
        </w:rPr>
        <w:t>The fair values of our guarantee to Deerfield and the guarantee receive</w:t>
      </w:r>
      <w:r>
        <w:rPr>
          <w:rFonts w:eastAsia="Times New Roman"/>
          <w:color w:val="000000"/>
          <w:sz w:val="20"/>
          <w:szCs w:val="20"/>
        </w:rPr>
        <w:t>d by us from Armistice largely offset and when combined are not material.</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connection with our February 2018 divestiture of our pediatric assets, we guaranteed to Deerfield the quarterly royalty payment of 15% on net sales of the FSC products through F</w:t>
      </w:r>
      <w:r>
        <w:rPr>
          <w:rFonts w:eastAsia="Times New Roman"/>
          <w:color w:val="000000"/>
          <w:sz w:val="20"/>
          <w:szCs w:val="20"/>
        </w:rPr>
        <w:t>ebruary 6, 2026 (“FSC Product Royalties”), in an aggregate amount of up to approximately $10,300. Given our explicit guarantee to Deerfield, the Company recorded the guarantee in accordance with ASC 460. The balance of this guarantee liability was $1,121 a</w:t>
      </w:r>
      <w:r>
        <w:rPr>
          <w:rFonts w:eastAsia="Times New Roman"/>
          <w:color w:val="000000"/>
          <w:sz w:val="20"/>
          <w:szCs w:val="20"/>
        </w:rPr>
        <w:t>t September 30, 2021. This liability is being amortized proportionately based on undiscounted cash outflows through the remainder of the contract with Deerfield.</w:t>
      </w:r>
    </w:p>
    <w:p w:rsidR="00000000" w:rsidRDefault="0099260E">
      <w:pPr>
        <w:divId w:val="1303388151"/>
        <w:rPr>
          <w:rFonts w:eastAsia="Times New Roman"/>
        </w:rPr>
      </w:pPr>
    </w:p>
    <w:p w:rsidR="00000000" w:rsidRDefault="0099260E">
      <w:pPr>
        <w:jc w:val="both"/>
        <w:rPr>
          <w:rFonts w:eastAsia="Times New Roman"/>
        </w:rPr>
      </w:pPr>
      <w:r>
        <w:rPr>
          <w:rFonts w:eastAsia="Times New Roman"/>
          <w:i/>
          <w:iCs/>
          <w:color w:val="000000"/>
          <w:sz w:val="20"/>
          <w:szCs w:val="20"/>
        </w:rPr>
        <w:t>Armistice Guarantee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connection with our February 2018 divestiture of the pediatric asse</w:t>
      </w:r>
      <w:r>
        <w:rPr>
          <w:rFonts w:eastAsia="Times New Roman"/>
          <w:color w:val="000000"/>
          <w:sz w:val="20"/>
          <w:szCs w:val="20"/>
        </w:rPr>
        <w:t>ts, Armistice Capital Master Fund, Ltd., the majority shareholder of Cerecor, guaranteed to us the FSC Product Royalties. The Company recorded the guarantee in accordance with ASC 460. The balance of this guarantee asset was $1,117 at September 30, 2021. T</w:t>
      </w:r>
      <w:r>
        <w:rPr>
          <w:rFonts w:eastAsia="Times New Roman"/>
          <w:color w:val="000000"/>
          <w:sz w:val="20"/>
          <w:szCs w:val="20"/>
        </w:rPr>
        <w:t>his asset is being amortized proportionately based on undiscounted cash outflows through the remainder of the contract with Deerfield.</w:t>
      </w:r>
    </w:p>
    <w:p w:rsidR="00000000" w:rsidRDefault="0099260E">
      <w:pPr>
        <w:jc w:val="both"/>
        <w:rPr>
          <w:rFonts w:eastAsia="Times New Roman"/>
        </w:rPr>
      </w:pPr>
    </w:p>
    <w:p w:rsidR="00000000" w:rsidRDefault="0099260E">
      <w:pPr>
        <w:divId w:val="1390807245"/>
        <w:rPr>
          <w:rFonts w:eastAsia="Times New Roman"/>
        </w:rPr>
      </w:pPr>
      <w:r>
        <w:rPr>
          <w:rFonts w:eastAsia="Times New Roman"/>
          <w:b/>
          <w:bCs/>
          <w:i/>
          <w:iCs/>
          <w:color w:val="000000"/>
          <w:sz w:val="20"/>
          <w:szCs w:val="20"/>
        </w:rPr>
        <w:t>Off-Balance Sheet Arrangements</w:t>
      </w:r>
    </w:p>
    <w:p w:rsidR="00000000" w:rsidRDefault="0099260E">
      <w:pPr>
        <w:divId w:val="944996057"/>
        <w:rPr>
          <w:rFonts w:eastAsia="Times New Roman"/>
        </w:rPr>
      </w:pPr>
    </w:p>
    <w:p w:rsidR="00000000" w:rsidRDefault="0099260E">
      <w:pPr>
        <w:divId w:val="179127622"/>
        <w:rPr>
          <w:rFonts w:eastAsia="Times New Roman"/>
        </w:rPr>
      </w:pPr>
      <w:r>
        <w:rPr>
          <w:rFonts w:eastAsia="Times New Roman"/>
          <w:color w:val="000000"/>
          <w:sz w:val="20"/>
          <w:szCs w:val="20"/>
        </w:rPr>
        <w:t>As of September </w:t>
      </w:r>
      <w:r>
        <w:rPr>
          <w:rFonts w:eastAsia="Times New Roman"/>
          <w:color w:val="000000"/>
          <w:sz w:val="20"/>
          <w:szCs w:val="20"/>
        </w:rPr>
        <w:t>30, 2021, we did not have any off-balance sheet arrangements, as defined in Item 303(a)(4)(ii) of Regulation S-K.</w:t>
      </w:r>
    </w:p>
    <w:p w:rsidR="00000000" w:rsidRDefault="0099260E">
      <w:pPr>
        <w:jc w:val="both"/>
        <w:rPr>
          <w:rFonts w:eastAsia="Times New Roman"/>
        </w:rPr>
      </w:pPr>
    </w:p>
    <w:p w:rsidR="00000000" w:rsidRDefault="0099260E">
      <w:pPr>
        <w:divId w:val="684095980"/>
        <w:rPr>
          <w:rFonts w:eastAsia="Times New Roman"/>
        </w:rPr>
      </w:pPr>
      <w:r>
        <w:rPr>
          <w:rFonts w:eastAsia="Times New Roman"/>
          <w:b/>
          <w:bCs/>
          <w:color w:val="000000"/>
          <w:sz w:val="20"/>
          <w:szCs w:val="20"/>
        </w:rPr>
        <w:t>NOTE 17: Subsequent Events</w:t>
      </w:r>
    </w:p>
    <w:p w:rsidR="00000000" w:rsidRDefault="0099260E">
      <w:pPr>
        <w:jc w:val="both"/>
        <w:rPr>
          <w:rFonts w:eastAsia="Times New Roman"/>
        </w:rPr>
      </w:pPr>
      <w:r>
        <w:rPr>
          <w:rFonts w:eastAsia="Times New Roman"/>
          <w:color w:val="000000"/>
          <w:sz w:val="20"/>
          <w:szCs w:val="20"/>
        </w:rPr>
        <w:t>On October 15, 2021, we announced that the FDA informed us that the review of our NDA for FT218 was ongoing beyon</w:t>
      </w:r>
      <w:r>
        <w:rPr>
          <w:rFonts w:eastAsia="Times New Roman"/>
          <w:color w:val="000000"/>
          <w:sz w:val="20"/>
          <w:szCs w:val="20"/>
        </w:rPr>
        <w:t>d its previously assigned target action date.</w:t>
      </w:r>
    </w:p>
    <w:p w:rsidR="00000000" w:rsidRDefault="0099260E">
      <w:pPr>
        <w:jc w:val="both"/>
        <w:rPr>
          <w:rFonts w:eastAsia="Times New Roman"/>
        </w:rPr>
      </w:pPr>
    </w:p>
    <w:p w:rsidR="00000000" w:rsidRDefault="0099260E">
      <w:pPr>
        <w:jc w:val="both"/>
        <w:rPr>
          <w:rFonts w:eastAsia="Times New Roman"/>
        </w:rPr>
      </w:pPr>
    </w:p>
    <w:p w:rsidR="00000000" w:rsidRDefault="0099260E">
      <w:pPr>
        <w:jc w:val="center"/>
        <w:divId w:val="1816726821"/>
        <w:rPr>
          <w:rFonts w:eastAsia="Times New Roman"/>
        </w:rPr>
      </w:pPr>
      <w:r>
        <w:rPr>
          <w:rFonts w:eastAsia="Times New Roman"/>
          <w:color w:val="000000"/>
          <w:sz w:val="20"/>
          <w:szCs w:val="20"/>
        </w:rPr>
        <w:t>- 23 -</w:t>
      </w:r>
    </w:p>
    <w:p w:rsidR="00000000" w:rsidRDefault="0099260E">
      <w:pPr>
        <w:rPr>
          <w:rFonts w:eastAsia="Times New Roman"/>
        </w:rPr>
      </w:pPr>
      <w:r>
        <w:rPr>
          <w:rFonts w:eastAsia="Times New Roman"/>
        </w:rPr>
        <w:pict>
          <v:rect id="_x0000_i1048" style="width:0;height:1.5pt" o:hralign="center" o:hrstd="t" o:hr="t" fillcolor="#a0a0a0" stroked="f"/>
        </w:pict>
      </w:r>
    </w:p>
    <w:p w:rsidR="00000000" w:rsidRDefault="0099260E">
      <w:pPr>
        <w:divId w:val="597366601"/>
        <w:rPr>
          <w:rFonts w:eastAsia="Times New Roman"/>
        </w:rPr>
      </w:pPr>
    </w:p>
    <w:p w:rsidR="00000000" w:rsidRDefault="0099260E">
      <w:pPr>
        <w:divId w:val="356004477"/>
        <w:rPr>
          <w:rFonts w:eastAsia="Times New Roman"/>
        </w:rPr>
      </w:pPr>
      <w:r>
        <w:rPr>
          <w:rFonts w:eastAsia="Times New Roman"/>
          <w:b/>
          <w:bCs/>
          <w:color w:val="000000"/>
          <w:sz w:val="20"/>
          <w:szCs w:val="20"/>
        </w:rPr>
        <w:t>ITEM 2.        MANAGEMENT’S DISCUSSION AND ANALYSIS OF FINANCIAL CONDITION AND RESULTS OF OPERATIONS </w:t>
      </w:r>
    </w:p>
    <w:p w:rsidR="00000000" w:rsidRDefault="0099260E">
      <w:pPr>
        <w:jc w:val="center"/>
        <w:rPr>
          <w:rFonts w:eastAsia="Times New Roman"/>
        </w:rPr>
      </w:pPr>
    </w:p>
    <w:p w:rsidR="00000000" w:rsidRDefault="0099260E">
      <w:pPr>
        <w:jc w:val="center"/>
        <w:rPr>
          <w:rFonts w:eastAsia="Times New Roman"/>
        </w:rPr>
      </w:pPr>
      <w:r>
        <w:rPr>
          <w:rFonts w:eastAsia="Times New Roman"/>
          <w:b/>
          <w:bCs/>
          <w:color w:val="000000"/>
          <w:sz w:val="20"/>
          <w:szCs w:val="20"/>
        </w:rPr>
        <w:t>Management’</w:t>
      </w:r>
      <w:r>
        <w:rPr>
          <w:rFonts w:eastAsia="Times New Roman"/>
          <w:b/>
          <w:bCs/>
          <w:color w:val="000000"/>
          <w:sz w:val="20"/>
          <w:szCs w:val="20"/>
        </w:rPr>
        <w:t>s Discussion and Analysis</w:t>
      </w:r>
      <w:r>
        <w:rPr>
          <w:rFonts w:eastAsia="Times New Roman"/>
          <w:i/>
          <w:iCs/>
          <w:color w:val="000000"/>
          <w:sz w:val="20"/>
          <w:szCs w:val="20"/>
        </w:rPr>
        <w:t> </w:t>
      </w:r>
    </w:p>
    <w:p w:rsidR="00000000" w:rsidRDefault="0099260E">
      <w:pPr>
        <w:jc w:val="center"/>
        <w:rPr>
          <w:rFonts w:eastAsia="Times New Roman"/>
        </w:rPr>
      </w:pPr>
      <w:r>
        <w:rPr>
          <w:rFonts w:eastAsia="Times New Roman"/>
          <w:i/>
          <w:iCs/>
          <w:color w:val="000000"/>
          <w:sz w:val="20"/>
          <w:szCs w:val="20"/>
        </w:rPr>
        <w:t>(In thousands, except per share data)</w:t>
      </w:r>
    </w:p>
    <w:p w:rsidR="00000000" w:rsidRDefault="0099260E">
      <w:pPr>
        <w:jc w:val="center"/>
        <w:rPr>
          <w:rFonts w:eastAsia="Times New Roman"/>
        </w:rPr>
      </w:pPr>
      <w:r>
        <w:rPr>
          <w:rFonts w:eastAsia="Times New Roman"/>
          <w:i/>
          <w:iCs/>
          <w:color w:val="000000"/>
          <w:sz w:val="20"/>
          <w:szCs w:val="20"/>
        </w:rPr>
        <w:t>(Unaudited)</w:t>
      </w:r>
    </w:p>
    <w:p w:rsidR="00000000" w:rsidRDefault="0099260E">
      <w:pPr>
        <w:ind w:firstLine="720"/>
        <w:jc w:val="center"/>
        <w:rPr>
          <w:rFonts w:eastAsia="Times New Roman"/>
        </w:rPr>
      </w:pPr>
      <w:r>
        <w:rPr>
          <w:rFonts w:eastAsia="Times New Roman"/>
          <w:color w:val="000000"/>
          <w:sz w:val="20"/>
          <w:szCs w:val="20"/>
        </w:rPr>
        <w:t> </w:t>
      </w:r>
    </w:p>
    <w:p w:rsidR="00000000" w:rsidRDefault="0099260E">
      <w:pPr>
        <w:jc w:val="both"/>
        <w:divId w:val="239950310"/>
        <w:rPr>
          <w:rFonts w:eastAsia="Times New Roman"/>
        </w:rPr>
      </w:pPr>
      <w:r>
        <w:rPr>
          <w:rFonts w:eastAsia="Times New Roman"/>
          <w:b/>
          <w:bCs/>
          <w:i/>
          <w:iCs/>
          <w:color w:val="000000"/>
          <w:sz w:val="20"/>
          <w:szCs w:val="20"/>
        </w:rPr>
        <w:t>You should read the discussion and analysis of our financial condition and results of operations set forth in this Item 2 together with our unaudited condensed consolidated fina</w:t>
      </w:r>
      <w:r>
        <w:rPr>
          <w:rFonts w:eastAsia="Times New Roman"/>
          <w:b/>
          <w:bCs/>
          <w:i/>
          <w:iCs/>
          <w:color w:val="000000"/>
          <w:sz w:val="20"/>
          <w:szCs w:val="20"/>
        </w:rPr>
        <w:t>ncial statements and the related notes appearing elsewhere in this Quarterly Report on Form 10-Q. Some of the information contained in this discussion and analysis or set forth elsewhere in this Quarterly Report on Form 10-Q, including information with res</w:t>
      </w:r>
      <w:r>
        <w:rPr>
          <w:rFonts w:eastAsia="Times New Roman"/>
          <w:b/>
          <w:bCs/>
          <w:i/>
          <w:iCs/>
          <w:color w:val="000000"/>
          <w:sz w:val="20"/>
          <w:szCs w:val="20"/>
        </w:rPr>
        <w:t>pect to our plans and strategy for our business and related financing, includes forward-looking statements that involve risks and uncertainties, and reference is made to the “Cautionary Note Regarding Forward-Looking Statements” set forth immediately follo</w:t>
      </w:r>
      <w:r>
        <w:rPr>
          <w:rFonts w:eastAsia="Times New Roman"/>
          <w:b/>
          <w:bCs/>
          <w:i/>
          <w:iCs/>
          <w:color w:val="000000"/>
          <w:sz w:val="20"/>
          <w:szCs w:val="20"/>
        </w:rPr>
        <w:t>wing the Table of Contents of this Quarterly Report on Form 10-Q for further information on the forward looking statements herein. In addition, you should read the “Risk Factors” section in Part I, Item 1A of our Annual Report on Form 10-K filed with the U</w:t>
      </w:r>
      <w:r>
        <w:rPr>
          <w:rFonts w:eastAsia="Times New Roman"/>
          <w:b/>
          <w:bCs/>
          <w:i/>
          <w:iCs/>
          <w:color w:val="000000"/>
          <w:sz w:val="20"/>
          <w:szCs w:val="20"/>
        </w:rPr>
        <w:t>.S. Securities and Exchange Commission (“SEC”) on March 9, 2021 and Part II, Item 1A in this Quarterly Report on Form 10-Q for a discussion of additional important factors that could cause actual results to differ materially from the results described in o</w:t>
      </w:r>
      <w:r>
        <w:rPr>
          <w:rFonts w:eastAsia="Times New Roman"/>
          <w:b/>
          <w:bCs/>
          <w:i/>
          <w:iCs/>
          <w:color w:val="000000"/>
          <w:sz w:val="20"/>
          <w:szCs w:val="20"/>
        </w:rPr>
        <w:t>r implied by the forward-looking statements contained in the following discussion and analysis and elsewhere in this Quarterly Report.</w:t>
      </w:r>
    </w:p>
    <w:p w:rsidR="00000000" w:rsidRDefault="0099260E">
      <w:pPr>
        <w:jc w:val="both"/>
        <w:divId w:val="1591695049"/>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99260E">
      <w:pPr>
        <w:jc w:val="both"/>
        <w:divId w:val="199171448"/>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rsidR="00000000" w:rsidRDefault="0099260E">
      <w:pPr>
        <w:jc w:val="both"/>
        <w:rPr>
          <w:rFonts w:eastAsia="Times New Roman"/>
        </w:rPr>
      </w:pPr>
      <w:r>
        <w:rPr>
          <w:rFonts w:eastAsia="Times New Roman"/>
          <w:color w:val="000000"/>
          <w:sz w:val="20"/>
          <w:szCs w:val="20"/>
        </w:rPr>
        <w:t xml:space="preserve">Avadel Pharmaceuticals plc (Nasdaq: AVDL) (“Avadel,” the “Company,” “we,” “our,” or “us”) is </w:t>
      </w:r>
      <w:r>
        <w:rPr>
          <w:rFonts w:eastAsia="Times New Roman"/>
          <w:color w:val="000000"/>
          <w:sz w:val="20"/>
          <w:szCs w:val="20"/>
        </w:rPr>
        <w:t>a biopharmaceutical company. Our lead product candidate, FT218, is an investigational once-nightly, extended-release formulation of sodium oxybate for the treatment of excessive daytime sleepiness (“EDS”) and cataplexy in adults with narcolepsy. We are pri</w:t>
      </w:r>
      <w:r>
        <w:rPr>
          <w:rFonts w:eastAsia="Times New Roman"/>
          <w:color w:val="000000"/>
          <w:sz w:val="20"/>
          <w:szCs w:val="20"/>
        </w:rPr>
        <w:t>marily focused on the development and potential United States (“U.S.”) Food and Drug Administration (“FDA”) approval of FT218. In December 2020, we submitted a New Drug Application (“NDA”) to the FDA for FT218 to treat excessive daytime sleepiness and cata</w:t>
      </w:r>
      <w:r>
        <w:rPr>
          <w:rFonts w:eastAsia="Times New Roman"/>
          <w:color w:val="000000"/>
          <w:sz w:val="20"/>
          <w:szCs w:val="20"/>
        </w:rPr>
        <w:t>plexy in adults with narcolepsy. In February 2021, the NDA for FT218 was accepted by the FDA and was assigned a Prescription Drug User Fee Act (“PDUFA”) target action date of October 15, 2021. On October 15, 2021, we announced that the FDA informed us that</w:t>
      </w:r>
      <w:r>
        <w:rPr>
          <w:rFonts w:eastAsia="Times New Roman"/>
          <w:color w:val="000000"/>
          <w:sz w:val="20"/>
          <w:szCs w:val="20"/>
        </w:rPr>
        <w:t xml:space="preserve"> the review of our NDA for FT218 was ongoing beyond its previously assigned target action date.</w:t>
      </w:r>
    </w:p>
    <w:p w:rsidR="00000000" w:rsidRDefault="0099260E">
      <w:pPr>
        <w:divId w:val="334310494"/>
        <w:rPr>
          <w:rFonts w:eastAsia="Times New Roman"/>
        </w:rPr>
      </w:pPr>
    </w:p>
    <w:p w:rsidR="00000000" w:rsidRDefault="0099260E">
      <w:pPr>
        <w:jc w:val="both"/>
        <w:rPr>
          <w:rFonts w:eastAsia="Times New Roman"/>
        </w:rPr>
      </w:pPr>
      <w:r>
        <w:rPr>
          <w:rFonts w:eastAsia="Times New Roman"/>
          <w:color w:val="000000"/>
          <w:sz w:val="20"/>
          <w:szCs w:val="20"/>
        </w:rPr>
        <w:t>Outside of our lead product candidate, we continue to evaluate opportunities to expand our product portfolio. As of September 30, 2021, we do not have any app</w:t>
      </w:r>
      <w:r>
        <w:rPr>
          <w:rFonts w:eastAsia="Times New Roman"/>
          <w:color w:val="000000"/>
          <w:sz w:val="20"/>
          <w:szCs w:val="20"/>
        </w:rPr>
        <w:t>roved or commercialized products in our portfolio.</w:t>
      </w:r>
    </w:p>
    <w:p w:rsidR="00000000" w:rsidRDefault="0099260E">
      <w:pPr>
        <w:divId w:val="680595432"/>
        <w:rPr>
          <w:rFonts w:eastAsia="Times New Roman"/>
        </w:rPr>
      </w:pPr>
    </w:p>
    <w:p w:rsidR="00000000" w:rsidRDefault="0099260E">
      <w:pPr>
        <w:divId w:val="825055729"/>
        <w:rPr>
          <w:rFonts w:eastAsia="Times New Roman"/>
        </w:rPr>
      </w:pPr>
      <w:r>
        <w:rPr>
          <w:rFonts w:eastAsia="Times New Roman"/>
          <w:b/>
          <w:bCs/>
          <w:i/>
          <w:iCs/>
          <w:color w:val="000000"/>
          <w:sz w:val="20"/>
          <w:szCs w:val="20"/>
        </w:rPr>
        <w:t>FT218</w:t>
      </w:r>
    </w:p>
    <w:p w:rsidR="00000000" w:rsidRDefault="0099260E">
      <w:pPr>
        <w:divId w:val="255359082"/>
        <w:rPr>
          <w:rFonts w:eastAsia="Times New Roman"/>
        </w:rPr>
      </w:pPr>
    </w:p>
    <w:p w:rsidR="00000000" w:rsidRDefault="0099260E">
      <w:pPr>
        <w:jc w:val="both"/>
        <w:rPr>
          <w:rFonts w:eastAsia="Times New Roman"/>
        </w:rPr>
      </w:pPr>
      <w:r>
        <w:rPr>
          <w:rFonts w:eastAsia="Times New Roman"/>
          <w:color w:val="000000"/>
          <w:sz w:val="20"/>
          <w:szCs w:val="20"/>
        </w:rPr>
        <w:t>FT218 is a once-nightly formulation of sodium oxybate that uses our Micropump controlled release drug-delivery technology for the treatment of EDS and cataplexy in adults suffering from narcoleps</w:t>
      </w:r>
      <w:r>
        <w:rPr>
          <w:rFonts w:eastAsia="Times New Roman"/>
          <w:color w:val="000000"/>
          <w:sz w:val="20"/>
          <w:szCs w:val="20"/>
        </w:rPr>
        <w:t xml:space="preserve">y. Sodium oxybate is the sodium salt of gamma hydroxybutyrate, an endogenous compound and metabolite of the neurotransmitter gamma-aminobutyric acid. Sodium oxybate is approved in the U.S. for the treatment of EDS and cataplexy in patients with narcolepsy </w:t>
      </w:r>
      <w:r>
        <w:rPr>
          <w:rFonts w:eastAsia="Times New Roman"/>
          <w:color w:val="000000"/>
          <w:sz w:val="20"/>
          <w:szCs w:val="20"/>
        </w:rPr>
        <w:t>and is approved in Europe for the treatment of cataplexy in patients with narcolepsy. Since 2002, sodium oxybate has only been available as a formulation that must be taken twice nightly, first at bedtime, and then again 2.5 to 4 hours later.</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acceptance of the NDA and assigned PDUFA target action date of October 15, 2021. On October 15, 2021, we announced that t</w:t>
      </w:r>
      <w:r>
        <w:rPr>
          <w:rFonts w:eastAsia="Times New Roman"/>
          <w:color w:val="000000"/>
          <w:sz w:val="20"/>
          <w:szCs w:val="20"/>
        </w:rPr>
        <w:t>he FDA informed us that the review of our NDA for FT218 was ongoing beyond its previously assigned target action date.</w:t>
      </w:r>
    </w:p>
    <w:p w:rsidR="00000000" w:rsidRDefault="0099260E">
      <w:pPr>
        <w:divId w:val="380981962"/>
        <w:rPr>
          <w:rFonts w:eastAsia="Times New Roman"/>
        </w:rPr>
      </w:pPr>
    </w:p>
    <w:p w:rsidR="00000000" w:rsidRDefault="0099260E">
      <w:pPr>
        <w:jc w:val="both"/>
        <w:rPr>
          <w:rFonts w:eastAsia="Times New Roman"/>
        </w:rPr>
      </w:pPr>
      <w:r>
        <w:rPr>
          <w:rFonts w:eastAsia="Times New Roman"/>
          <w:color w:val="000000"/>
          <w:sz w:val="20"/>
          <w:szCs w:val="20"/>
        </w:rPr>
        <w:t xml:space="preserve">We conducted a Phase 3 clinical trial of FT218, the REST-ON trial, which was a randomized, double-blind, placebo-controlled study that </w:t>
      </w:r>
      <w:r>
        <w:rPr>
          <w:rFonts w:eastAsia="Times New Roman"/>
          <w:color w:val="000000"/>
          <w:sz w:val="20"/>
          <w:szCs w:val="20"/>
        </w:rPr>
        <w:t>enrolled 212 patients who received at least one dose of FT218 or placebo, and was conducted in clinical sites in the U.S., Canada, Western Europe and Australia. The last patient, last visit was completed at the end of the first quarter of 2020 and positive</w:t>
      </w:r>
      <w:r>
        <w:rPr>
          <w:rFonts w:eastAsia="Times New Roman"/>
          <w:color w:val="000000"/>
          <w:sz w:val="20"/>
          <w:szCs w:val="20"/>
        </w:rPr>
        <w:t xml:space="preserve"> top line data from the REST-ON trial was announced on April 27, 2020. Patients who received 9 g of once-nightly FT218, the highest dose administered in the trial, demonstrated a statistically significant and clinically meaningful improvement compared to p</w:t>
      </w:r>
      <w:r>
        <w:rPr>
          <w:rFonts w:eastAsia="Times New Roman"/>
          <w:color w:val="000000"/>
          <w:sz w:val="20"/>
          <w:szCs w:val="20"/>
        </w:rPr>
        <w:t>lacebo across the three co-primary endpoints of the trial: maintenance of wakefulness test, or MWT, clinical global impression-improvement, or CGI-I, and mean weekly cataplexy attacks. The lower doses assessed, 6 g and 7.5 g also demonstrated a statistical</w:t>
      </w:r>
      <w:r>
        <w:rPr>
          <w:rFonts w:eastAsia="Times New Roman"/>
          <w:color w:val="000000"/>
          <w:sz w:val="20"/>
          <w:szCs w:val="20"/>
        </w:rPr>
        <w:t xml:space="preserve">ly significant and clinically meaningful improvement on all three co-primary endpoints compared to </w:t>
      </w:r>
    </w:p>
    <w:p w:rsidR="00000000" w:rsidRDefault="0099260E">
      <w:pPr>
        <w:jc w:val="center"/>
        <w:divId w:val="712849087"/>
        <w:rPr>
          <w:rFonts w:eastAsia="Times New Roman"/>
        </w:rPr>
      </w:pPr>
      <w:r>
        <w:rPr>
          <w:rFonts w:eastAsia="Times New Roman"/>
          <w:color w:val="000000"/>
          <w:sz w:val="20"/>
          <w:szCs w:val="20"/>
        </w:rPr>
        <w:t>- 24 -</w:t>
      </w:r>
    </w:p>
    <w:p w:rsidR="00000000" w:rsidRDefault="0099260E">
      <w:pPr>
        <w:rPr>
          <w:rFonts w:eastAsia="Times New Roman"/>
        </w:rPr>
      </w:pPr>
      <w:r>
        <w:rPr>
          <w:rFonts w:eastAsia="Times New Roman"/>
        </w:rPr>
        <w:pict>
          <v:rect id="_x0000_i1049" style="width:0;height:1.5pt" o:hralign="center" o:hrstd="t" o:hr="t" fillcolor="#a0a0a0" stroked="f"/>
        </w:pict>
      </w:r>
    </w:p>
    <w:p w:rsidR="00000000" w:rsidRDefault="0099260E">
      <w:pPr>
        <w:divId w:val="703795469"/>
        <w:rPr>
          <w:rFonts w:eastAsia="Times New Roman"/>
        </w:rPr>
      </w:pPr>
    </w:p>
    <w:p w:rsidR="00000000" w:rsidRDefault="0099260E">
      <w:pPr>
        <w:jc w:val="both"/>
        <w:rPr>
          <w:rFonts w:eastAsia="Times New Roman"/>
        </w:rPr>
      </w:pPr>
      <w:r>
        <w:rPr>
          <w:rFonts w:eastAsia="Times New Roman"/>
          <w:color w:val="000000"/>
          <w:sz w:val="20"/>
          <w:szCs w:val="20"/>
        </w:rPr>
        <w:t>placebo. We observed the 9 g dose of once-nightly FT218 to be generally well tolerated. Adverse reactions comm</w:t>
      </w:r>
      <w:r>
        <w:rPr>
          <w:rFonts w:eastAsia="Times New Roman"/>
          <w:color w:val="000000"/>
          <w:sz w:val="20"/>
          <w:szCs w:val="20"/>
        </w:rPr>
        <w:t>only associated with sodium oxybate were observed in a small number of patients (nausea 1.3%, vomiting 5.2%, decreased appetite 2.6%, dizziness 5.2%, somnolence 3.9%, tremor 1.3% and enuresis 9%), and 3.9% of the patients who received 9 g of FT218 disconti</w:t>
      </w:r>
      <w:r>
        <w:rPr>
          <w:rFonts w:eastAsia="Times New Roman"/>
          <w:color w:val="000000"/>
          <w:sz w:val="20"/>
          <w:szCs w:val="20"/>
        </w:rPr>
        <w:t>nued the trial due to adverse reactions.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January 2018, the FDA granted FT218 Orphan Drug Designation, which makes the drug eligible for certain development and commercial incentives, including potential U.S. market exclusivity for up to seven years. A</w:t>
      </w:r>
      <w:r>
        <w:rPr>
          <w:rFonts w:eastAsia="Times New Roman"/>
          <w:color w:val="000000"/>
          <w:sz w:val="20"/>
          <w:szCs w:val="20"/>
        </w:rPr>
        <w:t>dditionally, several FT218-related U.S. patents have been issued, and there are additional patent applications currently in development and/or pending at the U.S. Patent and Trademark Office (“USPTO”), as well as foreign patent offices.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In July 2020, we </w:t>
      </w:r>
      <w:r>
        <w:rPr>
          <w:rFonts w:eastAsia="Times New Roman"/>
          <w:color w:val="000000"/>
          <w:sz w:val="20"/>
          <w:szCs w:val="20"/>
        </w:rPr>
        <w:t>announced that the first patient was dosed initiating an open-label extension (“OLE”)/switch study of FT218 as a potential treatment for EDS and cataplexy in patients with narcolepsy. The OLE/switch study is examining the long-term safety and maintenance o</w:t>
      </w:r>
      <w:r>
        <w:rPr>
          <w:rFonts w:eastAsia="Times New Roman"/>
          <w:color w:val="000000"/>
          <w:sz w:val="20"/>
          <w:szCs w:val="20"/>
        </w:rPr>
        <w:t>f efficacy of FT218 in patients with narcolepsy who participated in the REST-ON study, as well as dosing and preference data for patients switching from twice-nightly sodium oxybate to once-nightly FT218, regardless of whether they participated in REST-ON.</w:t>
      </w:r>
      <w:r>
        <w:rPr>
          <w:rFonts w:eastAsia="Times New Roman"/>
          <w:color w:val="000000"/>
          <w:sz w:val="20"/>
          <w:szCs w:val="20"/>
        </w:rPr>
        <w:t xml:space="preserve">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FT218 improvements in disturbed nocturnal sleep (“DNS”), defined in REST-ON as the number of shifts</w:t>
      </w:r>
      <w:r>
        <w:rPr>
          <w:rFonts w:eastAsia="Times New Roman"/>
          <w:color w:val="000000"/>
          <w:sz w:val="20"/>
          <w:szCs w:val="20"/>
        </w:rPr>
        <w:t xml:space="preserve"> from stages N1, N2, N3, and rapid eye movement (“REM”) sleep to wake and from stages N2, N3, and REM sleep to stage N1. FT218 also decreased the number of nocturnal arousals as measured on polysomnography. Improvements in DNS were further supported by pos</w:t>
      </w:r>
      <w:r>
        <w:rPr>
          <w:rFonts w:eastAsia="Times New Roman"/>
          <w:color w:val="000000"/>
          <w:sz w:val="20"/>
          <w:szCs w:val="20"/>
        </w:rPr>
        <w:t>t-hoc analyses demonstrating increased time in deep sleep (N3, also known as slow wave sleep), and less time in N1. A second poster described the statistically significant improvements in the Epworth Sleepiness Scale, both the quality of sleep and the refr</w:t>
      </w:r>
      <w:r>
        <w:rPr>
          <w:rFonts w:eastAsia="Times New Roman"/>
          <w:color w:val="000000"/>
          <w:sz w:val="20"/>
          <w:szCs w:val="20"/>
        </w:rPr>
        <w:t>eshing nature of sleep, and a decrease in sleep paralysis. These clinically relevant improvements were observed for all doses, beginning at Week 3, for the lowest 6 g dose, compared to placebo. FT218 did not demonstrate significant improvement for hypnagog</w:t>
      </w:r>
      <w:r>
        <w:rPr>
          <w:rFonts w:eastAsia="Times New Roman"/>
          <w:color w:val="000000"/>
          <w:sz w:val="20"/>
          <w:szCs w:val="20"/>
        </w:rPr>
        <w:t xml:space="preserve">ic hallucinations compared to placebo.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Additional data supportive of the efficacy findings in REST-ON were presented at the annual meeting of the 3</w:t>
      </w:r>
      <w:r>
        <w:rPr>
          <w:rFonts w:eastAsia="Times New Roman"/>
          <w:color w:val="000000"/>
          <w:sz w:val="20"/>
          <w:szCs w:val="20"/>
        </w:rPr>
        <w:t>5</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Annual Meeting of the Associated Professional Sleep Societies, a joint meeting of the American Academy</w:t>
      </w:r>
      <w:r>
        <w:rPr>
          <w:rFonts w:eastAsia="Times New Roman"/>
          <w:color w:val="000000"/>
          <w:sz w:val="20"/>
          <w:szCs w:val="20"/>
        </w:rPr>
        <w:t xml:space="preserve"> of Sleep Medicine and the Sleep Research Society, also known as SLEEP 2021, beginning June 10, 2021. New data included post-hoc analyses demonstrating endpoints improvements, regardless of concomitant stimulant use, in both narcolepsy Type 1 or Type 2. Ad</w:t>
      </w:r>
      <w:r>
        <w:rPr>
          <w:rFonts w:eastAsia="Times New Roman"/>
          <w:color w:val="000000"/>
          <w:sz w:val="20"/>
          <w:szCs w:val="20"/>
        </w:rPr>
        <w:t>ditionally, a post-hoc analysis showed that FT218 was associated with decreased body mass index compared to placebo, which may be relevant as people with narcolepsy often have co-morbid obesity. In August, the primary results from the REST-ON trial were pu</w:t>
      </w:r>
      <w:r>
        <w:rPr>
          <w:rFonts w:eastAsia="Times New Roman"/>
          <w:color w:val="000000"/>
          <w:sz w:val="20"/>
          <w:szCs w:val="20"/>
        </w:rPr>
        <w:t>blished by Kushida et al. in the journal SLEEP.</w:t>
      </w:r>
      <w:r>
        <w:rPr>
          <w:rFonts w:eastAsia="Times New Roman"/>
          <w:color w:val="000000"/>
        </w:rPr>
        <w:t xml:space="preserve"> </w:t>
      </w:r>
      <w:r>
        <w:rPr>
          <w:rFonts w:eastAsia="Times New Roman"/>
          <w:color w:val="000000"/>
          <w:sz w:val="20"/>
          <w:szCs w:val="20"/>
        </w:rPr>
        <w:t>New data was presented at the American College of Chest Physicians annual meeting, beginning October 17, 2021, including additional post-hoc analyses from the REST-ON trial, demonstrating a greater proportion</w:t>
      </w:r>
      <w:r>
        <w:rPr>
          <w:rFonts w:eastAsia="Times New Roman"/>
          <w:color w:val="000000"/>
          <w:sz w:val="20"/>
          <w:szCs w:val="20"/>
        </w:rPr>
        <w:t xml:space="preserve"> of patients receiving FT218 experienced reductions in weekly cataplexy attacks and improvement in mean sleep latency compared to placebo, as well as the results of a discrete choice experiment, indicating that the overall driver of patient preference betw</w:t>
      </w:r>
      <w:r>
        <w:rPr>
          <w:rFonts w:eastAsia="Times New Roman"/>
          <w:color w:val="000000"/>
          <w:sz w:val="20"/>
          <w:szCs w:val="20"/>
        </w:rPr>
        <w:t>een sodium oxybate treatments is a once-nightly, versus twice-nightly, formulation.</w:t>
      </w:r>
      <w:r>
        <w:rPr>
          <w:rFonts w:eastAsia="Times New Roman"/>
          <w:color w:val="000000"/>
        </w:rPr>
        <w:t xml:space="preserve">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believe FT218 has the potential to demonstrate improved dosing compliance, safety and patient satisfaction over the current standards of care for EDS and cataplexy in</w:t>
      </w:r>
      <w:r>
        <w:rPr>
          <w:rFonts w:eastAsia="Times New Roman"/>
          <w:color w:val="000000"/>
          <w:sz w:val="20"/>
          <w:szCs w:val="20"/>
        </w:rPr>
        <w:t xml:space="preserve"> patients with narcolepsy, which are twice-nightly oxybate formulations. If approved, we believe FT218 has the potential to take a significant share of the oxybate market. The current market size for the twice-nightly administration of oxybate products is </w:t>
      </w:r>
      <w:r>
        <w:rPr>
          <w:rFonts w:eastAsia="Times New Roman"/>
          <w:color w:val="000000"/>
          <w:sz w:val="20"/>
          <w:szCs w:val="20"/>
        </w:rPr>
        <w:t>an estimated $1.8 billion annually.</w:t>
      </w:r>
    </w:p>
    <w:p w:rsidR="00000000" w:rsidRDefault="0099260E">
      <w:pPr>
        <w:divId w:val="838929369"/>
        <w:rPr>
          <w:rFonts w:eastAsia="Times New Roman"/>
        </w:rPr>
      </w:pPr>
    </w:p>
    <w:p w:rsidR="00000000" w:rsidRDefault="0099260E">
      <w:pPr>
        <w:divId w:val="211040228"/>
        <w:rPr>
          <w:rFonts w:eastAsia="Times New Roman"/>
        </w:rPr>
      </w:pPr>
      <w:r>
        <w:rPr>
          <w:rFonts w:eastAsia="Times New Roman"/>
          <w:b/>
          <w:bCs/>
          <w:i/>
          <w:iCs/>
          <w:color w:val="000000"/>
          <w:sz w:val="20"/>
          <w:szCs w:val="20"/>
        </w:rPr>
        <w:t>Micropump Drug-Delivery Technology</w:t>
      </w:r>
    </w:p>
    <w:p w:rsidR="00000000" w:rsidRDefault="0099260E">
      <w:pPr>
        <w:divId w:val="1341850651"/>
        <w:rPr>
          <w:rFonts w:eastAsia="Times New Roman"/>
        </w:rPr>
      </w:pPr>
    </w:p>
    <w:p w:rsidR="00000000" w:rsidRDefault="0099260E">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improve dosing compliance, reduce toxicity</w:t>
      </w:r>
      <w:r>
        <w:rPr>
          <w:rFonts w:eastAsia="Times New Roman"/>
          <w:color w:val="000000"/>
          <w:sz w:val="20"/>
          <w:szCs w:val="20"/>
        </w:rPr>
        <w:t xml:space="preserve"> and improve patient compliance. Beyond FT218, we believe there could be other product development opportunities for our Micropump drug-delivery technology, representing either life cycle opportunities, whereby additional intellectual property can be added</w:t>
      </w:r>
      <w:r>
        <w:rPr>
          <w:rFonts w:eastAsia="Times New Roman"/>
          <w:color w:val="000000"/>
          <w:sz w:val="20"/>
          <w:szCs w:val="20"/>
        </w:rPr>
        <w:t xml:space="preserve"> to a pharmaceutical product to extend the commercial viability of a currently marketed product, or innovative formulation opportunities for new chemical entities.</w:t>
      </w:r>
    </w:p>
    <w:p w:rsidR="00000000" w:rsidRDefault="0099260E">
      <w:pPr>
        <w:jc w:val="both"/>
        <w:rPr>
          <w:rFonts w:eastAsia="Times New Roman"/>
        </w:rPr>
      </w:pPr>
    </w:p>
    <w:p w:rsidR="00000000" w:rsidRDefault="0099260E">
      <w:pPr>
        <w:divId w:val="2064594150"/>
        <w:rPr>
          <w:rFonts w:eastAsia="Times New Roman"/>
        </w:rPr>
      </w:pPr>
      <w:r>
        <w:rPr>
          <w:rFonts w:eastAsia="Times New Roman"/>
          <w:b/>
          <w:bCs/>
          <w:i/>
          <w:iCs/>
          <w:color w:val="000000"/>
          <w:sz w:val="20"/>
          <w:szCs w:val="20"/>
        </w:rPr>
        <w:t>Previously Approved FDA Products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30, 2020 (“Closing Date”), we announced the sal</w:t>
      </w:r>
      <w:r>
        <w:rPr>
          <w:rFonts w:eastAsia="Times New Roman"/>
          <w:color w:val="000000"/>
          <w:sz w:val="20"/>
          <w:szCs w:val="20"/>
        </w:rPr>
        <w:t>e of our portfolio of sterile injectable drugs used in the hospital setting (the “Hospital Products”), including our three commercial products, Akovaz, Bloxiverz and Vazculep, as well as Nouress, to Exela Sterile Medicines LLC (“Exela Buyer”). This sale in</w:t>
      </w:r>
      <w:r>
        <w:rPr>
          <w:rFonts w:eastAsia="Times New Roman"/>
          <w:color w:val="000000"/>
          <w:sz w:val="20"/>
          <w:szCs w:val="20"/>
        </w:rPr>
        <w:t>cluded the following FDA approved products:</w:t>
      </w:r>
    </w:p>
    <w:p w:rsidR="00000000" w:rsidRDefault="0099260E">
      <w:pPr>
        <w:jc w:val="both"/>
        <w:rPr>
          <w:rFonts w:eastAsia="Times New Roman"/>
        </w:rPr>
      </w:pPr>
    </w:p>
    <w:p w:rsidR="00000000" w:rsidRDefault="0099260E">
      <w:pPr>
        <w:ind w:hanging="360"/>
        <w:jc w:val="both"/>
        <w:divId w:val="2062635507"/>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injection)</w:t>
      </w:r>
      <w:r>
        <w:rPr>
          <w:rFonts w:eastAsia="Times New Roman"/>
          <w:color w:val="000000"/>
          <w:sz w:val="20"/>
          <w:szCs w:val="20"/>
        </w:rPr>
        <w:t xml:space="preserve"> - Bloxiverz is a drug used intravenously in the operating room to reverse the effects of non-depolarizing neuromuscular blocking agents after surgery.</w:t>
      </w:r>
    </w:p>
    <w:p w:rsidR="00000000" w:rsidRDefault="0099260E">
      <w:pPr>
        <w:jc w:val="center"/>
        <w:divId w:val="2109883232"/>
        <w:rPr>
          <w:rFonts w:eastAsia="Times New Roman"/>
        </w:rPr>
      </w:pPr>
      <w:r>
        <w:rPr>
          <w:rFonts w:eastAsia="Times New Roman"/>
          <w:color w:val="000000"/>
          <w:sz w:val="20"/>
          <w:szCs w:val="20"/>
        </w:rPr>
        <w:t>- 25 -</w:t>
      </w:r>
    </w:p>
    <w:p w:rsidR="00000000" w:rsidRDefault="0099260E">
      <w:pPr>
        <w:rPr>
          <w:rFonts w:eastAsia="Times New Roman"/>
        </w:rPr>
      </w:pPr>
      <w:r>
        <w:rPr>
          <w:rFonts w:eastAsia="Times New Roman"/>
        </w:rPr>
        <w:pict>
          <v:rect id="_x0000_i1050" style="width:0;height:1.5pt" o:hralign="center" o:hrstd="t" o:hr="t" fillcolor="#a0a0a0" stroked="f"/>
        </w:pict>
      </w:r>
    </w:p>
    <w:p w:rsidR="00000000" w:rsidRDefault="0099260E">
      <w:pPr>
        <w:divId w:val="73940072"/>
        <w:rPr>
          <w:rFonts w:eastAsia="Times New Roman"/>
        </w:rPr>
      </w:pPr>
    </w:p>
    <w:p w:rsidR="00000000" w:rsidRDefault="0099260E">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w:t>
      </w:r>
      <w:r>
        <w:rPr>
          <w:rFonts w:eastAsia="Times New Roman"/>
          <w:color w:val="000000"/>
          <w:sz w:val="20"/>
          <w:szCs w:val="20"/>
        </w:rPr>
        <w:t xml:space="preserve"> - Vazculep is indicated for the treatment of clinically important hypotension occurring in the setting of anesthesia.</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w:t>
      </w:r>
      <w:r>
        <w:rPr>
          <w:rFonts w:eastAsia="Times New Roman"/>
          <w:color w:val="000000"/>
          <w:sz w:val="20"/>
          <w:szCs w:val="20"/>
        </w:rPr>
        <w:t>Akovaz was the first FDA approved formulation of ephedrine sulfate, an alpha- and beta- adrenergic agonist and a norepinephrine-releasing agent that is indicated for the treatment of clinically important hypotension occurring in the setting of anesthesia.</w:t>
      </w:r>
    </w:p>
    <w:p w:rsidR="00000000" w:rsidRDefault="0099260E">
      <w:pPr>
        <w:jc w:val="both"/>
        <w:rPr>
          <w:rFonts w:eastAsia="Times New Roman"/>
        </w:rPr>
      </w:pPr>
    </w:p>
    <w:p w:rsidR="00000000" w:rsidRDefault="0099260E">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is a sterile injectable product for use in the hospital setting to provide parenteral nutrition to neonates.</w:t>
      </w:r>
    </w:p>
    <w:p w:rsidR="00000000" w:rsidRDefault="0099260E">
      <w:pPr>
        <w:jc w:val="both"/>
        <w:rPr>
          <w:rFonts w:eastAsia="Times New Roman"/>
        </w:rPr>
      </w:pPr>
    </w:p>
    <w:p w:rsidR="00000000" w:rsidRDefault="0099260E">
      <w:pPr>
        <w:divId w:val="1433820233"/>
        <w:rPr>
          <w:rFonts w:eastAsia="Times New Roman"/>
        </w:rPr>
      </w:pPr>
      <w:r>
        <w:rPr>
          <w:rFonts w:eastAsia="Times New Roman"/>
          <w:b/>
          <w:bCs/>
          <w:i/>
          <w:iCs/>
          <w:color w:val="000000"/>
          <w:sz w:val="20"/>
          <w:szCs w:val="20"/>
        </w:rPr>
        <w:t>Corporate Information</w:t>
      </w:r>
    </w:p>
    <w:p w:rsidR="00000000" w:rsidRDefault="0099260E">
      <w:pPr>
        <w:divId w:val="2072733846"/>
        <w:rPr>
          <w:rFonts w:eastAsia="Times New Roman"/>
        </w:rPr>
      </w:pPr>
    </w:p>
    <w:p w:rsidR="00000000" w:rsidRDefault="0099260E">
      <w:pPr>
        <w:jc w:val="both"/>
        <w:rPr>
          <w:rFonts w:eastAsia="Times New Roman"/>
        </w:rPr>
      </w:pPr>
      <w:r>
        <w:rPr>
          <w:rFonts w:eastAsia="Times New Roman"/>
          <w:color w:val="000000"/>
          <w:sz w:val="20"/>
          <w:szCs w:val="20"/>
        </w:rPr>
        <w:t>We are an Irish public limited company. Our registered address is</w:t>
      </w:r>
      <w:r>
        <w:rPr>
          <w:rFonts w:eastAsia="Times New Roman"/>
          <w:color w:val="000000"/>
          <w:sz w:val="20"/>
          <w:szCs w:val="20"/>
        </w:rPr>
        <w:t xml:space="preserve"> at 10 Earlsfort Terrace, Dublin 2, Ireland and our phone number is +353-1-920-1000. We file annual, quarterly and current reports, proxy statements and other documents with the SEC under the Securities Exchange Act of 1934, as amended (the “Exchange Act”)</w:t>
      </w:r>
      <w:r>
        <w:rPr>
          <w:rFonts w:eastAsia="Times New Roman"/>
          <w:color w:val="000000"/>
          <w:sz w:val="20"/>
          <w:szCs w:val="20"/>
        </w:rPr>
        <w:t>. Our website is www.avadel.com, where we make available free of charge our reports (and any amendments thereto) on Forms 10-K, 10-Q and 8-K as soon as reasonably practicable after they are electronically filed with or furnished to the SEC. These filings a</w:t>
      </w:r>
      <w:r>
        <w:rPr>
          <w:rFonts w:eastAsia="Times New Roman"/>
          <w:color w:val="000000"/>
          <w:sz w:val="20"/>
          <w:szCs w:val="20"/>
        </w:rPr>
        <w:t xml:space="preserve">re also available to the public at www.sec.gov.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We currently have five direct wholly-owned subsidiaries: (a) Avadel US Holdings, Inc., (b) Flamel Ireland Limited is an Irish limited company, which conducts business under the name Avadel Ireland, (c) Ava</w:t>
      </w:r>
      <w:r>
        <w:rPr>
          <w:rFonts w:eastAsia="Times New Roman"/>
          <w:color w:val="000000"/>
          <w:sz w:val="20"/>
          <w:szCs w:val="20"/>
        </w:rPr>
        <w:t>del Investment Company Limited, (d) Avadel Finance Ireland Designated Activity Company and (e) Avadel France Holding SAS. Avadel US Holdings, Inc., a Delaware corporation, is the holding entity of (i) Avadel Specialty Pharmaceuticals, LLC, (ii) Avadel Lega</w:t>
      </w:r>
      <w:r>
        <w:rPr>
          <w:rFonts w:eastAsia="Times New Roman"/>
          <w:color w:val="000000"/>
          <w:sz w:val="20"/>
          <w:szCs w:val="20"/>
        </w:rPr>
        <w:t>cy Pharmaceuticals, LLC, (iii) Avadel Management Corporation, and (iv) Avadel CNS Pharmaceuticals LLC. Avadel Finance Ireland Designated Activity Company is the holding entity of Avadel Finance Cayman Limited. Avadel France Holding SAS is the holding entit</w:t>
      </w:r>
      <w:r>
        <w:rPr>
          <w:rFonts w:eastAsia="Times New Roman"/>
          <w:color w:val="000000"/>
          <w:sz w:val="20"/>
          <w:szCs w:val="20"/>
        </w:rPr>
        <w:t>y of Avadel Research SAS. A complete list of our subsidiaries can be found in Exhibit 21.1 of our Annual Report on Form 10-K filed with the SEC on March 9, 2021.</w:t>
      </w:r>
    </w:p>
    <w:p w:rsidR="00000000" w:rsidRDefault="0099260E">
      <w:pPr>
        <w:divId w:val="2016299171"/>
        <w:rPr>
          <w:rFonts w:eastAsia="Times New Roman"/>
        </w:rPr>
      </w:pPr>
    </w:p>
    <w:p w:rsidR="00000000" w:rsidRDefault="0099260E">
      <w:pPr>
        <w:jc w:val="both"/>
        <w:divId w:val="1036128057"/>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rsidR="00000000" w:rsidRDefault="0099260E">
      <w:pPr>
        <w:jc w:val="both"/>
        <w:divId w:val="77092903"/>
        <w:rPr>
          <w:rFonts w:eastAsia="Times New Roman"/>
        </w:rPr>
      </w:pPr>
      <w:r>
        <w:rPr>
          <w:rFonts w:eastAsia="Times New Roman"/>
          <w:color w:val="000000"/>
          <w:sz w:val="20"/>
          <w:szCs w:val="20"/>
        </w:rPr>
        <w:t>In operating our business and monitoring our performance</w:t>
      </w:r>
      <w:r>
        <w:rPr>
          <w:rFonts w:eastAsia="Times New Roman"/>
          <w:color w:val="000000"/>
          <w:sz w:val="20"/>
          <w:szCs w:val="20"/>
        </w:rPr>
        <w:t>, we consider a number of performance measures, as well as trends affecting our industry as a whole, which include the following: </w:t>
      </w:r>
    </w:p>
    <w:p w:rsidR="00000000" w:rsidRDefault="0099260E">
      <w:pPr>
        <w:ind w:hanging="360"/>
        <w:jc w:val="both"/>
        <w:divId w:val="1712534379"/>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w:t>
      </w:r>
      <w:r>
        <w:rPr>
          <w:rFonts w:eastAsia="Times New Roman"/>
          <w:color w:val="000000"/>
          <w:sz w:val="20"/>
          <w:szCs w:val="20"/>
        </w:rPr>
        <w:t>ialize our products and technologies. The success of our commercialization efforts may depend on the extent to which the government health administration authorities, the health insurance funds in the E.U. Member States, private health insurers and other t</w:t>
      </w:r>
      <w:r>
        <w:rPr>
          <w:rFonts w:eastAsia="Times New Roman"/>
          <w:color w:val="000000"/>
          <w:sz w:val="20"/>
          <w:szCs w:val="20"/>
        </w:rPr>
        <w:t>hird-party payers in the U.S. will reimburse consumers for the cost of healthcare products and services.</w:t>
      </w:r>
    </w:p>
    <w:p w:rsidR="00000000" w:rsidRDefault="0099260E">
      <w:pPr>
        <w:ind w:hanging="360"/>
        <w:jc w:val="both"/>
        <w:divId w:val="735081904"/>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continues to be intense and is expected to increase</w:t>
      </w:r>
      <w:r>
        <w:rPr>
          <w:rFonts w:eastAsia="Times New Roman"/>
          <w:color w:val="000000"/>
          <w:sz w:val="20"/>
          <w:szCs w:val="20"/>
        </w:rPr>
        <w:t>. We compete with academic laboratories, research institutions, universities, joint ventures, and other pharmaceutical and biotechnology companies, including other companies developing niche branded or generic specialty pharmaceutical products or drug deli</w:t>
      </w:r>
      <w:r>
        <w:rPr>
          <w:rFonts w:eastAsia="Times New Roman"/>
          <w:color w:val="000000"/>
          <w:sz w:val="20"/>
          <w:szCs w:val="20"/>
        </w:rPr>
        <w:t>very platforms. Furthermore, major technological changes can happen quickly in the pharmaceutical and biotechnology industries. Such rapid technological change, or the development by our competitors of technologically improved or differentiated products, c</w:t>
      </w:r>
      <w:r>
        <w:rPr>
          <w:rFonts w:eastAsia="Times New Roman"/>
          <w:color w:val="000000"/>
          <w:sz w:val="20"/>
          <w:szCs w:val="20"/>
        </w:rPr>
        <w:t>ould render our products, product candidates, or drug delivery platforms obsolete or noncompetitive.</w:t>
      </w:r>
    </w:p>
    <w:p w:rsidR="00000000" w:rsidRDefault="0099260E">
      <w:pPr>
        <w:ind w:hanging="360"/>
        <w:jc w:val="both"/>
        <w:divId w:val="326984263"/>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w:t>
      </w:r>
      <w:r>
        <w:rPr>
          <w:rFonts w:eastAsia="Times New Roman"/>
          <w:color w:val="000000"/>
          <w:sz w:val="20"/>
          <w:szCs w:val="20"/>
        </w:rPr>
        <w:t>d maintain appropriate pricing for pharmaceutical products may become more challenging due to, among other things, the attention being paid to healthcare cost containment and other austerity measures in the U.S. and worldwide.</w:t>
      </w:r>
    </w:p>
    <w:p w:rsidR="00000000" w:rsidRDefault="0099260E">
      <w:pPr>
        <w:ind w:hanging="360"/>
        <w:jc w:val="both"/>
        <w:divId w:val="1727946380"/>
        <w:rPr>
          <w:rFonts w:eastAsia="Times New Roman"/>
        </w:rPr>
      </w:pPr>
      <w:r>
        <w:rPr>
          <w:rFonts w:eastAsia="Times New Roman"/>
          <w:b/>
          <w:bCs/>
          <w:color w:val="000000"/>
          <w:sz w:val="20"/>
          <w:szCs w:val="20"/>
        </w:rPr>
        <w:t>•Generics Playing a Larger Ro</w:t>
      </w:r>
      <w:r>
        <w:rPr>
          <w:rFonts w:eastAsia="Times New Roman"/>
          <w:b/>
          <w:bCs/>
          <w:color w:val="000000"/>
          <w:sz w:val="20"/>
          <w:szCs w:val="20"/>
        </w:rPr>
        <w:t>le in Healthcare</w:t>
      </w:r>
      <w:r>
        <w:rPr>
          <w:rFonts w:eastAsia="Times New Roman"/>
          <w:color w:val="000000"/>
          <w:sz w:val="20"/>
          <w:szCs w:val="20"/>
        </w:rPr>
        <w:t>: Generic pharmaceutical products will continue to play a large role in the U.S. healthcare system. As such, we expect to see generic competition for our products in the future.</w:t>
      </w:r>
    </w:p>
    <w:p w:rsidR="00000000" w:rsidRDefault="0099260E">
      <w:pPr>
        <w:ind w:hanging="360"/>
        <w:jc w:val="both"/>
        <w:divId w:val="1332100242"/>
        <w:rPr>
          <w:rFonts w:eastAsia="Times New Roman"/>
        </w:rPr>
      </w:pPr>
      <w:r>
        <w:rPr>
          <w:rFonts w:eastAsia="Times New Roman"/>
          <w:b/>
          <w:bCs/>
          <w:color w:val="000000"/>
          <w:sz w:val="20"/>
          <w:szCs w:val="20"/>
        </w:rPr>
        <w:t>•Access to and Cost of Capital</w:t>
      </w:r>
      <w:r>
        <w:rPr>
          <w:rFonts w:eastAsia="Times New Roman"/>
          <w:color w:val="000000"/>
          <w:sz w:val="20"/>
          <w:szCs w:val="20"/>
        </w:rPr>
        <w:t>: The process of raising capital</w:t>
      </w:r>
      <w:r>
        <w:rPr>
          <w:rFonts w:eastAsia="Times New Roman"/>
          <w:color w:val="000000"/>
          <w:sz w:val="20"/>
          <w:szCs w:val="20"/>
        </w:rPr>
        <w:t xml:space="preserve"> and associated cost of such capital for a company of our financial profile can be difficult and potentially expensive. If the need were to arise to raise additional capital, access to that capital may be difficult, expensive and/or dilutive and, as a resu</w:t>
      </w:r>
      <w:r>
        <w:rPr>
          <w:rFonts w:eastAsia="Times New Roman"/>
          <w:color w:val="000000"/>
          <w:sz w:val="20"/>
          <w:szCs w:val="20"/>
        </w:rPr>
        <w:t>lt, could create liquidity challenges for the Company.</w:t>
      </w:r>
    </w:p>
    <w:p w:rsidR="00000000" w:rsidRDefault="0099260E">
      <w:pPr>
        <w:jc w:val="center"/>
        <w:divId w:val="1088232578"/>
        <w:rPr>
          <w:rFonts w:eastAsia="Times New Roman"/>
        </w:rPr>
      </w:pPr>
      <w:r>
        <w:rPr>
          <w:rFonts w:eastAsia="Times New Roman"/>
          <w:color w:val="000000"/>
          <w:sz w:val="20"/>
          <w:szCs w:val="20"/>
        </w:rPr>
        <w:t>- 26 -</w:t>
      </w:r>
    </w:p>
    <w:p w:rsidR="00000000" w:rsidRDefault="0099260E">
      <w:pPr>
        <w:rPr>
          <w:rFonts w:eastAsia="Times New Roman"/>
        </w:rPr>
      </w:pPr>
      <w:r>
        <w:rPr>
          <w:rFonts w:eastAsia="Times New Roman"/>
        </w:rPr>
        <w:pict>
          <v:rect id="_x0000_i1051" style="width:0;height:1.5pt" o:hralign="center" o:hrstd="t" o:hr="t" fillcolor="#a0a0a0" stroked="f"/>
        </w:pict>
      </w:r>
    </w:p>
    <w:p w:rsidR="00000000" w:rsidRDefault="0099260E">
      <w:pPr>
        <w:divId w:val="222909255"/>
        <w:rPr>
          <w:rFonts w:eastAsia="Times New Roman"/>
        </w:rPr>
      </w:pPr>
    </w:p>
    <w:p w:rsidR="00000000" w:rsidRDefault="0099260E">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2021</w:t>
      </w:r>
      <w:r>
        <w:rPr>
          <w:rFonts w:eastAsia="Times New Roman"/>
          <w:color w:val="000000"/>
          <w:sz w:val="20"/>
          <w:szCs w:val="20"/>
        </w:rPr>
        <w:t>: We sold our Hospital Products at June 30, 2020 and no longer generate revenue. We will incur substantial expenses to furt</w:t>
      </w:r>
      <w:r>
        <w:rPr>
          <w:rFonts w:eastAsia="Times New Roman"/>
          <w:color w:val="000000"/>
          <w:sz w:val="20"/>
          <w:szCs w:val="20"/>
        </w:rPr>
        <w:t>her the clinical development of and continue our preparations for the commercial launch of FT218, if approved.</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 xml:space="preserve">Impact of COVID-19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Since early 2020, we have seen the profound impact that the ongoing coronavirus (“COVID-19”) pandemic is having on human health, the global economy and society at large. We have continued to actively monitor the COVID-19 pandemic and have taken measures to</w:t>
      </w:r>
      <w:r>
        <w:rPr>
          <w:rFonts w:eastAsia="Times New Roman"/>
          <w:color w:val="000000"/>
          <w:sz w:val="20"/>
          <w:szCs w:val="20"/>
        </w:rPr>
        <w:t xml:space="preserve"> mitigate the potential impacts to our employees and business, such as continuing to offer a work from home policy. We believe the impact of COVID-19 and measures to prevent its spread could impact our business in a number of ways, including: i) possibly d</w:t>
      </w:r>
      <w:r>
        <w:rPr>
          <w:rFonts w:eastAsia="Times New Roman"/>
          <w:color w:val="000000"/>
          <w:sz w:val="20"/>
          <w:szCs w:val="20"/>
        </w:rPr>
        <w:t>elaying any remaining development activities for FT218, the FDA review timeline of FT218, and/or our ongoing RESTORE open-label extension/switch study, ii) disruptions to our supply chain and third parties; iii) requiring our employees to work from home fo</w:t>
      </w:r>
      <w:r>
        <w:rPr>
          <w:rFonts w:eastAsia="Times New Roman"/>
          <w:color w:val="000000"/>
          <w:sz w:val="20"/>
          <w:szCs w:val="20"/>
        </w:rPr>
        <w:t>r an extended period of time; and iv) hindering sales efforts for FT218, if approved. An extended period of global supply chain and economic disruption could materially affect our business, results of operations, access to sources of liquidity and financia</w:t>
      </w:r>
      <w:r>
        <w:rPr>
          <w:rFonts w:eastAsia="Times New Roman"/>
          <w:color w:val="000000"/>
          <w:sz w:val="20"/>
          <w:szCs w:val="20"/>
        </w:rPr>
        <w:t>l condition. Despite progress in vaccination efforts, future developments and impact on our operations remain uncertain and cannot be predicted with confidence, including the duration of the COVID-19 pandemic, new strains of the virus, new information whic</w:t>
      </w:r>
      <w:r>
        <w:rPr>
          <w:rFonts w:eastAsia="Times New Roman"/>
          <w:color w:val="000000"/>
          <w:sz w:val="20"/>
          <w:szCs w:val="20"/>
        </w:rPr>
        <w:t>h may emerge concerning the severity of the COVID-19 pandemic, and any additional preventative and protective actions that governments, or we, may direct, which may result in extending continued business disruptions.</w:t>
      </w:r>
    </w:p>
    <w:p w:rsidR="00000000" w:rsidRDefault="0099260E">
      <w:pPr>
        <w:divId w:val="501429103"/>
        <w:rPr>
          <w:rFonts w:eastAsia="Times New Roman"/>
        </w:rPr>
      </w:pPr>
    </w:p>
    <w:p w:rsidR="00000000" w:rsidRDefault="0099260E">
      <w:pPr>
        <w:divId w:val="981077595"/>
        <w:rPr>
          <w:rFonts w:eastAsia="Times New Roman"/>
        </w:rPr>
      </w:pPr>
      <w:r>
        <w:rPr>
          <w:rFonts w:eastAsia="Times New Roman"/>
          <w:b/>
          <w:bCs/>
          <w:i/>
          <w:iCs/>
          <w:color w:val="000000"/>
          <w:sz w:val="20"/>
          <w:szCs w:val="20"/>
        </w:rPr>
        <w:t>Financial Highlights</w:t>
      </w:r>
    </w:p>
    <w:p w:rsidR="00000000" w:rsidRDefault="0099260E">
      <w:pPr>
        <w:divId w:val="1112440044"/>
        <w:rPr>
          <w:rFonts w:eastAsia="Times New Roman"/>
        </w:rPr>
      </w:pPr>
    </w:p>
    <w:p w:rsidR="00000000" w:rsidRDefault="0099260E">
      <w:pPr>
        <w:divId w:val="290019384"/>
        <w:rPr>
          <w:rFonts w:eastAsia="Times New Roman"/>
        </w:rPr>
      </w:pPr>
      <w:r>
        <w:rPr>
          <w:rFonts w:eastAsia="Times New Roman"/>
          <w:color w:val="000000"/>
          <w:sz w:val="20"/>
          <w:szCs w:val="20"/>
        </w:rPr>
        <w:t xml:space="preserve">Highlights of </w:t>
      </w:r>
      <w:r>
        <w:rPr>
          <w:rFonts w:eastAsia="Times New Roman"/>
          <w:color w:val="000000"/>
          <w:sz w:val="20"/>
          <w:szCs w:val="20"/>
        </w:rPr>
        <w:t>our consolidated results for the three and nine months ended September 30, 2021 are as follows: </w:t>
      </w:r>
    </w:p>
    <w:p w:rsidR="00000000" w:rsidRDefault="0099260E">
      <w:pPr>
        <w:ind w:hanging="360"/>
        <w:jc w:val="both"/>
        <w:divId w:val="1925147081"/>
        <w:rPr>
          <w:rFonts w:eastAsia="Times New Roman"/>
        </w:rPr>
      </w:pPr>
      <w:r>
        <w:rPr>
          <w:rFonts w:eastAsia="Times New Roman"/>
          <w:color w:val="000000"/>
          <w:sz w:val="20"/>
          <w:szCs w:val="20"/>
        </w:rPr>
        <w:t>•Revenue was $0 for the three and nine months ended September 30, 2021, compared to $0 and $22,334 in the same periods last year, respectively. The year over y</w:t>
      </w:r>
      <w:r>
        <w:rPr>
          <w:rFonts w:eastAsia="Times New Roman"/>
          <w:color w:val="000000"/>
          <w:sz w:val="20"/>
          <w:szCs w:val="20"/>
        </w:rPr>
        <w:t>ear decrease for the comparative nine month periods was the result of the sale of the Hospital Products on June 30, 2020.</w:t>
      </w:r>
    </w:p>
    <w:p w:rsidR="00000000" w:rsidRDefault="0099260E">
      <w:pPr>
        <w:ind w:hanging="360"/>
        <w:jc w:val="both"/>
        <w:divId w:val="1628588791"/>
        <w:rPr>
          <w:rFonts w:eastAsia="Times New Roman"/>
        </w:rPr>
      </w:pPr>
      <w:r>
        <w:rPr>
          <w:rFonts w:eastAsia="Times New Roman"/>
          <w:color w:val="000000"/>
          <w:sz w:val="20"/>
          <w:szCs w:val="20"/>
        </w:rPr>
        <w:t>•Operating loss was $25,663 and $62,410 for the three and nine months ended September 30, 2021, respectively, compared to operating lo</w:t>
      </w:r>
      <w:r>
        <w:rPr>
          <w:rFonts w:eastAsia="Times New Roman"/>
          <w:color w:val="000000"/>
          <w:sz w:val="20"/>
          <w:szCs w:val="20"/>
        </w:rPr>
        <w:t>ss of $13,697 for the three months ended September 30, 2020 and operating income of $20,075 and for the nine months ended September 30, 2020. Operating income for the nine months ended September 30, 2020 was driven by the sale of the Hospital Products on J</w:t>
      </w:r>
      <w:r>
        <w:rPr>
          <w:rFonts w:eastAsia="Times New Roman"/>
          <w:color w:val="000000"/>
          <w:sz w:val="20"/>
          <w:szCs w:val="20"/>
        </w:rPr>
        <w:t>une 30, 2020.</w:t>
      </w:r>
    </w:p>
    <w:p w:rsidR="00000000" w:rsidRDefault="0099260E">
      <w:pPr>
        <w:ind w:hanging="360"/>
        <w:jc w:val="both"/>
        <w:divId w:val="178471649"/>
        <w:rPr>
          <w:rFonts w:eastAsia="Times New Roman"/>
        </w:rPr>
      </w:pPr>
      <w:r>
        <w:rPr>
          <w:rFonts w:eastAsia="Times New Roman"/>
          <w:color w:val="000000"/>
          <w:sz w:val="20"/>
          <w:szCs w:val="20"/>
        </w:rPr>
        <w:t>•Net loss was $22,002 and $55,028 for the three and nine months ended September 30, 2021, respectively, compared to net loss of $11,703 and net income of $18,306 in the same period last year, respectively.</w:t>
      </w:r>
    </w:p>
    <w:p w:rsidR="00000000" w:rsidRDefault="0099260E">
      <w:pPr>
        <w:ind w:hanging="360"/>
        <w:jc w:val="both"/>
        <w:divId w:val="1171990019"/>
        <w:rPr>
          <w:rFonts w:eastAsia="Times New Roman"/>
        </w:rPr>
      </w:pPr>
      <w:r>
        <w:rPr>
          <w:rFonts w:eastAsia="Times New Roman"/>
          <w:color w:val="000000"/>
          <w:sz w:val="20"/>
          <w:szCs w:val="20"/>
        </w:rPr>
        <w:t>•Diluted net loss per share was $(0.</w:t>
      </w:r>
      <w:r>
        <w:rPr>
          <w:rFonts w:eastAsia="Times New Roman"/>
          <w:color w:val="000000"/>
          <w:sz w:val="20"/>
          <w:szCs w:val="20"/>
        </w:rPr>
        <w:t>38) and $(0.94) for the three and nine months ended September 30, 2021, respectively, compared to diluted net loss per share of $(0.20) and diluted net income per share of $0.35 in the same period last year, respectively.</w:t>
      </w:r>
    </w:p>
    <w:p w:rsidR="00000000" w:rsidRDefault="0099260E">
      <w:pPr>
        <w:ind w:hanging="360"/>
        <w:jc w:val="both"/>
        <w:rPr>
          <w:rFonts w:eastAsia="Times New Roman"/>
        </w:rPr>
      </w:pPr>
      <w:r>
        <w:rPr>
          <w:rFonts w:eastAsia="Times New Roman"/>
          <w:color w:val="000000"/>
          <w:sz w:val="20"/>
          <w:szCs w:val="20"/>
        </w:rPr>
        <w:t>•Cash and marketable securities de</w:t>
      </w:r>
      <w:r>
        <w:rPr>
          <w:rFonts w:eastAsia="Times New Roman"/>
          <w:color w:val="000000"/>
          <w:sz w:val="20"/>
          <w:szCs w:val="20"/>
        </w:rPr>
        <w:t>creased $40,309 to $181,093 at September 30, 2021, from $221,402 at December 31, 2020. The decrease in cash was driven primarily by cash used for operating expenses of approximately $50,000, approximately $6,470 of interest payments, and approximately $2,8</w:t>
      </w:r>
      <w:r>
        <w:rPr>
          <w:rFonts w:eastAsia="Times New Roman"/>
          <w:color w:val="000000"/>
          <w:sz w:val="20"/>
          <w:szCs w:val="20"/>
        </w:rPr>
        <w:t xml:space="preserve">50 for the purchase of raw materials used for FT218 pre-NDA approval activities. Cash spend was offset by $14,500 of net cash received from Exela and approximately $4,500 related to research and development tax credits and other refunds. </w:t>
      </w:r>
    </w:p>
    <w:p w:rsidR="00000000" w:rsidRDefault="0099260E">
      <w:pPr>
        <w:jc w:val="both"/>
        <w:rPr>
          <w:rFonts w:eastAsia="Times New Roman"/>
        </w:rPr>
      </w:pPr>
    </w:p>
    <w:p w:rsidR="00000000" w:rsidRDefault="0099260E">
      <w:pPr>
        <w:divId w:val="1666014485"/>
        <w:rPr>
          <w:rFonts w:eastAsia="Times New Roman"/>
        </w:rPr>
      </w:pPr>
    </w:p>
    <w:p w:rsidR="00000000" w:rsidRDefault="0099260E">
      <w:pPr>
        <w:jc w:val="center"/>
        <w:divId w:val="443230812"/>
        <w:rPr>
          <w:rFonts w:eastAsia="Times New Roman"/>
        </w:rPr>
      </w:pPr>
      <w:r>
        <w:rPr>
          <w:rFonts w:eastAsia="Times New Roman"/>
          <w:color w:val="000000"/>
          <w:sz w:val="20"/>
          <w:szCs w:val="20"/>
        </w:rPr>
        <w:t>- 27 -</w:t>
      </w:r>
    </w:p>
    <w:p w:rsidR="00000000" w:rsidRDefault="0099260E">
      <w:pPr>
        <w:rPr>
          <w:rFonts w:eastAsia="Times New Roman"/>
        </w:rPr>
      </w:pPr>
      <w:r>
        <w:rPr>
          <w:rFonts w:eastAsia="Times New Roman"/>
        </w:rPr>
        <w:pict>
          <v:rect id="_x0000_i1052" style="width:0;height:1.5pt" o:hralign="center" o:hrstd="t" o:hr="t" fillcolor="#a0a0a0" stroked="f"/>
        </w:pict>
      </w:r>
    </w:p>
    <w:p w:rsidR="00000000" w:rsidRDefault="0099260E">
      <w:pPr>
        <w:divId w:val="639530246"/>
        <w:rPr>
          <w:rFonts w:eastAsia="Times New Roman"/>
        </w:rPr>
      </w:pPr>
    </w:p>
    <w:p w:rsidR="00000000" w:rsidRDefault="0099260E">
      <w:pPr>
        <w:divId w:val="244650995"/>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rsidR="00000000" w:rsidRDefault="0099260E">
      <w:pPr>
        <w:jc w:val="both"/>
        <w:divId w:val="1676961246"/>
        <w:rPr>
          <w:rFonts w:eastAsia="Times New Roman"/>
        </w:rPr>
      </w:pPr>
      <w:r>
        <w:rPr>
          <w:rFonts w:eastAsia="Times New Roman"/>
          <w:color w:val="000000"/>
          <w:sz w:val="20"/>
          <w:szCs w:val="20"/>
        </w:rPr>
        <w:t>The Company’s unaudited condensed consolidated financial statements have been prepared in accordance with accounting principles generally accepted in the United States of America. To prep</w:t>
      </w:r>
      <w:r>
        <w:rPr>
          <w:rFonts w:eastAsia="Times New Roman"/>
          <w:color w:val="000000"/>
          <w:sz w:val="20"/>
          <w:szCs w:val="20"/>
        </w:rPr>
        <w:t>are these financial statements, management makes estimates and assumptions that affect the reported amounts of assets, liabilities, revenues and expenses, as well as the disclosures of contingent assets and liabilities. Actual results could be significantl</w:t>
      </w:r>
      <w:r>
        <w:rPr>
          <w:rFonts w:eastAsia="Times New Roman"/>
          <w:color w:val="000000"/>
          <w:sz w:val="20"/>
          <w:szCs w:val="20"/>
        </w:rPr>
        <w:t>y different from these estimates. </w:t>
      </w:r>
    </w:p>
    <w:p w:rsidR="00000000" w:rsidRDefault="0099260E">
      <w:pPr>
        <w:jc w:val="both"/>
        <w:rPr>
          <w:rFonts w:eastAsia="Times New Roman"/>
        </w:rPr>
      </w:pPr>
      <w:r>
        <w:rPr>
          <w:rFonts w:eastAsia="Times New Roman"/>
          <w:color w:val="000000"/>
          <w:sz w:val="20"/>
          <w:szCs w:val="20"/>
        </w:rPr>
        <w:t>Our significant accounting policies are described in Note 1 of the audited consolidated financial statements included in our Annual Report Form 10-K for the year ended December 31, 2020 (the “2020 Form 10-K”). The SEC sug</w:t>
      </w:r>
      <w:r>
        <w:rPr>
          <w:rFonts w:eastAsia="Times New Roman"/>
          <w:color w:val="000000"/>
          <w:sz w:val="20"/>
          <w:szCs w:val="20"/>
        </w:rPr>
        <w:t>gests companies provide additional disclosure on those accounting policies considered most critical. The SEC considers an accounting policy to be critical if it is important to our financial condition and results of operations and requires significant judg</w:t>
      </w:r>
      <w:r>
        <w:rPr>
          <w:rFonts w:eastAsia="Times New Roman"/>
          <w:color w:val="000000"/>
          <w:sz w:val="20"/>
          <w:szCs w:val="20"/>
        </w:rPr>
        <w:t>ments and estimates on the part of management in its application. Our estimates are often based on complex judgments, probabilities and assumptions that management believes to be reasonable, but that are inherently uncertain and unpredictable. It is also p</w:t>
      </w:r>
      <w:r>
        <w:rPr>
          <w:rFonts w:eastAsia="Times New Roman"/>
          <w:color w:val="000000"/>
          <w:sz w:val="20"/>
          <w:szCs w:val="20"/>
        </w:rPr>
        <w:t>ossible that other professionals, applying reasonable judgment to the same facts and circumstances, could develop and support a range of alternative estimated amounts. For a complete discussion of our critical accounting policies, see the “Critical Account</w:t>
      </w:r>
      <w:r>
        <w:rPr>
          <w:rFonts w:eastAsia="Times New Roman"/>
          <w:color w:val="000000"/>
          <w:sz w:val="20"/>
          <w:szCs w:val="20"/>
        </w:rPr>
        <w:t xml:space="preserve">ing Policies” section of the Management’s Discussion &amp; Analysis in our 2020 Form 10-K. </w:t>
      </w:r>
    </w:p>
    <w:p w:rsidR="00000000" w:rsidRDefault="0099260E">
      <w:pPr>
        <w:jc w:val="both"/>
        <w:rPr>
          <w:rFonts w:eastAsia="Times New Roman"/>
        </w:rPr>
      </w:pPr>
    </w:p>
    <w:p w:rsidR="00000000" w:rsidRDefault="0099260E">
      <w:pPr>
        <w:divId w:val="601642455"/>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rsidR="00000000" w:rsidRDefault="0099260E">
      <w:pPr>
        <w:jc w:val="both"/>
        <w:divId w:val="1001737784"/>
        <w:rPr>
          <w:rFonts w:eastAsia="Times New Roman"/>
        </w:rPr>
      </w:pPr>
      <w:r>
        <w:rPr>
          <w:rFonts w:eastAsia="Times New Roman"/>
          <w:color w:val="000000"/>
          <w:sz w:val="20"/>
          <w:szCs w:val="20"/>
        </w:rPr>
        <w:t>The following is a summary of our financial results (in thousands, except per share amounts) for the three months ended September 30, 2021 and </w:t>
      </w:r>
      <w:r>
        <w:rPr>
          <w:rFonts w:eastAsia="Times New Roman"/>
          <w:color w:val="000000"/>
          <w:sz w:val="20"/>
          <w:szCs w:val="20"/>
        </w:rPr>
        <w:t>2020,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3"/>
        <w:gridCol w:w="170"/>
      </w:tblGrid>
      <w:tr w:rsidR="00000000">
        <w:trPr>
          <w:divId w:val="1090274164"/>
        </w:trPr>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1090274164"/>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divId w:val="1090274164"/>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rPr>
          <w:divId w:val="109027416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divId w:val="109027416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4,380 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(1,189)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(21.4)</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12,860 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vAlign w:val="center"/>
            <w:hideMark/>
          </w:tcPr>
          <w:p w:rsidR="00000000" w:rsidRDefault="0099260E">
            <w:pPr>
              <w:spacing w:after="100"/>
              <w:jc w:val="right"/>
              <w:rPr>
                <w:rFonts w:eastAsia="Times New Roman"/>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vAlign w:val="center"/>
            <w:hideMark/>
          </w:tcPr>
          <w:p w:rsidR="00000000" w:rsidRDefault="0099260E">
            <w:pPr>
              <w:spacing w:after="100"/>
              <w:jc w:val="right"/>
              <w:rPr>
                <w:rFonts w:eastAsia="Times New Roman"/>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Restructuring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(226)</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11,966 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loss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(25,663)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(13,697)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(11,966)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(87.4)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489 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129.6 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(1,929)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(3,259)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1,330 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vAlign w:val="center"/>
            <w:hideMark/>
          </w:tcPr>
          <w:p w:rsidR="00000000" w:rsidRDefault="0099260E">
            <w:pPr>
              <w:spacing w:after="100"/>
              <w:jc w:val="right"/>
              <w:rPr>
                <w:rFonts w:eastAsia="Times New Roman"/>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r>
      <w:tr w:rsidR="00000000">
        <w:trPr>
          <w:divId w:val="1090274164"/>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(16,743)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(10,360)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(61.9)</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(5,040)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(22,002)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(11,703)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(10,299)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(88.0)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1090274164"/>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(0.20)</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(0.18)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center"/>
        <w:divId w:val="1602058658"/>
        <w:rPr>
          <w:rFonts w:eastAsia="Times New Roman"/>
        </w:rPr>
      </w:pPr>
      <w:r>
        <w:rPr>
          <w:rFonts w:eastAsia="Times New Roman"/>
          <w:color w:val="000000"/>
          <w:sz w:val="20"/>
          <w:szCs w:val="20"/>
        </w:rPr>
        <w:t>- 28 -</w:t>
      </w:r>
    </w:p>
    <w:p w:rsidR="00000000" w:rsidRDefault="0099260E">
      <w:pPr>
        <w:rPr>
          <w:rFonts w:eastAsia="Times New Roman"/>
        </w:rPr>
      </w:pPr>
      <w:r>
        <w:rPr>
          <w:rFonts w:eastAsia="Times New Roman"/>
        </w:rPr>
        <w:pict>
          <v:rect id="_x0000_i1053" style="width:0;height:1.5pt" o:hralign="center" o:hrstd="t" o:hr="t" fillcolor="#a0a0a0" stroked="f"/>
        </w:pict>
      </w:r>
    </w:p>
    <w:p w:rsidR="00000000" w:rsidRDefault="0099260E">
      <w:pPr>
        <w:divId w:val="213085630"/>
        <w:rPr>
          <w:rFonts w:eastAsia="Times New Roman"/>
        </w:rPr>
      </w:pPr>
    </w:p>
    <w:p w:rsidR="00000000" w:rsidRDefault="0099260E">
      <w:pPr>
        <w:jc w:val="both"/>
        <w:rPr>
          <w:rFonts w:eastAsia="Times New Roman"/>
        </w:rPr>
      </w:pPr>
      <w:r>
        <w:rPr>
          <w:rFonts w:eastAsia="Times New Roman"/>
          <w:color w:val="000000"/>
          <w:sz w:val="20"/>
          <w:szCs w:val="20"/>
        </w:rPr>
        <w:t>The following is a summary of our financial results (in thousands, e</w:t>
      </w:r>
      <w:r>
        <w:rPr>
          <w:rFonts w:eastAsia="Times New Roman"/>
          <w:color w:val="000000"/>
          <w:sz w:val="20"/>
          <w:szCs w:val="20"/>
        </w:rPr>
        <w:t>xcept per share amounts) for the nine months ended September 30, 2021 and 2020,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50"/>
        <w:gridCol w:w="812"/>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Comparative Statements of (Loss) Income</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(22,334)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(5,742)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15,156 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24,038 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(3,327)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45,760 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Restructuring income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60,151 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2,662.7 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Operating (loss) income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(62,410)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20,075 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(82,485)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(410.9)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1,531 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2,437 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269.0 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(5,788)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(9,686)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3,898 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40.2 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(66,501)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(75,549)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(835.0)</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xml:space="preserve">Income tax benefit </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(11,473)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(9,258)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(55,028)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(73,334)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(400.6)</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(0.94)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0.35 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(368.6)</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divId w:val="1385056943"/>
        <w:rPr>
          <w:rFonts w:eastAsia="Times New Roman"/>
        </w:rPr>
      </w:pPr>
    </w:p>
    <w:p w:rsidR="00000000" w:rsidRDefault="0099260E">
      <w:pPr>
        <w:jc w:val="both"/>
        <w:rPr>
          <w:rFonts w:eastAsia="Times New Roman"/>
        </w:rPr>
      </w:pPr>
      <w:r>
        <w:rPr>
          <w:rFonts w:eastAsia="Times New Roman"/>
          <w:color w:val="000000"/>
          <w:sz w:val="20"/>
          <w:szCs w:val="20"/>
        </w:rPr>
        <w:t>On June 30, 2020, we announced the sale of the Hospital Products, including our three commercial products, Akovaz, Bloxiverz and Vazculep, as well as Nouress, to the Exela Buyer. As a result of the sale, the Com</w:t>
      </w:r>
      <w:r>
        <w:rPr>
          <w:rFonts w:eastAsia="Times New Roman"/>
          <w:color w:val="000000"/>
          <w:sz w:val="20"/>
          <w:szCs w:val="20"/>
        </w:rPr>
        <w:t>pany no longer recorded revenue, cost of products, intangible amortization and changes to the fair value of the contingent consideration related to these products subsequent to the Closing Date.</w:t>
      </w: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4,380 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5,569 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(1,189)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Research and development expenses decreased $1,189 or 21.4% during the three months ended September 30, 2021 as compared to the same</w:t>
      </w:r>
      <w:r>
        <w:rPr>
          <w:rFonts w:eastAsia="Times New Roman"/>
          <w:color w:val="000000"/>
          <w:sz w:val="20"/>
          <w:szCs w:val="20"/>
        </w:rPr>
        <w:t xml:space="preserve"> period in 2020. This decrease was driven by lower clinical studies expense as well as lower purchases of active pharmaceutical ingredients used in the research and development of FT218 during the current period when compared to the prior comparable period</w:t>
      </w:r>
      <w:r>
        <w:rPr>
          <w:rFonts w:eastAsia="Times New Roman"/>
          <w:color w:val="000000"/>
          <w:sz w:val="20"/>
          <w:szCs w:val="20"/>
        </w:rPr>
        <w:t>.</w:t>
      </w:r>
    </w:p>
    <w:p w:rsidR="00000000" w:rsidRDefault="0099260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14,994 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15,156 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(162)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Research and development expenses decreased $162 or 1.1% during the nine months ended September 30, 2021 as compared to the same per</w:t>
      </w:r>
      <w:r>
        <w:rPr>
          <w:rFonts w:eastAsia="Times New Roman"/>
          <w:color w:val="000000"/>
          <w:sz w:val="20"/>
          <w:szCs w:val="20"/>
        </w:rPr>
        <w:t xml:space="preserve">iod in 2020. This decrease was driven by lower clinical studies expense due to the completion of the FT218 clinical study during the nine months ended September 30, 2020, offset by higher pre-NDA approval activities. </w:t>
      </w:r>
    </w:p>
    <w:p w:rsidR="00000000" w:rsidRDefault="0099260E">
      <w:pPr>
        <w:jc w:val="center"/>
        <w:divId w:val="933977947"/>
        <w:rPr>
          <w:rFonts w:eastAsia="Times New Roman"/>
        </w:rPr>
      </w:pPr>
      <w:r>
        <w:rPr>
          <w:rFonts w:eastAsia="Times New Roman"/>
          <w:color w:val="000000"/>
          <w:sz w:val="20"/>
          <w:szCs w:val="20"/>
        </w:rPr>
        <w:t>- 29 -</w:t>
      </w:r>
    </w:p>
    <w:p w:rsidR="00000000" w:rsidRDefault="0099260E">
      <w:pPr>
        <w:rPr>
          <w:rFonts w:eastAsia="Times New Roman"/>
        </w:rPr>
      </w:pPr>
      <w:r>
        <w:rPr>
          <w:rFonts w:eastAsia="Times New Roman"/>
        </w:rPr>
        <w:pict>
          <v:rect id="_x0000_i1054" style="width:0;height:1.5pt" o:hralign="center" o:hrstd="t" o:hr="t" fillcolor="#a0a0a0" stroked="f"/>
        </w:pict>
      </w:r>
    </w:p>
    <w:p w:rsidR="00000000" w:rsidRDefault="0099260E">
      <w:pPr>
        <w:divId w:val="2066176842"/>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9"/>
        <w:gridCol w:w="824"/>
        <w:gridCol w:w="170"/>
      </w:tblGrid>
      <w:tr w:rsidR="00000000">
        <w:tc>
          <w:tcPr>
            <w:tcW w:w="50" w:type="pct"/>
            <w:vAlign w:val="center"/>
            <w:hideMark/>
          </w:tcPr>
          <w:p w:rsidR="00000000" w:rsidRDefault="0099260E">
            <w:pPr>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12,860 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Selling, general and administrative (“SG&amp;A”) expenses increased $12,860 or 152.7% during the three months ended September 30, 2021 a</w:t>
      </w:r>
      <w:r>
        <w:rPr>
          <w:rFonts w:eastAsia="Times New Roman"/>
          <w:color w:val="000000"/>
          <w:sz w:val="20"/>
          <w:szCs w:val="20"/>
        </w:rPr>
        <w:t>s compared to the same prior year period, driven by the Company’s continued commercial preparations and launch readiness activities for potential approval of FT218. These activities included an increase in marketing and market research costs of approximate</w:t>
      </w:r>
      <w:r>
        <w:rPr>
          <w:rFonts w:eastAsia="Times New Roman"/>
          <w:color w:val="000000"/>
          <w:sz w:val="20"/>
          <w:szCs w:val="20"/>
        </w:rPr>
        <w:t xml:space="preserve">ly $4,400, an increase in other launch planning and preparation activities totaling $1,400 and an increase in patient education costs of approximately $400. Compensation costs increased by approximately $3,600 due to an increase in headcount, primarily in </w:t>
      </w:r>
      <w:r>
        <w:rPr>
          <w:rFonts w:eastAsia="Times New Roman"/>
          <w:color w:val="000000"/>
          <w:sz w:val="20"/>
          <w:szCs w:val="20"/>
        </w:rPr>
        <w:t>commercial and medical affairs. Legal, other professional fees and insurance costs increased by approximately $2,700.</w:t>
      </w:r>
    </w:p>
    <w:p w:rsidR="00000000" w:rsidRDefault="0099260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9"/>
        <w:gridCol w:w="824"/>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24,038 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102.6 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SG&amp;A expenses increased $24,038 or 102.6% during the nine months ended September 30, 2021 as compared to the same prior year period,</w:t>
      </w:r>
      <w:r>
        <w:rPr>
          <w:rFonts w:eastAsia="Times New Roman"/>
          <w:color w:val="000000"/>
          <w:sz w:val="20"/>
          <w:szCs w:val="20"/>
        </w:rPr>
        <w:t xml:space="preserve"> driven by the Company’s continued commercial preparations and launch readiness activities for potential approval of FT218. These activities included an increase in marketing and market research activities of approximately $8,300, and an increase in other </w:t>
      </w:r>
      <w:r>
        <w:rPr>
          <w:rFonts w:eastAsia="Times New Roman"/>
          <w:color w:val="000000"/>
          <w:sz w:val="20"/>
          <w:szCs w:val="20"/>
        </w:rPr>
        <w:t xml:space="preserve">launch planning and preparation activities totaling approximately $3,600. Compensation costs increased by approximately $6,800 due to an increase in headcount, primarily in commercial and medical affairs. Legal, other professional fees and insurance costs </w:t>
      </w:r>
      <w:r>
        <w:rPr>
          <w:rFonts w:eastAsia="Times New Roman"/>
          <w:color w:val="000000"/>
          <w:sz w:val="20"/>
          <w:szCs w:val="20"/>
        </w:rPr>
        <w:t>increased by approximately $4,800.</w:t>
      </w:r>
    </w:p>
    <w:p w:rsidR="00000000" w:rsidRDefault="0099260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4"/>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489 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276 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129.6 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Investment and other income (expense), net increased for the three months ended September 30, 2021 when compared to the same period in the prior</w:t>
      </w:r>
      <w:r>
        <w:rPr>
          <w:rFonts w:eastAsia="Times New Roman"/>
          <w:color w:val="000000"/>
          <w:sz w:val="20"/>
          <w:szCs w:val="20"/>
        </w:rPr>
        <w:t xml:space="preserve"> year driven by higher foreign currency gains.</w:t>
      </w:r>
    </w:p>
    <w:p w:rsidR="00000000" w:rsidRDefault="0099260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4"/>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1,531 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(906)</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2,437 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269.0 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center"/>
        <w:rPr>
          <w:rFonts w:eastAsia="Times New Roman"/>
        </w:rPr>
      </w:pPr>
    </w:p>
    <w:p w:rsidR="00000000" w:rsidRDefault="0099260E">
      <w:pPr>
        <w:jc w:val="both"/>
        <w:rPr>
          <w:rFonts w:eastAsia="Times New Roman"/>
        </w:rPr>
      </w:pPr>
      <w:r>
        <w:rPr>
          <w:rFonts w:eastAsia="Times New Roman"/>
          <w:color w:val="000000"/>
          <w:sz w:val="20"/>
          <w:szCs w:val="20"/>
        </w:rPr>
        <w:t xml:space="preserve">Investment and other income (expense), net increased for the nine months ended September 30, 2021 when compared to the same period in the prior </w:t>
      </w:r>
      <w:r>
        <w:rPr>
          <w:rFonts w:eastAsia="Times New Roman"/>
          <w:color w:val="000000"/>
          <w:sz w:val="20"/>
          <w:szCs w:val="20"/>
        </w:rPr>
        <w:t>year driven by an $800 legal settlement related to a bankruptcy claim recognized in the prior period, higher foreign currency gains of approximately $700, higher interest income of approximately $600 and lower realized losses on our marketable securities o</w:t>
      </w:r>
      <w:r>
        <w:rPr>
          <w:rFonts w:eastAsia="Times New Roman"/>
          <w:color w:val="000000"/>
          <w:sz w:val="20"/>
          <w:szCs w:val="20"/>
        </w:rPr>
        <w:t>f approximately $400.</w:t>
      </w:r>
    </w:p>
    <w:p w:rsidR="00000000" w:rsidRDefault="0099260E">
      <w:pPr>
        <w:jc w:val="both"/>
        <w:rPr>
          <w:rFonts w:eastAsia="Times New Roman"/>
        </w:rPr>
      </w:pPr>
    </w:p>
    <w:p w:rsidR="00000000" w:rsidRDefault="0099260E">
      <w:pPr>
        <w:jc w:val="center"/>
        <w:divId w:val="1215388423"/>
        <w:rPr>
          <w:rFonts w:eastAsia="Times New Roman"/>
        </w:rPr>
      </w:pPr>
      <w:r>
        <w:rPr>
          <w:rFonts w:eastAsia="Times New Roman"/>
          <w:color w:val="000000"/>
          <w:sz w:val="20"/>
          <w:szCs w:val="20"/>
        </w:rPr>
        <w:t>- 30 -</w:t>
      </w:r>
    </w:p>
    <w:p w:rsidR="00000000" w:rsidRDefault="0099260E">
      <w:pPr>
        <w:rPr>
          <w:rFonts w:eastAsia="Times New Roman"/>
        </w:rPr>
      </w:pPr>
      <w:r>
        <w:rPr>
          <w:rFonts w:eastAsia="Times New Roman"/>
        </w:rPr>
        <w:pict>
          <v:rect id="_x0000_i1055" style="width:0;height:1.5pt" o:hralign="center" o:hrstd="t" o:hr="t" fillcolor="#a0a0a0" stroked="f"/>
        </w:pict>
      </w:r>
    </w:p>
    <w:p w:rsidR="00000000" w:rsidRDefault="0099260E">
      <w:pPr>
        <w:divId w:val="1619602112"/>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c>
          <w:tcPr>
            <w:tcW w:w="50" w:type="pct"/>
            <w:vAlign w:val="center"/>
            <w:hideMark/>
          </w:tcPr>
          <w:p w:rsidR="00000000" w:rsidRDefault="0099260E">
            <w:pPr>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1,929 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3,259 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(1,330)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Interest expense of $1,929 and $3,259 for the three months ended September 30, 2021 and 2020, respectively, is related to interest on the 2023 N</w:t>
      </w:r>
      <w:r>
        <w:rPr>
          <w:rFonts w:eastAsia="Times New Roman"/>
          <w:color w:val="000000"/>
          <w:sz w:val="20"/>
          <w:szCs w:val="20"/>
        </w:rPr>
        <w:t>otes. Included in these amounts are coupon interest expense of $1,617 for each period and the amortization of debt issuance costs of $312 and $250 for the three months ended September 30, 2021 and 2020, respectively. Prior period interest expense also incl</w:t>
      </w:r>
      <w:r>
        <w:rPr>
          <w:rFonts w:eastAsia="Times New Roman"/>
          <w:color w:val="000000"/>
          <w:sz w:val="20"/>
          <w:szCs w:val="20"/>
        </w:rPr>
        <w:t xml:space="preserve">uded amortization of a debt discount of $1,392, which is no longer recognized upon our adoption of ASU 2020-06. See </w:t>
      </w:r>
      <w:r>
        <w:rPr>
          <w:rFonts w:eastAsia="Times New Roman"/>
          <w:i/>
          <w:iCs/>
          <w:color w:val="000000"/>
          <w:sz w:val="20"/>
          <w:szCs w:val="20"/>
        </w:rPr>
        <w:t>Note 9: Long Term Debt</w:t>
      </w:r>
      <w:r>
        <w:rPr>
          <w:rFonts w:eastAsia="Times New Roman"/>
          <w:color w:val="000000"/>
          <w:sz w:val="20"/>
          <w:szCs w:val="20"/>
        </w:rPr>
        <w:t xml:space="preserve"> to our unaudited condensed consolidated financial statements included in Part 1, Item 1 of this Quarterly Report on F</w:t>
      </w:r>
      <w:r>
        <w:rPr>
          <w:rFonts w:eastAsia="Times New Roman"/>
          <w:color w:val="000000"/>
          <w:sz w:val="20"/>
          <w:szCs w:val="20"/>
        </w:rPr>
        <w:t xml:space="preserve">orm 10-Q for further details for further details. </w:t>
      </w: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543031420"/>
        </w:trPr>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543031420"/>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543031420"/>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divId w:val="543031420"/>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rPr>
          <w:divId w:val="54303142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divId w:val="54303142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543031420"/>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5,788 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9260E">
            <w:pPr>
              <w:spacing w:after="100"/>
              <w:jc w:val="right"/>
              <w:rPr>
                <w:rFonts w:eastAsia="Times New Roman"/>
              </w:rPr>
            </w:pPr>
            <w:r>
              <w:rPr>
                <w:rFonts w:eastAsia="Times New Roman"/>
                <w:color w:val="000000"/>
                <w:sz w:val="18"/>
                <w:szCs w:val="18"/>
              </w:rPr>
              <w:t>9,686 </w:t>
            </w:r>
          </w:p>
        </w:tc>
        <w:tc>
          <w:tcPr>
            <w:tcW w:w="0" w:type="auto"/>
            <w:shd w:val="clear" w:color="auto" w:fill="CCEEFF"/>
            <w:tcMar>
              <w:top w:w="30" w:type="dxa"/>
              <w:left w:w="0" w:type="dxa"/>
              <w:bottom w:w="3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(3,898)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(40.2)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Interest expense of $5,788 and $9,686 for the nine months ended September 30, 2021 and 2020, respectively, is related to interest on the 2023 No</w:t>
      </w:r>
      <w:r>
        <w:rPr>
          <w:rFonts w:eastAsia="Times New Roman"/>
          <w:color w:val="000000"/>
          <w:sz w:val="20"/>
          <w:szCs w:val="20"/>
        </w:rPr>
        <w:t>tes. Included in these amounts are coupon interest expense of $4,851 for each period and the amortization of debt issuance costs of $937 and $744 for the nine months ended September 30, 2021 and 2020, respectively. Prior period interest expense also includ</w:t>
      </w:r>
      <w:r>
        <w:rPr>
          <w:rFonts w:eastAsia="Times New Roman"/>
          <w:color w:val="000000"/>
          <w:sz w:val="20"/>
          <w:szCs w:val="20"/>
        </w:rPr>
        <w:t xml:space="preserve">ed amortization of a debt discount of $4,091, which is no longer recognized upon our adoption of ASU 2020-06. See </w:t>
      </w:r>
      <w:r>
        <w:rPr>
          <w:rFonts w:eastAsia="Times New Roman"/>
          <w:i/>
          <w:iCs/>
          <w:color w:val="000000"/>
          <w:sz w:val="20"/>
          <w:szCs w:val="20"/>
        </w:rPr>
        <w:t>Note 9: Long Term Debt</w:t>
      </w:r>
      <w:r>
        <w:rPr>
          <w:rFonts w:eastAsia="Times New Roman"/>
          <w:color w:val="000000"/>
          <w:sz w:val="20"/>
          <w:szCs w:val="20"/>
        </w:rPr>
        <w:t xml:space="preserve"> to our unaudited condensed consolidated financial statements included in Part 1, Item 1 of this Quarterly Report on For</w:t>
      </w:r>
      <w:r>
        <w:rPr>
          <w:rFonts w:eastAsia="Times New Roman"/>
          <w:color w:val="000000"/>
          <w:sz w:val="20"/>
          <w:szCs w:val="20"/>
        </w:rPr>
        <w:t xml:space="preserve">m 10-Q for further details for further details. </w:t>
      </w:r>
    </w:p>
    <w:p w:rsidR="00000000" w:rsidRDefault="0099260E">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7"/>
        <w:gridCol w:w="751"/>
        <w:gridCol w:w="170"/>
      </w:tblGrid>
      <w:tr w:rsidR="00000000">
        <w:tc>
          <w:tcPr>
            <w:tcW w:w="50" w:type="pct"/>
            <w:vAlign w:val="center"/>
            <w:hideMark/>
          </w:tcPr>
          <w:p w:rsidR="00000000" w:rsidRDefault="0099260E">
            <w:pPr>
              <w:jc w:val="both"/>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Income Tax Benefit:</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(5,101)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(5,040)</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Percentage of (loss)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bl>
    <w:p w:rsidR="00000000" w:rsidRDefault="0099260E">
      <w:pPr>
        <w:jc w:val="both"/>
        <w:rPr>
          <w:rFonts w:eastAsia="Times New Roman"/>
        </w:rPr>
      </w:pPr>
    </w:p>
    <w:p w:rsidR="00000000" w:rsidRDefault="0099260E">
      <w:pPr>
        <w:divId w:val="1943490826"/>
        <w:rPr>
          <w:rFonts w:eastAsia="Times New Roman"/>
        </w:rPr>
      </w:pPr>
      <w:r>
        <w:rPr>
          <w:rFonts w:eastAsia="Times New Roman"/>
          <w:color w:val="000000"/>
          <w:sz w:val="20"/>
          <w:szCs w:val="20"/>
        </w:rPr>
        <w:t>The income tax benefit was $5,101 for the three months ended September 30, 2021 resulting in an effective tax ra</w:t>
      </w:r>
      <w:r>
        <w:rPr>
          <w:rFonts w:eastAsia="Times New Roman"/>
          <w:color w:val="000000"/>
          <w:sz w:val="20"/>
          <w:szCs w:val="20"/>
        </w:rPr>
        <w:t>te of 18.8%. The income tax benefit was $5,040 for the three months ended September 30, 2020 resulting in an effective tax rate of 30.1%. The decrease in the effective tax rate for the three months ended September 30, 2021, when compared to the same period</w:t>
      </w:r>
      <w:r>
        <w:rPr>
          <w:rFonts w:eastAsia="Times New Roman"/>
          <w:color w:val="000000"/>
          <w:sz w:val="20"/>
          <w:szCs w:val="20"/>
        </w:rPr>
        <w:t xml:space="preserve"> in 2020, is primarily attributable to a change in the mix of losses in our foreign entities.</w:t>
      </w:r>
    </w:p>
    <w:p w:rsidR="00000000" w:rsidRDefault="0099260E">
      <w:pPr>
        <w:divId w:val="2042508410"/>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8"/>
        <w:gridCol w:w="750"/>
        <w:gridCol w:w="170"/>
      </w:tblGrid>
      <w:tr w:rsidR="00000000">
        <w:tc>
          <w:tcPr>
            <w:tcW w:w="50" w:type="pct"/>
            <w:vAlign w:val="center"/>
            <w:hideMark/>
          </w:tcPr>
          <w:p w:rsidR="00000000" w:rsidRDefault="0099260E">
            <w:pPr>
              <w:rPr>
                <w:rFonts w:eastAsia="Times New Roman"/>
              </w:rPr>
            </w:pPr>
          </w:p>
        </w:tc>
        <w:tc>
          <w:tcPr>
            <w:tcW w:w="232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56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Income Tax Benefit:</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(11,473)</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(9,258)</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(2,215)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(23.9)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Percentage of (loss)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(102.3)</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 </w:t>
            </w:r>
          </w:p>
        </w:tc>
      </w:tr>
    </w:tbl>
    <w:p w:rsidR="00000000" w:rsidRDefault="0099260E">
      <w:pPr>
        <w:divId w:val="226037679"/>
        <w:rPr>
          <w:rFonts w:eastAsia="Times New Roman"/>
        </w:rPr>
      </w:pPr>
    </w:p>
    <w:p w:rsidR="00000000" w:rsidRDefault="0099260E">
      <w:pPr>
        <w:jc w:val="both"/>
        <w:rPr>
          <w:rFonts w:eastAsia="Times New Roman"/>
        </w:rPr>
      </w:pPr>
      <w:r>
        <w:rPr>
          <w:rFonts w:eastAsia="Times New Roman"/>
          <w:color w:val="000000"/>
          <w:sz w:val="20"/>
          <w:szCs w:val="20"/>
        </w:rPr>
        <w:t>The income tax benefit was $11,473 for the nine months ended September 30, 2021 resulting in an effective tax ra</w:t>
      </w:r>
      <w:r>
        <w:rPr>
          <w:rFonts w:eastAsia="Times New Roman"/>
          <w:color w:val="000000"/>
          <w:sz w:val="20"/>
          <w:szCs w:val="20"/>
        </w:rPr>
        <w:t>te of 17.3%. The income tax benefit was $9,258 for the nine months ended September 30, 2020 resulting in an effective tax rate of (102.3)%. The net increase in the effective income tax rate for the nine months ended September 30, 2021 as compared to the pr</w:t>
      </w:r>
      <w:r>
        <w:rPr>
          <w:rFonts w:eastAsia="Times New Roman"/>
          <w:color w:val="000000"/>
          <w:sz w:val="20"/>
          <w:szCs w:val="20"/>
        </w:rPr>
        <w:t>ior period in 2020 is primarily due to the discrete tax benefits recognized during the nine months ended September 30, 2020 under the Coronavirus Aid, Relief and Economic Security Act, also known as the CARES Act, which did not occur during the nine months</w:t>
      </w:r>
      <w:r>
        <w:rPr>
          <w:rFonts w:eastAsia="Times New Roman"/>
          <w:color w:val="000000"/>
          <w:sz w:val="20"/>
          <w:szCs w:val="20"/>
        </w:rPr>
        <w:t xml:space="preserve"> ended September 30, 2021. </w:t>
      </w:r>
    </w:p>
    <w:p w:rsidR="00000000" w:rsidRDefault="0099260E">
      <w:pPr>
        <w:divId w:val="986975677"/>
        <w:rPr>
          <w:rFonts w:eastAsia="Times New Roman"/>
        </w:rPr>
      </w:pPr>
    </w:p>
    <w:p w:rsidR="00000000" w:rsidRDefault="0099260E">
      <w:pPr>
        <w:jc w:val="center"/>
        <w:divId w:val="555169559"/>
        <w:rPr>
          <w:rFonts w:eastAsia="Times New Roman"/>
        </w:rPr>
      </w:pPr>
      <w:r>
        <w:rPr>
          <w:rFonts w:eastAsia="Times New Roman"/>
          <w:color w:val="000000"/>
          <w:sz w:val="20"/>
          <w:szCs w:val="20"/>
        </w:rPr>
        <w:t>- 31 -</w:t>
      </w:r>
    </w:p>
    <w:p w:rsidR="00000000" w:rsidRDefault="0099260E">
      <w:pPr>
        <w:rPr>
          <w:rFonts w:eastAsia="Times New Roman"/>
        </w:rPr>
      </w:pPr>
      <w:r>
        <w:rPr>
          <w:rFonts w:eastAsia="Times New Roman"/>
        </w:rPr>
        <w:pict>
          <v:rect id="_x0000_i1056" style="width:0;height:1.5pt" o:hralign="center" o:hrstd="t" o:hr="t" fillcolor="#a0a0a0" stroked="f"/>
        </w:pict>
      </w:r>
    </w:p>
    <w:p w:rsidR="00000000" w:rsidRDefault="0099260E">
      <w:pPr>
        <w:divId w:val="2085032834"/>
        <w:rPr>
          <w:rFonts w:eastAsia="Times New Roman"/>
        </w:rPr>
      </w:pPr>
    </w:p>
    <w:p w:rsidR="00000000" w:rsidRDefault="0099260E">
      <w:pPr>
        <w:divId w:val="939140539"/>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rsidR="00000000" w:rsidRDefault="0099260E">
      <w:pPr>
        <w:jc w:val="both"/>
        <w:divId w:val="2145271520"/>
        <w:rPr>
          <w:rFonts w:eastAsia="Times New Roman"/>
        </w:rPr>
      </w:pPr>
      <w:r>
        <w:rPr>
          <w:rFonts w:eastAsia="Times New Roman"/>
          <w:color w:val="000000"/>
          <w:sz w:val="20"/>
          <w:szCs w:val="20"/>
        </w:rPr>
        <w:t>The Company’s cash flows from operating, investing and financing activities, as reflected in the unaudited condensed consolidated statements of cas</w:t>
      </w:r>
      <w:r>
        <w:rPr>
          <w:rFonts w:eastAsia="Times New Roman"/>
          <w:color w:val="000000"/>
          <w:sz w:val="20"/>
          <w:szCs w:val="20"/>
        </w:rPr>
        <w:t>h flows, are summarized in the following table: </w:t>
      </w:r>
    </w:p>
    <w:tbl>
      <w:tblPr>
        <w:tblW w:w="4970" w:type="pct"/>
        <w:tblCellMar>
          <w:top w:w="15" w:type="dxa"/>
          <w:left w:w="15" w:type="dxa"/>
          <w:bottom w:w="15" w:type="dxa"/>
          <w:right w:w="15" w:type="dxa"/>
        </w:tblCellMar>
        <w:tblLook w:val="04A0" w:firstRow="1" w:lastRow="0" w:firstColumn="1" w:lastColumn="0" w:noHBand="0" w:noVBand="1"/>
      </w:tblPr>
      <w:tblGrid>
        <w:gridCol w:w="38"/>
        <w:gridCol w:w="3347"/>
        <w:gridCol w:w="37"/>
        <w:gridCol w:w="36"/>
        <w:gridCol w:w="36"/>
        <w:gridCol w:w="36"/>
        <w:gridCol w:w="110"/>
        <w:gridCol w:w="940"/>
        <w:gridCol w:w="36"/>
        <w:gridCol w:w="36"/>
        <w:gridCol w:w="36"/>
        <w:gridCol w:w="36"/>
        <w:gridCol w:w="110"/>
        <w:gridCol w:w="940"/>
        <w:gridCol w:w="36"/>
        <w:gridCol w:w="36"/>
        <w:gridCol w:w="36"/>
        <w:gridCol w:w="36"/>
        <w:gridCol w:w="110"/>
        <w:gridCol w:w="940"/>
        <w:gridCol w:w="36"/>
        <w:gridCol w:w="36"/>
        <w:gridCol w:w="36"/>
        <w:gridCol w:w="36"/>
        <w:gridCol w:w="38"/>
        <w:gridCol w:w="936"/>
        <w:gridCol w:w="170"/>
      </w:tblGrid>
      <w:tr w:rsidR="00000000">
        <w:trPr>
          <w:divId w:val="779840382"/>
        </w:trPr>
        <w:tc>
          <w:tcPr>
            <w:tcW w:w="50" w:type="pct"/>
            <w:vAlign w:val="center"/>
            <w:hideMark/>
          </w:tcPr>
          <w:p w:rsidR="00000000" w:rsidRDefault="0099260E">
            <w:pPr>
              <w:jc w:val="both"/>
              <w:rPr>
                <w:rFonts w:eastAsia="Times New Roman"/>
              </w:rPr>
            </w:pPr>
          </w:p>
        </w:tc>
        <w:tc>
          <w:tcPr>
            <w:tcW w:w="2062"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2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2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28"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2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629"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779840382"/>
        </w:trPr>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gridSpan w:val="3"/>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c>
          <w:tcPr>
            <w:tcW w:w="0" w:type="auto"/>
            <w:vAlign w:val="center"/>
            <w:hideMark/>
          </w:tcPr>
          <w:p w:rsidR="00000000" w:rsidRDefault="0099260E">
            <w:pPr>
              <w:spacing w:after="100"/>
              <w:rPr>
                <w:rFonts w:eastAsia="Times New Roman"/>
                <w:sz w:val="20"/>
                <w:szCs w:val="20"/>
              </w:rPr>
            </w:pPr>
          </w:p>
        </w:tc>
      </w:tr>
      <w:tr w:rsidR="00000000">
        <w:trPr>
          <w:divId w:val="779840382"/>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Change</w:t>
            </w:r>
          </w:p>
        </w:tc>
      </w:tr>
      <w:tr w:rsidR="00000000">
        <w:trPr>
          <w:divId w:val="779840382"/>
          <w:trHeight w:val="280"/>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9"/>
            <w:vMerge/>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 vs. 2020</w:t>
            </w:r>
          </w:p>
        </w:tc>
      </w:tr>
      <w:tr w:rsidR="00000000">
        <w:trPr>
          <w:divId w:val="779840382"/>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jc w:val="center"/>
              <w:rPr>
                <w:rFonts w:eastAsia="Times New Roman"/>
              </w:rPr>
            </w:pPr>
            <w:r>
              <w:rPr>
                <w:rFonts w:eastAsia="Times New Roman"/>
                <w:b/>
                <w:bCs/>
                <w:color w:val="000000"/>
                <w:sz w:val="18"/>
                <w:szCs w:val="18"/>
              </w:rPr>
              <w:t>%</w:t>
            </w:r>
          </w:p>
        </w:tc>
      </w:tr>
      <w:tr w:rsidR="00000000">
        <w:trPr>
          <w:divId w:val="77984038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rPr>
          <w:divId w:val="779840382"/>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(54,804)</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(29,609)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9260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(25,195)</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(85.1)</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779840382"/>
        </w:trPr>
        <w:tc>
          <w:tcPr>
            <w:tcW w:w="0" w:type="auto"/>
            <w:gridSpan w:val="3"/>
            <w:shd w:val="clear" w:color="auto" w:fill="FFFF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41,609 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(76,962)</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118,571 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154.1 </w:t>
            </w:r>
          </w:p>
        </w:tc>
        <w:tc>
          <w:tcPr>
            <w:tcW w:w="0" w:type="auto"/>
            <w:shd w:val="clear" w:color="auto" w:fill="FFFF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r w:rsidR="00000000">
        <w:trPr>
          <w:divId w:val="779840382"/>
        </w:trPr>
        <w:tc>
          <w:tcPr>
            <w:tcW w:w="0" w:type="auto"/>
            <w:gridSpan w:val="3"/>
            <w:shd w:val="clear" w:color="auto" w:fill="CCEEFF"/>
            <w:tcMar>
              <w:top w:w="30" w:type="dxa"/>
              <w:left w:w="155" w:type="dxa"/>
              <w:bottom w:w="30" w:type="dxa"/>
              <w:right w:w="20" w:type="dxa"/>
            </w:tcMar>
            <w:vAlign w:val="bottom"/>
            <w:hideMark/>
          </w:tcPr>
          <w:p w:rsidR="00000000" w:rsidRDefault="0099260E">
            <w:pPr>
              <w:spacing w:after="100"/>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179,500 </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(179,237)</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9260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9260E">
            <w:pPr>
              <w:spacing w:after="100"/>
              <w:jc w:val="right"/>
              <w:rPr>
                <w:rFonts w:eastAsia="Times New Roman"/>
              </w:rPr>
            </w:pPr>
            <w:r>
              <w:rPr>
                <w:rFonts w:eastAsia="Times New Roman"/>
                <w:color w:val="000000"/>
                <w:sz w:val="18"/>
                <w:szCs w:val="18"/>
              </w:rPr>
              <w:t>(99.9)</w:t>
            </w:r>
          </w:p>
        </w:tc>
        <w:tc>
          <w:tcPr>
            <w:tcW w:w="0" w:type="auto"/>
            <w:shd w:val="clear" w:color="auto" w:fill="CCEEFF"/>
            <w:tcMar>
              <w:top w:w="30" w:type="dxa"/>
              <w:left w:w="0" w:type="dxa"/>
              <w:bottom w:w="30" w:type="dxa"/>
              <w:right w:w="20" w:type="dxa"/>
            </w:tcMar>
            <w:vAlign w:val="bottom"/>
            <w:hideMark/>
          </w:tcPr>
          <w:p w:rsidR="00000000" w:rsidRDefault="0099260E">
            <w:pPr>
              <w:spacing w:after="100"/>
              <w:jc w:val="right"/>
              <w:rPr>
                <w:rFonts w:eastAsia="Times New Roman"/>
              </w:rPr>
            </w:pPr>
            <w:r>
              <w:rPr>
                <w:rFonts w:eastAsia="Times New Roman"/>
                <w:color w:val="000000"/>
                <w:sz w:val="18"/>
                <w:szCs w:val="18"/>
              </w:rPr>
              <w:t>%</w:t>
            </w:r>
          </w:p>
        </w:tc>
      </w:tr>
    </w:tbl>
    <w:p w:rsidR="00000000" w:rsidRDefault="0099260E">
      <w:pPr>
        <w:divId w:val="1951082723"/>
        <w:rPr>
          <w:rFonts w:eastAsia="Times New Roman"/>
        </w:rPr>
      </w:pPr>
    </w:p>
    <w:p w:rsidR="00000000" w:rsidRDefault="0099260E">
      <w:pPr>
        <w:divId w:val="564531438"/>
        <w:rPr>
          <w:rFonts w:eastAsia="Times New Roman"/>
        </w:rPr>
      </w:pPr>
      <w:r>
        <w:rPr>
          <w:rFonts w:eastAsia="Times New Roman"/>
          <w:b/>
          <w:bCs/>
          <w:i/>
          <w:iCs/>
          <w:color w:val="000000"/>
          <w:sz w:val="20"/>
          <w:szCs w:val="20"/>
        </w:rPr>
        <w:t>Operating Activities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Net cash used in operating activities was $54,804 and $29,609 for the nine months ended September </w:t>
      </w:r>
      <w:r>
        <w:rPr>
          <w:rFonts w:eastAsia="Times New Roman"/>
          <w:color w:val="000000"/>
          <w:sz w:val="20"/>
          <w:szCs w:val="20"/>
        </w:rPr>
        <w:t>30, 2021 and 2020, respectively. Net cash used in operating activities for the nine months ended September 30, 2021 was driven by net loss of $55,028 and non-cash adjustments of $2,793, offset by favorable changes in working capital of $3,017. For the nine</w:t>
      </w:r>
      <w:r>
        <w:rPr>
          <w:rFonts w:eastAsia="Times New Roman"/>
          <w:color w:val="000000"/>
          <w:sz w:val="20"/>
          <w:szCs w:val="20"/>
        </w:rPr>
        <w:t xml:space="preserve"> months ended September 30, 2020, net cash used in operating activities was driven by net income of $18,306 and favorable non-cash adjustments of $7,323, offset by the $45,760 gain recorded for the sale of the Hospital Products and a $9,478 unfavorable cha</w:t>
      </w:r>
      <w:r>
        <w:rPr>
          <w:rFonts w:eastAsia="Times New Roman"/>
          <w:color w:val="000000"/>
          <w:sz w:val="20"/>
          <w:szCs w:val="20"/>
        </w:rPr>
        <w:t>nge in working capital. The year over year change in working capital is driven by the sale of the Hospital Products on June 30, 2020, as well as increased accrued expenses in 2021 as a result of the Company’s commercial preparations and launch readiness ac</w:t>
      </w:r>
      <w:r>
        <w:rPr>
          <w:rFonts w:eastAsia="Times New Roman"/>
          <w:color w:val="000000"/>
          <w:sz w:val="20"/>
          <w:szCs w:val="20"/>
        </w:rPr>
        <w:t>tivities for potential approval of FT218.</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Investing Activities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Net cash provided by investing activities was $41,609 for the nine months ended September 30, 2021 and net cash used in investing activities was $76,962 for the nine months ended September</w:t>
      </w:r>
      <w:r>
        <w:rPr>
          <w:rFonts w:eastAsia="Times New Roman"/>
          <w:color w:val="000000"/>
          <w:sz w:val="20"/>
          <w:szCs w:val="20"/>
        </w:rPr>
        <w:t> 30, 2020. Net cash provided by investing activities for the nine months ended September 30, 2021 was driven by proceeds from the disposition of the Hospital Products of $16,500, as well as net proceeds received from the excess of sales over purchases of m</w:t>
      </w:r>
      <w:r>
        <w:rPr>
          <w:rFonts w:eastAsia="Times New Roman"/>
          <w:color w:val="000000"/>
          <w:sz w:val="20"/>
          <w:szCs w:val="20"/>
        </w:rPr>
        <w:t>arketable securities of $25,135. Net cash used in investing activities for the nine months ended September 30, 2020 was driven by net purchases of marketable securities of $94,179, partially offset by the proceeds from the disposition of the Hospital Produ</w:t>
      </w:r>
      <w:r>
        <w:rPr>
          <w:rFonts w:eastAsia="Times New Roman"/>
          <w:color w:val="000000"/>
          <w:sz w:val="20"/>
          <w:szCs w:val="20"/>
        </w:rPr>
        <w:t>cts of $17,250.</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Financing Activities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Net cash provided by financing activities for the nine months ended September </w:t>
      </w:r>
      <w:r>
        <w:rPr>
          <w:rFonts w:eastAsia="Times New Roman"/>
          <w:color w:val="000000"/>
          <w:sz w:val="20"/>
          <w:szCs w:val="20"/>
        </w:rPr>
        <w:t>30, 2021 was $263 related to proceeds from stock option exercises and employee stock purchase plan (“ESPP”) issuances. Net cash provided by financing activities for the nine months ended September 30, 2020 of $179,500 is driven by the February 2020 private</w:t>
      </w:r>
      <w:r>
        <w:rPr>
          <w:rFonts w:eastAsia="Times New Roman"/>
          <w:color w:val="000000"/>
          <w:sz w:val="20"/>
          <w:szCs w:val="20"/>
        </w:rPr>
        <w:t xml:space="preserve"> placement and May 2020 public offering that resulted in net proceeds of $60,570 and $116,924, respectively, as well as stock option exercises and ESPP issuances of $2,006.</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Liquidity and Risk Management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adequacy of our cash resources depends on th</w:t>
      </w:r>
      <w:r>
        <w:rPr>
          <w:rFonts w:eastAsia="Times New Roman"/>
          <w:color w:val="000000"/>
          <w:sz w:val="20"/>
          <w:szCs w:val="20"/>
        </w:rPr>
        <w:t>e outcome of certain business conditions including the cost of our FT218 clinical development plan, our cost structure, and other factors set forth in “Risk Factors” within Part I, Item 1A of the 2020 Form 10-K. To complete the FT218 clinical development a</w:t>
      </w:r>
      <w:r>
        <w:rPr>
          <w:rFonts w:eastAsia="Times New Roman"/>
          <w:color w:val="000000"/>
          <w:sz w:val="20"/>
          <w:szCs w:val="20"/>
        </w:rPr>
        <w:t>nd commercialization plan we will need to commit substantial resources, which could result in future losses or otherwise limit our opportunities or affect our ability to operate our business. Our assumptions concerning the outcome of certain business condi</w:t>
      </w:r>
      <w:r>
        <w:rPr>
          <w:rFonts w:eastAsia="Times New Roman"/>
          <w:color w:val="000000"/>
          <w:sz w:val="20"/>
          <w:szCs w:val="20"/>
        </w:rPr>
        <w:t>tions may prove to be wrong or other factors may adversely affect our business, and as a result we could exhaust or significantly decrease our available cash and marketable securities balances which could, among other things, force us to raise additional f</w:t>
      </w:r>
      <w:r>
        <w:rPr>
          <w:rFonts w:eastAsia="Times New Roman"/>
          <w:color w:val="000000"/>
          <w:sz w:val="20"/>
          <w:szCs w:val="20"/>
        </w:rPr>
        <w:t xml:space="preserve">unds and/or force us to reduce our expenses, either of which could have a material adverse effect on our business. Additionally, we are unable to estimate the near or long term impact of COVID-19, which may have a material adverse impact on our business.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collaborations or partnering arrangements. Any equity financing would be dilutive to our shareholders.</w:t>
      </w:r>
    </w:p>
    <w:p w:rsidR="00000000" w:rsidRDefault="0099260E">
      <w:pPr>
        <w:jc w:val="both"/>
        <w:rPr>
          <w:rFonts w:eastAsia="Times New Roman"/>
        </w:rPr>
      </w:pPr>
    </w:p>
    <w:p w:rsidR="00000000" w:rsidRDefault="0099260E">
      <w:pPr>
        <w:jc w:val="center"/>
        <w:divId w:val="8411823"/>
        <w:rPr>
          <w:rFonts w:eastAsia="Times New Roman"/>
        </w:rPr>
      </w:pPr>
      <w:r>
        <w:rPr>
          <w:rFonts w:eastAsia="Times New Roman"/>
          <w:color w:val="000000"/>
          <w:sz w:val="20"/>
          <w:szCs w:val="20"/>
        </w:rPr>
        <w:t>- 32 -</w:t>
      </w:r>
    </w:p>
    <w:p w:rsidR="00000000" w:rsidRDefault="0099260E">
      <w:pPr>
        <w:rPr>
          <w:rFonts w:eastAsia="Times New Roman"/>
        </w:rPr>
      </w:pPr>
      <w:r>
        <w:rPr>
          <w:rFonts w:eastAsia="Times New Roman"/>
        </w:rPr>
        <w:pict>
          <v:rect id="_x0000_i1057" style="width:0;height:1.5pt" o:hralign="center" o:hrstd="t" o:hr="t" fillcolor="#a0a0a0" stroked="f"/>
        </w:pict>
      </w:r>
    </w:p>
    <w:p w:rsidR="00000000" w:rsidRDefault="0099260E">
      <w:pPr>
        <w:divId w:val="647788454"/>
        <w:rPr>
          <w:rFonts w:eastAsia="Times New Roman"/>
        </w:rPr>
      </w:pPr>
    </w:p>
    <w:p w:rsidR="00000000" w:rsidRDefault="0099260E">
      <w:pPr>
        <w:jc w:val="both"/>
        <w:rPr>
          <w:rFonts w:eastAsia="Times New Roman"/>
        </w:rPr>
      </w:pPr>
      <w:r>
        <w:rPr>
          <w:rFonts w:eastAsia="Times New Roman"/>
          <w:color w:val="000000"/>
          <w:sz w:val="20"/>
          <w:szCs w:val="20"/>
        </w:rPr>
        <w:t>Cash, cash equivalent and marketable security balances as of September 30, 2021 and unused financing sources are expected to provide us with the flexibility to meet our liquidity needs in 2021, including its operating requiremen</w:t>
      </w:r>
      <w:r>
        <w:rPr>
          <w:rFonts w:eastAsia="Times New Roman"/>
          <w:color w:val="000000"/>
          <w:sz w:val="20"/>
          <w:szCs w:val="20"/>
        </w:rPr>
        <w:t>ts related to the development of FT218.</w:t>
      </w:r>
    </w:p>
    <w:p w:rsidR="00000000" w:rsidRDefault="0099260E">
      <w:pPr>
        <w:jc w:val="both"/>
        <w:rPr>
          <w:rFonts w:eastAsia="Times New Roman"/>
        </w:rPr>
      </w:pPr>
    </w:p>
    <w:p w:rsidR="00000000" w:rsidRDefault="0099260E">
      <w:pPr>
        <w:divId w:val="1430199405"/>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rsidR="00000000" w:rsidRDefault="0099260E">
      <w:pPr>
        <w:divId w:val="518735181"/>
        <w:rPr>
          <w:rFonts w:eastAsia="Times New Roman"/>
        </w:rPr>
      </w:pPr>
      <w:r>
        <w:rPr>
          <w:rFonts w:eastAsia="Times New Roman"/>
          <w:b/>
          <w:bCs/>
          <w:i/>
          <w:iCs/>
          <w:color w:val="000000"/>
          <w:sz w:val="20"/>
          <w:szCs w:val="20"/>
        </w:rPr>
        <w:t>Litigation  </w:t>
      </w:r>
    </w:p>
    <w:p w:rsidR="00000000" w:rsidRDefault="0099260E">
      <w:pPr>
        <w:jc w:val="both"/>
        <w:rPr>
          <w:rFonts w:eastAsia="Times New Roman"/>
        </w:rPr>
      </w:pPr>
      <w:r>
        <w:rPr>
          <w:rFonts w:eastAsia="Times New Roman"/>
          <w:color w:val="000000"/>
          <w:sz w:val="20"/>
          <w:szCs w:val="20"/>
        </w:rPr>
        <w:t xml:space="preserve">The Company is subject to potential liabilities generally incidental to our business arising out of present and future lawsuits and claims related to product liability, personal injury, </w:t>
      </w:r>
      <w:r>
        <w:rPr>
          <w:rFonts w:eastAsia="Times New Roman"/>
          <w:color w:val="000000"/>
          <w:sz w:val="20"/>
          <w:szCs w:val="20"/>
        </w:rPr>
        <w:t>contract, commercial, intellectual property, tax, employment, compliance and other matters that arise in the ordinary course of business. The Company accrues for potential liabilities when it is probable that future costs (including legal fees and expenses</w:t>
      </w:r>
      <w:r>
        <w:rPr>
          <w:rFonts w:eastAsia="Times New Roman"/>
          <w:color w:val="000000"/>
          <w:sz w:val="20"/>
          <w:szCs w:val="20"/>
        </w:rPr>
        <w:t>) will be incurred and such costs can be reasonably estimated. At September 30, 2021 and December 31, 2020, there were no contingent liabilities with respect to any litigation, arbitration or administrative or other proceeding that are reasonably likely to</w:t>
      </w:r>
      <w:r>
        <w:rPr>
          <w:rFonts w:eastAsia="Times New Roman"/>
          <w:color w:val="000000"/>
          <w:sz w:val="20"/>
          <w:szCs w:val="20"/>
        </w:rPr>
        <w:t xml:space="preserve"> have a material adverse effect on the Company’s unaudited condensed consolidated financial position, results of operations, cash flows or liquidity.</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First Complaint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May 12, 2021, Jazz Pharmaceuticals, Inc. (“Jazz”) filed a formal complaint (the “Fi</w:t>
      </w:r>
      <w:r>
        <w:rPr>
          <w:rFonts w:eastAsia="Times New Roman"/>
          <w:color w:val="000000"/>
          <w:sz w:val="20"/>
          <w:szCs w:val="20"/>
        </w:rPr>
        <w:t>rst Complaint”) initiating a lawsuit in the United States District Court for the District of Delaware (the “Court”) against Avadel Pharmaceuticals plc, Avadel US Holdings, Inc., Avadel Management Corporation, Avadel Legacy Pharmaceuticals, LLC, Avadel Spec</w:t>
      </w:r>
      <w:r>
        <w:rPr>
          <w:rFonts w:eastAsia="Times New Roman"/>
          <w:color w:val="000000"/>
          <w:sz w:val="20"/>
          <w:szCs w:val="20"/>
        </w:rPr>
        <w:t>ialty Pharmaceuticals, LLC, and Avadel CNS Pharmaceuticals, LLC (collectively, the “Avadel Parties”). In the First Complaint, Jazz alleges the sodium oxybate product (“Proposed Product”) described in the NDA owned by Avadel CNS Pharmaceuticals, LLC will in</w:t>
      </w:r>
      <w:r>
        <w:rPr>
          <w:rFonts w:eastAsia="Times New Roman"/>
          <w:color w:val="000000"/>
          <w:sz w:val="20"/>
          <w:szCs w:val="20"/>
        </w:rPr>
        <w:t>fringe at least one claim of US Patent No. 8731963, 10758488, 10813885, 10959956 and/or 10966931 (collectively, the “patents-in-suit”). The First Complaint further includes typical relief requests such as preliminary and permanent injunctive relief, moneta</w:t>
      </w:r>
      <w:r>
        <w:rPr>
          <w:rFonts w:eastAsia="Times New Roman"/>
          <w:color w:val="000000"/>
          <w:sz w:val="20"/>
          <w:szCs w:val="20"/>
        </w:rPr>
        <w:t>ry damages and attorneys’ fees, costs and expenses.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3, 2021, the Avadel Parties timely filed their Answer and Counterclaims (the “Avadel Answer”) with the Court in response to the First Complaint. The Avadel Answer generally denies the allegation</w:t>
      </w:r>
      <w:r>
        <w:rPr>
          <w:rFonts w:eastAsia="Times New Roman"/>
          <w:color w:val="000000"/>
          <w:sz w:val="20"/>
          <w:szCs w:val="20"/>
        </w:rPr>
        <w:t xml:space="preserve">s set forth in the First Complaint, includes numerous affirmative defenses (including, but not limited to, non-infringement and invalidity of the patents-in-suit), and asserts a number of counterclaims seeking i) a declaratory judgment of non-infringement </w:t>
      </w:r>
      <w:r>
        <w:rPr>
          <w:rFonts w:eastAsia="Times New Roman"/>
          <w:color w:val="000000"/>
          <w:sz w:val="20"/>
          <w:szCs w:val="20"/>
        </w:rPr>
        <w:t>of each patent-in-suit, and ii) a declaratory judgment of invalidity of each patent-in-suit.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June 18, 2021, Jazz filed its Answer (“Jazz Answer”) with the Court in response to the Avadel Answer. The Jazz Answer generally denies the allegations set for</w:t>
      </w:r>
      <w:r>
        <w:rPr>
          <w:rFonts w:eastAsia="Times New Roman"/>
          <w:color w:val="000000"/>
          <w:sz w:val="20"/>
          <w:szCs w:val="20"/>
        </w:rPr>
        <w:t>th in the Avadel Answer and sets forth a single affirmative defense asserting that Avadel has failed to state a claim for which relief can be granted.</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On June 21, 2021, the Court issued an oral order requiring the parties to i) confer regarding proposed </w:t>
      </w:r>
      <w:r>
        <w:rPr>
          <w:rFonts w:eastAsia="Times New Roman"/>
          <w:color w:val="000000"/>
          <w:sz w:val="20"/>
          <w:szCs w:val="20"/>
        </w:rPr>
        <w:t xml:space="preserve">dates to be included in the Court’s scheduling order for the case, and ii) submit a proposed order, including a proposal for the length and timing of trial, to the Court by no later than July 21, 2021.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On July 30, 2021, the Court issued a scheduling order establishing timing for litigation events including i) a claim construction hearing date of August 2, 2022, and ii) a trial date of October 30, 2023.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October 18, 2021, consistent with the scheduli</w:t>
      </w:r>
      <w:r>
        <w:rPr>
          <w:rFonts w:eastAsia="Times New Roman"/>
          <w:color w:val="000000"/>
          <w:sz w:val="20"/>
          <w:szCs w:val="20"/>
        </w:rPr>
        <w:t>ng order, Jazz filed a status update with the Court indicating that Jazz did not intend to file a preliminary injunction with the Court at this time.</w:t>
      </w:r>
      <w:r>
        <w:rPr>
          <w:rFonts w:eastAsia="Times New Roman"/>
          <w:color w:val="000000"/>
        </w:rPr>
        <w:t xml:space="preserve"> </w:t>
      </w:r>
      <w:r>
        <w:rPr>
          <w:rFonts w:eastAsia="Times New Roman"/>
          <w:color w:val="000000"/>
          <w:sz w:val="20"/>
          <w:szCs w:val="20"/>
        </w:rPr>
        <w:t>Jazz further indicated that it would provide the Court with an update regarding whether preliminary injunc</w:t>
      </w:r>
      <w:r>
        <w:rPr>
          <w:rFonts w:eastAsia="Times New Roman"/>
          <w:color w:val="000000"/>
          <w:sz w:val="20"/>
          <w:szCs w:val="20"/>
        </w:rPr>
        <w:t>tion proceedings may be necessary after receiving further information regarding the FDA’s action on Avadel’s NDA.</w:t>
      </w:r>
      <w:r>
        <w:rPr>
          <w:rFonts w:eastAsia="Times New Roman"/>
          <w:color w:val="000000"/>
        </w:rPr>
        <w:t xml:space="preserve"> </w:t>
      </w:r>
    </w:p>
    <w:p w:rsidR="00000000" w:rsidRDefault="0099260E">
      <w:pPr>
        <w:jc w:val="both"/>
        <w:rPr>
          <w:rFonts w:eastAsia="Times New Roman"/>
        </w:rPr>
      </w:pPr>
    </w:p>
    <w:p w:rsidR="00000000" w:rsidRDefault="0099260E">
      <w:pPr>
        <w:jc w:val="both"/>
        <w:rPr>
          <w:rFonts w:eastAsia="Times New Roman"/>
        </w:rPr>
      </w:pPr>
      <w:r>
        <w:rPr>
          <w:rFonts w:eastAsia="Times New Roman"/>
          <w:i/>
          <w:iCs/>
          <w:color w:val="000000"/>
          <w:sz w:val="20"/>
          <w:szCs w:val="20"/>
        </w:rPr>
        <w:t xml:space="preserve">Second Complaint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On August 4, 2021, Jazz filed another formal complaint (the “Second Complaint”) initiating a lawsuit in the Court again</w:t>
      </w:r>
      <w:r>
        <w:rPr>
          <w:rFonts w:eastAsia="Times New Roman"/>
          <w:color w:val="000000"/>
          <w:sz w:val="20"/>
          <w:szCs w:val="20"/>
        </w:rPr>
        <w:t>st the Avadel Parties. In the Second Complaint, Jazz alleges the Proposed Product described in the NDA owned by Avadel CNS Pharmaceuticals, LLC will infringe at least one claim of US Patent No. 11077079. The Second Complaint further includes typical relief</w:t>
      </w:r>
      <w:r>
        <w:rPr>
          <w:rFonts w:eastAsia="Times New Roman"/>
          <w:color w:val="000000"/>
          <w:sz w:val="20"/>
          <w:szCs w:val="20"/>
        </w:rPr>
        <w:t xml:space="preserve"> requests such as preliminary and permanent injunctive relief, monetary damages and attorneys’ fees, costs and expenses.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On October 22, 2021, the Court issued an oral order stating that this case should proceed on the same schedule as the case filed on </w:t>
      </w:r>
      <w:r>
        <w:rPr>
          <w:rFonts w:eastAsia="Times New Roman"/>
          <w:color w:val="000000"/>
          <w:sz w:val="20"/>
          <w:szCs w:val="20"/>
        </w:rPr>
        <w:t xml:space="preserve">May 12, 2021. </w:t>
      </w:r>
    </w:p>
    <w:p w:rsidR="00000000" w:rsidRDefault="0099260E">
      <w:pPr>
        <w:jc w:val="center"/>
        <w:divId w:val="652224509"/>
        <w:rPr>
          <w:rFonts w:eastAsia="Times New Roman"/>
        </w:rPr>
      </w:pPr>
      <w:r>
        <w:rPr>
          <w:rFonts w:eastAsia="Times New Roman"/>
          <w:color w:val="000000"/>
          <w:sz w:val="20"/>
          <w:szCs w:val="20"/>
        </w:rPr>
        <w:t>- 33 -</w:t>
      </w:r>
    </w:p>
    <w:p w:rsidR="00000000" w:rsidRDefault="0099260E">
      <w:pPr>
        <w:rPr>
          <w:rFonts w:eastAsia="Times New Roman"/>
        </w:rPr>
      </w:pPr>
      <w:r>
        <w:rPr>
          <w:rFonts w:eastAsia="Times New Roman"/>
        </w:rPr>
        <w:pict>
          <v:rect id="_x0000_i1058" style="width:0;height:1.5pt" o:hralign="center" o:hrstd="t" o:hr="t" fillcolor="#a0a0a0" stroked="f"/>
        </w:pict>
      </w:r>
    </w:p>
    <w:p w:rsidR="00000000" w:rsidRDefault="0099260E">
      <w:pPr>
        <w:divId w:val="80952738"/>
        <w:rPr>
          <w:rFonts w:eastAsia="Times New Roman"/>
        </w:rPr>
      </w:pPr>
    </w:p>
    <w:p w:rsidR="00000000" w:rsidRDefault="0099260E">
      <w:pPr>
        <w:jc w:val="both"/>
        <w:rPr>
          <w:rFonts w:eastAsia="Times New Roman"/>
        </w:rPr>
      </w:pPr>
      <w:r>
        <w:rPr>
          <w:rFonts w:eastAsia="Times New Roman"/>
          <w:b/>
          <w:bCs/>
          <w:i/>
          <w:iCs/>
          <w:color w:val="000000"/>
          <w:sz w:val="20"/>
          <w:szCs w:val="20"/>
        </w:rPr>
        <w:t>Material Commitments and Contractual Obligations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Disclosures regarding material commitments and contractual obligations are included in Part II, Item 7 of the Company’s Form 10-K and updated in </w:t>
      </w:r>
      <w:r>
        <w:rPr>
          <w:rFonts w:eastAsia="Times New Roman"/>
          <w:i/>
          <w:iCs/>
          <w:color w:val="000000"/>
          <w:sz w:val="20"/>
          <w:szCs w:val="20"/>
        </w:rPr>
        <w:t>Note 16: Commitments and Contingencies</w:t>
      </w:r>
      <w:r>
        <w:rPr>
          <w:rFonts w:eastAsia="Times New Roman"/>
          <w:color w:val="000000"/>
          <w:sz w:val="20"/>
          <w:szCs w:val="20"/>
        </w:rPr>
        <w:t> to the Company’s unaudited condensed consolidated financial statements included in Part I, Item 1 of this Quarterly Report is incorporated by reference herein.</w:t>
      </w:r>
    </w:p>
    <w:p w:rsidR="00000000" w:rsidRDefault="0099260E">
      <w:pPr>
        <w:jc w:val="both"/>
        <w:rPr>
          <w:rFonts w:eastAsia="Times New Roman"/>
        </w:rPr>
      </w:pPr>
    </w:p>
    <w:p w:rsidR="00000000" w:rsidRDefault="0099260E">
      <w:pPr>
        <w:ind w:hanging="360"/>
        <w:divId w:val="1426463798"/>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r>
        <w:rPr>
          <w:rFonts w:eastAsia="Times New Roman"/>
          <w:color w:val="000000"/>
          <w:sz w:val="20"/>
          <w:szCs w:val="20"/>
        </w:rPr>
        <w:t> </w:t>
      </w:r>
    </w:p>
    <w:p w:rsidR="00000000" w:rsidRDefault="0099260E">
      <w:pPr>
        <w:jc w:val="both"/>
        <w:divId w:val="1656912772"/>
        <w:rPr>
          <w:rFonts w:eastAsia="Times New Roman"/>
        </w:rPr>
      </w:pPr>
      <w:r>
        <w:rPr>
          <w:rFonts w:eastAsia="Times New Roman"/>
          <w:b/>
          <w:bCs/>
          <w:color w:val="000000"/>
          <w:sz w:val="20"/>
          <w:szCs w:val="20"/>
          <w:u w:val="single"/>
        </w:rPr>
        <w:t>Interest Rate Risk</w:t>
      </w:r>
    </w:p>
    <w:p w:rsidR="00000000" w:rsidRDefault="0099260E">
      <w:pPr>
        <w:jc w:val="both"/>
        <w:rPr>
          <w:rFonts w:eastAsia="Times New Roman"/>
        </w:rPr>
      </w:pPr>
      <w:r>
        <w:rPr>
          <w:rFonts w:eastAsia="Times New Roman"/>
          <w:color w:val="000000"/>
          <w:sz w:val="20"/>
          <w:szCs w:val="20"/>
        </w:rPr>
        <w:t>The Company is subject to interest rate risk as a result of its portfolio of marketable securities. The primary objectives of our investment policy are as follows: safety and p</w:t>
      </w:r>
      <w:r>
        <w:rPr>
          <w:rFonts w:eastAsia="Times New Roman"/>
          <w:color w:val="000000"/>
          <w:sz w:val="20"/>
          <w:szCs w:val="20"/>
        </w:rPr>
        <w:t>reservation of principal and diversification of risk; liquidity of investments sufficient to meet cash flow requirements; and competitive yield. Although our investments are subject to market risk, our investment policy specifies credit quality standards f</w:t>
      </w:r>
      <w:r>
        <w:rPr>
          <w:rFonts w:eastAsia="Times New Roman"/>
          <w:color w:val="000000"/>
          <w:sz w:val="20"/>
          <w:szCs w:val="20"/>
        </w:rPr>
        <w:t>or our investments and limits the amount of credit exposure from any single issue, issuer or certain types of investment. Our investment policy allows us to maintain a portfolio of cash equivalents and marketable securities in a variety of instruments, inc</w:t>
      </w:r>
      <w:r>
        <w:rPr>
          <w:rFonts w:eastAsia="Times New Roman"/>
          <w:color w:val="000000"/>
          <w:sz w:val="20"/>
          <w:szCs w:val="20"/>
        </w:rPr>
        <w:t>luding U.S. federal government and federal agency securities, European Government bonds, corporate bonds or commercial paper issued by U.S. or European corporations, money market instruments, certain qualifying money market mutual funds, certain repurchase</w:t>
      </w:r>
      <w:r>
        <w:rPr>
          <w:rFonts w:eastAsia="Times New Roman"/>
          <w:color w:val="000000"/>
          <w:sz w:val="20"/>
          <w:szCs w:val="20"/>
        </w:rPr>
        <w:t xml:space="preserve"> agreements, tax-exempt obligations of states, agencies, and municipalities in the U.S and Europe, and equities.</w:t>
      </w:r>
      <w:r>
        <w:rPr>
          <w:rFonts w:eastAsia="Times New Roman"/>
          <w:b/>
          <w:bCs/>
          <w:color w:val="000000"/>
          <w:sz w:val="20"/>
          <w:szCs w:val="20"/>
        </w:rPr>
        <w:t xml:space="preserve">  </w:t>
      </w:r>
      <w:r>
        <w:rPr>
          <w:rFonts w:eastAsia="Times New Roman"/>
          <w:color w:val="000000"/>
          <w:sz w:val="20"/>
          <w:szCs w:val="20"/>
        </w:rPr>
        <w:t>A hypothetical 50 basis point change in interest rates would not result in a material decrease or increase in the fair value of our securities</w:t>
      </w:r>
      <w:r>
        <w:rPr>
          <w:rFonts w:eastAsia="Times New Roman"/>
          <w:color w:val="000000"/>
          <w:sz w:val="20"/>
          <w:szCs w:val="20"/>
        </w:rPr>
        <w:t xml:space="preserve"> due to the general short-term nature of our investment portfolio.</w:t>
      </w:r>
    </w:p>
    <w:p w:rsidR="00000000" w:rsidRDefault="0099260E">
      <w:pPr>
        <w:jc w:val="both"/>
        <w:rPr>
          <w:rFonts w:eastAsia="Times New Roman"/>
        </w:rPr>
      </w:pPr>
    </w:p>
    <w:p w:rsidR="00000000" w:rsidRDefault="0099260E">
      <w:pPr>
        <w:ind w:hanging="360"/>
        <w:divId w:val="402917169"/>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rsidR="00000000" w:rsidRDefault="0099260E">
      <w:pPr>
        <w:jc w:val="both"/>
        <w:divId w:val="2018532037"/>
        <w:rPr>
          <w:rFonts w:eastAsia="Times New Roman"/>
        </w:rPr>
      </w:pPr>
      <w:r>
        <w:rPr>
          <w:rFonts w:eastAsia="Times New Roman"/>
          <w:color w:val="000000"/>
          <w:sz w:val="20"/>
          <w:szCs w:val="20"/>
        </w:rPr>
        <w:t>Management of the Company, with the participation of its Chief Executive Officer and Chief Financial Officer, evaluated the effectiveness of the Compa</w:t>
      </w:r>
      <w:r>
        <w:rPr>
          <w:rFonts w:eastAsia="Times New Roman"/>
          <w:color w:val="000000"/>
          <w:sz w:val="20"/>
          <w:szCs w:val="20"/>
        </w:rPr>
        <w:t>ny’s disclosure controls and procedures as of September 30, 2021, the end of the period covered by this quarterly report on Form 10-Q.  The term “disclosure controls and procedures,” as defined in Rules 13a-15(e) and 15d-15(e) under the Securities Exchange</w:t>
      </w:r>
      <w:r>
        <w:rPr>
          <w:rFonts w:eastAsia="Times New Roman"/>
          <w:color w:val="000000"/>
          <w:sz w:val="20"/>
          <w:szCs w:val="20"/>
        </w:rPr>
        <w:t xml:space="preserve"> Act of 1934, as amended (“Exchange Act”), means controls and other procedures of a company that are designed to provide reasonable assurance that information required to be disclosed by the Company in the reports it files or submits under the Exchange Act</w:t>
      </w:r>
      <w:r>
        <w:rPr>
          <w:rFonts w:eastAsia="Times New Roman"/>
          <w:color w:val="000000"/>
          <w:sz w:val="20"/>
          <w:szCs w:val="20"/>
        </w:rPr>
        <w:t xml:space="preserve"> is recorded, processed, summarized and reported, within the time periods specified in the SEC’s rules and forms. Disclosure controls and procedures are also designed to provide reasonable assurance that such information is accumulated and communicated to </w:t>
      </w:r>
      <w:r>
        <w:rPr>
          <w:rFonts w:eastAsia="Times New Roman"/>
          <w:color w:val="000000"/>
          <w:sz w:val="20"/>
          <w:szCs w:val="20"/>
        </w:rPr>
        <w:t>the Company’s management, including its Chief Executive Officer and Chief Financial Officer, to allow timely decisions regarding required disclosure.  Based on their evaluation, as of the end of the period covered by this Form 10-Q, the Company’s Chief Exe</w:t>
      </w:r>
      <w:r>
        <w:rPr>
          <w:rFonts w:eastAsia="Times New Roman"/>
          <w:color w:val="000000"/>
          <w:sz w:val="20"/>
          <w:szCs w:val="20"/>
        </w:rPr>
        <w:t>cutive Officer and Chief Financial Officer have concluded that the Company’s disclosure controls and procedures (as defined in Rules 13a-15(e) and 15d-15(e) under the Securities Exchange Act of 1934, as amended) were effective as of September 30, 2021. </w:t>
      </w:r>
    </w:p>
    <w:p w:rsidR="00000000" w:rsidRDefault="0099260E">
      <w:pPr>
        <w:jc w:val="both"/>
        <w:divId w:val="1405444653"/>
        <w:rPr>
          <w:rFonts w:eastAsia="Times New Roman"/>
        </w:rPr>
      </w:pPr>
      <w:r>
        <w:rPr>
          <w:rFonts w:eastAsia="Times New Roman"/>
          <w:b/>
          <w:bCs/>
          <w:i/>
          <w:iCs/>
          <w:color w:val="000000"/>
          <w:sz w:val="20"/>
          <w:szCs w:val="20"/>
        </w:rPr>
        <w:t>Ch</w:t>
      </w:r>
      <w:r>
        <w:rPr>
          <w:rFonts w:eastAsia="Times New Roman"/>
          <w:b/>
          <w:bCs/>
          <w:i/>
          <w:iCs/>
          <w:color w:val="000000"/>
          <w:sz w:val="20"/>
          <w:szCs w:val="20"/>
        </w:rPr>
        <w:t>anges in Internal Control over Financial Reporting</w:t>
      </w:r>
      <w:r>
        <w:rPr>
          <w:rFonts w:eastAsia="Times New Roman"/>
          <w:i/>
          <w:iCs/>
          <w:color w:val="000000"/>
          <w:sz w:val="20"/>
          <w:szCs w:val="20"/>
        </w:rPr>
        <w:t> </w:t>
      </w:r>
    </w:p>
    <w:p w:rsidR="00000000" w:rsidRDefault="0099260E">
      <w:pPr>
        <w:jc w:val="both"/>
        <w:rPr>
          <w:rFonts w:eastAsia="Times New Roman"/>
        </w:rPr>
      </w:pPr>
      <w:r>
        <w:rPr>
          <w:rFonts w:eastAsia="Times New Roman"/>
          <w:color w:val="000000"/>
          <w:sz w:val="20"/>
          <w:szCs w:val="20"/>
        </w:rPr>
        <w:t>There were no changes in our internal control over financial reporting identified in connection with the evaluation required by paragraph (d) of Exchange Act Rule 13a-15 or 15d-15 that occurred during the</w:t>
      </w:r>
      <w:r>
        <w:rPr>
          <w:rFonts w:eastAsia="Times New Roman"/>
          <w:color w:val="000000"/>
          <w:sz w:val="20"/>
          <w:szCs w:val="20"/>
        </w:rPr>
        <w:t xml:space="preserve"> three months ended September 30, 2021 that have materially affected, or are reasonably likely to materially affect, our internal control over financial reporting. </w:t>
      </w:r>
    </w:p>
    <w:p w:rsidR="00000000" w:rsidRDefault="0099260E">
      <w:pPr>
        <w:jc w:val="both"/>
        <w:rPr>
          <w:rFonts w:eastAsia="Times New Roman"/>
        </w:rPr>
      </w:pPr>
    </w:p>
    <w:p w:rsidR="00000000" w:rsidRDefault="0099260E">
      <w:pPr>
        <w:jc w:val="center"/>
        <w:divId w:val="270819218"/>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rsidR="00000000" w:rsidRDefault="0099260E">
      <w:pPr>
        <w:ind w:hanging="360"/>
        <w:divId w:val="174341627"/>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rsidR="00000000" w:rsidRDefault="0099260E">
      <w:pPr>
        <w:jc w:val="both"/>
        <w:divId w:val="1696534926"/>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Note 16: Commitments and Contingencies </w:t>
      </w:r>
      <w:r>
        <w:rPr>
          <w:rFonts w:eastAsia="Times New Roman"/>
          <w:color w:val="000000"/>
          <w:sz w:val="20"/>
          <w:szCs w:val="20"/>
        </w:rPr>
        <w:t>to the Company’s unaudited condensed consolidated financial statements included in Part I, Item 1 of this Quarterly Report is incorporated by reference herein.</w:t>
      </w:r>
    </w:p>
    <w:p w:rsidR="00000000" w:rsidRDefault="0099260E">
      <w:pPr>
        <w:jc w:val="both"/>
        <w:divId w:val="2118210698"/>
        <w:rPr>
          <w:rFonts w:eastAsia="Times New Roman"/>
        </w:rPr>
      </w:pPr>
      <w:r>
        <w:rPr>
          <w:rFonts w:eastAsia="Times New Roman"/>
          <w:b/>
          <w:bCs/>
          <w:color w:val="000000"/>
          <w:sz w:val="20"/>
          <w:szCs w:val="20"/>
        </w:rPr>
        <w:t>ITEM 1A.    RISK FACTORS.</w:t>
      </w: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E</w:t>
      </w:r>
      <w:r>
        <w:rPr>
          <w:rFonts w:eastAsia="Times New Roman"/>
          <w:color w:val="000000"/>
          <w:sz w:val="20"/>
          <w:szCs w:val="20"/>
        </w:rPr>
        <w:t>xcept as set forth below, there have been no material changes in our risk factors from those disclosed in our Annual Report on Form 10-K for the year ended December 31, 2020 filed with the SEC on March 9, 2021.</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Our product candidate and future product ca</w:t>
      </w:r>
      <w:r>
        <w:rPr>
          <w:rFonts w:eastAsia="Times New Roman"/>
          <w:b/>
          <w:bCs/>
          <w:i/>
          <w:iCs/>
          <w:color w:val="000000"/>
          <w:sz w:val="20"/>
          <w:szCs w:val="20"/>
        </w:rPr>
        <w:t>ndidates, if approved by the FDA, may not obtain desired regulatory exclusivities, including orphan drug exclusivity</w:t>
      </w:r>
      <w:r>
        <w:rPr>
          <w:rFonts w:eastAsia="Times New Roman"/>
          <w:b/>
          <w:bCs/>
          <w:color w:val="000000"/>
          <w:sz w:val="20"/>
          <w:szCs w:val="20"/>
        </w:rPr>
        <w:t>.</w:t>
      </w:r>
    </w:p>
    <w:p w:rsidR="00000000" w:rsidRDefault="0099260E">
      <w:pPr>
        <w:divId w:val="1531797793"/>
        <w:rPr>
          <w:rFonts w:eastAsia="Times New Roman"/>
        </w:rPr>
      </w:pPr>
    </w:p>
    <w:p w:rsidR="00000000" w:rsidRDefault="0099260E">
      <w:pPr>
        <w:jc w:val="both"/>
        <w:rPr>
          <w:rFonts w:eastAsia="Times New Roman"/>
        </w:rPr>
      </w:pPr>
      <w:r>
        <w:rPr>
          <w:rFonts w:eastAsia="Times New Roman"/>
          <w:color w:val="000000"/>
          <w:sz w:val="20"/>
          <w:szCs w:val="20"/>
        </w:rPr>
        <w:t>Under the Orphan Drug Act, as amended, the FDA may designate a drug as an orphan drug if it is intended to treat a rare disease or condi</w:t>
      </w:r>
      <w:r>
        <w:rPr>
          <w:rFonts w:eastAsia="Times New Roman"/>
          <w:color w:val="000000"/>
          <w:sz w:val="20"/>
          <w:szCs w:val="20"/>
        </w:rPr>
        <w:t xml:space="preserve">tion, which is defined as a patient population of fewer than 200,000 individuals in the United States, or a patient population greater than 200,000 where there is no reasonable expectation that the cost of developing the drug for the rare </w:t>
      </w:r>
    </w:p>
    <w:p w:rsidR="00000000" w:rsidRDefault="0099260E">
      <w:pPr>
        <w:jc w:val="center"/>
        <w:divId w:val="1136878233"/>
        <w:rPr>
          <w:rFonts w:eastAsia="Times New Roman"/>
        </w:rPr>
      </w:pPr>
      <w:r>
        <w:rPr>
          <w:rFonts w:eastAsia="Times New Roman"/>
          <w:color w:val="000000"/>
          <w:sz w:val="20"/>
          <w:szCs w:val="20"/>
        </w:rPr>
        <w:t>- 34 -</w:t>
      </w:r>
    </w:p>
    <w:p w:rsidR="00000000" w:rsidRDefault="0099260E">
      <w:pPr>
        <w:rPr>
          <w:rFonts w:eastAsia="Times New Roman"/>
        </w:rPr>
      </w:pPr>
      <w:r>
        <w:rPr>
          <w:rFonts w:eastAsia="Times New Roman"/>
        </w:rPr>
        <w:pict>
          <v:rect id="_x0000_i1059" style="width:0;height:1.5pt" o:hralign="center" o:hrstd="t" o:hr="t" fillcolor="#a0a0a0" stroked="f"/>
        </w:pict>
      </w:r>
    </w:p>
    <w:p w:rsidR="00000000" w:rsidRDefault="0099260E">
      <w:pPr>
        <w:divId w:val="2037195726"/>
        <w:rPr>
          <w:rFonts w:eastAsia="Times New Roman"/>
        </w:rPr>
      </w:pPr>
    </w:p>
    <w:p w:rsidR="00000000" w:rsidRDefault="0099260E">
      <w:pPr>
        <w:jc w:val="both"/>
        <w:rPr>
          <w:rFonts w:eastAsia="Times New Roman"/>
        </w:rPr>
      </w:pPr>
      <w:r>
        <w:rPr>
          <w:rFonts w:eastAsia="Times New Roman"/>
          <w:color w:val="000000"/>
          <w:sz w:val="20"/>
          <w:szCs w:val="20"/>
        </w:rPr>
        <w:t>disease or condition will be recovered from sales of the drug in the United States. Generally, if a drug with orphan drug designation subsequently receives the first marketing approval for the disease or condition for which it</w:t>
      </w:r>
      <w:r>
        <w:rPr>
          <w:rFonts w:eastAsia="Times New Roman"/>
          <w:color w:val="000000"/>
          <w:sz w:val="20"/>
          <w:szCs w:val="20"/>
        </w:rPr>
        <w:t xml:space="preserve"> has such designation, the drug is entitled to a period of marketing exclusivity, which precludes the FDA from approving another marketing application for the same drug for the same disease or condition for seven years, except in limited circumstances, suc</w:t>
      </w:r>
      <w:r>
        <w:rPr>
          <w:rFonts w:eastAsia="Times New Roman"/>
          <w:color w:val="000000"/>
          <w:sz w:val="20"/>
          <w:szCs w:val="20"/>
        </w:rPr>
        <w:t>h as if the FDA concludes that a subsequent same drug is clinically superior through greater safety, greater effectiveness, or a major contribution to patient care. A designated orphan drug may not receive orphan drug exclusivity if it is approved for a us</w:t>
      </w:r>
      <w:r>
        <w:rPr>
          <w:rFonts w:eastAsia="Times New Roman"/>
          <w:color w:val="000000"/>
          <w:sz w:val="20"/>
          <w:szCs w:val="20"/>
        </w:rPr>
        <w:t xml:space="preserve">e that is broader than the indication for which it received orphan designation. </w:t>
      </w:r>
    </w:p>
    <w:p w:rsidR="00000000" w:rsidRDefault="0099260E">
      <w:pPr>
        <w:divId w:val="1005399054"/>
        <w:rPr>
          <w:rFonts w:eastAsia="Times New Roman"/>
        </w:rPr>
      </w:pPr>
    </w:p>
    <w:p w:rsidR="00000000" w:rsidRDefault="0099260E">
      <w:pPr>
        <w:jc w:val="both"/>
        <w:rPr>
          <w:rFonts w:eastAsia="Times New Roman"/>
        </w:rPr>
      </w:pPr>
      <w:r>
        <w:rPr>
          <w:rFonts w:eastAsia="Times New Roman"/>
          <w:color w:val="000000"/>
          <w:sz w:val="20"/>
          <w:szCs w:val="20"/>
        </w:rPr>
        <w:t>Although our lead product candidate, FT218, obtained orphan drug designation for the treatment of narcolepsy from the FDA in January 2018, there is no guarantee that we will</w:t>
      </w:r>
      <w:r>
        <w:rPr>
          <w:rFonts w:eastAsia="Times New Roman"/>
          <w:color w:val="000000"/>
          <w:sz w:val="20"/>
          <w:szCs w:val="20"/>
        </w:rPr>
        <w:t xml:space="preserve"> obtain approval or orphan drug exclusivity for FT218. Orphan drug designation does not give a product candidate any advantage in, or shorten the timeline for, the FDA regulatory review and approval process. In addition, because FT218 would not be the firs</w:t>
      </w:r>
      <w:r>
        <w:rPr>
          <w:rFonts w:eastAsia="Times New Roman"/>
          <w:color w:val="000000"/>
          <w:sz w:val="20"/>
          <w:szCs w:val="20"/>
        </w:rPr>
        <w:t xml:space="preserve">t sodium oxybate product to be approved for the treatment of narcolepsy, we must demonstrate that FT218 is clinically superior to any previously approved same drug in order to obtain orphan drug exclusivity for FT218, and we may be required to demonstrate </w:t>
      </w:r>
      <w:r>
        <w:rPr>
          <w:rFonts w:eastAsia="Times New Roman"/>
          <w:color w:val="000000"/>
          <w:sz w:val="20"/>
          <w:szCs w:val="20"/>
        </w:rPr>
        <w:t xml:space="preserve">clinical superiority for the approval and exclusivity of other product candidates in the future. Even if we obtain orphan drug exclusivity for a product, that exclusivity may not effectively protect the product from competition because different drugs can </w:t>
      </w:r>
      <w:r>
        <w:rPr>
          <w:rFonts w:eastAsia="Times New Roman"/>
          <w:color w:val="000000"/>
          <w:sz w:val="20"/>
          <w:szCs w:val="20"/>
        </w:rPr>
        <w:t>be approved for the same condition. Moreover, any orphan drug exclusive marketing rights may be lost if the FDA later determines that the request for designation was materially defective or if we are unable to assure sufficient quantity of the drug to meet</w:t>
      </w:r>
      <w:r>
        <w:rPr>
          <w:rFonts w:eastAsia="Times New Roman"/>
          <w:color w:val="000000"/>
          <w:sz w:val="20"/>
          <w:szCs w:val="20"/>
        </w:rPr>
        <w:t xml:space="preserve"> the needs of patients with the particular rare disease or condition. The FDA may reevaluate the Orphan Drug Act and its regulations and policies. We do not know if, when, or how the FDA may change the orphan drug regulations and policies in the future, an</w:t>
      </w:r>
      <w:r>
        <w:rPr>
          <w:rFonts w:eastAsia="Times New Roman"/>
          <w:color w:val="000000"/>
          <w:sz w:val="20"/>
          <w:szCs w:val="20"/>
        </w:rPr>
        <w:t xml:space="preserve">d it is uncertain how any changes might affect our business. Depending on what changes the FDA may make to its orphan drug regulations and policies, our business could be adversely impacted. </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Our product candidate and future product candidates will gener</w:t>
      </w:r>
      <w:r>
        <w:rPr>
          <w:rFonts w:eastAsia="Times New Roman"/>
          <w:b/>
          <w:bCs/>
          <w:i/>
          <w:iCs/>
          <w:color w:val="000000"/>
          <w:sz w:val="20"/>
          <w:szCs w:val="20"/>
        </w:rPr>
        <w:t>ally be subject to regulatory approval. If we or our pharmaceutical and biotechnology company partners do not obtain such approvals, or if such approvals are delayed, our ability to generate future revenues may be adversely affected.</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Our lead product can</w:t>
      </w:r>
      <w:r>
        <w:rPr>
          <w:rFonts w:eastAsia="Times New Roman"/>
          <w:color w:val="000000"/>
          <w:sz w:val="20"/>
          <w:szCs w:val="20"/>
        </w:rPr>
        <w:t>didate, FT218, as well as product candidates we may wish to market in the future, may not gain regulatory approval and reach the commercial market for a variety of reasons. We submitted a 505(b)(2) NDA, for FT218 in December 2020. In February 2021, the FDA</w:t>
      </w:r>
      <w:r>
        <w:rPr>
          <w:rFonts w:eastAsia="Times New Roman"/>
          <w:color w:val="000000"/>
          <w:sz w:val="20"/>
          <w:szCs w:val="20"/>
        </w:rPr>
        <w:t xml:space="preserve"> assigned the NDA a PDUFA target action date of October 15, 2021 and in October 2021, the FDA notified us that its review of the FT218 NDA was still ongoing.</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the U.S., federal, state and local government agencies, primarily the FDA, regulate all pharm</w:t>
      </w:r>
      <w:r>
        <w:rPr>
          <w:rFonts w:eastAsia="Times New Roman"/>
          <w:color w:val="000000"/>
          <w:sz w:val="20"/>
          <w:szCs w:val="20"/>
        </w:rPr>
        <w:t>aceutical products, including existing products and those under development. Neither we nor our pharmaceutical and biotechnology partners can control whether we obtain regulatory approval for any of these products or, if obtained, the timing thereof. There</w:t>
      </w:r>
      <w:r>
        <w:rPr>
          <w:rFonts w:eastAsia="Times New Roman"/>
          <w:color w:val="000000"/>
          <w:sz w:val="20"/>
          <w:szCs w:val="20"/>
        </w:rPr>
        <w:t xml:space="preserve"> may be significant delays in expected product releases while attempting to obtain regulatory approval for products incorporating our technologies. If we or our partners are not successful in timely obtaining such approvals, our revenues and profitability </w:t>
      </w:r>
      <w:r>
        <w:rPr>
          <w:rFonts w:eastAsia="Times New Roman"/>
          <w:color w:val="000000"/>
          <w:sz w:val="20"/>
          <w:szCs w:val="20"/>
        </w:rPr>
        <w:t>may decline.</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Applicants for FDA approval often must submit to the FDA extensive clinical and pre-clinical data, as well as information about product manufacturing processes and facilities and other supporting information. Varying interpretations of the d</w:t>
      </w:r>
      <w:r>
        <w:rPr>
          <w:rFonts w:eastAsia="Times New Roman"/>
          <w:color w:val="000000"/>
          <w:sz w:val="20"/>
          <w:szCs w:val="20"/>
        </w:rPr>
        <w:t>ata obtained from pre-clinical and clinical testing could delay, limit or prevent regulatory approval of a drug product. The FDA also may require us, or our partners to conduct additional pre-clinical studies or clinical trials.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Similarly, although we ha</w:t>
      </w:r>
      <w:r>
        <w:rPr>
          <w:rFonts w:eastAsia="Times New Roman"/>
          <w:color w:val="000000"/>
          <w:sz w:val="20"/>
          <w:szCs w:val="20"/>
        </w:rPr>
        <w:t>ve submitted a 505(b)(2) NDA for our sodium oxybate candidate and anticipate submitting applications for approval for our development products that rely on existing data to demonstrate safety and effectiveness, the FDA may determine that additional studies</w:t>
      </w:r>
      <w:r>
        <w:rPr>
          <w:rFonts w:eastAsia="Times New Roman"/>
          <w:color w:val="000000"/>
          <w:sz w:val="20"/>
          <w:szCs w:val="20"/>
        </w:rPr>
        <w:t xml:space="preserve"> particular to our product candidate and future product candidates are necessary. If the FDA requires such additional studies, it would impact development plans for those products.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Changes in law or FDA’s policies during the development period or regulat</w:t>
      </w:r>
      <w:r>
        <w:rPr>
          <w:rFonts w:eastAsia="Times New Roman"/>
          <w:color w:val="000000"/>
          <w:sz w:val="20"/>
          <w:szCs w:val="20"/>
        </w:rPr>
        <w:t xml:space="preserve">ory review of each submitted new product application, also may delay an approval, result in a narrower approved use or result in rejection of an application. For instance, under the Food and Drug Administration Amendments Act (“FDAAA”), we or our partners </w:t>
      </w:r>
      <w:r>
        <w:rPr>
          <w:rFonts w:eastAsia="Times New Roman"/>
          <w:color w:val="000000"/>
          <w:sz w:val="20"/>
          <w:szCs w:val="20"/>
        </w:rPr>
        <w:t>may be required to develop Risk Evaluation and Mitigation Strategies (“REMS”) to ensure the safe use of our lead product candidate. If the FDA disagrees with such REMS proposals, it may be more difficult and costly to obtain regulatory approval for our lea</w:t>
      </w:r>
      <w:r>
        <w:rPr>
          <w:rFonts w:eastAsia="Times New Roman"/>
          <w:color w:val="000000"/>
          <w:sz w:val="20"/>
          <w:szCs w:val="20"/>
        </w:rPr>
        <w:t xml:space="preserve">d product candidate. Similarly, FDAAA provisions may make it more likely that the FDA will refer a marketing application for a new product to an advisory committee for review, evaluation and recommendation as to whether the application should be approved. </w:t>
      </w:r>
      <w:r>
        <w:rPr>
          <w:rFonts w:eastAsia="Times New Roman"/>
          <w:color w:val="000000"/>
          <w:sz w:val="20"/>
          <w:szCs w:val="20"/>
        </w:rPr>
        <w:t>This review may add to the time for approval, and, although the FDA is not bound by the recommendation of an advisory committee, objections or concerns expressed by an advisory committee may cause the FDA to delay or deny approval.</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FDA has substantia</w:t>
      </w:r>
      <w:r>
        <w:rPr>
          <w:rFonts w:eastAsia="Times New Roman"/>
          <w:color w:val="000000"/>
          <w:sz w:val="20"/>
          <w:szCs w:val="20"/>
        </w:rPr>
        <w:t>l discretion in the approval process and may disagree with our or our partners’ interpretations of data and information submitted in an application, which also could cause delays of an approval or rejection of an application. Even if the FDA approves a pro</w:t>
      </w:r>
      <w:r>
        <w:rPr>
          <w:rFonts w:eastAsia="Times New Roman"/>
          <w:color w:val="000000"/>
          <w:sz w:val="20"/>
          <w:szCs w:val="20"/>
        </w:rPr>
        <w:t>duct, the approval may limit the uses or indications for which the product may be marketed, restrict distribution of the product or require further studies.</w:t>
      </w:r>
    </w:p>
    <w:p w:rsidR="00000000" w:rsidRDefault="0099260E">
      <w:pPr>
        <w:jc w:val="center"/>
        <w:divId w:val="901671129"/>
        <w:rPr>
          <w:rFonts w:eastAsia="Times New Roman"/>
        </w:rPr>
      </w:pPr>
      <w:r>
        <w:rPr>
          <w:rFonts w:eastAsia="Times New Roman"/>
          <w:color w:val="000000"/>
          <w:sz w:val="20"/>
          <w:szCs w:val="20"/>
        </w:rPr>
        <w:t>- 35 -</w:t>
      </w:r>
    </w:p>
    <w:p w:rsidR="00000000" w:rsidRDefault="0099260E">
      <w:pPr>
        <w:rPr>
          <w:rFonts w:eastAsia="Times New Roman"/>
        </w:rPr>
      </w:pPr>
      <w:r>
        <w:rPr>
          <w:rFonts w:eastAsia="Times New Roman"/>
        </w:rPr>
        <w:pict>
          <v:rect id="_x0000_i1060" style="width:0;height:1.5pt" o:hralign="center" o:hrstd="t" o:hr="t" fillcolor="#a0a0a0" stroked="f"/>
        </w:pict>
      </w:r>
    </w:p>
    <w:p w:rsidR="00000000" w:rsidRDefault="0099260E">
      <w:pPr>
        <w:divId w:val="583147774"/>
        <w:rPr>
          <w:rFonts w:eastAsia="Times New Roman"/>
        </w:rPr>
      </w:pP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The FDA may also withdraw product approvals for failure to comply with regulatory requirements or if problems follow initial marketing. In the same way, medicinal products for supply on the EU market are subject to marketing authorization by either the Eur</w:t>
      </w:r>
      <w:r>
        <w:rPr>
          <w:rFonts w:eastAsia="Times New Roman"/>
          <w:color w:val="000000"/>
          <w:sz w:val="20"/>
          <w:szCs w:val="20"/>
        </w:rPr>
        <w:t>opean Commission, following an opinion by the European Medicines Agency (“EMA”), or by the competent authorities of EU Member States. Applicants for marketing authorization must submit extensive technical and clinical data essentially in the form of the IC</w:t>
      </w:r>
      <w:r>
        <w:rPr>
          <w:rFonts w:eastAsia="Times New Roman"/>
          <w:color w:val="000000"/>
          <w:sz w:val="20"/>
          <w:szCs w:val="20"/>
        </w:rPr>
        <w:t>H Common Technical Document. The data is subject to extensive review by the competent authorities, and after such review the data may be considered inappropriate or insufficient. If applications for marketing authorization by pharmaceutical and biotechnolo</w:t>
      </w:r>
      <w:r>
        <w:rPr>
          <w:rFonts w:eastAsia="Times New Roman"/>
          <w:color w:val="000000"/>
          <w:sz w:val="20"/>
          <w:szCs w:val="20"/>
        </w:rPr>
        <w:t>gy company partners are delayed or rejected, if the therapeutic indications for which the product is approved are limited, or if conditional marketing authorization imposing post-marketing clinical trials or surveillance is imposed, our revenues, operating</w:t>
      </w:r>
      <w:r>
        <w:rPr>
          <w:rFonts w:eastAsia="Times New Roman"/>
          <w:color w:val="000000"/>
          <w:sz w:val="20"/>
          <w:szCs w:val="20"/>
        </w:rPr>
        <w:t xml:space="preserve"> results and liquidity may decline and earnings may be negatively impacted.</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Our product candidate and future product candidates may not reach the commercial market for a number of reasons.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Drug development is an inherently uncertain process with a high</w:t>
      </w:r>
      <w:r>
        <w:rPr>
          <w:rFonts w:eastAsia="Times New Roman"/>
          <w:color w:val="000000"/>
          <w:sz w:val="20"/>
          <w:szCs w:val="20"/>
        </w:rPr>
        <w:t xml:space="preserve"> risk of failure at every stage of development. Successful R&amp;D of pharmaceutical products is difficult, expensive and time consuming. Many product candidates fail to reach the market. Our success will depend on the development and the successful commercial</w:t>
      </w:r>
      <w:r>
        <w:rPr>
          <w:rFonts w:eastAsia="Times New Roman"/>
          <w:color w:val="000000"/>
          <w:sz w:val="20"/>
          <w:szCs w:val="20"/>
        </w:rPr>
        <w:t>ization of new drugs and products that utilize our drug delivery technologies.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Even if our product candidates and current drug delivery technologies appear promising during development, there may not be successful commercial applications developed for th</w:t>
      </w:r>
      <w:r>
        <w:rPr>
          <w:rFonts w:eastAsia="Times New Roman"/>
          <w:color w:val="000000"/>
          <w:sz w:val="20"/>
          <w:szCs w:val="20"/>
        </w:rPr>
        <w:t>em for a number of reasons, including:</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FDA, the EMA, the competent authority of an EU Member State or an Institutional Review Board (“IRB”), or an Ethics Committee (EU equivalent to IRB), or our partners may delay or halt applicable clinical trials;</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slower than expected rate of patient recruitment and enrollment in clinical trials, or may devote insufficient funding to the clinical trials;</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drug delivery technologies and drug products may be found to be ineffectiv</w:t>
      </w:r>
      <w:r>
        <w:rPr>
          <w:rFonts w:eastAsia="Times New Roman"/>
          <w:color w:val="000000"/>
          <w:sz w:val="20"/>
          <w:szCs w:val="20"/>
        </w:rPr>
        <w:t>e or to cause harmful side effects, or may fail during any stage of pre-clinical testing or clinical trials;</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find that certain products cannot be manufactured on a commercial scale and, therefore, may not be economical or feasible</w:t>
      </w:r>
      <w:r>
        <w:rPr>
          <w:rFonts w:eastAsia="Times New Roman"/>
          <w:color w:val="000000"/>
          <w:sz w:val="20"/>
          <w:szCs w:val="20"/>
        </w:rPr>
        <w:t xml:space="preserve"> to produce;</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delays in completing our clinical trials due to circumstances outside of our control, including natural disasters, labor or civil unrest, global health concerns or pandemics or acts of war or terrorism;</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FD</w:t>
      </w:r>
      <w:r>
        <w:rPr>
          <w:rFonts w:eastAsia="Times New Roman"/>
          <w:color w:val="000000"/>
          <w:sz w:val="20"/>
          <w:szCs w:val="20"/>
        </w:rPr>
        <w:t>A may determine that we have identified the wrong listed drug or drugs or that approval of our 505(b)(2) application for our sodium oxybate candidate or future product candidates is blocked by patent or non-patent exclusivity of the listed drug or drugs or</w:t>
      </w:r>
      <w:r>
        <w:rPr>
          <w:rFonts w:eastAsia="Times New Roman"/>
          <w:color w:val="000000"/>
          <w:sz w:val="20"/>
          <w:szCs w:val="20"/>
        </w:rPr>
        <w:t xml:space="preserve"> of other previously approved drugs with the same conditions of approval as any of our product candidates (as applicable); or</w:t>
      </w:r>
      <w:r>
        <w:rPr>
          <w:rFonts w:eastAsia="Times New Roman"/>
          <w:color w:val="000000"/>
        </w:rPr>
        <w:t xml:space="preserve"> </w:t>
      </w:r>
    </w:p>
    <w:p w:rsidR="00000000" w:rsidRDefault="0099260E">
      <w:pPr>
        <w:jc w:val="both"/>
        <w:rPr>
          <w:rFonts w:eastAsia="Times New Roman"/>
        </w:rPr>
      </w:pPr>
    </w:p>
    <w:p w:rsidR="00000000" w:rsidRDefault="0099260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product candidate and future product candidates could fail to obtain regulatory approval or, if approved, could fail to ac</w:t>
      </w:r>
      <w:r>
        <w:rPr>
          <w:rFonts w:eastAsia="Times New Roman"/>
          <w:color w:val="000000"/>
          <w:sz w:val="20"/>
          <w:szCs w:val="20"/>
        </w:rPr>
        <w:t>hieve market acceptance, could fail to be included within the pricing and reimbursement schemes of the U.S. or EU Member States, or could be precluded from commercialization by proprietary rights of third parties.</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Disruptions at the FDA, the U.S. Drug En</w:t>
      </w:r>
      <w:r>
        <w:rPr>
          <w:rFonts w:eastAsia="Times New Roman"/>
          <w:b/>
          <w:bCs/>
          <w:i/>
          <w:iCs/>
          <w:color w:val="000000"/>
          <w:sz w:val="20"/>
          <w:szCs w:val="20"/>
        </w:rPr>
        <w:t>forcement Administration and other government agencies caused by funding shortages or global health concerns could hinder their ability to hire and retain key leadership and other personnel, prevent new products and services from being developed or commerc</w:t>
      </w:r>
      <w:r>
        <w:rPr>
          <w:rFonts w:eastAsia="Times New Roman"/>
          <w:b/>
          <w:bCs/>
          <w:i/>
          <w:iCs/>
          <w:color w:val="000000"/>
          <w:sz w:val="20"/>
          <w:szCs w:val="20"/>
        </w:rPr>
        <w:t>ialized in a timely manner or otherwise prevent those agencies from performing normal business functions on which the operation of our business may rely, which could negatively impact our business.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As of May 26, 2021, the FDA noted it was continuing to ensure timely reviews of applications for medical products during the ongoing COVID-19 pandemic in line with its user fee performance goals and conducting mission critical U.S. and non-U.S. inspections</w:t>
      </w:r>
      <w:r>
        <w:rPr>
          <w:rFonts w:eastAsia="Times New Roman"/>
          <w:color w:val="000000"/>
          <w:sz w:val="20"/>
          <w:szCs w:val="20"/>
        </w:rPr>
        <w:t xml:space="preserve"> to ensure compliance of manufacturing facilities with FDA quality standards. However, the FDA may not be able to maintain its current pace and approval timelines could be extended due to the ongoing COVID-19 pandemic. In 2020 and 2021, a number of compani</w:t>
      </w:r>
      <w:r>
        <w:rPr>
          <w:rFonts w:eastAsia="Times New Roman"/>
          <w:color w:val="000000"/>
          <w:sz w:val="20"/>
          <w:szCs w:val="20"/>
        </w:rPr>
        <w:t>es announced receipt of complete response letters due to the FDA’s inability to complete required inspections for their applications. Regulatory authorities outside the U.S. may adopt similar restrictions or other policy measures in response to the COVID-1</w:t>
      </w:r>
      <w:r>
        <w:rPr>
          <w:rFonts w:eastAsia="Times New Roman"/>
          <w:color w:val="000000"/>
          <w:sz w:val="20"/>
          <w:szCs w:val="20"/>
        </w:rPr>
        <w:t xml:space="preserve">9 pandemic and may experience delays in their regulatory activities. We cannot guarantee </w:t>
      </w:r>
    </w:p>
    <w:p w:rsidR="00000000" w:rsidRDefault="0099260E">
      <w:pPr>
        <w:jc w:val="center"/>
        <w:divId w:val="1062603266"/>
        <w:rPr>
          <w:rFonts w:eastAsia="Times New Roman"/>
        </w:rPr>
      </w:pPr>
      <w:r>
        <w:rPr>
          <w:rFonts w:eastAsia="Times New Roman"/>
          <w:color w:val="000000"/>
          <w:sz w:val="20"/>
          <w:szCs w:val="20"/>
        </w:rPr>
        <w:t>- 36 -</w:t>
      </w:r>
    </w:p>
    <w:p w:rsidR="00000000" w:rsidRDefault="0099260E">
      <w:pPr>
        <w:rPr>
          <w:rFonts w:eastAsia="Times New Roman"/>
        </w:rPr>
      </w:pPr>
      <w:r>
        <w:rPr>
          <w:rFonts w:eastAsia="Times New Roman"/>
        </w:rPr>
        <w:pict>
          <v:rect id="_x0000_i1061" style="width:0;height:1.5pt" o:hralign="center" o:hrstd="t" o:hr="t" fillcolor="#a0a0a0" stroked="f"/>
        </w:pict>
      </w:r>
    </w:p>
    <w:p w:rsidR="00000000" w:rsidRDefault="0099260E">
      <w:pPr>
        <w:divId w:val="135267251"/>
        <w:rPr>
          <w:rFonts w:eastAsia="Times New Roman"/>
        </w:rPr>
      </w:pPr>
    </w:p>
    <w:p w:rsidR="00000000" w:rsidRDefault="0099260E">
      <w:pPr>
        <w:jc w:val="both"/>
        <w:rPr>
          <w:rFonts w:eastAsia="Times New Roman"/>
        </w:rPr>
      </w:pPr>
      <w:r>
        <w:rPr>
          <w:rFonts w:eastAsia="Times New Roman"/>
          <w:color w:val="000000"/>
          <w:sz w:val="20"/>
          <w:szCs w:val="20"/>
        </w:rPr>
        <w:t>that the FDA will be able to complete any required inspections or take other necessary actions in respect to our product</w:t>
      </w:r>
      <w:r>
        <w:rPr>
          <w:rFonts w:eastAsia="Times New Roman"/>
          <w:color w:val="000000"/>
          <w:sz w:val="20"/>
          <w:szCs w:val="20"/>
        </w:rPr>
        <w:t xml:space="preserve"> candidate or future product candidates.</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Third parties may claim that our product candidate or future product candidates infringe their rights, and we may incur significant costs resolving these claims. Additionally, legal proceedings related to such cla</w:t>
      </w:r>
      <w:r>
        <w:rPr>
          <w:rFonts w:eastAsia="Times New Roman"/>
          <w:b/>
          <w:bCs/>
          <w:i/>
          <w:iCs/>
          <w:color w:val="000000"/>
          <w:sz w:val="20"/>
          <w:szCs w:val="20"/>
        </w:rPr>
        <w:t xml:space="preserve">ims could materially delay or otherwise adversely affect commercialization plans related to our product candidate, if approved.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Third parties may claim infringement of their patents and other intellectual property rights by the manufacture, use, import,</w:t>
      </w:r>
      <w:r>
        <w:rPr>
          <w:rFonts w:eastAsia="Times New Roman"/>
          <w:color w:val="000000"/>
          <w:sz w:val="20"/>
          <w:szCs w:val="20"/>
        </w:rPr>
        <w:t xml:space="preserve"> offer for sale or sale of our drug delivery technologies or our other products. For example, in connection with us seeking regulatory approval for a product candidate, a third party may allege that our product candidate infringes its patents or other inte</w:t>
      </w:r>
      <w:r>
        <w:rPr>
          <w:rFonts w:eastAsia="Times New Roman"/>
          <w:color w:val="000000"/>
          <w:sz w:val="20"/>
          <w:szCs w:val="20"/>
        </w:rPr>
        <w:t xml:space="preserve">llectual property rights and file suit to delay/prevent regulatory approval and/or commercialization of such product.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 xml:space="preserve">In May 2021, Jazz Pharmaceuticals filed a complaint against us and certain of our subsidiaries in the United States District Court for </w:t>
      </w:r>
      <w:r>
        <w:rPr>
          <w:rFonts w:eastAsia="Times New Roman"/>
          <w:color w:val="000000"/>
          <w:sz w:val="20"/>
          <w:szCs w:val="20"/>
        </w:rPr>
        <w:t>the District of Delaware alleging infringement of certain of its patents.</w:t>
      </w:r>
      <w:r>
        <w:rPr>
          <w:rFonts w:eastAsia="Times New Roman"/>
          <w:color w:val="000000"/>
        </w:rPr>
        <w:t xml:space="preserve"> </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response to any claim of infringement, we may choose or be forced to seek licenses, defend infringement actions or challenge the validity or enforceability of those patent righ</w:t>
      </w:r>
      <w:r>
        <w:rPr>
          <w:rFonts w:eastAsia="Times New Roman"/>
          <w:color w:val="000000"/>
          <w:sz w:val="20"/>
          <w:szCs w:val="20"/>
        </w:rPr>
        <w:t>ts in court or administrative proceedings. If we cannot obtain required licenses on commercially reasonably terms, or at all, are found liable for infringement or are not able to have such patent rights declared invalid or unenforceable, our business could</w:t>
      </w:r>
      <w:r>
        <w:rPr>
          <w:rFonts w:eastAsia="Times New Roman"/>
          <w:color w:val="000000"/>
          <w:sz w:val="20"/>
          <w:szCs w:val="20"/>
        </w:rPr>
        <w:t xml:space="preserve"> be materially harmed. We may be subject to claims (and even held liable) for significant monetary damages (including enhanced damages and/or attorneys’ fees), encounter significant delays in bringing products to market or be precluded from the manufacture</w:t>
      </w:r>
      <w:r>
        <w:rPr>
          <w:rFonts w:eastAsia="Times New Roman"/>
          <w:color w:val="000000"/>
          <w:sz w:val="20"/>
          <w:szCs w:val="20"/>
        </w:rPr>
        <w:t>, use, import, offer for sale or sale of products or methods of drug delivery covered by the patents of others. Even if a license is available, it may not be available on commercially reasonable terms or may be non-exclusive, which could result in our comp</w:t>
      </w:r>
      <w:r>
        <w:rPr>
          <w:rFonts w:eastAsia="Times New Roman"/>
          <w:color w:val="000000"/>
          <w:sz w:val="20"/>
          <w:szCs w:val="20"/>
        </w:rPr>
        <w:t>etitors gaining access to the same intellectual property. We may not have identified, or be able to identify in the future, U.S. or non-U.S. patents that pose a risk of potential infringement claims.</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In addition to the possibility of intellectual propert</w:t>
      </w:r>
      <w:r>
        <w:rPr>
          <w:rFonts w:eastAsia="Times New Roman"/>
          <w:color w:val="000000"/>
          <w:sz w:val="20"/>
          <w:szCs w:val="20"/>
        </w:rPr>
        <w:t>y infringement claims, a third party could submit a citizen petition to the FDA requesting relief that, if granted, could materially adversely affect the NDA and/or underlying product candidate. For example, such a third-party petition could, if granted, m</w:t>
      </w:r>
      <w:r>
        <w:rPr>
          <w:rFonts w:eastAsia="Times New Roman"/>
          <w:color w:val="000000"/>
          <w:sz w:val="20"/>
          <w:szCs w:val="20"/>
        </w:rPr>
        <w:t>aterially adversely affect the likelihood and/or timing of NDA approval, content of final product labeling, and/or resulting regulatory exclusivity (if any) for such product.</w:t>
      </w:r>
    </w:p>
    <w:p w:rsidR="00000000" w:rsidRDefault="0099260E">
      <w:pPr>
        <w:jc w:val="both"/>
        <w:rPr>
          <w:rFonts w:eastAsia="Times New Roman"/>
        </w:rPr>
      </w:pPr>
    </w:p>
    <w:p w:rsidR="00000000" w:rsidRDefault="0099260E">
      <w:pPr>
        <w:jc w:val="both"/>
        <w:rPr>
          <w:rFonts w:eastAsia="Times New Roman"/>
        </w:rPr>
      </w:pPr>
      <w:r>
        <w:rPr>
          <w:rFonts w:eastAsia="Times New Roman"/>
          <w:color w:val="000000"/>
          <w:sz w:val="20"/>
          <w:szCs w:val="20"/>
        </w:rPr>
        <w:t>Parties making claims against us may be able to sustain the costs of patent lit</w:t>
      </w:r>
      <w:r>
        <w:rPr>
          <w:rFonts w:eastAsia="Times New Roman"/>
          <w:color w:val="000000"/>
          <w:sz w:val="20"/>
          <w:szCs w:val="20"/>
        </w:rPr>
        <w:t>igation more effectively than we can because they have substantially greater resources. In addition, any claims, with or without merit, that our product candidate, future product candidates or drug delivery technologies infringe proprietary rights of third</w:t>
      </w:r>
      <w:r>
        <w:rPr>
          <w:rFonts w:eastAsia="Times New Roman"/>
          <w:color w:val="000000"/>
          <w:sz w:val="20"/>
          <w:szCs w:val="20"/>
        </w:rPr>
        <w:t xml:space="preserve"> parties could be time-consuming, result in costly litigation or divert the efforts of our technical and management personnel, any of which could disrupt our relationships with our partners and could significantly harm our financial positions and operating</w:t>
      </w:r>
      <w:r>
        <w:rPr>
          <w:rFonts w:eastAsia="Times New Roman"/>
          <w:color w:val="000000"/>
          <w:sz w:val="20"/>
          <w:szCs w:val="20"/>
        </w:rPr>
        <w:t xml:space="preserve"> results.</w:t>
      </w:r>
    </w:p>
    <w:p w:rsidR="00000000" w:rsidRDefault="0099260E">
      <w:pPr>
        <w:jc w:val="both"/>
        <w:rPr>
          <w:rFonts w:eastAsia="Times New Roman"/>
        </w:rPr>
      </w:pPr>
    </w:p>
    <w:p w:rsidR="00000000" w:rsidRDefault="0099260E">
      <w:pPr>
        <w:jc w:val="both"/>
        <w:rPr>
          <w:rFonts w:eastAsia="Times New Roman"/>
        </w:rPr>
      </w:pPr>
      <w:r>
        <w:rPr>
          <w:rFonts w:eastAsia="Times New Roman"/>
          <w:b/>
          <w:bCs/>
          <w:i/>
          <w:iCs/>
          <w:color w:val="000000"/>
          <w:sz w:val="20"/>
          <w:szCs w:val="20"/>
        </w:rPr>
        <w:t>We currently depend on a single third party manufacturer and a single third party supplier of raw materials related to the development of our product candidate and any interruption of operations of either such provider could significantly delay</w:t>
      </w:r>
      <w:r>
        <w:rPr>
          <w:rFonts w:eastAsia="Times New Roman"/>
          <w:b/>
          <w:bCs/>
          <w:i/>
          <w:iCs/>
          <w:color w:val="000000"/>
          <w:sz w:val="20"/>
          <w:szCs w:val="20"/>
        </w:rPr>
        <w:t xml:space="preserve"> or have a material adverse effect on our business.</w:t>
      </w:r>
    </w:p>
    <w:p w:rsidR="00000000" w:rsidRDefault="0099260E">
      <w:pPr>
        <w:divId w:val="854464427"/>
        <w:rPr>
          <w:rFonts w:eastAsia="Times New Roman"/>
        </w:rPr>
      </w:pPr>
    </w:p>
    <w:p w:rsidR="00000000" w:rsidRDefault="0099260E">
      <w:pPr>
        <w:jc w:val="both"/>
        <w:rPr>
          <w:rFonts w:eastAsia="Times New Roman"/>
        </w:rPr>
      </w:pPr>
      <w:r>
        <w:rPr>
          <w:rFonts w:eastAsia="Times New Roman"/>
          <w:color w:val="000000"/>
          <w:sz w:val="20"/>
          <w:szCs w:val="20"/>
        </w:rPr>
        <w:t>Currently, we use a single supplier of raw materials and a single manufacturer of clinical materials. If FT218 is approved, we anticipate using the same third party manufacturer for commercial supply of</w:t>
      </w:r>
      <w:r>
        <w:rPr>
          <w:rFonts w:eastAsia="Times New Roman"/>
          <w:color w:val="000000"/>
          <w:sz w:val="20"/>
          <w:szCs w:val="20"/>
        </w:rPr>
        <w:t xml:space="preserve"> FT218. If the supplies or manufacture of these products or materials were interrupted for any reason, including but not limited to, quality issues, natural disasters, labor or civil unrest, global health concerns or pandemics or acts of war or terrorism, </w:t>
      </w:r>
      <w:r>
        <w:rPr>
          <w:rFonts w:eastAsia="Times New Roman"/>
          <w:color w:val="000000"/>
          <w:sz w:val="20"/>
          <w:szCs w:val="20"/>
        </w:rPr>
        <w:t>the manufacturing and supply of FT218 could be delayed. If the supplies of these materials were interrupted for any reason, our manufacturing of our lead product candidate could be delayed. These delays could be extensive and expensive, especially in situa</w:t>
      </w:r>
      <w:r>
        <w:rPr>
          <w:rFonts w:eastAsia="Times New Roman"/>
          <w:color w:val="000000"/>
          <w:sz w:val="20"/>
          <w:szCs w:val="20"/>
        </w:rPr>
        <w:t>tions where a substitution was not readily available or required variations of existing regulatory approvals and certifications or additional regulatory approval. For example, an alternative supplier may be required to pass an inspection by the FDA, EMA or</w:t>
      </w:r>
      <w:r>
        <w:rPr>
          <w:rFonts w:eastAsia="Times New Roman"/>
          <w:color w:val="000000"/>
          <w:sz w:val="20"/>
          <w:szCs w:val="20"/>
        </w:rPr>
        <w:t xml:space="preserve"> the competent authorities of EU Member States for compliance with current cGMP, requirements before supplying us with product or before we may incorporate that supplier’s ingredients into the manufacturing of our product candidate by our contract, develop</w:t>
      </w:r>
      <w:r>
        <w:rPr>
          <w:rFonts w:eastAsia="Times New Roman"/>
          <w:color w:val="000000"/>
          <w:sz w:val="20"/>
          <w:szCs w:val="20"/>
        </w:rPr>
        <w:t>ment, and manufacturing organizations (“CDMOs”). Additionally, as a result of any such delays in either the supply or manufacturing, we may be unable to meet our projected needs for clinical supplies to support our activities through commercial manufacturi</w:t>
      </w:r>
      <w:r>
        <w:rPr>
          <w:rFonts w:eastAsia="Times New Roman"/>
          <w:color w:val="000000"/>
          <w:sz w:val="20"/>
          <w:szCs w:val="20"/>
        </w:rPr>
        <w:t>ng, if approved, and we may not be able to market or distribute FT218, if approved, on our expected timeline, or at all. Failure to obtain adequate supplies in a timely manner could have a material adverse effect on our business, financial condition and re</w:t>
      </w:r>
      <w:r>
        <w:rPr>
          <w:rFonts w:eastAsia="Times New Roman"/>
          <w:color w:val="000000"/>
          <w:sz w:val="20"/>
          <w:szCs w:val="20"/>
        </w:rPr>
        <w:t>sults of operations. While we plan to engage with additional suppliers and manufacturers for the supply of commercial batches for FT218, if approved, there can be no guarantee we will establish appropriate arrangements on acceptable terms, if at all.</w:t>
      </w:r>
    </w:p>
    <w:p w:rsidR="00000000" w:rsidRDefault="0099260E">
      <w:pPr>
        <w:jc w:val="both"/>
        <w:rPr>
          <w:rFonts w:eastAsia="Times New Roman"/>
        </w:rPr>
      </w:pPr>
    </w:p>
    <w:p w:rsidR="00000000" w:rsidRDefault="0099260E">
      <w:pPr>
        <w:jc w:val="center"/>
        <w:divId w:val="130514492"/>
        <w:rPr>
          <w:rFonts w:eastAsia="Times New Roman"/>
        </w:rPr>
      </w:pPr>
      <w:r>
        <w:rPr>
          <w:rFonts w:eastAsia="Times New Roman"/>
          <w:color w:val="000000"/>
          <w:sz w:val="20"/>
          <w:szCs w:val="20"/>
        </w:rPr>
        <w:t>- 3</w:t>
      </w:r>
      <w:r>
        <w:rPr>
          <w:rFonts w:eastAsia="Times New Roman"/>
          <w:color w:val="000000"/>
          <w:sz w:val="20"/>
          <w:szCs w:val="20"/>
        </w:rPr>
        <w:t>7 -</w:t>
      </w:r>
    </w:p>
    <w:p w:rsidR="00000000" w:rsidRDefault="0099260E">
      <w:pPr>
        <w:rPr>
          <w:rFonts w:eastAsia="Times New Roman"/>
        </w:rPr>
      </w:pPr>
      <w:r>
        <w:rPr>
          <w:rFonts w:eastAsia="Times New Roman"/>
        </w:rPr>
        <w:pict>
          <v:rect id="_x0000_i1062" style="width:0;height:1.5pt" o:hralign="center" o:hrstd="t" o:hr="t" fillcolor="#a0a0a0" stroked="f"/>
        </w:pict>
      </w:r>
    </w:p>
    <w:p w:rsidR="00000000" w:rsidRDefault="0099260E">
      <w:pPr>
        <w:divId w:val="1922644038"/>
        <w:rPr>
          <w:rFonts w:eastAsia="Times New Roman"/>
        </w:rPr>
      </w:pPr>
    </w:p>
    <w:p w:rsidR="00000000" w:rsidRDefault="0099260E">
      <w:pPr>
        <w:divId w:val="1698507856"/>
        <w:rPr>
          <w:rFonts w:eastAsia="Times New Roman"/>
        </w:rPr>
      </w:pPr>
      <w:r>
        <w:rPr>
          <w:rFonts w:eastAsia="Times New Roman"/>
          <w:b/>
          <w:bCs/>
          <w:color w:val="000000"/>
          <w:sz w:val="20"/>
          <w:szCs w:val="20"/>
        </w:rPr>
        <w:t>ITEM 2.    UNREGISTERED SALES OF EQUITY SECURITIES AND USE OF PROCEEDS.</w:t>
      </w:r>
      <w:r>
        <w:rPr>
          <w:rFonts w:eastAsia="Times New Roman"/>
          <w:color w:val="000000"/>
          <w:sz w:val="20"/>
          <w:szCs w:val="20"/>
        </w:rPr>
        <w:t> </w:t>
      </w:r>
    </w:p>
    <w:p w:rsidR="00000000" w:rsidRDefault="0099260E">
      <w:pPr>
        <w:jc w:val="both"/>
        <w:rPr>
          <w:rFonts w:eastAsia="Times New Roman"/>
        </w:rPr>
      </w:pPr>
      <w:r>
        <w:rPr>
          <w:rFonts w:eastAsia="Times New Roman"/>
          <w:color w:val="000000"/>
          <w:sz w:val="20"/>
          <w:szCs w:val="20"/>
        </w:rPr>
        <w:t>None.</w:t>
      </w:r>
    </w:p>
    <w:p w:rsidR="00000000" w:rsidRDefault="0099260E">
      <w:pPr>
        <w:jc w:val="both"/>
        <w:rPr>
          <w:rFonts w:eastAsia="Times New Roman"/>
        </w:rPr>
      </w:pPr>
    </w:p>
    <w:p w:rsidR="00000000" w:rsidRDefault="0099260E">
      <w:pPr>
        <w:divId w:val="473790463"/>
        <w:rPr>
          <w:rFonts w:eastAsia="Times New Roman"/>
        </w:rPr>
      </w:pPr>
      <w:r>
        <w:rPr>
          <w:rFonts w:eastAsia="Times New Roman"/>
          <w:b/>
          <w:bCs/>
          <w:color w:val="000000"/>
          <w:sz w:val="20"/>
          <w:szCs w:val="20"/>
        </w:rPr>
        <w:t>ITEM 3.     DEFAULTS UPON SENIOR SECURITIES. </w:t>
      </w:r>
    </w:p>
    <w:p w:rsidR="00000000" w:rsidRDefault="0099260E">
      <w:pPr>
        <w:divId w:val="754938661"/>
        <w:rPr>
          <w:rFonts w:eastAsia="Times New Roman"/>
        </w:rPr>
      </w:pPr>
      <w:r>
        <w:rPr>
          <w:rFonts w:eastAsia="Times New Roman"/>
          <w:color w:val="000000"/>
          <w:sz w:val="20"/>
          <w:szCs w:val="20"/>
        </w:rPr>
        <w:t>None.</w:t>
      </w:r>
    </w:p>
    <w:p w:rsidR="00000000" w:rsidRDefault="0099260E">
      <w:pPr>
        <w:divId w:val="233862353"/>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99260E">
      <w:pPr>
        <w:divId w:val="767891763"/>
        <w:rPr>
          <w:rFonts w:eastAsia="Times New Roman"/>
        </w:rPr>
      </w:pPr>
      <w:r>
        <w:rPr>
          <w:rFonts w:eastAsia="Times New Roman"/>
          <w:color w:val="000000"/>
          <w:sz w:val="20"/>
          <w:szCs w:val="20"/>
        </w:rPr>
        <w:t>Not applicable.</w:t>
      </w:r>
    </w:p>
    <w:p w:rsidR="00000000" w:rsidRDefault="0099260E">
      <w:pPr>
        <w:divId w:val="1101072934"/>
        <w:rPr>
          <w:rFonts w:eastAsia="Times New Roman"/>
        </w:rPr>
      </w:pPr>
      <w:r>
        <w:rPr>
          <w:rFonts w:eastAsia="Times New Roman"/>
          <w:b/>
          <w:bCs/>
          <w:color w:val="000000"/>
          <w:sz w:val="20"/>
          <w:szCs w:val="20"/>
        </w:rPr>
        <w:t>ITEM 5.    </w:t>
      </w:r>
      <w:r>
        <w:rPr>
          <w:rFonts w:eastAsia="Times New Roman"/>
          <w:b/>
          <w:bCs/>
          <w:color w:val="000000"/>
          <w:sz w:val="20"/>
          <w:szCs w:val="20"/>
        </w:rPr>
        <w:t>OTHER INFORMATION.</w:t>
      </w:r>
      <w:r>
        <w:rPr>
          <w:rFonts w:eastAsia="Times New Roman"/>
          <w:color w:val="000000"/>
          <w:sz w:val="20"/>
          <w:szCs w:val="20"/>
        </w:rPr>
        <w:t> </w:t>
      </w:r>
    </w:p>
    <w:p w:rsidR="00000000" w:rsidRDefault="0099260E">
      <w:pPr>
        <w:divId w:val="1415275825"/>
        <w:rPr>
          <w:rFonts w:eastAsia="Times New Roman"/>
        </w:rPr>
      </w:pPr>
    </w:p>
    <w:p w:rsidR="00000000" w:rsidRDefault="0099260E">
      <w:pPr>
        <w:divId w:val="641227399"/>
        <w:rPr>
          <w:rFonts w:eastAsia="Times New Roman"/>
        </w:rPr>
      </w:pPr>
      <w:r>
        <w:rPr>
          <w:rFonts w:eastAsia="Times New Roman"/>
          <w:color w:val="000000"/>
          <w:sz w:val="20"/>
          <w:szCs w:val="20"/>
        </w:rPr>
        <w:t>None.</w:t>
      </w:r>
    </w:p>
    <w:p w:rsidR="00000000" w:rsidRDefault="0099260E">
      <w:pPr>
        <w:divId w:val="582296312"/>
        <w:rPr>
          <w:rFonts w:eastAsia="Times New Roman"/>
        </w:rPr>
      </w:pPr>
    </w:p>
    <w:p w:rsidR="00000000" w:rsidRDefault="0099260E">
      <w:pPr>
        <w:divId w:val="615521921"/>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trPr>
          <w:divId w:val="37970744"/>
        </w:trPr>
        <w:tc>
          <w:tcPr>
            <w:tcW w:w="50" w:type="pct"/>
            <w:vAlign w:val="center"/>
            <w:hideMark/>
          </w:tcPr>
          <w:p w:rsidR="00000000" w:rsidRDefault="0099260E">
            <w:pPr>
              <w:rPr>
                <w:rFonts w:eastAsia="Times New Roman"/>
              </w:rPr>
            </w:pPr>
          </w:p>
        </w:tc>
        <w:tc>
          <w:tcPr>
            <w:tcW w:w="610"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3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423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20"/>
                <w:szCs w:val="20"/>
              </w:rPr>
              <w:t>Description</w:t>
            </w:r>
          </w:p>
        </w:tc>
      </w:tr>
      <w:tr w:rsidR="00000000">
        <w:trPr>
          <w:divId w:val="37970744"/>
        </w:trPr>
        <w:tc>
          <w:tcPr>
            <w:tcW w:w="0" w:type="auto"/>
            <w:gridSpan w:val="3"/>
            <w:tcBorders>
              <w:top w:val="single" w:sz="8" w:space="0" w:color="000000"/>
            </w:tcBorders>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divId w:val="1346402935"/>
              <w:rPr>
                <w:rFonts w:eastAsia="Times New Roman"/>
              </w:rPr>
            </w:pPr>
            <w:hyperlink r:id="rId4" w:history="1">
              <w:r>
                <w:rPr>
                  <w:rStyle w:val="a3"/>
                  <w:rFonts w:eastAsia="Times New Roman"/>
                  <w:sz w:val="20"/>
                  <w:szCs w:val="20"/>
                </w:rPr>
                <w:t>Certification of the Principal Executive Officer pursuant to Rule 13a-14(a) and Rule 15d-14(a) promulgated under the Exchange Act</w:t>
              </w:r>
            </w:hyperlink>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divId w:val="1532957096"/>
              <w:rPr>
                <w:rFonts w:eastAsia="Times New Roman"/>
              </w:rPr>
            </w:pPr>
            <w:hyperlink r:id="rId5" w:history="1">
              <w:r>
                <w:rPr>
                  <w:rStyle w:val="a3"/>
                  <w:rFonts w:eastAsia="Times New Roman"/>
                  <w:sz w:val="20"/>
                  <w:szCs w:val="20"/>
                </w:rPr>
                <w:t>Certification of the Principal Financial Officer pursuant to Rule 13a-14(a) and Rule 15d-14(a) promulgated under the Exchange Act</w:t>
              </w:r>
            </w:hyperlink>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divId w:val="1469859583"/>
              <w:rPr>
                <w:rFonts w:eastAsia="Times New Roman"/>
              </w:rPr>
            </w:pPr>
            <w:hyperlink r:id="rId6" w:history="1">
              <w:r>
                <w:rPr>
                  <w:rStyle w:val="a3"/>
                  <w:rFonts w:eastAsia="Times New Roman"/>
                  <w:sz w:val="20"/>
                  <w:szCs w:val="20"/>
                </w:rPr>
                <w:t>Certification of the Principal Executive Officer pursuant to 18 U.S.C. Sec</w:t>
              </w:r>
              <w:r>
                <w:rPr>
                  <w:rStyle w:val="a3"/>
                  <w:rFonts w:eastAsia="Times New Roman"/>
                  <w:sz w:val="20"/>
                  <w:szCs w:val="20"/>
                </w:rPr>
                <w:t>tion 1350, as adopted pursuant to Section 906 of the Sarbanes-Oxley Act of 2002</w:t>
              </w:r>
            </w:hyperlink>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divId w:val="1197616952"/>
              <w:rPr>
                <w:rFonts w:eastAsia="Times New Roman"/>
              </w:rPr>
            </w:pPr>
            <w:hyperlink r:id="rId7" w:history="1">
              <w:r>
                <w:rPr>
                  <w:rStyle w:val="a3"/>
                  <w:rFonts w:eastAsia="Times New Roman"/>
                  <w:sz w:val="20"/>
                  <w:szCs w:val="20"/>
                </w:rPr>
                <w:t>Certification of the Principal Financial Officer pursuant to 18 U.S.C. Section 1350, as adopted pursuant to Section 906 of the Sarbanes-Oxley Act of 2002</w:t>
              </w:r>
            </w:hyperlink>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Inline XBRL Taxonomy Extension Schema Document</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Inline XBRL Taxonomy Extension Calculation Linkbase Document</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Inline XBRL Taxonomy Extension Definition Linkbase Document</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Inline XBRL Taxonomy Extension Label Linkbase Document</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Inline XBRL Taxonomy Extension Presentation Linkbase Document</w:t>
            </w:r>
          </w:p>
        </w:tc>
      </w:tr>
      <w:tr w:rsidR="00000000">
        <w:trPr>
          <w:divId w:val="37970744"/>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Cover Page Interactive Data File (formatted as inline XBRL with applicable taxonomy extension information contained in Exhibits 101.*) (filed herewith)</w:t>
            </w:r>
          </w:p>
        </w:tc>
      </w:tr>
    </w:tbl>
    <w:p w:rsidR="00000000" w:rsidRDefault="0099260E">
      <w:pPr>
        <w:divId w:val="1961690852"/>
        <w:rPr>
          <w:rFonts w:eastAsia="Times New Roman"/>
        </w:rPr>
      </w:pPr>
      <w:r>
        <w:rPr>
          <w:rFonts w:eastAsia="Times New Roman"/>
          <w:color w:val="000000"/>
          <w:sz w:val="20"/>
          <w:szCs w:val="20"/>
        </w:rPr>
        <w:t>______________________ </w:t>
      </w:r>
    </w:p>
    <w:p w:rsidR="00000000" w:rsidRDefault="0099260E">
      <w:pPr>
        <w:divId w:val="1665160559"/>
        <w:rPr>
          <w:rFonts w:eastAsia="Times New Roman"/>
        </w:rPr>
      </w:pPr>
      <w:r>
        <w:rPr>
          <w:rFonts w:eastAsia="Times New Roman"/>
          <w:color w:val="000000"/>
          <w:sz w:val="20"/>
          <w:szCs w:val="20"/>
        </w:rPr>
        <w:t>*    Filed herewith. </w:t>
      </w:r>
    </w:p>
    <w:p w:rsidR="00000000" w:rsidRDefault="0099260E">
      <w:pPr>
        <w:divId w:val="309678875"/>
        <w:rPr>
          <w:rFonts w:eastAsia="Times New Roman"/>
        </w:rPr>
      </w:pPr>
      <w:r>
        <w:rPr>
          <w:rFonts w:eastAsia="Times New Roman"/>
          <w:color w:val="000000"/>
          <w:sz w:val="20"/>
          <w:szCs w:val="20"/>
        </w:rPr>
        <w:t>**          </w:t>
      </w:r>
      <w:r>
        <w:rPr>
          <w:rFonts w:eastAsia="Times New Roman"/>
          <w:color w:val="000000"/>
          <w:sz w:val="20"/>
          <w:szCs w:val="20"/>
        </w:rPr>
        <w:t>Furnished herewith. </w:t>
      </w:r>
    </w:p>
    <w:p w:rsidR="00000000" w:rsidRDefault="0099260E">
      <w:pPr>
        <w:divId w:val="1425343270"/>
        <w:rPr>
          <w:rFonts w:eastAsia="Times New Roman"/>
        </w:rPr>
      </w:pPr>
      <w:r>
        <w:rPr>
          <w:rFonts w:eastAsia="Times New Roman"/>
          <w:color w:val="000000"/>
          <w:sz w:val="20"/>
          <w:szCs w:val="20"/>
        </w:rPr>
        <w:t>+          Indicates management contract or compensatory plan or arrangement.</w:t>
      </w:r>
    </w:p>
    <w:p w:rsidR="00000000" w:rsidRDefault="0099260E">
      <w:pPr>
        <w:divId w:val="1321694480"/>
        <w:rPr>
          <w:rFonts w:eastAsia="Times New Roman"/>
        </w:rPr>
      </w:pPr>
    </w:p>
    <w:p w:rsidR="00000000" w:rsidRDefault="0099260E">
      <w:pPr>
        <w:divId w:val="415248137"/>
        <w:rPr>
          <w:rFonts w:eastAsia="Times New Roman"/>
        </w:rPr>
      </w:pPr>
    </w:p>
    <w:p w:rsidR="00000000" w:rsidRDefault="0099260E">
      <w:pPr>
        <w:jc w:val="center"/>
        <w:divId w:val="207425021"/>
        <w:rPr>
          <w:rFonts w:eastAsia="Times New Roman"/>
        </w:rPr>
      </w:pPr>
      <w:r>
        <w:rPr>
          <w:rFonts w:eastAsia="Times New Roman"/>
          <w:color w:val="000000"/>
          <w:sz w:val="20"/>
          <w:szCs w:val="20"/>
        </w:rPr>
        <w:t>- 38 -</w:t>
      </w:r>
    </w:p>
    <w:p w:rsidR="00000000" w:rsidRDefault="0099260E">
      <w:pPr>
        <w:rPr>
          <w:rFonts w:eastAsia="Times New Roman"/>
        </w:rPr>
      </w:pPr>
      <w:r>
        <w:rPr>
          <w:rFonts w:eastAsia="Times New Roman"/>
        </w:rPr>
        <w:pict>
          <v:rect id="_x0000_i1063" style="width:0;height:1.5pt" o:hralign="center" o:hrstd="t" o:hr="t" fillcolor="#a0a0a0" stroked="f"/>
        </w:pict>
      </w:r>
    </w:p>
    <w:p w:rsidR="00000000" w:rsidRDefault="0099260E">
      <w:pPr>
        <w:divId w:val="1750881030"/>
        <w:rPr>
          <w:rFonts w:eastAsia="Times New Roman"/>
        </w:rPr>
      </w:pPr>
    </w:p>
    <w:p w:rsidR="00000000" w:rsidRDefault="0099260E">
      <w:pPr>
        <w:divId w:val="1876119787"/>
        <w:rPr>
          <w:rFonts w:eastAsia="Times New Roman"/>
        </w:rPr>
      </w:pPr>
      <w:r>
        <w:rPr>
          <w:rFonts w:eastAsia="Times New Roman"/>
          <w:b/>
          <w:bCs/>
          <w:color w:val="000000"/>
          <w:sz w:val="20"/>
          <w:szCs w:val="20"/>
        </w:rPr>
        <w:t>SIGNATURES</w:t>
      </w:r>
      <w:r>
        <w:rPr>
          <w:rFonts w:eastAsia="Times New Roman"/>
          <w:color w:val="000000"/>
          <w:sz w:val="20"/>
          <w:szCs w:val="20"/>
        </w:rPr>
        <w:t> </w:t>
      </w:r>
    </w:p>
    <w:p w:rsidR="00000000" w:rsidRDefault="0099260E">
      <w:pPr>
        <w:jc w:val="both"/>
        <w:divId w:val="1826126853"/>
        <w:rPr>
          <w:rFonts w:eastAsia="Times New Roman"/>
        </w:rPr>
      </w:pPr>
      <w:r>
        <w:rPr>
          <w:rFonts w:eastAsia="Times New Roman"/>
          <w:color w:val="000000"/>
          <w:sz w:val="20"/>
          <w:szCs w:val="20"/>
        </w:rPr>
        <w:t>Pursuant to the requirements of the Securities Exchange Act of 1934, the registrant has duly cau</w:t>
      </w:r>
      <w:r>
        <w:rPr>
          <w:rFonts w:eastAsia="Times New Roman"/>
          <w:color w:val="000000"/>
          <w:sz w:val="20"/>
          <w:szCs w:val="20"/>
        </w:rPr>
        <w:t>sed this report to be signed on its behalf by the undersigned thereunto duly authorized. </w:t>
      </w:r>
    </w:p>
    <w:tbl>
      <w:tblPr>
        <w:tblW w:w="4963" w:type="pct"/>
        <w:jc w:val="center"/>
        <w:tblCellMar>
          <w:top w:w="15" w:type="dxa"/>
          <w:left w:w="15" w:type="dxa"/>
          <w:bottom w:w="15" w:type="dxa"/>
          <w:right w:w="15" w:type="dxa"/>
        </w:tblCellMar>
        <w:tblLook w:val="04A0" w:firstRow="1" w:lastRow="0" w:firstColumn="1" w:lastColumn="0" w:noHBand="0" w:noVBand="1"/>
      </w:tblPr>
      <w:tblGrid>
        <w:gridCol w:w="67"/>
        <w:gridCol w:w="3357"/>
        <w:gridCol w:w="36"/>
        <w:gridCol w:w="68"/>
        <w:gridCol w:w="344"/>
        <w:gridCol w:w="38"/>
        <w:gridCol w:w="68"/>
        <w:gridCol w:w="4231"/>
        <w:gridCol w:w="36"/>
      </w:tblGrid>
      <w:tr w:rsidR="00000000">
        <w:trPr>
          <w:divId w:val="1770806185"/>
          <w:jc w:val="center"/>
        </w:trPr>
        <w:tc>
          <w:tcPr>
            <w:tcW w:w="50" w:type="pct"/>
            <w:vAlign w:val="center"/>
            <w:hideMark/>
          </w:tcPr>
          <w:p w:rsidR="00000000" w:rsidRDefault="0099260E">
            <w:pPr>
              <w:jc w:val="both"/>
              <w:rPr>
                <w:rFonts w:eastAsia="Times New Roman"/>
              </w:rPr>
            </w:pPr>
          </w:p>
        </w:tc>
        <w:tc>
          <w:tcPr>
            <w:tcW w:w="204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217"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257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b/>
                <w:bCs/>
                <w:color w:val="000000"/>
                <w:sz w:val="20"/>
                <w:szCs w:val="20"/>
              </w:rPr>
              <w:t>AVADEL PHARMACEUTICALS PLC</w:t>
            </w:r>
          </w:p>
        </w:tc>
      </w:tr>
      <w:tr w:rsidR="00000000">
        <w:trPr>
          <w:divId w:val="1770806185"/>
          <w:jc w:val="center"/>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(Registrant)</w:t>
            </w: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Date: November 8, 2021</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/s/ Gregory J. Divis</w:t>
            </w: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Gregory J. Divis</w:t>
            </w: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i/>
                <w:iCs/>
                <w:color w:val="000000"/>
                <w:sz w:val="20"/>
                <w:szCs w:val="20"/>
              </w:rPr>
              <w:t>Chief Executive Officer</w:t>
            </w:r>
          </w:p>
        </w:tc>
      </w:tr>
      <w:tr w:rsidR="00000000">
        <w:trPr>
          <w:divId w:val="1770806185"/>
          <w:jc w:val="center"/>
        </w:trPr>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divId w:val="51659463"/>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tc>
          <w:tcPr>
            <w:tcW w:w="50" w:type="pct"/>
            <w:vAlign w:val="center"/>
            <w:hideMark/>
          </w:tcPr>
          <w:p w:rsidR="00000000" w:rsidRDefault="0099260E">
            <w:pPr>
              <w:jc w:val="center"/>
              <w:rPr>
                <w:rFonts w:eastAsia="Times New Roman"/>
              </w:rPr>
            </w:pPr>
          </w:p>
        </w:tc>
        <w:tc>
          <w:tcPr>
            <w:tcW w:w="2046"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215"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c>
          <w:tcPr>
            <w:tcW w:w="50" w:type="pct"/>
            <w:vAlign w:val="center"/>
            <w:hideMark/>
          </w:tcPr>
          <w:p w:rsidR="00000000" w:rsidRDefault="0099260E">
            <w:pPr>
              <w:spacing w:after="100"/>
              <w:rPr>
                <w:rFonts w:eastAsia="Times New Roman"/>
                <w:sz w:val="20"/>
                <w:szCs w:val="20"/>
              </w:rPr>
            </w:pPr>
          </w:p>
        </w:tc>
        <w:tc>
          <w:tcPr>
            <w:tcW w:w="2573" w:type="pct"/>
            <w:vAlign w:val="center"/>
            <w:hideMark/>
          </w:tcPr>
          <w:p w:rsidR="00000000" w:rsidRDefault="0099260E">
            <w:pPr>
              <w:spacing w:after="100"/>
              <w:rPr>
                <w:rFonts w:eastAsia="Times New Roman"/>
                <w:sz w:val="20"/>
                <w:szCs w:val="20"/>
              </w:rPr>
            </w:pPr>
          </w:p>
        </w:tc>
        <w:tc>
          <w:tcPr>
            <w:tcW w:w="5" w:type="pct"/>
            <w:vAlign w:val="center"/>
            <w:hideMark/>
          </w:tcPr>
          <w:p w:rsidR="00000000" w:rsidRDefault="0099260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rsidR="00000000" w:rsidRDefault="0099260E">
            <w:pPr>
              <w:spacing w:after="100"/>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99260E">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9260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Date: November 8, 2021</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/s/ Thomas S. McHugh</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Thomas S. McHugh</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i/>
                <w:iCs/>
                <w:color w:val="000000"/>
                <w:sz w:val="20"/>
                <w:szCs w:val="20"/>
              </w:rPr>
              <w:t>Senior Vice President and Chief Financial Officer</w:t>
            </w:r>
          </w:p>
        </w:tc>
      </w:tr>
      <w:tr w:rsidR="00000000">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9260E">
            <w:pPr>
              <w:spacing w:after="100"/>
              <w:divId w:val="245771505"/>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rsidR="00000000" w:rsidRDefault="0099260E">
      <w:pPr>
        <w:ind w:firstLine="720"/>
        <w:divId w:val="1597444359"/>
        <w:rPr>
          <w:rFonts w:eastAsia="Times New Roman"/>
        </w:rPr>
      </w:pPr>
      <w:r>
        <w:rPr>
          <w:rFonts w:eastAsia="Times New Roman"/>
          <w:color w:val="000000"/>
          <w:sz w:val="20"/>
          <w:szCs w:val="20"/>
        </w:rPr>
        <w:t> </w:t>
      </w:r>
    </w:p>
    <w:p w:rsidR="00000000" w:rsidRDefault="0099260E">
      <w:pPr>
        <w:divId w:val="1396930141"/>
        <w:rPr>
          <w:rFonts w:eastAsia="Times New Roman"/>
        </w:rPr>
      </w:pPr>
    </w:p>
    <w:p w:rsidR="0099260E" w:rsidRDefault="0099260E">
      <w:pPr>
        <w:jc w:val="center"/>
        <w:divId w:val="199443348"/>
        <w:rPr>
          <w:rFonts w:eastAsia="Times New Roman"/>
        </w:rPr>
      </w:pPr>
      <w:r>
        <w:rPr>
          <w:rFonts w:eastAsia="Times New Roman"/>
          <w:color w:val="000000"/>
          <w:sz w:val="20"/>
          <w:szCs w:val="20"/>
        </w:rPr>
        <w:t>- 39 -</w:t>
      </w:r>
    </w:p>
    <w:sectPr w:rsidR="0099260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260E"/>
    <w:rsid w:val="0099260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sec.gov/exch/2021"/>
  <w:attachedSchema w:val="http://www.xbrl.org/2013/inlineXBRL"/>
  <w:attachedSchema w:val="http://fasb.org/us-gaap/2021-01-31"/>
  <w:attachedSchema w:val="http://fasb.org/srt/2021-01-31"/>
  <w:attachedSchema w:val="http://www.xbrl.org/2003/iso4217"/>
  <w:attachedSchema w:val="http://xbrl.sec.gov/dei/2021"/>
  <w:attachedSchema w:val="http://www.xbrl.org/2003/instance"/>
  <w:attachedSchema w:val="http://www.w3.org/1999/xlink"/>
  <w:attachedSchema w:val="http://www.xbrl.org/2009/utr"/>
  <w:attachedSchema w:val="http://www.xbrl.org/inlineXBRL/transformation/2020-02-12"/>
  <w:attachedSchema w:val="http://www.xbrl.org/2003/linkbase"/>
  <w:attachedSchema w:val="http://www.avadel.com/20210930"/>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764">
      <w:marLeft w:val="0"/>
      <w:marRight w:val="0"/>
      <w:marTop w:val="0"/>
      <w:marBottom w:val="0"/>
      <w:divBdr>
        <w:top w:val="none" w:sz="0" w:space="0" w:color="auto"/>
        <w:left w:val="none" w:sz="0" w:space="0" w:color="auto"/>
        <w:bottom w:val="none" w:sz="0" w:space="0" w:color="auto"/>
        <w:right w:val="none" w:sz="0" w:space="0" w:color="auto"/>
      </w:divBdr>
      <w:divsChild>
        <w:div w:id="1150900951">
          <w:marLeft w:val="0"/>
          <w:marRight w:val="0"/>
          <w:marTop w:val="0"/>
          <w:marBottom w:val="0"/>
          <w:divBdr>
            <w:top w:val="none" w:sz="0" w:space="0" w:color="auto"/>
            <w:left w:val="none" w:sz="0" w:space="0" w:color="auto"/>
            <w:bottom w:val="none" w:sz="0" w:space="0" w:color="auto"/>
            <w:right w:val="none" w:sz="0" w:space="0" w:color="auto"/>
          </w:divBdr>
        </w:div>
      </w:divsChild>
    </w:div>
    <w:div w:id="6518546">
      <w:marLeft w:val="0"/>
      <w:marRight w:val="0"/>
      <w:marTop w:val="0"/>
      <w:marBottom w:val="0"/>
      <w:divBdr>
        <w:top w:val="none" w:sz="0" w:space="0" w:color="auto"/>
        <w:left w:val="none" w:sz="0" w:space="0" w:color="auto"/>
        <w:bottom w:val="none" w:sz="0" w:space="0" w:color="auto"/>
        <w:right w:val="none" w:sz="0" w:space="0" w:color="auto"/>
      </w:divBdr>
      <w:divsChild>
        <w:div w:id="361322515">
          <w:marLeft w:val="0"/>
          <w:marRight w:val="0"/>
          <w:marTop w:val="0"/>
          <w:marBottom w:val="0"/>
          <w:divBdr>
            <w:top w:val="none" w:sz="0" w:space="0" w:color="auto"/>
            <w:left w:val="none" w:sz="0" w:space="0" w:color="auto"/>
            <w:bottom w:val="none" w:sz="0" w:space="0" w:color="auto"/>
            <w:right w:val="none" w:sz="0" w:space="0" w:color="auto"/>
          </w:divBdr>
        </w:div>
      </w:divsChild>
    </w:div>
    <w:div w:id="8341638">
      <w:marLeft w:val="0"/>
      <w:marRight w:val="0"/>
      <w:marTop w:val="0"/>
      <w:marBottom w:val="0"/>
      <w:divBdr>
        <w:top w:val="none" w:sz="0" w:space="0" w:color="auto"/>
        <w:left w:val="none" w:sz="0" w:space="0" w:color="auto"/>
        <w:bottom w:val="none" w:sz="0" w:space="0" w:color="auto"/>
        <w:right w:val="none" w:sz="0" w:space="0" w:color="auto"/>
      </w:divBdr>
      <w:divsChild>
        <w:div w:id="1922644038">
          <w:marLeft w:val="0"/>
          <w:marRight w:val="0"/>
          <w:marTop w:val="0"/>
          <w:marBottom w:val="0"/>
          <w:divBdr>
            <w:top w:val="none" w:sz="0" w:space="0" w:color="auto"/>
            <w:left w:val="none" w:sz="0" w:space="0" w:color="auto"/>
            <w:bottom w:val="none" w:sz="0" w:space="0" w:color="auto"/>
            <w:right w:val="none" w:sz="0" w:space="0" w:color="auto"/>
          </w:divBdr>
        </w:div>
      </w:divsChild>
    </w:div>
    <w:div w:id="16927368">
      <w:marLeft w:val="0"/>
      <w:marRight w:val="0"/>
      <w:marTop w:val="0"/>
      <w:marBottom w:val="0"/>
      <w:divBdr>
        <w:top w:val="none" w:sz="0" w:space="0" w:color="auto"/>
        <w:left w:val="none" w:sz="0" w:space="0" w:color="auto"/>
        <w:bottom w:val="none" w:sz="0" w:space="0" w:color="auto"/>
        <w:right w:val="none" w:sz="0" w:space="0" w:color="auto"/>
      </w:divBdr>
      <w:divsChild>
        <w:div w:id="130514492">
          <w:marLeft w:val="0"/>
          <w:marRight w:val="0"/>
          <w:marTop w:val="0"/>
          <w:marBottom w:val="0"/>
          <w:divBdr>
            <w:top w:val="none" w:sz="0" w:space="0" w:color="auto"/>
            <w:left w:val="none" w:sz="0" w:space="0" w:color="auto"/>
            <w:bottom w:val="none" w:sz="0" w:space="0" w:color="auto"/>
            <w:right w:val="none" w:sz="0" w:space="0" w:color="auto"/>
          </w:divBdr>
        </w:div>
      </w:divsChild>
    </w:div>
    <w:div w:id="24328145">
      <w:marLeft w:val="0"/>
      <w:marRight w:val="0"/>
      <w:marTop w:val="0"/>
      <w:marBottom w:val="0"/>
      <w:divBdr>
        <w:top w:val="none" w:sz="0" w:space="0" w:color="auto"/>
        <w:left w:val="none" w:sz="0" w:space="0" w:color="auto"/>
        <w:bottom w:val="none" w:sz="0" w:space="0" w:color="auto"/>
        <w:right w:val="none" w:sz="0" w:space="0" w:color="auto"/>
      </w:divBdr>
    </w:div>
    <w:div w:id="26486899">
      <w:marLeft w:val="0"/>
      <w:marRight w:val="0"/>
      <w:marTop w:val="0"/>
      <w:marBottom w:val="0"/>
      <w:divBdr>
        <w:top w:val="none" w:sz="0" w:space="0" w:color="auto"/>
        <w:left w:val="none" w:sz="0" w:space="0" w:color="auto"/>
        <w:bottom w:val="none" w:sz="0" w:space="0" w:color="auto"/>
        <w:right w:val="none" w:sz="0" w:space="0" w:color="auto"/>
      </w:divBdr>
    </w:div>
    <w:div w:id="37970744">
      <w:marLeft w:val="0"/>
      <w:marRight w:val="0"/>
      <w:marTop w:val="0"/>
      <w:marBottom w:val="80"/>
      <w:divBdr>
        <w:top w:val="none" w:sz="0" w:space="0" w:color="auto"/>
        <w:left w:val="none" w:sz="0" w:space="0" w:color="auto"/>
        <w:bottom w:val="none" w:sz="0" w:space="0" w:color="auto"/>
        <w:right w:val="none" w:sz="0" w:space="0" w:color="auto"/>
      </w:divBdr>
      <w:divsChild>
        <w:div w:id="1346402935">
          <w:marLeft w:val="0"/>
          <w:marRight w:val="0"/>
          <w:marTop w:val="0"/>
          <w:marBottom w:val="0"/>
          <w:divBdr>
            <w:top w:val="none" w:sz="0" w:space="0" w:color="auto"/>
            <w:left w:val="none" w:sz="0" w:space="0" w:color="auto"/>
            <w:bottom w:val="none" w:sz="0" w:space="0" w:color="auto"/>
            <w:right w:val="none" w:sz="0" w:space="0" w:color="auto"/>
          </w:divBdr>
        </w:div>
        <w:div w:id="1532957096">
          <w:marLeft w:val="0"/>
          <w:marRight w:val="0"/>
          <w:marTop w:val="0"/>
          <w:marBottom w:val="0"/>
          <w:divBdr>
            <w:top w:val="none" w:sz="0" w:space="0" w:color="auto"/>
            <w:left w:val="none" w:sz="0" w:space="0" w:color="auto"/>
            <w:bottom w:val="none" w:sz="0" w:space="0" w:color="auto"/>
            <w:right w:val="none" w:sz="0" w:space="0" w:color="auto"/>
          </w:divBdr>
        </w:div>
        <w:div w:id="1469859583">
          <w:marLeft w:val="0"/>
          <w:marRight w:val="0"/>
          <w:marTop w:val="0"/>
          <w:marBottom w:val="0"/>
          <w:divBdr>
            <w:top w:val="none" w:sz="0" w:space="0" w:color="auto"/>
            <w:left w:val="none" w:sz="0" w:space="0" w:color="auto"/>
            <w:bottom w:val="none" w:sz="0" w:space="0" w:color="auto"/>
            <w:right w:val="none" w:sz="0" w:space="0" w:color="auto"/>
          </w:divBdr>
        </w:div>
        <w:div w:id="1197616952">
          <w:marLeft w:val="0"/>
          <w:marRight w:val="0"/>
          <w:marTop w:val="0"/>
          <w:marBottom w:val="0"/>
          <w:divBdr>
            <w:top w:val="none" w:sz="0" w:space="0" w:color="auto"/>
            <w:left w:val="none" w:sz="0" w:space="0" w:color="auto"/>
            <w:bottom w:val="none" w:sz="0" w:space="0" w:color="auto"/>
            <w:right w:val="none" w:sz="0" w:space="0" w:color="auto"/>
          </w:divBdr>
        </w:div>
      </w:divsChild>
    </w:div>
    <w:div w:id="45497720">
      <w:marLeft w:val="0"/>
      <w:marRight w:val="0"/>
      <w:marTop w:val="0"/>
      <w:marBottom w:val="0"/>
      <w:divBdr>
        <w:top w:val="none" w:sz="0" w:space="0" w:color="auto"/>
        <w:left w:val="none" w:sz="0" w:space="0" w:color="auto"/>
        <w:bottom w:val="none" w:sz="0" w:space="0" w:color="auto"/>
        <w:right w:val="none" w:sz="0" w:space="0" w:color="auto"/>
      </w:divBdr>
      <w:divsChild>
        <w:div w:id="1018047785">
          <w:marLeft w:val="0"/>
          <w:marRight w:val="0"/>
          <w:marTop w:val="0"/>
          <w:marBottom w:val="0"/>
          <w:divBdr>
            <w:top w:val="none" w:sz="0" w:space="0" w:color="auto"/>
            <w:left w:val="none" w:sz="0" w:space="0" w:color="auto"/>
            <w:bottom w:val="none" w:sz="0" w:space="0" w:color="auto"/>
            <w:right w:val="none" w:sz="0" w:space="0" w:color="auto"/>
          </w:divBdr>
        </w:div>
      </w:divsChild>
    </w:div>
    <w:div w:id="52629835">
      <w:marLeft w:val="0"/>
      <w:marRight w:val="0"/>
      <w:marTop w:val="0"/>
      <w:marBottom w:val="0"/>
      <w:divBdr>
        <w:top w:val="none" w:sz="0" w:space="0" w:color="auto"/>
        <w:left w:val="none" w:sz="0" w:space="0" w:color="auto"/>
        <w:bottom w:val="none" w:sz="0" w:space="0" w:color="auto"/>
        <w:right w:val="none" w:sz="0" w:space="0" w:color="auto"/>
      </w:divBdr>
      <w:divsChild>
        <w:div w:id="756708003">
          <w:marLeft w:val="0"/>
          <w:marRight w:val="0"/>
          <w:marTop w:val="0"/>
          <w:marBottom w:val="0"/>
          <w:divBdr>
            <w:top w:val="none" w:sz="0" w:space="0" w:color="auto"/>
            <w:left w:val="none" w:sz="0" w:space="0" w:color="auto"/>
            <w:bottom w:val="none" w:sz="0" w:space="0" w:color="auto"/>
            <w:right w:val="none" w:sz="0" w:space="0" w:color="auto"/>
          </w:divBdr>
        </w:div>
      </w:divsChild>
    </w:div>
    <w:div w:id="70205501">
      <w:marLeft w:val="0"/>
      <w:marRight w:val="0"/>
      <w:marTop w:val="0"/>
      <w:marBottom w:val="0"/>
      <w:divBdr>
        <w:top w:val="none" w:sz="0" w:space="0" w:color="auto"/>
        <w:left w:val="none" w:sz="0" w:space="0" w:color="auto"/>
        <w:bottom w:val="none" w:sz="0" w:space="0" w:color="auto"/>
        <w:right w:val="none" w:sz="0" w:space="0" w:color="auto"/>
      </w:divBdr>
      <w:divsChild>
        <w:div w:id="639530246">
          <w:marLeft w:val="0"/>
          <w:marRight w:val="0"/>
          <w:marTop w:val="0"/>
          <w:marBottom w:val="0"/>
          <w:divBdr>
            <w:top w:val="none" w:sz="0" w:space="0" w:color="auto"/>
            <w:left w:val="none" w:sz="0" w:space="0" w:color="auto"/>
            <w:bottom w:val="none" w:sz="0" w:space="0" w:color="auto"/>
            <w:right w:val="none" w:sz="0" w:space="0" w:color="auto"/>
          </w:divBdr>
        </w:div>
      </w:divsChild>
    </w:div>
    <w:div w:id="77092903">
      <w:marLeft w:val="0"/>
      <w:marRight w:val="0"/>
      <w:marTop w:val="0"/>
      <w:marBottom w:val="180"/>
      <w:divBdr>
        <w:top w:val="none" w:sz="0" w:space="0" w:color="auto"/>
        <w:left w:val="none" w:sz="0" w:space="0" w:color="auto"/>
        <w:bottom w:val="none" w:sz="0" w:space="0" w:color="auto"/>
        <w:right w:val="none" w:sz="0" w:space="0" w:color="auto"/>
      </w:divBdr>
    </w:div>
    <w:div w:id="105852294">
      <w:marLeft w:val="0"/>
      <w:marRight w:val="0"/>
      <w:marTop w:val="0"/>
      <w:marBottom w:val="0"/>
      <w:divBdr>
        <w:top w:val="none" w:sz="0" w:space="0" w:color="auto"/>
        <w:left w:val="none" w:sz="0" w:space="0" w:color="auto"/>
        <w:bottom w:val="none" w:sz="0" w:space="0" w:color="auto"/>
        <w:right w:val="none" w:sz="0" w:space="0" w:color="auto"/>
      </w:divBdr>
    </w:div>
    <w:div w:id="116989950">
      <w:marLeft w:val="0"/>
      <w:marRight w:val="0"/>
      <w:marTop w:val="0"/>
      <w:marBottom w:val="80"/>
      <w:divBdr>
        <w:top w:val="none" w:sz="0" w:space="0" w:color="auto"/>
        <w:left w:val="none" w:sz="0" w:space="0" w:color="auto"/>
        <w:bottom w:val="none" w:sz="0" w:space="0" w:color="auto"/>
        <w:right w:val="none" w:sz="0" w:space="0" w:color="auto"/>
      </w:divBdr>
      <w:divsChild>
        <w:div w:id="1980720093">
          <w:marLeft w:val="0"/>
          <w:marRight w:val="0"/>
          <w:marTop w:val="0"/>
          <w:marBottom w:val="0"/>
          <w:divBdr>
            <w:top w:val="none" w:sz="0" w:space="0" w:color="auto"/>
            <w:left w:val="none" w:sz="0" w:space="0" w:color="auto"/>
            <w:bottom w:val="none" w:sz="0" w:space="0" w:color="auto"/>
            <w:right w:val="none" w:sz="0" w:space="0" w:color="auto"/>
          </w:divBdr>
        </w:div>
        <w:div w:id="851260353">
          <w:marLeft w:val="0"/>
          <w:marRight w:val="0"/>
          <w:marTop w:val="0"/>
          <w:marBottom w:val="0"/>
          <w:divBdr>
            <w:top w:val="none" w:sz="0" w:space="0" w:color="auto"/>
            <w:left w:val="none" w:sz="0" w:space="0" w:color="auto"/>
            <w:bottom w:val="none" w:sz="0" w:space="0" w:color="auto"/>
            <w:right w:val="none" w:sz="0" w:space="0" w:color="auto"/>
          </w:divBdr>
        </w:div>
      </w:divsChild>
    </w:div>
    <w:div w:id="130100899">
      <w:marLeft w:val="0"/>
      <w:marRight w:val="0"/>
      <w:marTop w:val="0"/>
      <w:marBottom w:val="0"/>
      <w:divBdr>
        <w:top w:val="none" w:sz="0" w:space="0" w:color="auto"/>
        <w:left w:val="none" w:sz="0" w:space="0" w:color="auto"/>
        <w:bottom w:val="none" w:sz="0" w:space="0" w:color="auto"/>
        <w:right w:val="none" w:sz="0" w:space="0" w:color="auto"/>
      </w:divBdr>
      <w:divsChild>
        <w:div w:id="1847860012">
          <w:marLeft w:val="0"/>
          <w:marRight w:val="0"/>
          <w:marTop w:val="0"/>
          <w:marBottom w:val="0"/>
          <w:divBdr>
            <w:top w:val="none" w:sz="0" w:space="0" w:color="auto"/>
            <w:left w:val="none" w:sz="0" w:space="0" w:color="auto"/>
            <w:bottom w:val="none" w:sz="0" w:space="0" w:color="auto"/>
            <w:right w:val="none" w:sz="0" w:space="0" w:color="auto"/>
          </w:divBdr>
        </w:div>
      </w:divsChild>
    </w:div>
    <w:div w:id="130951833">
      <w:marLeft w:val="0"/>
      <w:marRight w:val="0"/>
      <w:marTop w:val="0"/>
      <w:marBottom w:val="0"/>
      <w:divBdr>
        <w:top w:val="none" w:sz="0" w:space="0" w:color="auto"/>
        <w:left w:val="none" w:sz="0" w:space="0" w:color="auto"/>
        <w:bottom w:val="none" w:sz="0" w:space="0" w:color="auto"/>
        <w:right w:val="none" w:sz="0" w:space="0" w:color="auto"/>
      </w:divBdr>
      <w:divsChild>
        <w:div w:id="80952738">
          <w:marLeft w:val="0"/>
          <w:marRight w:val="0"/>
          <w:marTop w:val="0"/>
          <w:marBottom w:val="0"/>
          <w:divBdr>
            <w:top w:val="none" w:sz="0" w:space="0" w:color="auto"/>
            <w:left w:val="none" w:sz="0" w:space="0" w:color="auto"/>
            <w:bottom w:val="none" w:sz="0" w:space="0" w:color="auto"/>
            <w:right w:val="none" w:sz="0" w:space="0" w:color="auto"/>
          </w:divBdr>
        </w:div>
      </w:divsChild>
    </w:div>
    <w:div w:id="150099629">
      <w:marLeft w:val="0"/>
      <w:marRight w:val="0"/>
      <w:marTop w:val="0"/>
      <w:marBottom w:val="0"/>
      <w:divBdr>
        <w:top w:val="none" w:sz="0" w:space="0" w:color="auto"/>
        <w:left w:val="none" w:sz="0" w:space="0" w:color="auto"/>
        <w:bottom w:val="none" w:sz="0" w:space="0" w:color="auto"/>
        <w:right w:val="none" w:sz="0" w:space="0" w:color="auto"/>
      </w:divBdr>
      <w:divsChild>
        <w:div w:id="268508556">
          <w:marLeft w:val="0"/>
          <w:marRight w:val="0"/>
          <w:marTop w:val="0"/>
          <w:marBottom w:val="0"/>
          <w:divBdr>
            <w:top w:val="none" w:sz="0" w:space="0" w:color="auto"/>
            <w:left w:val="none" w:sz="0" w:space="0" w:color="auto"/>
            <w:bottom w:val="none" w:sz="0" w:space="0" w:color="auto"/>
            <w:right w:val="none" w:sz="0" w:space="0" w:color="auto"/>
          </w:divBdr>
        </w:div>
      </w:divsChild>
    </w:div>
    <w:div w:id="169759506">
      <w:marLeft w:val="0"/>
      <w:marRight w:val="0"/>
      <w:marTop w:val="0"/>
      <w:marBottom w:val="320"/>
      <w:divBdr>
        <w:top w:val="none" w:sz="0" w:space="0" w:color="auto"/>
        <w:left w:val="none" w:sz="0" w:space="0" w:color="auto"/>
        <w:bottom w:val="none" w:sz="0" w:space="0" w:color="auto"/>
        <w:right w:val="none" w:sz="0" w:space="0" w:color="auto"/>
      </w:divBdr>
    </w:div>
    <w:div w:id="174341627">
      <w:marLeft w:val="0"/>
      <w:marRight w:val="0"/>
      <w:marTop w:val="0"/>
      <w:marBottom w:val="180"/>
      <w:divBdr>
        <w:top w:val="none" w:sz="0" w:space="0" w:color="auto"/>
        <w:left w:val="none" w:sz="0" w:space="0" w:color="auto"/>
        <w:bottom w:val="none" w:sz="0" w:space="0" w:color="auto"/>
        <w:right w:val="none" w:sz="0" w:space="0" w:color="auto"/>
      </w:divBdr>
    </w:div>
    <w:div w:id="178471649">
      <w:marLeft w:val="0"/>
      <w:marRight w:val="0"/>
      <w:marTop w:val="0"/>
      <w:marBottom w:val="180"/>
      <w:divBdr>
        <w:top w:val="none" w:sz="0" w:space="0" w:color="auto"/>
        <w:left w:val="none" w:sz="0" w:space="0" w:color="auto"/>
        <w:bottom w:val="none" w:sz="0" w:space="0" w:color="auto"/>
        <w:right w:val="none" w:sz="0" w:space="0" w:color="auto"/>
      </w:divBdr>
    </w:div>
    <w:div w:id="179127622">
      <w:marLeft w:val="0"/>
      <w:marRight w:val="0"/>
      <w:marTop w:val="0"/>
      <w:marBottom w:val="0"/>
      <w:divBdr>
        <w:top w:val="none" w:sz="0" w:space="0" w:color="auto"/>
        <w:left w:val="none" w:sz="0" w:space="0" w:color="auto"/>
        <w:bottom w:val="none" w:sz="0" w:space="0" w:color="auto"/>
        <w:right w:val="none" w:sz="0" w:space="0" w:color="auto"/>
      </w:divBdr>
    </w:div>
    <w:div w:id="183328337">
      <w:marLeft w:val="0"/>
      <w:marRight w:val="0"/>
      <w:marTop w:val="0"/>
      <w:marBottom w:val="0"/>
      <w:divBdr>
        <w:top w:val="none" w:sz="0" w:space="0" w:color="auto"/>
        <w:left w:val="none" w:sz="0" w:space="0" w:color="auto"/>
        <w:bottom w:val="none" w:sz="0" w:space="0" w:color="auto"/>
        <w:right w:val="none" w:sz="0" w:space="0" w:color="auto"/>
      </w:divBdr>
      <w:divsChild>
        <w:div w:id="1011953644">
          <w:marLeft w:val="0"/>
          <w:marRight w:val="0"/>
          <w:marTop w:val="0"/>
          <w:marBottom w:val="0"/>
          <w:divBdr>
            <w:top w:val="none" w:sz="0" w:space="0" w:color="auto"/>
            <w:left w:val="none" w:sz="0" w:space="0" w:color="auto"/>
            <w:bottom w:val="none" w:sz="0" w:space="0" w:color="auto"/>
            <w:right w:val="none" w:sz="0" w:space="0" w:color="auto"/>
          </w:divBdr>
        </w:div>
      </w:divsChild>
    </w:div>
    <w:div w:id="188883214">
      <w:marLeft w:val="0"/>
      <w:marRight w:val="0"/>
      <w:marTop w:val="0"/>
      <w:marBottom w:val="180"/>
      <w:divBdr>
        <w:top w:val="none" w:sz="0" w:space="0" w:color="auto"/>
        <w:left w:val="none" w:sz="0" w:space="0" w:color="auto"/>
        <w:bottom w:val="none" w:sz="0" w:space="0" w:color="auto"/>
        <w:right w:val="none" w:sz="0" w:space="0" w:color="auto"/>
      </w:divBdr>
    </w:div>
    <w:div w:id="199171448">
      <w:marLeft w:val="0"/>
      <w:marRight w:val="0"/>
      <w:marTop w:val="0"/>
      <w:marBottom w:val="180"/>
      <w:divBdr>
        <w:top w:val="none" w:sz="0" w:space="0" w:color="auto"/>
        <w:left w:val="none" w:sz="0" w:space="0" w:color="auto"/>
        <w:bottom w:val="none" w:sz="0" w:space="0" w:color="auto"/>
        <w:right w:val="none" w:sz="0" w:space="0" w:color="auto"/>
      </w:divBdr>
    </w:div>
    <w:div w:id="199831127">
      <w:marLeft w:val="0"/>
      <w:marRight w:val="0"/>
      <w:marTop w:val="0"/>
      <w:marBottom w:val="0"/>
      <w:divBdr>
        <w:top w:val="none" w:sz="0" w:space="0" w:color="auto"/>
        <w:left w:val="none" w:sz="0" w:space="0" w:color="auto"/>
        <w:bottom w:val="none" w:sz="0" w:space="0" w:color="auto"/>
        <w:right w:val="none" w:sz="0" w:space="0" w:color="auto"/>
      </w:divBdr>
      <w:divsChild>
        <w:div w:id="921647712">
          <w:marLeft w:val="0"/>
          <w:marRight w:val="0"/>
          <w:marTop w:val="0"/>
          <w:marBottom w:val="0"/>
          <w:divBdr>
            <w:top w:val="none" w:sz="0" w:space="0" w:color="auto"/>
            <w:left w:val="none" w:sz="0" w:space="0" w:color="auto"/>
            <w:bottom w:val="none" w:sz="0" w:space="0" w:color="auto"/>
            <w:right w:val="none" w:sz="0" w:space="0" w:color="auto"/>
          </w:divBdr>
        </w:div>
      </w:divsChild>
    </w:div>
    <w:div w:id="211040228">
      <w:marLeft w:val="0"/>
      <w:marRight w:val="0"/>
      <w:marTop w:val="0"/>
      <w:marBottom w:val="0"/>
      <w:divBdr>
        <w:top w:val="none" w:sz="0" w:space="0" w:color="auto"/>
        <w:left w:val="none" w:sz="0" w:space="0" w:color="auto"/>
        <w:bottom w:val="none" w:sz="0" w:space="0" w:color="auto"/>
        <w:right w:val="none" w:sz="0" w:space="0" w:color="auto"/>
      </w:divBdr>
    </w:div>
    <w:div w:id="211893895">
      <w:marLeft w:val="0"/>
      <w:marRight w:val="0"/>
      <w:marTop w:val="0"/>
      <w:marBottom w:val="0"/>
      <w:divBdr>
        <w:top w:val="none" w:sz="0" w:space="0" w:color="auto"/>
        <w:left w:val="none" w:sz="0" w:space="0" w:color="auto"/>
        <w:bottom w:val="none" w:sz="0" w:space="0" w:color="auto"/>
        <w:right w:val="none" w:sz="0" w:space="0" w:color="auto"/>
      </w:divBdr>
      <w:divsChild>
        <w:div w:id="639530850">
          <w:marLeft w:val="0"/>
          <w:marRight w:val="0"/>
          <w:marTop w:val="0"/>
          <w:marBottom w:val="0"/>
          <w:divBdr>
            <w:top w:val="none" w:sz="0" w:space="0" w:color="auto"/>
            <w:left w:val="none" w:sz="0" w:space="0" w:color="auto"/>
            <w:bottom w:val="none" w:sz="0" w:space="0" w:color="auto"/>
            <w:right w:val="none" w:sz="0" w:space="0" w:color="auto"/>
          </w:divBdr>
        </w:div>
      </w:divsChild>
    </w:div>
    <w:div w:id="225797912">
      <w:marLeft w:val="0"/>
      <w:marRight w:val="0"/>
      <w:marTop w:val="0"/>
      <w:marBottom w:val="0"/>
      <w:divBdr>
        <w:top w:val="none" w:sz="0" w:space="0" w:color="auto"/>
        <w:left w:val="none" w:sz="0" w:space="0" w:color="auto"/>
        <w:bottom w:val="none" w:sz="0" w:space="0" w:color="auto"/>
        <w:right w:val="none" w:sz="0" w:space="0" w:color="auto"/>
      </w:divBdr>
      <w:divsChild>
        <w:div w:id="302085252">
          <w:marLeft w:val="0"/>
          <w:marRight w:val="0"/>
          <w:marTop w:val="0"/>
          <w:marBottom w:val="0"/>
          <w:divBdr>
            <w:top w:val="none" w:sz="0" w:space="0" w:color="auto"/>
            <w:left w:val="none" w:sz="0" w:space="0" w:color="auto"/>
            <w:bottom w:val="none" w:sz="0" w:space="0" w:color="auto"/>
            <w:right w:val="none" w:sz="0" w:space="0" w:color="auto"/>
          </w:divBdr>
        </w:div>
      </w:divsChild>
    </w:div>
    <w:div w:id="226037679">
      <w:marLeft w:val="0"/>
      <w:marRight w:val="0"/>
      <w:marTop w:val="0"/>
      <w:marBottom w:val="0"/>
      <w:divBdr>
        <w:top w:val="none" w:sz="0" w:space="0" w:color="auto"/>
        <w:left w:val="none" w:sz="0" w:space="0" w:color="auto"/>
        <w:bottom w:val="none" w:sz="0" w:space="0" w:color="auto"/>
        <w:right w:val="none" w:sz="0" w:space="0" w:color="auto"/>
      </w:divBdr>
    </w:div>
    <w:div w:id="233862353">
      <w:marLeft w:val="0"/>
      <w:marRight w:val="0"/>
      <w:marTop w:val="0"/>
      <w:marBottom w:val="180"/>
      <w:divBdr>
        <w:top w:val="none" w:sz="0" w:space="0" w:color="auto"/>
        <w:left w:val="none" w:sz="0" w:space="0" w:color="auto"/>
        <w:bottom w:val="none" w:sz="0" w:space="0" w:color="auto"/>
        <w:right w:val="none" w:sz="0" w:space="0" w:color="auto"/>
      </w:divBdr>
    </w:div>
    <w:div w:id="239950310">
      <w:marLeft w:val="0"/>
      <w:marRight w:val="0"/>
      <w:marTop w:val="0"/>
      <w:marBottom w:val="180"/>
      <w:divBdr>
        <w:top w:val="none" w:sz="0" w:space="0" w:color="auto"/>
        <w:left w:val="none" w:sz="0" w:space="0" w:color="auto"/>
        <w:bottom w:val="none" w:sz="0" w:space="0" w:color="auto"/>
        <w:right w:val="none" w:sz="0" w:space="0" w:color="auto"/>
      </w:divBdr>
    </w:div>
    <w:div w:id="244650995">
      <w:marLeft w:val="0"/>
      <w:marRight w:val="0"/>
      <w:marTop w:val="0"/>
      <w:marBottom w:val="180"/>
      <w:divBdr>
        <w:top w:val="none" w:sz="0" w:space="0" w:color="auto"/>
        <w:left w:val="none" w:sz="0" w:space="0" w:color="auto"/>
        <w:bottom w:val="none" w:sz="0" w:space="0" w:color="auto"/>
        <w:right w:val="none" w:sz="0" w:space="0" w:color="auto"/>
      </w:divBdr>
    </w:div>
    <w:div w:id="245771505">
      <w:marLeft w:val="0"/>
      <w:marRight w:val="0"/>
      <w:marTop w:val="0"/>
      <w:marBottom w:val="0"/>
      <w:divBdr>
        <w:top w:val="none" w:sz="0" w:space="0" w:color="auto"/>
        <w:left w:val="none" w:sz="0" w:space="0" w:color="auto"/>
        <w:bottom w:val="none" w:sz="0" w:space="0" w:color="auto"/>
        <w:right w:val="none" w:sz="0" w:space="0" w:color="auto"/>
      </w:divBdr>
    </w:div>
    <w:div w:id="253124925">
      <w:marLeft w:val="0"/>
      <w:marRight w:val="0"/>
      <w:marTop w:val="0"/>
      <w:marBottom w:val="180"/>
      <w:divBdr>
        <w:top w:val="none" w:sz="0" w:space="0" w:color="auto"/>
        <w:left w:val="none" w:sz="0" w:space="0" w:color="auto"/>
        <w:bottom w:val="none" w:sz="0" w:space="0" w:color="auto"/>
        <w:right w:val="none" w:sz="0" w:space="0" w:color="auto"/>
      </w:divBdr>
    </w:div>
    <w:div w:id="253249782">
      <w:marLeft w:val="0"/>
      <w:marRight w:val="0"/>
      <w:marTop w:val="0"/>
      <w:marBottom w:val="0"/>
      <w:divBdr>
        <w:top w:val="none" w:sz="0" w:space="0" w:color="auto"/>
        <w:left w:val="none" w:sz="0" w:space="0" w:color="auto"/>
        <w:bottom w:val="none" w:sz="0" w:space="0" w:color="auto"/>
        <w:right w:val="none" w:sz="0" w:space="0" w:color="auto"/>
      </w:divBdr>
      <w:divsChild>
        <w:div w:id="8411823">
          <w:marLeft w:val="0"/>
          <w:marRight w:val="0"/>
          <w:marTop w:val="0"/>
          <w:marBottom w:val="0"/>
          <w:divBdr>
            <w:top w:val="none" w:sz="0" w:space="0" w:color="auto"/>
            <w:left w:val="none" w:sz="0" w:space="0" w:color="auto"/>
            <w:bottom w:val="none" w:sz="0" w:space="0" w:color="auto"/>
            <w:right w:val="none" w:sz="0" w:space="0" w:color="auto"/>
          </w:divBdr>
        </w:div>
      </w:divsChild>
    </w:div>
    <w:div w:id="253515278">
      <w:marLeft w:val="0"/>
      <w:marRight w:val="0"/>
      <w:marTop w:val="0"/>
      <w:marBottom w:val="0"/>
      <w:divBdr>
        <w:top w:val="none" w:sz="0" w:space="0" w:color="auto"/>
        <w:left w:val="none" w:sz="0" w:space="0" w:color="auto"/>
        <w:bottom w:val="none" w:sz="0" w:space="0" w:color="auto"/>
        <w:right w:val="none" w:sz="0" w:space="0" w:color="auto"/>
      </w:divBdr>
    </w:div>
    <w:div w:id="255359082">
      <w:marLeft w:val="0"/>
      <w:marRight w:val="0"/>
      <w:marTop w:val="0"/>
      <w:marBottom w:val="0"/>
      <w:divBdr>
        <w:top w:val="none" w:sz="0" w:space="0" w:color="auto"/>
        <w:left w:val="none" w:sz="0" w:space="0" w:color="auto"/>
        <w:bottom w:val="none" w:sz="0" w:space="0" w:color="auto"/>
        <w:right w:val="none" w:sz="0" w:space="0" w:color="auto"/>
      </w:divBdr>
    </w:div>
    <w:div w:id="257907863">
      <w:marLeft w:val="0"/>
      <w:marRight w:val="0"/>
      <w:marTop w:val="140"/>
      <w:marBottom w:val="0"/>
      <w:divBdr>
        <w:top w:val="none" w:sz="0" w:space="0" w:color="auto"/>
        <w:left w:val="none" w:sz="0" w:space="0" w:color="auto"/>
        <w:bottom w:val="none" w:sz="0" w:space="0" w:color="auto"/>
        <w:right w:val="none" w:sz="0" w:space="0" w:color="auto"/>
      </w:divBdr>
    </w:div>
    <w:div w:id="259917858">
      <w:marLeft w:val="0"/>
      <w:marRight w:val="0"/>
      <w:marTop w:val="0"/>
      <w:marBottom w:val="0"/>
      <w:divBdr>
        <w:top w:val="none" w:sz="0" w:space="0" w:color="auto"/>
        <w:left w:val="none" w:sz="0" w:space="0" w:color="auto"/>
        <w:bottom w:val="none" w:sz="0" w:space="0" w:color="auto"/>
        <w:right w:val="none" w:sz="0" w:space="0" w:color="auto"/>
      </w:divBdr>
      <w:divsChild>
        <w:div w:id="555169559">
          <w:marLeft w:val="0"/>
          <w:marRight w:val="0"/>
          <w:marTop w:val="0"/>
          <w:marBottom w:val="0"/>
          <w:divBdr>
            <w:top w:val="none" w:sz="0" w:space="0" w:color="auto"/>
            <w:left w:val="none" w:sz="0" w:space="0" w:color="auto"/>
            <w:bottom w:val="none" w:sz="0" w:space="0" w:color="auto"/>
            <w:right w:val="none" w:sz="0" w:space="0" w:color="auto"/>
          </w:divBdr>
        </w:div>
      </w:divsChild>
    </w:div>
    <w:div w:id="270819218">
      <w:marLeft w:val="0"/>
      <w:marRight w:val="0"/>
      <w:marTop w:val="0"/>
      <w:marBottom w:val="180"/>
      <w:divBdr>
        <w:top w:val="none" w:sz="0" w:space="0" w:color="auto"/>
        <w:left w:val="none" w:sz="0" w:space="0" w:color="auto"/>
        <w:bottom w:val="none" w:sz="0" w:space="0" w:color="auto"/>
        <w:right w:val="none" w:sz="0" w:space="0" w:color="auto"/>
      </w:divBdr>
    </w:div>
    <w:div w:id="286468482">
      <w:marLeft w:val="0"/>
      <w:marRight w:val="0"/>
      <w:marTop w:val="0"/>
      <w:marBottom w:val="80"/>
      <w:divBdr>
        <w:top w:val="none" w:sz="0" w:space="0" w:color="auto"/>
        <w:left w:val="none" w:sz="0" w:space="0" w:color="auto"/>
        <w:bottom w:val="none" w:sz="0" w:space="0" w:color="auto"/>
        <w:right w:val="none" w:sz="0" w:space="0" w:color="auto"/>
      </w:divBdr>
      <w:divsChild>
        <w:div w:id="1655379744">
          <w:marLeft w:val="0"/>
          <w:marRight w:val="0"/>
          <w:marTop w:val="0"/>
          <w:marBottom w:val="0"/>
          <w:divBdr>
            <w:top w:val="none" w:sz="0" w:space="0" w:color="auto"/>
            <w:left w:val="none" w:sz="0" w:space="0" w:color="auto"/>
            <w:bottom w:val="none" w:sz="0" w:space="0" w:color="auto"/>
            <w:right w:val="none" w:sz="0" w:space="0" w:color="auto"/>
          </w:divBdr>
        </w:div>
      </w:divsChild>
    </w:div>
    <w:div w:id="290019384">
      <w:marLeft w:val="0"/>
      <w:marRight w:val="0"/>
      <w:marTop w:val="0"/>
      <w:marBottom w:val="180"/>
      <w:divBdr>
        <w:top w:val="none" w:sz="0" w:space="0" w:color="auto"/>
        <w:left w:val="none" w:sz="0" w:space="0" w:color="auto"/>
        <w:bottom w:val="none" w:sz="0" w:space="0" w:color="auto"/>
        <w:right w:val="none" w:sz="0" w:space="0" w:color="auto"/>
      </w:divBdr>
    </w:div>
    <w:div w:id="309558772">
      <w:marLeft w:val="0"/>
      <w:marRight w:val="0"/>
      <w:marTop w:val="0"/>
      <w:marBottom w:val="0"/>
      <w:divBdr>
        <w:top w:val="none" w:sz="0" w:space="0" w:color="auto"/>
        <w:left w:val="none" w:sz="0" w:space="0" w:color="auto"/>
        <w:bottom w:val="none" w:sz="0" w:space="0" w:color="auto"/>
        <w:right w:val="none" w:sz="0" w:space="0" w:color="auto"/>
      </w:divBdr>
      <w:divsChild>
        <w:div w:id="1647933369">
          <w:marLeft w:val="0"/>
          <w:marRight w:val="0"/>
          <w:marTop w:val="0"/>
          <w:marBottom w:val="0"/>
          <w:divBdr>
            <w:top w:val="none" w:sz="0" w:space="0" w:color="auto"/>
            <w:left w:val="none" w:sz="0" w:space="0" w:color="auto"/>
            <w:bottom w:val="none" w:sz="0" w:space="0" w:color="auto"/>
            <w:right w:val="none" w:sz="0" w:space="0" w:color="auto"/>
          </w:divBdr>
        </w:div>
      </w:divsChild>
    </w:div>
    <w:div w:id="309678875">
      <w:marLeft w:val="0"/>
      <w:marRight w:val="0"/>
      <w:marTop w:val="0"/>
      <w:marBottom w:val="180"/>
      <w:divBdr>
        <w:top w:val="none" w:sz="0" w:space="0" w:color="auto"/>
        <w:left w:val="none" w:sz="0" w:space="0" w:color="auto"/>
        <w:bottom w:val="none" w:sz="0" w:space="0" w:color="auto"/>
        <w:right w:val="none" w:sz="0" w:space="0" w:color="auto"/>
      </w:divBdr>
    </w:div>
    <w:div w:id="319890472">
      <w:marLeft w:val="0"/>
      <w:marRight w:val="0"/>
      <w:marTop w:val="0"/>
      <w:marBottom w:val="0"/>
      <w:divBdr>
        <w:top w:val="none" w:sz="0" w:space="0" w:color="auto"/>
        <w:left w:val="none" w:sz="0" w:space="0" w:color="auto"/>
        <w:bottom w:val="none" w:sz="0" w:space="0" w:color="auto"/>
        <w:right w:val="none" w:sz="0" w:space="0" w:color="auto"/>
      </w:divBdr>
      <w:divsChild>
        <w:div w:id="1619602112">
          <w:marLeft w:val="0"/>
          <w:marRight w:val="0"/>
          <w:marTop w:val="0"/>
          <w:marBottom w:val="0"/>
          <w:divBdr>
            <w:top w:val="none" w:sz="0" w:space="0" w:color="auto"/>
            <w:left w:val="none" w:sz="0" w:space="0" w:color="auto"/>
            <w:bottom w:val="none" w:sz="0" w:space="0" w:color="auto"/>
            <w:right w:val="none" w:sz="0" w:space="0" w:color="auto"/>
          </w:divBdr>
        </w:div>
      </w:divsChild>
    </w:div>
    <w:div w:id="326984263">
      <w:marLeft w:val="0"/>
      <w:marRight w:val="0"/>
      <w:marTop w:val="0"/>
      <w:marBottom w:val="180"/>
      <w:divBdr>
        <w:top w:val="none" w:sz="0" w:space="0" w:color="auto"/>
        <w:left w:val="none" w:sz="0" w:space="0" w:color="auto"/>
        <w:bottom w:val="none" w:sz="0" w:space="0" w:color="auto"/>
        <w:right w:val="none" w:sz="0" w:space="0" w:color="auto"/>
      </w:divBdr>
    </w:div>
    <w:div w:id="334310494">
      <w:marLeft w:val="0"/>
      <w:marRight w:val="0"/>
      <w:marTop w:val="0"/>
      <w:marBottom w:val="0"/>
      <w:divBdr>
        <w:top w:val="none" w:sz="0" w:space="0" w:color="auto"/>
        <w:left w:val="none" w:sz="0" w:space="0" w:color="auto"/>
        <w:bottom w:val="none" w:sz="0" w:space="0" w:color="auto"/>
        <w:right w:val="none" w:sz="0" w:space="0" w:color="auto"/>
      </w:divBdr>
    </w:div>
    <w:div w:id="335691370">
      <w:marLeft w:val="0"/>
      <w:marRight w:val="0"/>
      <w:marTop w:val="0"/>
      <w:marBottom w:val="0"/>
      <w:divBdr>
        <w:top w:val="none" w:sz="0" w:space="0" w:color="auto"/>
        <w:left w:val="none" w:sz="0" w:space="0" w:color="auto"/>
        <w:bottom w:val="none" w:sz="0" w:space="0" w:color="auto"/>
        <w:right w:val="none" w:sz="0" w:space="0" w:color="auto"/>
      </w:divBdr>
      <w:divsChild>
        <w:div w:id="1947419490">
          <w:marLeft w:val="0"/>
          <w:marRight w:val="0"/>
          <w:marTop w:val="0"/>
          <w:marBottom w:val="0"/>
          <w:divBdr>
            <w:top w:val="none" w:sz="0" w:space="0" w:color="auto"/>
            <w:left w:val="none" w:sz="0" w:space="0" w:color="auto"/>
            <w:bottom w:val="none" w:sz="0" w:space="0" w:color="auto"/>
            <w:right w:val="none" w:sz="0" w:space="0" w:color="auto"/>
          </w:divBdr>
        </w:div>
      </w:divsChild>
    </w:div>
    <w:div w:id="339818830">
      <w:marLeft w:val="0"/>
      <w:marRight w:val="0"/>
      <w:marTop w:val="0"/>
      <w:marBottom w:val="0"/>
      <w:divBdr>
        <w:top w:val="none" w:sz="0" w:space="0" w:color="auto"/>
        <w:left w:val="none" w:sz="0" w:space="0" w:color="auto"/>
        <w:bottom w:val="none" w:sz="0" w:space="0" w:color="auto"/>
        <w:right w:val="none" w:sz="0" w:space="0" w:color="auto"/>
      </w:divBdr>
      <w:divsChild>
        <w:div w:id="752123616">
          <w:marLeft w:val="0"/>
          <w:marRight w:val="0"/>
          <w:marTop w:val="0"/>
          <w:marBottom w:val="0"/>
          <w:divBdr>
            <w:top w:val="none" w:sz="0" w:space="0" w:color="auto"/>
            <w:left w:val="none" w:sz="0" w:space="0" w:color="auto"/>
            <w:bottom w:val="none" w:sz="0" w:space="0" w:color="auto"/>
            <w:right w:val="none" w:sz="0" w:space="0" w:color="auto"/>
          </w:divBdr>
        </w:div>
      </w:divsChild>
    </w:div>
    <w:div w:id="356004477">
      <w:marLeft w:val="0"/>
      <w:marRight w:val="0"/>
      <w:marTop w:val="180"/>
      <w:marBottom w:val="0"/>
      <w:divBdr>
        <w:top w:val="none" w:sz="0" w:space="0" w:color="auto"/>
        <w:left w:val="none" w:sz="0" w:space="0" w:color="auto"/>
        <w:bottom w:val="none" w:sz="0" w:space="0" w:color="auto"/>
        <w:right w:val="none" w:sz="0" w:space="0" w:color="auto"/>
      </w:divBdr>
    </w:div>
    <w:div w:id="380981962">
      <w:marLeft w:val="0"/>
      <w:marRight w:val="0"/>
      <w:marTop w:val="0"/>
      <w:marBottom w:val="0"/>
      <w:divBdr>
        <w:top w:val="none" w:sz="0" w:space="0" w:color="auto"/>
        <w:left w:val="none" w:sz="0" w:space="0" w:color="auto"/>
        <w:bottom w:val="none" w:sz="0" w:space="0" w:color="auto"/>
        <w:right w:val="none" w:sz="0" w:space="0" w:color="auto"/>
      </w:divBdr>
    </w:div>
    <w:div w:id="388501406">
      <w:marLeft w:val="0"/>
      <w:marRight w:val="0"/>
      <w:marTop w:val="0"/>
      <w:marBottom w:val="240"/>
      <w:divBdr>
        <w:top w:val="none" w:sz="0" w:space="0" w:color="auto"/>
        <w:left w:val="none" w:sz="0" w:space="0" w:color="auto"/>
        <w:bottom w:val="none" w:sz="0" w:space="0" w:color="auto"/>
        <w:right w:val="none" w:sz="0" w:space="0" w:color="auto"/>
      </w:divBdr>
    </w:div>
    <w:div w:id="402917169">
      <w:marLeft w:val="0"/>
      <w:marRight w:val="0"/>
      <w:marTop w:val="0"/>
      <w:marBottom w:val="180"/>
      <w:divBdr>
        <w:top w:val="none" w:sz="0" w:space="0" w:color="auto"/>
        <w:left w:val="none" w:sz="0" w:space="0" w:color="auto"/>
        <w:bottom w:val="none" w:sz="0" w:space="0" w:color="auto"/>
        <w:right w:val="none" w:sz="0" w:space="0" w:color="auto"/>
      </w:divBdr>
    </w:div>
    <w:div w:id="411005241">
      <w:marLeft w:val="0"/>
      <w:marRight w:val="0"/>
      <w:marTop w:val="0"/>
      <w:marBottom w:val="0"/>
      <w:divBdr>
        <w:top w:val="none" w:sz="0" w:space="0" w:color="auto"/>
        <w:left w:val="none" w:sz="0" w:space="0" w:color="auto"/>
        <w:bottom w:val="none" w:sz="0" w:space="0" w:color="auto"/>
        <w:right w:val="none" w:sz="0" w:space="0" w:color="auto"/>
      </w:divBdr>
      <w:divsChild>
        <w:div w:id="949438493">
          <w:marLeft w:val="0"/>
          <w:marRight w:val="0"/>
          <w:marTop w:val="0"/>
          <w:marBottom w:val="0"/>
          <w:divBdr>
            <w:top w:val="none" w:sz="0" w:space="0" w:color="auto"/>
            <w:left w:val="none" w:sz="0" w:space="0" w:color="auto"/>
            <w:bottom w:val="none" w:sz="0" w:space="0" w:color="auto"/>
            <w:right w:val="none" w:sz="0" w:space="0" w:color="auto"/>
          </w:divBdr>
        </w:div>
      </w:divsChild>
    </w:div>
    <w:div w:id="412701631">
      <w:marLeft w:val="0"/>
      <w:marRight w:val="0"/>
      <w:marTop w:val="0"/>
      <w:marBottom w:val="0"/>
      <w:divBdr>
        <w:top w:val="none" w:sz="0" w:space="0" w:color="auto"/>
        <w:left w:val="none" w:sz="0" w:space="0" w:color="auto"/>
        <w:bottom w:val="none" w:sz="0" w:space="0" w:color="auto"/>
        <w:right w:val="none" w:sz="0" w:space="0" w:color="auto"/>
      </w:divBdr>
      <w:divsChild>
        <w:div w:id="822628268">
          <w:marLeft w:val="0"/>
          <w:marRight w:val="0"/>
          <w:marTop w:val="0"/>
          <w:marBottom w:val="0"/>
          <w:divBdr>
            <w:top w:val="none" w:sz="0" w:space="0" w:color="auto"/>
            <w:left w:val="none" w:sz="0" w:space="0" w:color="auto"/>
            <w:bottom w:val="none" w:sz="0" w:space="0" w:color="auto"/>
            <w:right w:val="none" w:sz="0" w:space="0" w:color="auto"/>
          </w:divBdr>
        </w:div>
      </w:divsChild>
    </w:div>
    <w:div w:id="415248137">
      <w:marLeft w:val="0"/>
      <w:marRight w:val="0"/>
      <w:marTop w:val="0"/>
      <w:marBottom w:val="180"/>
      <w:divBdr>
        <w:top w:val="none" w:sz="0" w:space="0" w:color="auto"/>
        <w:left w:val="none" w:sz="0" w:space="0" w:color="auto"/>
        <w:bottom w:val="none" w:sz="0" w:space="0" w:color="auto"/>
        <w:right w:val="none" w:sz="0" w:space="0" w:color="auto"/>
      </w:divBdr>
    </w:div>
    <w:div w:id="432556329">
      <w:marLeft w:val="0"/>
      <w:marRight w:val="0"/>
      <w:marTop w:val="0"/>
      <w:marBottom w:val="180"/>
      <w:divBdr>
        <w:top w:val="none" w:sz="0" w:space="0" w:color="auto"/>
        <w:left w:val="none" w:sz="0" w:space="0" w:color="auto"/>
        <w:bottom w:val="none" w:sz="0" w:space="0" w:color="auto"/>
        <w:right w:val="none" w:sz="0" w:space="0" w:color="auto"/>
      </w:divBdr>
    </w:div>
    <w:div w:id="473643138">
      <w:marLeft w:val="0"/>
      <w:marRight w:val="0"/>
      <w:marTop w:val="0"/>
      <w:marBottom w:val="280"/>
      <w:divBdr>
        <w:top w:val="none" w:sz="0" w:space="0" w:color="auto"/>
        <w:left w:val="none" w:sz="0" w:space="0" w:color="auto"/>
        <w:bottom w:val="none" w:sz="0" w:space="0" w:color="auto"/>
        <w:right w:val="none" w:sz="0" w:space="0" w:color="auto"/>
      </w:divBdr>
    </w:div>
    <w:div w:id="473790463">
      <w:marLeft w:val="0"/>
      <w:marRight w:val="0"/>
      <w:marTop w:val="0"/>
      <w:marBottom w:val="180"/>
      <w:divBdr>
        <w:top w:val="none" w:sz="0" w:space="0" w:color="auto"/>
        <w:left w:val="none" w:sz="0" w:space="0" w:color="auto"/>
        <w:bottom w:val="none" w:sz="0" w:space="0" w:color="auto"/>
        <w:right w:val="none" w:sz="0" w:space="0" w:color="auto"/>
      </w:divBdr>
    </w:div>
    <w:div w:id="483394097">
      <w:marLeft w:val="0"/>
      <w:marRight w:val="0"/>
      <w:marTop w:val="0"/>
      <w:marBottom w:val="0"/>
      <w:divBdr>
        <w:top w:val="none" w:sz="0" w:space="0" w:color="auto"/>
        <w:left w:val="none" w:sz="0" w:space="0" w:color="auto"/>
        <w:bottom w:val="none" w:sz="0" w:space="0" w:color="auto"/>
        <w:right w:val="none" w:sz="0" w:space="0" w:color="auto"/>
      </w:divBdr>
    </w:div>
    <w:div w:id="492569157">
      <w:marLeft w:val="0"/>
      <w:marRight w:val="0"/>
      <w:marTop w:val="0"/>
      <w:marBottom w:val="20"/>
      <w:divBdr>
        <w:top w:val="none" w:sz="0" w:space="0" w:color="auto"/>
        <w:left w:val="none" w:sz="0" w:space="0" w:color="auto"/>
        <w:bottom w:val="none" w:sz="0" w:space="0" w:color="auto"/>
        <w:right w:val="none" w:sz="0" w:space="0" w:color="auto"/>
      </w:divBdr>
    </w:div>
    <w:div w:id="501429103">
      <w:marLeft w:val="0"/>
      <w:marRight w:val="0"/>
      <w:marTop w:val="0"/>
      <w:marBottom w:val="0"/>
      <w:divBdr>
        <w:top w:val="none" w:sz="0" w:space="0" w:color="auto"/>
        <w:left w:val="none" w:sz="0" w:space="0" w:color="auto"/>
        <w:bottom w:val="none" w:sz="0" w:space="0" w:color="auto"/>
        <w:right w:val="none" w:sz="0" w:space="0" w:color="auto"/>
      </w:divBdr>
    </w:div>
    <w:div w:id="509563927">
      <w:marLeft w:val="0"/>
      <w:marRight w:val="0"/>
      <w:marTop w:val="180"/>
      <w:marBottom w:val="0"/>
      <w:divBdr>
        <w:top w:val="none" w:sz="0" w:space="0" w:color="auto"/>
        <w:left w:val="none" w:sz="0" w:space="0" w:color="auto"/>
        <w:bottom w:val="none" w:sz="0" w:space="0" w:color="auto"/>
        <w:right w:val="none" w:sz="0" w:space="0" w:color="auto"/>
      </w:divBdr>
    </w:div>
    <w:div w:id="510608106">
      <w:marLeft w:val="0"/>
      <w:marRight w:val="0"/>
      <w:marTop w:val="0"/>
      <w:marBottom w:val="0"/>
      <w:divBdr>
        <w:top w:val="none" w:sz="0" w:space="0" w:color="auto"/>
        <w:left w:val="none" w:sz="0" w:space="0" w:color="auto"/>
        <w:bottom w:val="none" w:sz="0" w:space="0" w:color="auto"/>
        <w:right w:val="none" w:sz="0" w:space="0" w:color="auto"/>
      </w:divBdr>
    </w:div>
    <w:div w:id="510877832">
      <w:marLeft w:val="0"/>
      <w:marRight w:val="0"/>
      <w:marTop w:val="0"/>
      <w:marBottom w:val="0"/>
      <w:divBdr>
        <w:top w:val="none" w:sz="0" w:space="0" w:color="auto"/>
        <w:left w:val="none" w:sz="0" w:space="0" w:color="auto"/>
        <w:bottom w:val="none" w:sz="0" w:space="0" w:color="auto"/>
        <w:right w:val="none" w:sz="0" w:space="0" w:color="auto"/>
      </w:divBdr>
      <w:divsChild>
        <w:div w:id="199443348">
          <w:marLeft w:val="0"/>
          <w:marRight w:val="0"/>
          <w:marTop w:val="0"/>
          <w:marBottom w:val="0"/>
          <w:divBdr>
            <w:top w:val="none" w:sz="0" w:space="0" w:color="auto"/>
            <w:left w:val="none" w:sz="0" w:space="0" w:color="auto"/>
            <w:bottom w:val="none" w:sz="0" w:space="0" w:color="auto"/>
            <w:right w:val="none" w:sz="0" w:space="0" w:color="auto"/>
          </w:divBdr>
        </w:div>
      </w:divsChild>
    </w:div>
    <w:div w:id="513307367">
      <w:marLeft w:val="0"/>
      <w:marRight w:val="0"/>
      <w:marTop w:val="0"/>
      <w:marBottom w:val="0"/>
      <w:divBdr>
        <w:top w:val="none" w:sz="0" w:space="0" w:color="auto"/>
        <w:left w:val="none" w:sz="0" w:space="0" w:color="auto"/>
        <w:bottom w:val="none" w:sz="0" w:space="0" w:color="auto"/>
        <w:right w:val="none" w:sz="0" w:space="0" w:color="auto"/>
      </w:divBdr>
      <w:divsChild>
        <w:div w:id="1494756082">
          <w:marLeft w:val="0"/>
          <w:marRight w:val="0"/>
          <w:marTop w:val="0"/>
          <w:marBottom w:val="0"/>
          <w:divBdr>
            <w:top w:val="none" w:sz="0" w:space="0" w:color="auto"/>
            <w:left w:val="none" w:sz="0" w:space="0" w:color="auto"/>
            <w:bottom w:val="none" w:sz="0" w:space="0" w:color="auto"/>
            <w:right w:val="none" w:sz="0" w:space="0" w:color="auto"/>
          </w:divBdr>
        </w:div>
      </w:divsChild>
    </w:div>
    <w:div w:id="518735181">
      <w:marLeft w:val="0"/>
      <w:marRight w:val="0"/>
      <w:marTop w:val="0"/>
      <w:marBottom w:val="180"/>
      <w:divBdr>
        <w:top w:val="none" w:sz="0" w:space="0" w:color="auto"/>
        <w:left w:val="none" w:sz="0" w:space="0" w:color="auto"/>
        <w:bottom w:val="none" w:sz="0" w:space="0" w:color="auto"/>
        <w:right w:val="none" w:sz="0" w:space="0" w:color="auto"/>
      </w:divBdr>
    </w:div>
    <w:div w:id="524757822">
      <w:marLeft w:val="0"/>
      <w:marRight w:val="0"/>
      <w:marTop w:val="0"/>
      <w:marBottom w:val="0"/>
      <w:divBdr>
        <w:top w:val="none" w:sz="0" w:space="0" w:color="auto"/>
        <w:left w:val="none" w:sz="0" w:space="0" w:color="auto"/>
        <w:bottom w:val="none" w:sz="0" w:space="0" w:color="auto"/>
        <w:right w:val="none" w:sz="0" w:space="0" w:color="auto"/>
      </w:divBdr>
    </w:div>
    <w:div w:id="535241930">
      <w:marLeft w:val="0"/>
      <w:marRight w:val="0"/>
      <w:marTop w:val="0"/>
      <w:marBottom w:val="0"/>
      <w:divBdr>
        <w:top w:val="none" w:sz="0" w:space="0" w:color="auto"/>
        <w:left w:val="none" w:sz="0" w:space="0" w:color="auto"/>
        <w:bottom w:val="none" w:sz="0" w:space="0" w:color="auto"/>
        <w:right w:val="none" w:sz="0" w:space="0" w:color="auto"/>
      </w:divBdr>
      <w:divsChild>
        <w:div w:id="207425021">
          <w:marLeft w:val="0"/>
          <w:marRight w:val="0"/>
          <w:marTop w:val="0"/>
          <w:marBottom w:val="0"/>
          <w:divBdr>
            <w:top w:val="none" w:sz="0" w:space="0" w:color="auto"/>
            <w:left w:val="none" w:sz="0" w:space="0" w:color="auto"/>
            <w:bottom w:val="none" w:sz="0" w:space="0" w:color="auto"/>
            <w:right w:val="none" w:sz="0" w:space="0" w:color="auto"/>
          </w:divBdr>
        </w:div>
      </w:divsChild>
    </w:div>
    <w:div w:id="540286843">
      <w:marLeft w:val="0"/>
      <w:marRight w:val="0"/>
      <w:marTop w:val="0"/>
      <w:marBottom w:val="320"/>
      <w:divBdr>
        <w:top w:val="none" w:sz="0" w:space="0" w:color="auto"/>
        <w:left w:val="none" w:sz="0" w:space="0" w:color="auto"/>
        <w:bottom w:val="none" w:sz="0" w:space="0" w:color="auto"/>
        <w:right w:val="none" w:sz="0" w:space="0" w:color="auto"/>
      </w:divBdr>
    </w:div>
    <w:div w:id="543031420">
      <w:marLeft w:val="0"/>
      <w:marRight w:val="0"/>
      <w:marTop w:val="100"/>
      <w:marBottom w:val="0"/>
      <w:divBdr>
        <w:top w:val="none" w:sz="0" w:space="0" w:color="auto"/>
        <w:left w:val="none" w:sz="0" w:space="0" w:color="auto"/>
        <w:bottom w:val="none" w:sz="0" w:space="0" w:color="auto"/>
        <w:right w:val="none" w:sz="0" w:space="0" w:color="auto"/>
      </w:divBdr>
    </w:div>
    <w:div w:id="547450681">
      <w:marLeft w:val="0"/>
      <w:marRight w:val="0"/>
      <w:marTop w:val="0"/>
      <w:marBottom w:val="0"/>
      <w:divBdr>
        <w:top w:val="none" w:sz="0" w:space="0" w:color="auto"/>
        <w:left w:val="none" w:sz="0" w:space="0" w:color="auto"/>
        <w:bottom w:val="none" w:sz="0" w:space="0" w:color="auto"/>
        <w:right w:val="none" w:sz="0" w:space="0" w:color="auto"/>
      </w:divBdr>
    </w:div>
    <w:div w:id="564531438">
      <w:marLeft w:val="0"/>
      <w:marRight w:val="0"/>
      <w:marTop w:val="0"/>
      <w:marBottom w:val="0"/>
      <w:divBdr>
        <w:top w:val="none" w:sz="0" w:space="0" w:color="auto"/>
        <w:left w:val="none" w:sz="0" w:space="0" w:color="auto"/>
        <w:bottom w:val="none" w:sz="0" w:space="0" w:color="auto"/>
        <w:right w:val="none" w:sz="0" w:space="0" w:color="auto"/>
      </w:divBdr>
    </w:div>
    <w:div w:id="570506390">
      <w:marLeft w:val="0"/>
      <w:marRight w:val="0"/>
      <w:marTop w:val="0"/>
      <w:marBottom w:val="80"/>
      <w:divBdr>
        <w:top w:val="none" w:sz="0" w:space="0" w:color="auto"/>
        <w:left w:val="none" w:sz="0" w:space="0" w:color="auto"/>
        <w:bottom w:val="none" w:sz="0" w:space="0" w:color="auto"/>
        <w:right w:val="none" w:sz="0" w:space="0" w:color="auto"/>
      </w:divBdr>
      <w:divsChild>
        <w:div w:id="1991014962">
          <w:marLeft w:val="0"/>
          <w:marRight w:val="0"/>
          <w:marTop w:val="0"/>
          <w:marBottom w:val="0"/>
          <w:divBdr>
            <w:top w:val="none" w:sz="0" w:space="0" w:color="auto"/>
            <w:left w:val="none" w:sz="0" w:space="0" w:color="auto"/>
            <w:bottom w:val="none" w:sz="0" w:space="0" w:color="auto"/>
            <w:right w:val="none" w:sz="0" w:space="0" w:color="auto"/>
          </w:divBdr>
        </w:div>
      </w:divsChild>
    </w:div>
    <w:div w:id="582296312">
      <w:marLeft w:val="0"/>
      <w:marRight w:val="0"/>
      <w:marTop w:val="0"/>
      <w:marBottom w:val="0"/>
      <w:divBdr>
        <w:top w:val="none" w:sz="0" w:space="0" w:color="auto"/>
        <w:left w:val="none" w:sz="0" w:space="0" w:color="auto"/>
        <w:bottom w:val="none" w:sz="0" w:space="0" w:color="auto"/>
        <w:right w:val="none" w:sz="0" w:space="0" w:color="auto"/>
      </w:divBdr>
    </w:div>
    <w:div w:id="596795563">
      <w:marLeft w:val="0"/>
      <w:marRight w:val="0"/>
      <w:marTop w:val="0"/>
      <w:marBottom w:val="20"/>
      <w:divBdr>
        <w:top w:val="none" w:sz="0" w:space="0" w:color="auto"/>
        <w:left w:val="none" w:sz="0" w:space="0" w:color="auto"/>
        <w:bottom w:val="none" w:sz="0" w:space="0" w:color="auto"/>
        <w:right w:val="none" w:sz="0" w:space="0" w:color="auto"/>
      </w:divBdr>
    </w:div>
    <w:div w:id="601642455">
      <w:marLeft w:val="0"/>
      <w:marRight w:val="0"/>
      <w:marTop w:val="0"/>
      <w:marBottom w:val="180"/>
      <w:divBdr>
        <w:top w:val="none" w:sz="0" w:space="0" w:color="auto"/>
        <w:left w:val="none" w:sz="0" w:space="0" w:color="auto"/>
        <w:bottom w:val="none" w:sz="0" w:space="0" w:color="auto"/>
        <w:right w:val="none" w:sz="0" w:space="0" w:color="auto"/>
      </w:divBdr>
    </w:div>
    <w:div w:id="614409616">
      <w:marLeft w:val="0"/>
      <w:marRight w:val="0"/>
      <w:marTop w:val="0"/>
      <w:marBottom w:val="180"/>
      <w:divBdr>
        <w:top w:val="none" w:sz="0" w:space="0" w:color="auto"/>
        <w:left w:val="none" w:sz="0" w:space="0" w:color="auto"/>
        <w:bottom w:val="none" w:sz="0" w:space="0" w:color="auto"/>
        <w:right w:val="none" w:sz="0" w:space="0" w:color="auto"/>
      </w:divBdr>
    </w:div>
    <w:div w:id="615521921">
      <w:marLeft w:val="0"/>
      <w:marRight w:val="0"/>
      <w:marTop w:val="0"/>
      <w:marBottom w:val="280"/>
      <w:divBdr>
        <w:top w:val="none" w:sz="0" w:space="0" w:color="auto"/>
        <w:left w:val="none" w:sz="0" w:space="0" w:color="auto"/>
        <w:bottom w:val="none" w:sz="0" w:space="0" w:color="auto"/>
        <w:right w:val="none" w:sz="0" w:space="0" w:color="auto"/>
      </w:divBdr>
    </w:div>
    <w:div w:id="618803328">
      <w:marLeft w:val="0"/>
      <w:marRight w:val="0"/>
      <w:marTop w:val="0"/>
      <w:marBottom w:val="180"/>
      <w:divBdr>
        <w:top w:val="none" w:sz="0" w:space="0" w:color="auto"/>
        <w:left w:val="none" w:sz="0" w:space="0" w:color="auto"/>
        <w:bottom w:val="none" w:sz="0" w:space="0" w:color="auto"/>
        <w:right w:val="none" w:sz="0" w:space="0" w:color="auto"/>
      </w:divBdr>
    </w:div>
    <w:div w:id="631716233">
      <w:marLeft w:val="0"/>
      <w:marRight w:val="0"/>
      <w:marTop w:val="0"/>
      <w:marBottom w:val="0"/>
      <w:divBdr>
        <w:top w:val="none" w:sz="0" w:space="0" w:color="auto"/>
        <w:left w:val="none" w:sz="0" w:space="0" w:color="auto"/>
        <w:bottom w:val="none" w:sz="0" w:space="0" w:color="auto"/>
        <w:right w:val="none" w:sz="0" w:space="0" w:color="auto"/>
      </w:divBdr>
    </w:div>
    <w:div w:id="641227399">
      <w:marLeft w:val="0"/>
      <w:marRight w:val="0"/>
      <w:marTop w:val="0"/>
      <w:marBottom w:val="0"/>
      <w:divBdr>
        <w:top w:val="none" w:sz="0" w:space="0" w:color="auto"/>
        <w:left w:val="none" w:sz="0" w:space="0" w:color="auto"/>
        <w:bottom w:val="none" w:sz="0" w:space="0" w:color="auto"/>
        <w:right w:val="none" w:sz="0" w:space="0" w:color="auto"/>
      </w:divBdr>
    </w:div>
    <w:div w:id="651645646">
      <w:marLeft w:val="0"/>
      <w:marRight w:val="0"/>
      <w:marTop w:val="0"/>
      <w:marBottom w:val="0"/>
      <w:divBdr>
        <w:top w:val="none" w:sz="0" w:space="0" w:color="auto"/>
        <w:left w:val="none" w:sz="0" w:space="0" w:color="auto"/>
        <w:bottom w:val="none" w:sz="0" w:space="0" w:color="auto"/>
        <w:right w:val="none" w:sz="0" w:space="0" w:color="auto"/>
      </w:divBdr>
    </w:div>
    <w:div w:id="662313882">
      <w:marLeft w:val="0"/>
      <w:marRight w:val="0"/>
      <w:marTop w:val="0"/>
      <w:marBottom w:val="180"/>
      <w:divBdr>
        <w:top w:val="none" w:sz="0" w:space="0" w:color="auto"/>
        <w:left w:val="none" w:sz="0" w:space="0" w:color="auto"/>
        <w:bottom w:val="none" w:sz="0" w:space="0" w:color="auto"/>
        <w:right w:val="none" w:sz="0" w:space="0" w:color="auto"/>
      </w:divBdr>
    </w:div>
    <w:div w:id="667027916">
      <w:marLeft w:val="0"/>
      <w:marRight w:val="0"/>
      <w:marTop w:val="0"/>
      <w:marBottom w:val="0"/>
      <w:divBdr>
        <w:top w:val="none" w:sz="0" w:space="0" w:color="auto"/>
        <w:left w:val="none" w:sz="0" w:space="0" w:color="auto"/>
        <w:bottom w:val="none" w:sz="0" w:space="0" w:color="auto"/>
        <w:right w:val="none" w:sz="0" w:space="0" w:color="auto"/>
      </w:divBdr>
      <w:divsChild>
        <w:div w:id="1789079760">
          <w:marLeft w:val="0"/>
          <w:marRight w:val="0"/>
          <w:marTop w:val="0"/>
          <w:marBottom w:val="0"/>
          <w:divBdr>
            <w:top w:val="none" w:sz="0" w:space="0" w:color="auto"/>
            <w:left w:val="none" w:sz="0" w:space="0" w:color="auto"/>
            <w:bottom w:val="none" w:sz="0" w:space="0" w:color="auto"/>
            <w:right w:val="none" w:sz="0" w:space="0" w:color="auto"/>
          </w:divBdr>
        </w:div>
      </w:divsChild>
    </w:div>
    <w:div w:id="679819079">
      <w:marLeft w:val="0"/>
      <w:marRight w:val="0"/>
      <w:marTop w:val="0"/>
      <w:marBottom w:val="0"/>
      <w:divBdr>
        <w:top w:val="none" w:sz="0" w:space="0" w:color="auto"/>
        <w:left w:val="none" w:sz="0" w:space="0" w:color="auto"/>
        <w:bottom w:val="none" w:sz="0" w:space="0" w:color="auto"/>
        <w:right w:val="none" w:sz="0" w:space="0" w:color="auto"/>
      </w:divBdr>
      <w:divsChild>
        <w:div w:id="443230812">
          <w:marLeft w:val="0"/>
          <w:marRight w:val="0"/>
          <w:marTop w:val="0"/>
          <w:marBottom w:val="0"/>
          <w:divBdr>
            <w:top w:val="none" w:sz="0" w:space="0" w:color="auto"/>
            <w:left w:val="none" w:sz="0" w:space="0" w:color="auto"/>
            <w:bottom w:val="none" w:sz="0" w:space="0" w:color="auto"/>
            <w:right w:val="none" w:sz="0" w:space="0" w:color="auto"/>
          </w:divBdr>
        </w:div>
      </w:divsChild>
    </w:div>
    <w:div w:id="680595432">
      <w:marLeft w:val="0"/>
      <w:marRight w:val="0"/>
      <w:marTop w:val="0"/>
      <w:marBottom w:val="0"/>
      <w:divBdr>
        <w:top w:val="none" w:sz="0" w:space="0" w:color="auto"/>
        <w:left w:val="none" w:sz="0" w:space="0" w:color="auto"/>
        <w:bottom w:val="none" w:sz="0" w:space="0" w:color="auto"/>
        <w:right w:val="none" w:sz="0" w:space="0" w:color="auto"/>
      </w:divBdr>
    </w:div>
    <w:div w:id="684095980">
      <w:marLeft w:val="0"/>
      <w:marRight w:val="0"/>
      <w:marTop w:val="0"/>
      <w:marBottom w:val="180"/>
      <w:divBdr>
        <w:top w:val="none" w:sz="0" w:space="0" w:color="auto"/>
        <w:left w:val="none" w:sz="0" w:space="0" w:color="auto"/>
        <w:bottom w:val="none" w:sz="0" w:space="0" w:color="auto"/>
        <w:right w:val="none" w:sz="0" w:space="0" w:color="auto"/>
      </w:divBdr>
    </w:div>
    <w:div w:id="697197974">
      <w:marLeft w:val="0"/>
      <w:marRight w:val="0"/>
      <w:marTop w:val="0"/>
      <w:marBottom w:val="220"/>
      <w:divBdr>
        <w:top w:val="none" w:sz="0" w:space="0" w:color="auto"/>
        <w:left w:val="none" w:sz="0" w:space="0" w:color="auto"/>
        <w:bottom w:val="none" w:sz="0" w:space="0" w:color="auto"/>
        <w:right w:val="none" w:sz="0" w:space="0" w:color="auto"/>
      </w:divBdr>
    </w:div>
    <w:div w:id="710304664">
      <w:marLeft w:val="0"/>
      <w:marRight w:val="0"/>
      <w:marTop w:val="0"/>
      <w:marBottom w:val="0"/>
      <w:divBdr>
        <w:top w:val="none" w:sz="0" w:space="0" w:color="auto"/>
        <w:left w:val="none" w:sz="0" w:space="0" w:color="auto"/>
        <w:bottom w:val="none" w:sz="0" w:space="0" w:color="auto"/>
        <w:right w:val="none" w:sz="0" w:space="0" w:color="auto"/>
      </w:divBdr>
      <w:divsChild>
        <w:div w:id="1750881030">
          <w:marLeft w:val="0"/>
          <w:marRight w:val="0"/>
          <w:marTop w:val="0"/>
          <w:marBottom w:val="0"/>
          <w:divBdr>
            <w:top w:val="none" w:sz="0" w:space="0" w:color="auto"/>
            <w:left w:val="none" w:sz="0" w:space="0" w:color="auto"/>
            <w:bottom w:val="none" w:sz="0" w:space="0" w:color="auto"/>
            <w:right w:val="none" w:sz="0" w:space="0" w:color="auto"/>
          </w:divBdr>
        </w:div>
      </w:divsChild>
    </w:div>
    <w:div w:id="714550910">
      <w:marLeft w:val="0"/>
      <w:marRight w:val="0"/>
      <w:marTop w:val="0"/>
      <w:marBottom w:val="0"/>
      <w:divBdr>
        <w:top w:val="none" w:sz="0" w:space="0" w:color="auto"/>
        <w:left w:val="none" w:sz="0" w:space="0" w:color="auto"/>
        <w:bottom w:val="none" w:sz="0" w:space="0" w:color="auto"/>
        <w:right w:val="none" w:sz="0" w:space="0" w:color="auto"/>
      </w:divBdr>
      <w:divsChild>
        <w:div w:id="1381630497">
          <w:marLeft w:val="0"/>
          <w:marRight w:val="0"/>
          <w:marTop w:val="0"/>
          <w:marBottom w:val="0"/>
          <w:divBdr>
            <w:top w:val="none" w:sz="0" w:space="0" w:color="auto"/>
            <w:left w:val="none" w:sz="0" w:space="0" w:color="auto"/>
            <w:bottom w:val="none" w:sz="0" w:space="0" w:color="auto"/>
            <w:right w:val="none" w:sz="0" w:space="0" w:color="auto"/>
          </w:divBdr>
        </w:div>
      </w:divsChild>
    </w:div>
    <w:div w:id="715816241">
      <w:marLeft w:val="0"/>
      <w:marRight w:val="0"/>
      <w:marTop w:val="0"/>
      <w:marBottom w:val="0"/>
      <w:divBdr>
        <w:top w:val="none" w:sz="0" w:space="0" w:color="auto"/>
        <w:left w:val="none" w:sz="0" w:space="0" w:color="auto"/>
        <w:bottom w:val="none" w:sz="0" w:space="0" w:color="auto"/>
        <w:right w:val="none" w:sz="0" w:space="0" w:color="auto"/>
      </w:divBdr>
    </w:div>
    <w:div w:id="720904600">
      <w:marLeft w:val="0"/>
      <w:marRight w:val="0"/>
      <w:marTop w:val="0"/>
      <w:marBottom w:val="0"/>
      <w:divBdr>
        <w:top w:val="none" w:sz="0" w:space="0" w:color="auto"/>
        <w:left w:val="none" w:sz="0" w:space="0" w:color="auto"/>
        <w:bottom w:val="none" w:sz="0" w:space="0" w:color="auto"/>
        <w:right w:val="none" w:sz="0" w:space="0" w:color="auto"/>
      </w:divBdr>
      <w:divsChild>
        <w:div w:id="1928690434">
          <w:marLeft w:val="0"/>
          <w:marRight w:val="0"/>
          <w:marTop w:val="0"/>
          <w:marBottom w:val="0"/>
          <w:divBdr>
            <w:top w:val="none" w:sz="0" w:space="0" w:color="auto"/>
            <w:left w:val="none" w:sz="0" w:space="0" w:color="auto"/>
            <w:bottom w:val="none" w:sz="0" w:space="0" w:color="auto"/>
            <w:right w:val="none" w:sz="0" w:space="0" w:color="auto"/>
          </w:divBdr>
        </w:div>
      </w:divsChild>
    </w:div>
    <w:div w:id="735081904">
      <w:marLeft w:val="0"/>
      <w:marRight w:val="0"/>
      <w:marTop w:val="0"/>
      <w:marBottom w:val="180"/>
      <w:divBdr>
        <w:top w:val="none" w:sz="0" w:space="0" w:color="auto"/>
        <w:left w:val="none" w:sz="0" w:space="0" w:color="auto"/>
        <w:bottom w:val="none" w:sz="0" w:space="0" w:color="auto"/>
        <w:right w:val="none" w:sz="0" w:space="0" w:color="auto"/>
      </w:divBdr>
    </w:div>
    <w:div w:id="737509035">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180"/>
      <w:divBdr>
        <w:top w:val="none" w:sz="0" w:space="0" w:color="auto"/>
        <w:left w:val="none" w:sz="0" w:space="0" w:color="auto"/>
        <w:bottom w:val="none" w:sz="0" w:space="0" w:color="auto"/>
        <w:right w:val="none" w:sz="0" w:space="0" w:color="auto"/>
      </w:divBdr>
    </w:div>
    <w:div w:id="755177147">
      <w:marLeft w:val="0"/>
      <w:marRight w:val="0"/>
      <w:marTop w:val="0"/>
      <w:marBottom w:val="180"/>
      <w:divBdr>
        <w:top w:val="none" w:sz="0" w:space="0" w:color="auto"/>
        <w:left w:val="none" w:sz="0" w:space="0" w:color="auto"/>
        <w:bottom w:val="none" w:sz="0" w:space="0" w:color="auto"/>
        <w:right w:val="none" w:sz="0" w:space="0" w:color="auto"/>
      </w:divBdr>
    </w:div>
    <w:div w:id="756708980">
      <w:marLeft w:val="0"/>
      <w:marRight w:val="0"/>
      <w:marTop w:val="0"/>
      <w:marBottom w:val="80"/>
      <w:divBdr>
        <w:top w:val="none" w:sz="0" w:space="0" w:color="auto"/>
        <w:left w:val="none" w:sz="0" w:space="0" w:color="auto"/>
        <w:bottom w:val="none" w:sz="0" w:space="0" w:color="auto"/>
        <w:right w:val="none" w:sz="0" w:space="0" w:color="auto"/>
      </w:divBdr>
      <w:divsChild>
        <w:div w:id="90785383">
          <w:marLeft w:val="0"/>
          <w:marRight w:val="0"/>
          <w:marTop w:val="0"/>
          <w:marBottom w:val="0"/>
          <w:divBdr>
            <w:top w:val="none" w:sz="0" w:space="0" w:color="auto"/>
            <w:left w:val="none" w:sz="0" w:space="0" w:color="auto"/>
            <w:bottom w:val="none" w:sz="0" w:space="0" w:color="auto"/>
            <w:right w:val="none" w:sz="0" w:space="0" w:color="auto"/>
          </w:divBdr>
        </w:div>
      </w:divsChild>
    </w:div>
    <w:div w:id="767891763">
      <w:marLeft w:val="0"/>
      <w:marRight w:val="0"/>
      <w:marTop w:val="0"/>
      <w:marBottom w:val="180"/>
      <w:divBdr>
        <w:top w:val="none" w:sz="0" w:space="0" w:color="auto"/>
        <w:left w:val="none" w:sz="0" w:space="0" w:color="auto"/>
        <w:bottom w:val="none" w:sz="0" w:space="0" w:color="auto"/>
        <w:right w:val="none" w:sz="0" w:space="0" w:color="auto"/>
      </w:divBdr>
    </w:div>
    <w:div w:id="779840382">
      <w:marLeft w:val="0"/>
      <w:marRight w:val="0"/>
      <w:marTop w:val="0"/>
      <w:marBottom w:val="180"/>
      <w:divBdr>
        <w:top w:val="none" w:sz="0" w:space="0" w:color="auto"/>
        <w:left w:val="none" w:sz="0" w:space="0" w:color="auto"/>
        <w:bottom w:val="none" w:sz="0" w:space="0" w:color="auto"/>
        <w:right w:val="none" w:sz="0" w:space="0" w:color="auto"/>
      </w:divBdr>
    </w:div>
    <w:div w:id="784932688">
      <w:marLeft w:val="0"/>
      <w:marRight w:val="0"/>
      <w:marTop w:val="0"/>
      <w:marBottom w:val="0"/>
      <w:divBdr>
        <w:top w:val="none" w:sz="0" w:space="0" w:color="auto"/>
        <w:left w:val="none" w:sz="0" w:space="0" w:color="auto"/>
        <w:bottom w:val="none" w:sz="0" w:space="0" w:color="auto"/>
        <w:right w:val="none" w:sz="0" w:space="0" w:color="auto"/>
      </w:divBdr>
    </w:div>
    <w:div w:id="808984498">
      <w:marLeft w:val="0"/>
      <w:marRight w:val="0"/>
      <w:marTop w:val="0"/>
      <w:marBottom w:val="0"/>
      <w:divBdr>
        <w:top w:val="none" w:sz="0" w:space="0" w:color="auto"/>
        <w:left w:val="none" w:sz="0" w:space="0" w:color="auto"/>
        <w:bottom w:val="none" w:sz="0" w:space="0" w:color="auto"/>
        <w:right w:val="none" w:sz="0" w:space="0" w:color="auto"/>
      </w:divBdr>
      <w:divsChild>
        <w:div w:id="213085630">
          <w:marLeft w:val="0"/>
          <w:marRight w:val="0"/>
          <w:marTop w:val="0"/>
          <w:marBottom w:val="0"/>
          <w:divBdr>
            <w:top w:val="none" w:sz="0" w:space="0" w:color="auto"/>
            <w:left w:val="none" w:sz="0" w:space="0" w:color="auto"/>
            <w:bottom w:val="none" w:sz="0" w:space="0" w:color="auto"/>
            <w:right w:val="none" w:sz="0" w:space="0" w:color="auto"/>
          </w:divBdr>
        </w:div>
      </w:divsChild>
    </w:div>
    <w:div w:id="812600203">
      <w:marLeft w:val="0"/>
      <w:marRight w:val="0"/>
      <w:marTop w:val="0"/>
      <w:marBottom w:val="0"/>
      <w:divBdr>
        <w:top w:val="none" w:sz="0" w:space="0" w:color="auto"/>
        <w:left w:val="none" w:sz="0" w:space="0" w:color="auto"/>
        <w:bottom w:val="none" w:sz="0" w:space="0" w:color="auto"/>
        <w:right w:val="none" w:sz="0" w:space="0" w:color="auto"/>
      </w:divBdr>
      <w:divsChild>
        <w:div w:id="703795469">
          <w:marLeft w:val="0"/>
          <w:marRight w:val="0"/>
          <w:marTop w:val="0"/>
          <w:marBottom w:val="0"/>
          <w:divBdr>
            <w:top w:val="none" w:sz="0" w:space="0" w:color="auto"/>
            <w:left w:val="none" w:sz="0" w:space="0" w:color="auto"/>
            <w:bottom w:val="none" w:sz="0" w:space="0" w:color="auto"/>
            <w:right w:val="none" w:sz="0" w:space="0" w:color="auto"/>
          </w:divBdr>
        </w:div>
      </w:divsChild>
    </w:div>
    <w:div w:id="819925320">
      <w:marLeft w:val="0"/>
      <w:marRight w:val="0"/>
      <w:marTop w:val="0"/>
      <w:marBottom w:val="180"/>
      <w:divBdr>
        <w:top w:val="none" w:sz="0" w:space="0" w:color="auto"/>
        <w:left w:val="none" w:sz="0" w:space="0" w:color="auto"/>
        <w:bottom w:val="none" w:sz="0" w:space="0" w:color="auto"/>
        <w:right w:val="none" w:sz="0" w:space="0" w:color="auto"/>
      </w:divBdr>
    </w:div>
    <w:div w:id="824662031">
      <w:marLeft w:val="0"/>
      <w:marRight w:val="0"/>
      <w:marTop w:val="0"/>
      <w:marBottom w:val="0"/>
      <w:divBdr>
        <w:top w:val="none" w:sz="0" w:space="0" w:color="auto"/>
        <w:left w:val="none" w:sz="0" w:space="0" w:color="auto"/>
        <w:bottom w:val="none" w:sz="0" w:space="0" w:color="auto"/>
        <w:right w:val="none" w:sz="0" w:space="0" w:color="auto"/>
      </w:divBdr>
      <w:divsChild>
        <w:div w:id="165947416">
          <w:marLeft w:val="0"/>
          <w:marRight w:val="0"/>
          <w:marTop w:val="0"/>
          <w:marBottom w:val="0"/>
          <w:divBdr>
            <w:top w:val="none" w:sz="0" w:space="0" w:color="auto"/>
            <w:left w:val="none" w:sz="0" w:space="0" w:color="auto"/>
            <w:bottom w:val="none" w:sz="0" w:space="0" w:color="auto"/>
            <w:right w:val="none" w:sz="0" w:space="0" w:color="auto"/>
          </w:divBdr>
        </w:div>
      </w:divsChild>
    </w:div>
    <w:div w:id="825055729">
      <w:marLeft w:val="0"/>
      <w:marRight w:val="0"/>
      <w:marTop w:val="0"/>
      <w:marBottom w:val="0"/>
      <w:divBdr>
        <w:top w:val="none" w:sz="0" w:space="0" w:color="auto"/>
        <w:left w:val="none" w:sz="0" w:space="0" w:color="auto"/>
        <w:bottom w:val="none" w:sz="0" w:space="0" w:color="auto"/>
        <w:right w:val="none" w:sz="0" w:space="0" w:color="auto"/>
      </w:divBdr>
    </w:div>
    <w:div w:id="838929369">
      <w:marLeft w:val="0"/>
      <w:marRight w:val="0"/>
      <w:marTop w:val="0"/>
      <w:marBottom w:val="0"/>
      <w:divBdr>
        <w:top w:val="none" w:sz="0" w:space="0" w:color="auto"/>
        <w:left w:val="none" w:sz="0" w:space="0" w:color="auto"/>
        <w:bottom w:val="none" w:sz="0" w:space="0" w:color="auto"/>
        <w:right w:val="none" w:sz="0" w:space="0" w:color="auto"/>
      </w:divBdr>
    </w:div>
    <w:div w:id="839588391">
      <w:marLeft w:val="0"/>
      <w:marRight w:val="0"/>
      <w:marTop w:val="0"/>
      <w:marBottom w:val="0"/>
      <w:divBdr>
        <w:top w:val="none" w:sz="0" w:space="0" w:color="auto"/>
        <w:left w:val="none" w:sz="0" w:space="0" w:color="auto"/>
        <w:bottom w:val="none" w:sz="0" w:space="0" w:color="auto"/>
        <w:right w:val="none" w:sz="0" w:space="0" w:color="auto"/>
      </w:divBdr>
    </w:div>
    <w:div w:id="847795360">
      <w:marLeft w:val="0"/>
      <w:marRight w:val="0"/>
      <w:marTop w:val="0"/>
      <w:marBottom w:val="0"/>
      <w:divBdr>
        <w:top w:val="none" w:sz="0" w:space="0" w:color="auto"/>
        <w:left w:val="none" w:sz="0" w:space="0" w:color="auto"/>
        <w:bottom w:val="none" w:sz="0" w:space="0" w:color="auto"/>
        <w:right w:val="none" w:sz="0" w:space="0" w:color="auto"/>
      </w:divBdr>
    </w:div>
    <w:div w:id="854464427">
      <w:marLeft w:val="0"/>
      <w:marRight w:val="0"/>
      <w:marTop w:val="0"/>
      <w:marBottom w:val="0"/>
      <w:divBdr>
        <w:top w:val="none" w:sz="0" w:space="0" w:color="auto"/>
        <w:left w:val="none" w:sz="0" w:space="0" w:color="auto"/>
        <w:bottom w:val="none" w:sz="0" w:space="0" w:color="auto"/>
        <w:right w:val="none" w:sz="0" w:space="0" w:color="auto"/>
      </w:divBdr>
    </w:div>
    <w:div w:id="867566192">
      <w:marLeft w:val="0"/>
      <w:marRight w:val="0"/>
      <w:marTop w:val="0"/>
      <w:marBottom w:val="0"/>
      <w:divBdr>
        <w:top w:val="none" w:sz="0" w:space="0" w:color="auto"/>
        <w:left w:val="none" w:sz="0" w:space="0" w:color="auto"/>
        <w:bottom w:val="none" w:sz="0" w:space="0" w:color="auto"/>
        <w:right w:val="none" w:sz="0" w:space="0" w:color="auto"/>
      </w:divBdr>
      <w:divsChild>
        <w:div w:id="652224509">
          <w:marLeft w:val="0"/>
          <w:marRight w:val="0"/>
          <w:marTop w:val="0"/>
          <w:marBottom w:val="0"/>
          <w:divBdr>
            <w:top w:val="none" w:sz="0" w:space="0" w:color="auto"/>
            <w:left w:val="none" w:sz="0" w:space="0" w:color="auto"/>
            <w:bottom w:val="none" w:sz="0" w:space="0" w:color="auto"/>
            <w:right w:val="none" w:sz="0" w:space="0" w:color="auto"/>
          </w:divBdr>
        </w:div>
      </w:divsChild>
    </w:div>
    <w:div w:id="891968667">
      <w:marLeft w:val="0"/>
      <w:marRight w:val="0"/>
      <w:marTop w:val="0"/>
      <w:marBottom w:val="0"/>
      <w:divBdr>
        <w:top w:val="none" w:sz="0" w:space="0" w:color="auto"/>
        <w:left w:val="none" w:sz="0" w:space="0" w:color="auto"/>
        <w:bottom w:val="none" w:sz="0" w:space="0" w:color="auto"/>
        <w:right w:val="none" w:sz="0" w:space="0" w:color="auto"/>
      </w:divBdr>
      <w:divsChild>
        <w:div w:id="647788454">
          <w:marLeft w:val="0"/>
          <w:marRight w:val="0"/>
          <w:marTop w:val="0"/>
          <w:marBottom w:val="0"/>
          <w:divBdr>
            <w:top w:val="none" w:sz="0" w:space="0" w:color="auto"/>
            <w:left w:val="none" w:sz="0" w:space="0" w:color="auto"/>
            <w:bottom w:val="none" w:sz="0" w:space="0" w:color="auto"/>
            <w:right w:val="none" w:sz="0" w:space="0" w:color="auto"/>
          </w:divBdr>
        </w:div>
      </w:divsChild>
    </w:div>
    <w:div w:id="892228305">
      <w:marLeft w:val="0"/>
      <w:marRight w:val="0"/>
      <w:marTop w:val="0"/>
      <w:marBottom w:val="0"/>
      <w:divBdr>
        <w:top w:val="none" w:sz="0" w:space="0" w:color="auto"/>
        <w:left w:val="none" w:sz="0" w:space="0" w:color="auto"/>
        <w:bottom w:val="none" w:sz="0" w:space="0" w:color="auto"/>
        <w:right w:val="none" w:sz="0" w:space="0" w:color="auto"/>
      </w:divBdr>
      <w:divsChild>
        <w:div w:id="583147774">
          <w:marLeft w:val="0"/>
          <w:marRight w:val="0"/>
          <w:marTop w:val="0"/>
          <w:marBottom w:val="0"/>
          <w:divBdr>
            <w:top w:val="none" w:sz="0" w:space="0" w:color="auto"/>
            <w:left w:val="none" w:sz="0" w:space="0" w:color="auto"/>
            <w:bottom w:val="none" w:sz="0" w:space="0" w:color="auto"/>
            <w:right w:val="none" w:sz="0" w:space="0" w:color="auto"/>
          </w:divBdr>
        </w:div>
      </w:divsChild>
    </w:div>
    <w:div w:id="903830460">
      <w:marLeft w:val="0"/>
      <w:marRight w:val="0"/>
      <w:marTop w:val="0"/>
      <w:marBottom w:val="0"/>
      <w:divBdr>
        <w:top w:val="none" w:sz="0" w:space="0" w:color="auto"/>
        <w:left w:val="none" w:sz="0" w:space="0" w:color="auto"/>
        <w:bottom w:val="none" w:sz="0" w:space="0" w:color="auto"/>
        <w:right w:val="none" w:sz="0" w:space="0" w:color="auto"/>
      </w:divBdr>
    </w:div>
    <w:div w:id="922445581">
      <w:marLeft w:val="0"/>
      <w:marRight w:val="0"/>
      <w:marTop w:val="0"/>
      <w:marBottom w:val="180"/>
      <w:divBdr>
        <w:top w:val="none" w:sz="0" w:space="0" w:color="auto"/>
        <w:left w:val="none" w:sz="0" w:space="0" w:color="auto"/>
        <w:bottom w:val="none" w:sz="0" w:space="0" w:color="auto"/>
        <w:right w:val="none" w:sz="0" w:space="0" w:color="auto"/>
      </w:divBdr>
    </w:div>
    <w:div w:id="922758931">
      <w:marLeft w:val="0"/>
      <w:marRight w:val="0"/>
      <w:marTop w:val="0"/>
      <w:marBottom w:val="0"/>
      <w:divBdr>
        <w:top w:val="none" w:sz="0" w:space="0" w:color="auto"/>
        <w:left w:val="none" w:sz="0" w:space="0" w:color="auto"/>
        <w:bottom w:val="none" w:sz="0" w:space="0" w:color="auto"/>
        <w:right w:val="none" w:sz="0" w:space="0" w:color="auto"/>
      </w:divBdr>
      <w:divsChild>
        <w:div w:id="1136878233">
          <w:marLeft w:val="0"/>
          <w:marRight w:val="0"/>
          <w:marTop w:val="0"/>
          <w:marBottom w:val="0"/>
          <w:divBdr>
            <w:top w:val="none" w:sz="0" w:space="0" w:color="auto"/>
            <w:left w:val="none" w:sz="0" w:space="0" w:color="auto"/>
            <w:bottom w:val="none" w:sz="0" w:space="0" w:color="auto"/>
            <w:right w:val="none" w:sz="0" w:space="0" w:color="auto"/>
          </w:divBdr>
        </w:div>
      </w:divsChild>
    </w:div>
    <w:div w:id="935676950">
      <w:marLeft w:val="0"/>
      <w:marRight w:val="0"/>
      <w:marTop w:val="180"/>
      <w:marBottom w:val="0"/>
      <w:divBdr>
        <w:top w:val="none" w:sz="0" w:space="0" w:color="auto"/>
        <w:left w:val="none" w:sz="0" w:space="0" w:color="auto"/>
        <w:bottom w:val="none" w:sz="0" w:space="0" w:color="auto"/>
        <w:right w:val="none" w:sz="0" w:space="0" w:color="auto"/>
      </w:divBdr>
    </w:div>
    <w:div w:id="937251461">
      <w:marLeft w:val="0"/>
      <w:marRight w:val="0"/>
      <w:marTop w:val="0"/>
      <w:marBottom w:val="180"/>
      <w:divBdr>
        <w:top w:val="none" w:sz="0" w:space="0" w:color="auto"/>
        <w:left w:val="none" w:sz="0" w:space="0" w:color="auto"/>
        <w:bottom w:val="none" w:sz="0" w:space="0" w:color="auto"/>
        <w:right w:val="none" w:sz="0" w:space="0" w:color="auto"/>
      </w:divBdr>
    </w:div>
    <w:div w:id="939023735">
      <w:marLeft w:val="0"/>
      <w:marRight w:val="0"/>
      <w:marTop w:val="60"/>
      <w:marBottom w:val="0"/>
      <w:divBdr>
        <w:top w:val="none" w:sz="0" w:space="0" w:color="auto"/>
        <w:left w:val="none" w:sz="0" w:space="0" w:color="auto"/>
        <w:bottom w:val="none" w:sz="0" w:space="0" w:color="auto"/>
        <w:right w:val="none" w:sz="0" w:space="0" w:color="auto"/>
      </w:divBdr>
    </w:div>
    <w:div w:id="939140539">
      <w:marLeft w:val="0"/>
      <w:marRight w:val="0"/>
      <w:marTop w:val="0"/>
      <w:marBottom w:val="180"/>
      <w:divBdr>
        <w:top w:val="none" w:sz="0" w:space="0" w:color="auto"/>
        <w:left w:val="none" w:sz="0" w:space="0" w:color="auto"/>
        <w:bottom w:val="none" w:sz="0" w:space="0" w:color="auto"/>
        <w:right w:val="none" w:sz="0" w:space="0" w:color="auto"/>
      </w:divBdr>
    </w:div>
    <w:div w:id="941228974">
      <w:marLeft w:val="0"/>
      <w:marRight w:val="0"/>
      <w:marTop w:val="0"/>
      <w:marBottom w:val="0"/>
      <w:divBdr>
        <w:top w:val="none" w:sz="0" w:space="0" w:color="auto"/>
        <w:left w:val="none" w:sz="0" w:space="0" w:color="auto"/>
        <w:bottom w:val="none" w:sz="0" w:space="0" w:color="auto"/>
        <w:right w:val="none" w:sz="0" w:space="0" w:color="auto"/>
      </w:divBdr>
      <w:divsChild>
        <w:div w:id="2037195726">
          <w:marLeft w:val="0"/>
          <w:marRight w:val="0"/>
          <w:marTop w:val="0"/>
          <w:marBottom w:val="0"/>
          <w:divBdr>
            <w:top w:val="none" w:sz="0" w:space="0" w:color="auto"/>
            <w:left w:val="none" w:sz="0" w:space="0" w:color="auto"/>
            <w:bottom w:val="none" w:sz="0" w:space="0" w:color="auto"/>
            <w:right w:val="none" w:sz="0" w:space="0" w:color="auto"/>
          </w:divBdr>
        </w:div>
      </w:divsChild>
    </w:div>
    <w:div w:id="944996057">
      <w:marLeft w:val="0"/>
      <w:marRight w:val="0"/>
      <w:marTop w:val="0"/>
      <w:marBottom w:val="0"/>
      <w:divBdr>
        <w:top w:val="none" w:sz="0" w:space="0" w:color="auto"/>
        <w:left w:val="none" w:sz="0" w:space="0" w:color="auto"/>
        <w:bottom w:val="none" w:sz="0" w:space="0" w:color="auto"/>
        <w:right w:val="none" w:sz="0" w:space="0" w:color="auto"/>
      </w:divBdr>
    </w:div>
    <w:div w:id="948972377">
      <w:marLeft w:val="0"/>
      <w:marRight w:val="0"/>
      <w:marTop w:val="0"/>
      <w:marBottom w:val="0"/>
      <w:divBdr>
        <w:top w:val="none" w:sz="0" w:space="0" w:color="auto"/>
        <w:left w:val="none" w:sz="0" w:space="0" w:color="auto"/>
        <w:bottom w:val="none" w:sz="0" w:space="0" w:color="auto"/>
        <w:right w:val="none" w:sz="0" w:space="0" w:color="auto"/>
      </w:divBdr>
      <w:divsChild>
        <w:div w:id="1088232578">
          <w:marLeft w:val="0"/>
          <w:marRight w:val="0"/>
          <w:marTop w:val="0"/>
          <w:marBottom w:val="0"/>
          <w:divBdr>
            <w:top w:val="none" w:sz="0" w:space="0" w:color="auto"/>
            <w:left w:val="none" w:sz="0" w:space="0" w:color="auto"/>
            <w:bottom w:val="none" w:sz="0" w:space="0" w:color="auto"/>
            <w:right w:val="none" w:sz="0" w:space="0" w:color="auto"/>
          </w:divBdr>
        </w:div>
      </w:divsChild>
    </w:div>
    <w:div w:id="949361018">
      <w:marLeft w:val="0"/>
      <w:marRight w:val="0"/>
      <w:marTop w:val="0"/>
      <w:marBottom w:val="0"/>
      <w:divBdr>
        <w:top w:val="none" w:sz="0" w:space="0" w:color="auto"/>
        <w:left w:val="none" w:sz="0" w:space="0" w:color="auto"/>
        <w:bottom w:val="none" w:sz="0" w:space="0" w:color="auto"/>
        <w:right w:val="none" w:sz="0" w:space="0" w:color="auto"/>
      </w:divBdr>
      <w:divsChild>
        <w:div w:id="1215388423">
          <w:marLeft w:val="0"/>
          <w:marRight w:val="0"/>
          <w:marTop w:val="0"/>
          <w:marBottom w:val="0"/>
          <w:divBdr>
            <w:top w:val="none" w:sz="0" w:space="0" w:color="auto"/>
            <w:left w:val="none" w:sz="0" w:space="0" w:color="auto"/>
            <w:bottom w:val="none" w:sz="0" w:space="0" w:color="auto"/>
            <w:right w:val="none" w:sz="0" w:space="0" w:color="auto"/>
          </w:divBdr>
        </w:div>
      </w:divsChild>
    </w:div>
    <w:div w:id="951404949">
      <w:marLeft w:val="0"/>
      <w:marRight w:val="0"/>
      <w:marTop w:val="0"/>
      <w:marBottom w:val="0"/>
      <w:divBdr>
        <w:top w:val="none" w:sz="0" w:space="0" w:color="auto"/>
        <w:left w:val="none" w:sz="0" w:space="0" w:color="auto"/>
        <w:bottom w:val="none" w:sz="0" w:space="0" w:color="auto"/>
        <w:right w:val="none" w:sz="0" w:space="0" w:color="auto"/>
      </w:divBdr>
    </w:div>
    <w:div w:id="973565623">
      <w:marLeft w:val="0"/>
      <w:marRight w:val="0"/>
      <w:marTop w:val="100"/>
      <w:marBottom w:val="0"/>
      <w:divBdr>
        <w:top w:val="none" w:sz="0" w:space="0" w:color="auto"/>
        <w:left w:val="none" w:sz="0" w:space="0" w:color="auto"/>
        <w:bottom w:val="none" w:sz="0" w:space="0" w:color="auto"/>
        <w:right w:val="none" w:sz="0" w:space="0" w:color="auto"/>
      </w:divBdr>
      <w:divsChild>
        <w:div w:id="889459698">
          <w:marLeft w:val="0"/>
          <w:marRight w:val="0"/>
          <w:marTop w:val="0"/>
          <w:marBottom w:val="0"/>
          <w:divBdr>
            <w:top w:val="none" w:sz="0" w:space="0" w:color="auto"/>
            <w:left w:val="none" w:sz="0" w:space="0" w:color="auto"/>
            <w:bottom w:val="none" w:sz="0" w:space="0" w:color="auto"/>
            <w:right w:val="none" w:sz="0" w:space="0" w:color="auto"/>
          </w:divBdr>
        </w:div>
        <w:div w:id="941915068">
          <w:marLeft w:val="0"/>
          <w:marRight w:val="0"/>
          <w:marTop w:val="0"/>
          <w:marBottom w:val="0"/>
          <w:divBdr>
            <w:top w:val="none" w:sz="0" w:space="0" w:color="auto"/>
            <w:left w:val="none" w:sz="0" w:space="0" w:color="auto"/>
            <w:bottom w:val="none" w:sz="0" w:space="0" w:color="auto"/>
            <w:right w:val="none" w:sz="0" w:space="0" w:color="auto"/>
          </w:divBdr>
        </w:div>
        <w:div w:id="358243098">
          <w:marLeft w:val="0"/>
          <w:marRight w:val="0"/>
          <w:marTop w:val="0"/>
          <w:marBottom w:val="0"/>
          <w:divBdr>
            <w:top w:val="none" w:sz="0" w:space="0" w:color="auto"/>
            <w:left w:val="none" w:sz="0" w:space="0" w:color="auto"/>
            <w:bottom w:val="none" w:sz="0" w:space="0" w:color="auto"/>
            <w:right w:val="none" w:sz="0" w:space="0" w:color="auto"/>
          </w:divBdr>
        </w:div>
        <w:div w:id="319584158">
          <w:marLeft w:val="0"/>
          <w:marRight w:val="0"/>
          <w:marTop w:val="0"/>
          <w:marBottom w:val="0"/>
          <w:divBdr>
            <w:top w:val="none" w:sz="0" w:space="0" w:color="auto"/>
            <w:left w:val="none" w:sz="0" w:space="0" w:color="auto"/>
            <w:bottom w:val="none" w:sz="0" w:space="0" w:color="auto"/>
            <w:right w:val="none" w:sz="0" w:space="0" w:color="auto"/>
          </w:divBdr>
        </w:div>
        <w:div w:id="189295937">
          <w:marLeft w:val="0"/>
          <w:marRight w:val="0"/>
          <w:marTop w:val="0"/>
          <w:marBottom w:val="0"/>
          <w:divBdr>
            <w:top w:val="none" w:sz="0" w:space="0" w:color="auto"/>
            <w:left w:val="none" w:sz="0" w:space="0" w:color="auto"/>
            <w:bottom w:val="none" w:sz="0" w:space="0" w:color="auto"/>
            <w:right w:val="none" w:sz="0" w:space="0" w:color="auto"/>
          </w:divBdr>
        </w:div>
        <w:div w:id="216867017">
          <w:marLeft w:val="0"/>
          <w:marRight w:val="0"/>
          <w:marTop w:val="0"/>
          <w:marBottom w:val="0"/>
          <w:divBdr>
            <w:top w:val="none" w:sz="0" w:space="0" w:color="auto"/>
            <w:left w:val="none" w:sz="0" w:space="0" w:color="auto"/>
            <w:bottom w:val="none" w:sz="0" w:space="0" w:color="auto"/>
            <w:right w:val="none" w:sz="0" w:space="0" w:color="auto"/>
          </w:divBdr>
        </w:div>
        <w:div w:id="1397706868">
          <w:marLeft w:val="0"/>
          <w:marRight w:val="0"/>
          <w:marTop w:val="0"/>
          <w:marBottom w:val="0"/>
          <w:divBdr>
            <w:top w:val="none" w:sz="0" w:space="0" w:color="auto"/>
            <w:left w:val="none" w:sz="0" w:space="0" w:color="auto"/>
            <w:bottom w:val="none" w:sz="0" w:space="0" w:color="auto"/>
            <w:right w:val="none" w:sz="0" w:space="0" w:color="auto"/>
          </w:divBdr>
        </w:div>
        <w:div w:id="176040446">
          <w:marLeft w:val="0"/>
          <w:marRight w:val="0"/>
          <w:marTop w:val="0"/>
          <w:marBottom w:val="0"/>
          <w:divBdr>
            <w:top w:val="none" w:sz="0" w:space="0" w:color="auto"/>
            <w:left w:val="none" w:sz="0" w:space="0" w:color="auto"/>
            <w:bottom w:val="none" w:sz="0" w:space="0" w:color="auto"/>
            <w:right w:val="none" w:sz="0" w:space="0" w:color="auto"/>
          </w:divBdr>
        </w:div>
        <w:div w:id="47460624">
          <w:marLeft w:val="0"/>
          <w:marRight w:val="0"/>
          <w:marTop w:val="0"/>
          <w:marBottom w:val="0"/>
          <w:divBdr>
            <w:top w:val="none" w:sz="0" w:space="0" w:color="auto"/>
            <w:left w:val="none" w:sz="0" w:space="0" w:color="auto"/>
            <w:bottom w:val="none" w:sz="0" w:space="0" w:color="auto"/>
            <w:right w:val="none" w:sz="0" w:space="0" w:color="auto"/>
          </w:divBdr>
        </w:div>
        <w:div w:id="995499444">
          <w:marLeft w:val="0"/>
          <w:marRight w:val="0"/>
          <w:marTop w:val="0"/>
          <w:marBottom w:val="0"/>
          <w:divBdr>
            <w:top w:val="none" w:sz="0" w:space="0" w:color="auto"/>
            <w:left w:val="none" w:sz="0" w:space="0" w:color="auto"/>
            <w:bottom w:val="none" w:sz="0" w:space="0" w:color="auto"/>
            <w:right w:val="none" w:sz="0" w:space="0" w:color="auto"/>
          </w:divBdr>
        </w:div>
        <w:div w:id="40597640">
          <w:marLeft w:val="0"/>
          <w:marRight w:val="0"/>
          <w:marTop w:val="0"/>
          <w:marBottom w:val="0"/>
          <w:divBdr>
            <w:top w:val="none" w:sz="0" w:space="0" w:color="auto"/>
            <w:left w:val="none" w:sz="0" w:space="0" w:color="auto"/>
            <w:bottom w:val="none" w:sz="0" w:space="0" w:color="auto"/>
            <w:right w:val="none" w:sz="0" w:space="0" w:color="auto"/>
          </w:divBdr>
        </w:div>
        <w:div w:id="408386716">
          <w:marLeft w:val="0"/>
          <w:marRight w:val="0"/>
          <w:marTop w:val="0"/>
          <w:marBottom w:val="0"/>
          <w:divBdr>
            <w:top w:val="none" w:sz="0" w:space="0" w:color="auto"/>
            <w:left w:val="none" w:sz="0" w:space="0" w:color="auto"/>
            <w:bottom w:val="none" w:sz="0" w:space="0" w:color="auto"/>
            <w:right w:val="none" w:sz="0" w:space="0" w:color="auto"/>
          </w:divBdr>
        </w:div>
        <w:div w:id="532235018">
          <w:marLeft w:val="0"/>
          <w:marRight w:val="0"/>
          <w:marTop w:val="0"/>
          <w:marBottom w:val="0"/>
          <w:divBdr>
            <w:top w:val="none" w:sz="0" w:space="0" w:color="auto"/>
            <w:left w:val="none" w:sz="0" w:space="0" w:color="auto"/>
            <w:bottom w:val="none" w:sz="0" w:space="0" w:color="auto"/>
            <w:right w:val="none" w:sz="0" w:space="0" w:color="auto"/>
          </w:divBdr>
        </w:div>
        <w:div w:id="1909075155">
          <w:marLeft w:val="0"/>
          <w:marRight w:val="0"/>
          <w:marTop w:val="0"/>
          <w:marBottom w:val="0"/>
          <w:divBdr>
            <w:top w:val="none" w:sz="0" w:space="0" w:color="auto"/>
            <w:left w:val="none" w:sz="0" w:space="0" w:color="auto"/>
            <w:bottom w:val="none" w:sz="0" w:space="0" w:color="auto"/>
            <w:right w:val="none" w:sz="0" w:space="0" w:color="auto"/>
          </w:divBdr>
        </w:div>
      </w:divsChild>
    </w:div>
    <w:div w:id="981077595">
      <w:marLeft w:val="0"/>
      <w:marRight w:val="0"/>
      <w:marTop w:val="0"/>
      <w:marBottom w:val="0"/>
      <w:divBdr>
        <w:top w:val="none" w:sz="0" w:space="0" w:color="auto"/>
        <w:left w:val="none" w:sz="0" w:space="0" w:color="auto"/>
        <w:bottom w:val="none" w:sz="0" w:space="0" w:color="auto"/>
        <w:right w:val="none" w:sz="0" w:space="0" w:color="auto"/>
      </w:divBdr>
    </w:div>
    <w:div w:id="986128593">
      <w:marLeft w:val="0"/>
      <w:marRight w:val="0"/>
      <w:marTop w:val="0"/>
      <w:marBottom w:val="0"/>
      <w:divBdr>
        <w:top w:val="none" w:sz="0" w:space="0" w:color="auto"/>
        <w:left w:val="none" w:sz="0" w:space="0" w:color="auto"/>
        <w:bottom w:val="none" w:sz="0" w:space="0" w:color="auto"/>
        <w:right w:val="none" w:sz="0" w:space="0" w:color="auto"/>
      </w:divBdr>
      <w:divsChild>
        <w:div w:id="1778676769">
          <w:marLeft w:val="0"/>
          <w:marRight w:val="0"/>
          <w:marTop w:val="0"/>
          <w:marBottom w:val="0"/>
          <w:divBdr>
            <w:top w:val="none" w:sz="0" w:space="0" w:color="auto"/>
            <w:left w:val="none" w:sz="0" w:space="0" w:color="auto"/>
            <w:bottom w:val="none" w:sz="0" w:space="0" w:color="auto"/>
            <w:right w:val="none" w:sz="0" w:space="0" w:color="auto"/>
          </w:divBdr>
        </w:div>
      </w:divsChild>
    </w:div>
    <w:div w:id="986935582">
      <w:marLeft w:val="0"/>
      <w:marRight w:val="0"/>
      <w:marTop w:val="0"/>
      <w:marBottom w:val="180"/>
      <w:divBdr>
        <w:top w:val="none" w:sz="0" w:space="0" w:color="auto"/>
        <w:left w:val="none" w:sz="0" w:space="0" w:color="auto"/>
        <w:bottom w:val="none" w:sz="0" w:space="0" w:color="auto"/>
        <w:right w:val="none" w:sz="0" w:space="0" w:color="auto"/>
      </w:divBdr>
    </w:div>
    <w:div w:id="986975677">
      <w:marLeft w:val="0"/>
      <w:marRight w:val="0"/>
      <w:marTop w:val="0"/>
      <w:marBottom w:val="0"/>
      <w:divBdr>
        <w:top w:val="none" w:sz="0" w:space="0" w:color="auto"/>
        <w:left w:val="none" w:sz="0" w:space="0" w:color="auto"/>
        <w:bottom w:val="none" w:sz="0" w:space="0" w:color="auto"/>
        <w:right w:val="none" w:sz="0" w:space="0" w:color="auto"/>
      </w:divBdr>
    </w:div>
    <w:div w:id="988170001">
      <w:marLeft w:val="0"/>
      <w:marRight w:val="0"/>
      <w:marTop w:val="180"/>
      <w:marBottom w:val="0"/>
      <w:divBdr>
        <w:top w:val="none" w:sz="0" w:space="0" w:color="auto"/>
        <w:left w:val="none" w:sz="0" w:space="0" w:color="auto"/>
        <w:bottom w:val="none" w:sz="0" w:space="0" w:color="auto"/>
        <w:right w:val="none" w:sz="0" w:space="0" w:color="auto"/>
      </w:divBdr>
    </w:div>
    <w:div w:id="996568143">
      <w:marLeft w:val="0"/>
      <w:marRight w:val="0"/>
      <w:marTop w:val="0"/>
      <w:marBottom w:val="0"/>
      <w:divBdr>
        <w:top w:val="none" w:sz="0" w:space="0" w:color="auto"/>
        <w:left w:val="none" w:sz="0" w:space="0" w:color="auto"/>
        <w:bottom w:val="none" w:sz="0" w:space="0" w:color="auto"/>
        <w:right w:val="none" w:sz="0" w:space="0" w:color="auto"/>
      </w:divBdr>
      <w:divsChild>
        <w:div w:id="2124684448">
          <w:marLeft w:val="0"/>
          <w:marRight w:val="0"/>
          <w:marTop w:val="0"/>
          <w:marBottom w:val="0"/>
          <w:divBdr>
            <w:top w:val="none" w:sz="0" w:space="0" w:color="auto"/>
            <w:left w:val="none" w:sz="0" w:space="0" w:color="auto"/>
            <w:bottom w:val="none" w:sz="0" w:space="0" w:color="auto"/>
            <w:right w:val="none" w:sz="0" w:space="0" w:color="auto"/>
          </w:divBdr>
        </w:div>
      </w:divsChild>
    </w:div>
    <w:div w:id="1000893267">
      <w:marLeft w:val="0"/>
      <w:marRight w:val="0"/>
      <w:marTop w:val="0"/>
      <w:marBottom w:val="0"/>
      <w:divBdr>
        <w:top w:val="none" w:sz="0" w:space="0" w:color="auto"/>
        <w:left w:val="none" w:sz="0" w:space="0" w:color="auto"/>
        <w:bottom w:val="none" w:sz="0" w:space="0" w:color="auto"/>
        <w:right w:val="none" w:sz="0" w:space="0" w:color="auto"/>
      </w:divBdr>
      <w:divsChild>
        <w:div w:id="1840846881">
          <w:marLeft w:val="0"/>
          <w:marRight w:val="0"/>
          <w:marTop w:val="0"/>
          <w:marBottom w:val="0"/>
          <w:divBdr>
            <w:top w:val="none" w:sz="0" w:space="0" w:color="auto"/>
            <w:left w:val="none" w:sz="0" w:space="0" w:color="auto"/>
            <w:bottom w:val="none" w:sz="0" w:space="0" w:color="auto"/>
            <w:right w:val="none" w:sz="0" w:space="0" w:color="auto"/>
          </w:divBdr>
        </w:div>
      </w:divsChild>
    </w:div>
    <w:div w:id="1001737784">
      <w:marLeft w:val="0"/>
      <w:marRight w:val="0"/>
      <w:marTop w:val="0"/>
      <w:marBottom w:val="180"/>
      <w:divBdr>
        <w:top w:val="none" w:sz="0" w:space="0" w:color="auto"/>
        <w:left w:val="none" w:sz="0" w:space="0" w:color="auto"/>
        <w:bottom w:val="none" w:sz="0" w:space="0" w:color="auto"/>
        <w:right w:val="none" w:sz="0" w:space="0" w:color="auto"/>
      </w:divBdr>
    </w:div>
    <w:div w:id="1002394508">
      <w:marLeft w:val="0"/>
      <w:marRight w:val="0"/>
      <w:marTop w:val="0"/>
      <w:marBottom w:val="0"/>
      <w:divBdr>
        <w:top w:val="none" w:sz="0" w:space="0" w:color="auto"/>
        <w:left w:val="none" w:sz="0" w:space="0" w:color="auto"/>
        <w:bottom w:val="none" w:sz="0" w:space="0" w:color="auto"/>
        <w:right w:val="none" w:sz="0" w:space="0" w:color="auto"/>
      </w:divBdr>
    </w:div>
    <w:div w:id="1005399054">
      <w:marLeft w:val="0"/>
      <w:marRight w:val="0"/>
      <w:marTop w:val="0"/>
      <w:marBottom w:val="0"/>
      <w:divBdr>
        <w:top w:val="none" w:sz="0" w:space="0" w:color="auto"/>
        <w:left w:val="none" w:sz="0" w:space="0" w:color="auto"/>
        <w:bottom w:val="none" w:sz="0" w:space="0" w:color="auto"/>
        <w:right w:val="none" w:sz="0" w:space="0" w:color="auto"/>
      </w:divBdr>
    </w:div>
    <w:div w:id="1014381417">
      <w:marLeft w:val="0"/>
      <w:marRight w:val="0"/>
      <w:marTop w:val="0"/>
      <w:marBottom w:val="0"/>
      <w:divBdr>
        <w:top w:val="none" w:sz="0" w:space="0" w:color="auto"/>
        <w:left w:val="none" w:sz="0" w:space="0" w:color="auto"/>
        <w:bottom w:val="none" w:sz="0" w:space="0" w:color="auto"/>
        <w:right w:val="none" w:sz="0" w:space="0" w:color="auto"/>
      </w:divBdr>
      <w:divsChild>
        <w:div w:id="440490512">
          <w:marLeft w:val="0"/>
          <w:marRight w:val="0"/>
          <w:marTop w:val="0"/>
          <w:marBottom w:val="0"/>
          <w:divBdr>
            <w:top w:val="none" w:sz="0" w:space="0" w:color="auto"/>
            <w:left w:val="none" w:sz="0" w:space="0" w:color="auto"/>
            <w:bottom w:val="none" w:sz="0" w:space="0" w:color="auto"/>
            <w:right w:val="none" w:sz="0" w:space="0" w:color="auto"/>
          </w:divBdr>
        </w:div>
      </w:divsChild>
    </w:div>
    <w:div w:id="1023745210">
      <w:marLeft w:val="0"/>
      <w:marRight w:val="0"/>
      <w:marTop w:val="0"/>
      <w:marBottom w:val="0"/>
      <w:divBdr>
        <w:top w:val="none" w:sz="0" w:space="0" w:color="auto"/>
        <w:left w:val="none" w:sz="0" w:space="0" w:color="auto"/>
        <w:bottom w:val="none" w:sz="0" w:space="0" w:color="auto"/>
        <w:right w:val="none" w:sz="0" w:space="0" w:color="auto"/>
      </w:divBdr>
    </w:div>
    <w:div w:id="1027604966">
      <w:marLeft w:val="0"/>
      <w:marRight w:val="0"/>
      <w:marTop w:val="0"/>
      <w:marBottom w:val="0"/>
      <w:divBdr>
        <w:top w:val="none" w:sz="0" w:space="0" w:color="auto"/>
        <w:left w:val="none" w:sz="0" w:space="0" w:color="auto"/>
        <w:bottom w:val="none" w:sz="0" w:space="0" w:color="auto"/>
        <w:right w:val="none" w:sz="0" w:space="0" w:color="auto"/>
      </w:divBdr>
    </w:div>
    <w:div w:id="1028335545">
      <w:marLeft w:val="0"/>
      <w:marRight w:val="0"/>
      <w:marTop w:val="0"/>
      <w:marBottom w:val="180"/>
      <w:divBdr>
        <w:top w:val="none" w:sz="0" w:space="0" w:color="auto"/>
        <w:left w:val="none" w:sz="0" w:space="0" w:color="auto"/>
        <w:bottom w:val="none" w:sz="0" w:space="0" w:color="auto"/>
        <w:right w:val="none" w:sz="0" w:space="0" w:color="auto"/>
      </w:divBdr>
    </w:div>
    <w:div w:id="1028679447">
      <w:marLeft w:val="0"/>
      <w:marRight w:val="0"/>
      <w:marTop w:val="0"/>
      <w:marBottom w:val="0"/>
      <w:divBdr>
        <w:top w:val="none" w:sz="0" w:space="0" w:color="auto"/>
        <w:left w:val="none" w:sz="0" w:space="0" w:color="auto"/>
        <w:bottom w:val="none" w:sz="0" w:space="0" w:color="auto"/>
        <w:right w:val="none" w:sz="0" w:space="0" w:color="auto"/>
      </w:divBdr>
      <w:divsChild>
        <w:div w:id="933977947">
          <w:marLeft w:val="0"/>
          <w:marRight w:val="0"/>
          <w:marTop w:val="0"/>
          <w:marBottom w:val="0"/>
          <w:divBdr>
            <w:top w:val="none" w:sz="0" w:space="0" w:color="auto"/>
            <w:left w:val="none" w:sz="0" w:space="0" w:color="auto"/>
            <w:bottom w:val="none" w:sz="0" w:space="0" w:color="auto"/>
            <w:right w:val="none" w:sz="0" w:space="0" w:color="auto"/>
          </w:divBdr>
        </w:div>
      </w:divsChild>
    </w:div>
    <w:div w:id="1035816140">
      <w:marLeft w:val="0"/>
      <w:marRight w:val="0"/>
      <w:marTop w:val="0"/>
      <w:marBottom w:val="0"/>
      <w:divBdr>
        <w:top w:val="none" w:sz="0" w:space="0" w:color="auto"/>
        <w:left w:val="none" w:sz="0" w:space="0" w:color="auto"/>
        <w:bottom w:val="none" w:sz="0" w:space="0" w:color="auto"/>
        <w:right w:val="none" w:sz="0" w:space="0" w:color="auto"/>
      </w:divBdr>
      <w:divsChild>
        <w:div w:id="1670013013">
          <w:marLeft w:val="0"/>
          <w:marRight w:val="0"/>
          <w:marTop w:val="0"/>
          <w:marBottom w:val="0"/>
          <w:divBdr>
            <w:top w:val="none" w:sz="0" w:space="0" w:color="auto"/>
            <w:left w:val="none" w:sz="0" w:space="0" w:color="auto"/>
            <w:bottom w:val="none" w:sz="0" w:space="0" w:color="auto"/>
            <w:right w:val="none" w:sz="0" w:space="0" w:color="auto"/>
          </w:divBdr>
        </w:div>
      </w:divsChild>
    </w:div>
    <w:div w:id="1036128057">
      <w:marLeft w:val="0"/>
      <w:marRight w:val="0"/>
      <w:marTop w:val="0"/>
      <w:marBottom w:val="180"/>
      <w:divBdr>
        <w:top w:val="none" w:sz="0" w:space="0" w:color="auto"/>
        <w:left w:val="none" w:sz="0" w:space="0" w:color="auto"/>
        <w:bottom w:val="none" w:sz="0" w:space="0" w:color="auto"/>
        <w:right w:val="none" w:sz="0" w:space="0" w:color="auto"/>
      </w:divBdr>
    </w:div>
    <w:div w:id="1038238240">
      <w:marLeft w:val="0"/>
      <w:marRight w:val="0"/>
      <w:marTop w:val="0"/>
      <w:marBottom w:val="0"/>
      <w:divBdr>
        <w:top w:val="none" w:sz="0" w:space="0" w:color="auto"/>
        <w:left w:val="none" w:sz="0" w:space="0" w:color="auto"/>
        <w:bottom w:val="none" w:sz="0" w:space="0" w:color="auto"/>
        <w:right w:val="none" w:sz="0" w:space="0" w:color="auto"/>
      </w:divBdr>
      <w:divsChild>
        <w:div w:id="2066176842">
          <w:marLeft w:val="0"/>
          <w:marRight w:val="0"/>
          <w:marTop w:val="0"/>
          <w:marBottom w:val="0"/>
          <w:divBdr>
            <w:top w:val="none" w:sz="0" w:space="0" w:color="auto"/>
            <w:left w:val="none" w:sz="0" w:space="0" w:color="auto"/>
            <w:bottom w:val="none" w:sz="0" w:space="0" w:color="auto"/>
            <w:right w:val="none" w:sz="0" w:space="0" w:color="auto"/>
          </w:divBdr>
        </w:div>
      </w:divsChild>
    </w:div>
    <w:div w:id="1039477812">
      <w:marLeft w:val="0"/>
      <w:marRight w:val="0"/>
      <w:marTop w:val="100"/>
      <w:marBottom w:val="100"/>
      <w:divBdr>
        <w:top w:val="none" w:sz="0" w:space="0" w:color="auto"/>
        <w:left w:val="none" w:sz="0" w:space="0" w:color="auto"/>
        <w:bottom w:val="none" w:sz="0" w:space="0" w:color="auto"/>
        <w:right w:val="none" w:sz="0" w:space="0" w:color="auto"/>
      </w:divBdr>
    </w:div>
    <w:div w:id="1048459787">
      <w:marLeft w:val="0"/>
      <w:marRight w:val="0"/>
      <w:marTop w:val="0"/>
      <w:marBottom w:val="0"/>
      <w:divBdr>
        <w:top w:val="none" w:sz="0" w:space="0" w:color="auto"/>
        <w:left w:val="none" w:sz="0" w:space="0" w:color="auto"/>
        <w:bottom w:val="none" w:sz="0" w:space="0" w:color="auto"/>
        <w:right w:val="none" w:sz="0" w:space="0" w:color="auto"/>
      </w:divBdr>
      <w:divsChild>
        <w:div w:id="806431105">
          <w:marLeft w:val="0"/>
          <w:marRight w:val="0"/>
          <w:marTop w:val="0"/>
          <w:marBottom w:val="0"/>
          <w:divBdr>
            <w:top w:val="none" w:sz="0" w:space="0" w:color="auto"/>
            <w:left w:val="none" w:sz="0" w:space="0" w:color="auto"/>
            <w:bottom w:val="none" w:sz="0" w:space="0" w:color="auto"/>
            <w:right w:val="none" w:sz="0" w:space="0" w:color="auto"/>
          </w:divBdr>
        </w:div>
      </w:divsChild>
    </w:div>
    <w:div w:id="1051264900">
      <w:marLeft w:val="0"/>
      <w:marRight w:val="0"/>
      <w:marTop w:val="0"/>
      <w:marBottom w:val="0"/>
      <w:divBdr>
        <w:top w:val="none" w:sz="0" w:space="0" w:color="auto"/>
        <w:left w:val="none" w:sz="0" w:space="0" w:color="auto"/>
        <w:bottom w:val="none" w:sz="0" w:space="0" w:color="auto"/>
        <w:right w:val="none" w:sz="0" w:space="0" w:color="auto"/>
      </w:divBdr>
      <w:divsChild>
        <w:div w:id="1522011065">
          <w:marLeft w:val="0"/>
          <w:marRight w:val="0"/>
          <w:marTop w:val="0"/>
          <w:marBottom w:val="0"/>
          <w:divBdr>
            <w:top w:val="none" w:sz="0" w:space="0" w:color="auto"/>
            <w:left w:val="none" w:sz="0" w:space="0" w:color="auto"/>
            <w:bottom w:val="none" w:sz="0" w:space="0" w:color="auto"/>
            <w:right w:val="none" w:sz="0" w:space="0" w:color="auto"/>
          </w:divBdr>
        </w:div>
      </w:divsChild>
    </w:div>
    <w:div w:id="1057893510">
      <w:marLeft w:val="0"/>
      <w:marRight w:val="0"/>
      <w:marTop w:val="0"/>
      <w:marBottom w:val="60"/>
      <w:divBdr>
        <w:top w:val="none" w:sz="0" w:space="0" w:color="auto"/>
        <w:left w:val="none" w:sz="0" w:space="0" w:color="auto"/>
        <w:bottom w:val="none" w:sz="0" w:space="0" w:color="auto"/>
        <w:right w:val="none" w:sz="0" w:space="0" w:color="auto"/>
      </w:divBdr>
    </w:div>
    <w:div w:id="1088387142">
      <w:marLeft w:val="0"/>
      <w:marRight w:val="0"/>
      <w:marTop w:val="0"/>
      <w:marBottom w:val="0"/>
      <w:divBdr>
        <w:top w:val="none" w:sz="0" w:space="0" w:color="auto"/>
        <w:left w:val="none" w:sz="0" w:space="0" w:color="auto"/>
        <w:bottom w:val="none" w:sz="0" w:space="0" w:color="auto"/>
        <w:right w:val="none" w:sz="0" w:space="0" w:color="auto"/>
      </w:divBdr>
    </w:div>
    <w:div w:id="1088766822">
      <w:marLeft w:val="0"/>
      <w:marRight w:val="0"/>
      <w:marTop w:val="0"/>
      <w:marBottom w:val="80"/>
      <w:divBdr>
        <w:top w:val="none" w:sz="0" w:space="0" w:color="auto"/>
        <w:left w:val="none" w:sz="0" w:space="0" w:color="auto"/>
        <w:bottom w:val="none" w:sz="0" w:space="0" w:color="auto"/>
        <w:right w:val="none" w:sz="0" w:space="0" w:color="auto"/>
      </w:divBdr>
      <w:divsChild>
        <w:div w:id="2044018472">
          <w:marLeft w:val="0"/>
          <w:marRight w:val="0"/>
          <w:marTop w:val="0"/>
          <w:marBottom w:val="0"/>
          <w:divBdr>
            <w:top w:val="none" w:sz="0" w:space="0" w:color="auto"/>
            <w:left w:val="none" w:sz="0" w:space="0" w:color="auto"/>
            <w:bottom w:val="none" w:sz="0" w:space="0" w:color="auto"/>
            <w:right w:val="none" w:sz="0" w:space="0" w:color="auto"/>
          </w:divBdr>
        </w:div>
      </w:divsChild>
    </w:div>
    <w:div w:id="1090274164">
      <w:marLeft w:val="0"/>
      <w:marRight w:val="0"/>
      <w:marTop w:val="0"/>
      <w:marBottom w:val="180"/>
      <w:divBdr>
        <w:top w:val="none" w:sz="0" w:space="0" w:color="auto"/>
        <w:left w:val="none" w:sz="0" w:space="0" w:color="auto"/>
        <w:bottom w:val="none" w:sz="0" w:space="0" w:color="auto"/>
        <w:right w:val="none" w:sz="0" w:space="0" w:color="auto"/>
      </w:divBdr>
    </w:div>
    <w:div w:id="1101072934">
      <w:marLeft w:val="0"/>
      <w:marRight w:val="0"/>
      <w:marTop w:val="0"/>
      <w:marBottom w:val="0"/>
      <w:divBdr>
        <w:top w:val="none" w:sz="0" w:space="0" w:color="auto"/>
        <w:left w:val="none" w:sz="0" w:space="0" w:color="auto"/>
        <w:bottom w:val="none" w:sz="0" w:space="0" w:color="auto"/>
        <w:right w:val="none" w:sz="0" w:space="0" w:color="auto"/>
      </w:divBdr>
    </w:div>
    <w:div w:id="1106315075">
      <w:marLeft w:val="0"/>
      <w:marRight w:val="0"/>
      <w:marTop w:val="0"/>
      <w:marBottom w:val="180"/>
      <w:divBdr>
        <w:top w:val="none" w:sz="0" w:space="0" w:color="auto"/>
        <w:left w:val="none" w:sz="0" w:space="0" w:color="auto"/>
        <w:bottom w:val="none" w:sz="0" w:space="0" w:color="auto"/>
        <w:right w:val="none" w:sz="0" w:space="0" w:color="auto"/>
      </w:divBdr>
    </w:div>
    <w:div w:id="1112440044">
      <w:marLeft w:val="0"/>
      <w:marRight w:val="0"/>
      <w:marTop w:val="0"/>
      <w:marBottom w:val="0"/>
      <w:divBdr>
        <w:top w:val="none" w:sz="0" w:space="0" w:color="auto"/>
        <w:left w:val="none" w:sz="0" w:space="0" w:color="auto"/>
        <w:bottom w:val="none" w:sz="0" w:space="0" w:color="auto"/>
        <w:right w:val="none" w:sz="0" w:space="0" w:color="auto"/>
      </w:divBdr>
    </w:div>
    <w:div w:id="1116408217">
      <w:marLeft w:val="0"/>
      <w:marRight w:val="0"/>
      <w:marTop w:val="0"/>
      <w:marBottom w:val="0"/>
      <w:divBdr>
        <w:top w:val="none" w:sz="0" w:space="0" w:color="auto"/>
        <w:left w:val="none" w:sz="0" w:space="0" w:color="auto"/>
        <w:bottom w:val="none" w:sz="0" w:space="0" w:color="auto"/>
        <w:right w:val="none" w:sz="0" w:space="0" w:color="auto"/>
      </w:divBdr>
    </w:div>
    <w:div w:id="1135099116">
      <w:marLeft w:val="0"/>
      <w:marRight w:val="0"/>
      <w:marTop w:val="0"/>
      <w:marBottom w:val="0"/>
      <w:divBdr>
        <w:top w:val="none" w:sz="0" w:space="0" w:color="auto"/>
        <w:left w:val="none" w:sz="0" w:space="0" w:color="auto"/>
        <w:bottom w:val="none" w:sz="0" w:space="0" w:color="auto"/>
        <w:right w:val="none" w:sz="0" w:space="0" w:color="auto"/>
      </w:divBdr>
    </w:div>
    <w:div w:id="1139030350">
      <w:marLeft w:val="0"/>
      <w:marRight w:val="0"/>
      <w:marTop w:val="0"/>
      <w:marBottom w:val="180"/>
      <w:divBdr>
        <w:top w:val="none" w:sz="0" w:space="0" w:color="auto"/>
        <w:left w:val="none" w:sz="0" w:space="0" w:color="auto"/>
        <w:bottom w:val="none" w:sz="0" w:space="0" w:color="auto"/>
        <w:right w:val="none" w:sz="0" w:space="0" w:color="auto"/>
      </w:divBdr>
    </w:div>
    <w:div w:id="1139419150">
      <w:marLeft w:val="0"/>
      <w:marRight w:val="0"/>
      <w:marTop w:val="0"/>
      <w:marBottom w:val="0"/>
      <w:divBdr>
        <w:top w:val="none" w:sz="0" w:space="0" w:color="auto"/>
        <w:left w:val="none" w:sz="0" w:space="0" w:color="auto"/>
        <w:bottom w:val="none" w:sz="0" w:space="0" w:color="auto"/>
        <w:right w:val="none" w:sz="0" w:space="0" w:color="auto"/>
      </w:divBdr>
    </w:div>
    <w:div w:id="1141386130">
      <w:marLeft w:val="0"/>
      <w:marRight w:val="0"/>
      <w:marTop w:val="0"/>
      <w:marBottom w:val="180"/>
      <w:divBdr>
        <w:top w:val="none" w:sz="0" w:space="0" w:color="auto"/>
        <w:left w:val="none" w:sz="0" w:space="0" w:color="auto"/>
        <w:bottom w:val="none" w:sz="0" w:space="0" w:color="auto"/>
        <w:right w:val="none" w:sz="0" w:space="0" w:color="auto"/>
      </w:divBdr>
    </w:div>
    <w:div w:id="1148672948">
      <w:marLeft w:val="0"/>
      <w:marRight w:val="0"/>
      <w:marTop w:val="100"/>
      <w:marBottom w:val="0"/>
      <w:divBdr>
        <w:top w:val="none" w:sz="0" w:space="0" w:color="auto"/>
        <w:left w:val="none" w:sz="0" w:space="0" w:color="auto"/>
        <w:bottom w:val="none" w:sz="0" w:space="0" w:color="auto"/>
        <w:right w:val="none" w:sz="0" w:space="0" w:color="auto"/>
      </w:divBdr>
      <w:divsChild>
        <w:div w:id="1640302231">
          <w:marLeft w:val="0"/>
          <w:marRight w:val="0"/>
          <w:marTop w:val="0"/>
          <w:marBottom w:val="0"/>
          <w:divBdr>
            <w:top w:val="none" w:sz="0" w:space="0" w:color="auto"/>
            <w:left w:val="none" w:sz="0" w:space="0" w:color="auto"/>
            <w:bottom w:val="none" w:sz="0" w:space="0" w:color="auto"/>
            <w:right w:val="none" w:sz="0" w:space="0" w:color="auto"/>
          </w:divBdr>
        </w:div>
      </w:divsChild>
    </w:div>
    <w:div w:id="1151486936">
      <w:marLeft w:val="0"/>
      <w:marRight w:val="0"/>
      <w:marTop w:val="0"/>
      <w:marBottom w:val="0"/>
      <w:divBdr>
        <w:top w:val="none" w:sz="0" w:space="0" w:color="auto"/>
        <w:left w:val="none" w:sz="0" w:space="0" w:color="auto"/>
        <w:bottom w:val="none" w:sz="0" w:space="0" w:color="auto"/>
        <w:right w:val="none" w:sz="0" w:space="0" w:color="auto"/>
      </w:divBdr>
    </w:div>
    <w:div w:id="1152677531">
      <w:marLeft w:val="0"/>
      <w:marRight w:val="0"/>
      <w:marTop w:val="0"/>
      <w:marBottom w:val="0"/>
      <w:divBdr>
        <w:top w:val="none" w:sz="0" w:space="0" w:color="auto"/>
        <w:left w:val="none" w:sz="0" w:space="0" w:color="auto"/>
        <w:bottom w:val="none" w:sz="0" w:space="0" w:color="auto"/>
        <w:right w:val="none" w:sz="0" w:space="0" w:color="auto"/>
      </w:divBdr>
      <w:divsChild>
        <w:div w:id="2034066237">
          <w:marLeft w:val="0"/>
          <w:marRight w:val="0"/>
          <w:marTop w:val="0"/>
          <w:marBottom w:val="0"/>
          <w:divBdr>
            <w:top w:val="none" w:sz="0" w:space="0" w:color="auto"/>
            <w:left w:val="none" w:sz="0" w:space="0" w:color="auto"/>
            <w:bottom w:val="none" w:sz="0" w:space="0" w:color="auto"/>
            <w:right w:val="none" w:sz="0" w:space="0" w:color="auto"/>
          </w:divBdr>
          <w:divsChild>
            <w:div w:id="206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019">
      <w:marLeft w:val="0"/>
      <w:marRight w:val="0"/>
      <w:marTop w:val="0"/>
      <w:marBottom w:val="180"/>
      <w:divBdr>
        <w:top w:val="none" w:sz="0" w:space="0" w:color="auto"/>
        <w:left w:val="none" w:sz="0" w:space="0" w:color="auto"/>
        <w:bottom w:val="none" w:sz="0" w:space="0" w:color="auto"/>
        <w:right w:val="none" w:sz="0" w:space="0" w:color="auto"/>
      </w:divBdr>
    </w:div>
    <w:div w:id="1187594456">
      <w:marLeft w:val="0"/>
      <w:marRight w:val="0"/>
      <w:marTop w:val="0"/>
      <w:marBottom w:val="180"/>
      <w:divBdr>
        <w:top w:val="none" w:sz="0" w:space="0" w:color="auto"/>
        <w:left w:val="none" w:sz="0" w:space="0" w:color="auto"/>
        <w:bottom w:val="none" w:sz="0" w:space="0" w:color="auto"/>
        <w:right w:val="none" w:sz="0" w:space="0" w:color="auto"/>
      </w:divBdr>
    </w:div>
    <w:div w:id="1190335452">
      <w:marLeft w:val="0"/>
      <w:marRight w:val="0"/>
      <w:marTop w:val="0"/>
      <w:marBottom w:val="0"/>
      <w:divBdr>
        <w:top w:val="none" w:sz="0" w:space="0" w:color="auto"/>
        <w:left w:val="none" w:sz="0" w:space="0" w:color="auto"/>
        <w:bottom w:val="none" w:sz="0" w:space="0" w:color="auto"/>
        <w:right w:val="none" w:sz="0" w:space="0" w:color="auto"/>
      </w:divBdr>
    </w:div>
    <w:div w:id="1222912359">
      <w:marLeft w:val="0"/>
      <w:marRight w:val="0"/>
      <w:marTop w:val="0"/>
      <w:marBottom w:val="0"/>
      <w:divBdr>
        <w:top w:val="none" w:sz="0" w:space="0" w:color="auto"/>
        <w:left w:val="none" w:sz="0" w:space="0" w:color="auto"/>
        <w:bottom w:val="none" w:sz="0" w:space="0" w:color="auto"/>
        <w:right w:val="none" w:sz="0" w:space="0" w:color="auto"/>
      </w:divBdr>
    </w:div>
    <w:div w:id="1258295942">
      <w:marLeft w:val="0"/>
      <w:marRight w:val="0"/>
      <w:marTop w:val="100"/>
      <w:marBottom w:val="0"/>
      <w:divBdr>
        <w:top w:val="none" w:sz="0" w:space="0" w:color="auto"/>
        <w:left w:val="none" w:sz="0" w:space="0" w:color="auto"/>
        <w:bottom w:val="none" w:sz="0" w:space="0" w:color="auto"/>
        <w:right w:val="none" w:sz="0" w:space="0" w:color="auto"/>
      </w:divBdr>
    </w:div>
    <w:div w:id="1267421709">
      <w:marLeft w:val="0"/>
      <w:marRight w:val="0"/>
      <w:marTop w:val="60"/>
      <w:marBottom w:val="0"/>
      <w:divBdr>
        <w:top w:val="none" w:sz="0" w:space="0" w:color="auto"/>
        <w:left w:val="none" w:sz="0" w:space="0" w:color="auto"/>
        <w:bottom w:val="none" w:sz="0" w:space="0" w:color="auto"/>
        <w:right w:val="none" w:sz="0" w:space="0" w:color="auto"/>
      </w:divBdr>
    </w:div>
    <w:div w:id="1303388151">
      <w:marLeft w:val="0"/>
      <w:marRight w:val="0"/>
      <w:marTop w:val="0"/>
      <w:marBottom w:val="0"/>
      <w:divBdr>
        <w:top w:val="none" w:sz="0" w:space="0" w:color="auto"/>
        <w:left w:val="none" w:sz="0" w:space="0" w:color="auto"/>
        <w:bottom w:val="none" w:sz="0" w:space="0" w:color="auto"/>
        <w:right w:val="none" w:sz="0" w:space="0" w:color="auto"/>
      </w:divBdr>
    </w:div>
    <w:div w:id="1304502694">
      <w:marLeft w:val="0"/>
      <w:marRight w:val="0"/>
      <w:marTop w:val="0"/>
      <w:marBottom w:val="0"/>
      <w:divBdr>
        <w:top w:val="none" w:sz="0" w:space="0" w:color="auto"/>
        <w:left w:val="none" w:sz="0" w:space="0" w:color="auto"/>
        <w:bottom w:val="none" w:sz="0" w:space="0" w:color="auto"/>
        <w:right w:val="none" w:sz="0" w:space="0" w:color="auto"/>
      </w:divBdr>
    </w:div>
    <w:div w:id="1317221426">
      <w:marLeft w:val="0"/>
      <w:marRight w:val="0"/>
      <w:marTop w:val="0"/>
      <w:marBottom w:val="0"/>
      <w:divBdr>
        <w:top w:val="none" w:sz="0" w:space="0" w:color="auto"/>
        <w:left w:val="none" w:sz="0" w:space="0" w:color="auto"/>
        <w:bottom w:val="none" w:sz="0" w:space="0" w:color="auto"/>
        <w:right w:val="none" w:sz="0" w:space="0" w:color="auto"/>
      </w:divBdr>
      <w:divsChild>
        <w:div w:id="2109883232">
          <w:marLeft w:val="0"/>
          <w:marRight w:val="0"/>
          <w:marTop w:val="0"/>
          <w:marBottom w:val="0"/>
          <w:divBdr>
            <w:top w:val="none" w:sz="0" w:space="0" w:color="auto"/>
            <w:left w:val="none" w:sz="0" w:space="0" w:color="auto"/>
            <w:bottom w:val="none" w:sz="0" w:space="0" w:color="auto"/>
            <w:right w:val="none" w:sz="0" w:space="0" w:color="auto"/>
          </w:divBdr>
        </w:div>
      </w:divsChild>
    </w:div>
    <w:div w:id="1318071307">
      <w:marLeft w:val="0"/>
      <w:marRight w:val="0"/>
      <w:marTop w:val="180"/>
      <w:marBottom w:val="0"/>
      <w:divBdr>
        <w:top w:val="none" w:sz="0" w:space="0" w:color="auto"/>
        <w:left w:val="none" w:sz="0" w:space="0" w:color="auto"/>
        <w:bottom w:val="none" w:sz="0" w:space="0" w:color="auto"/>
        <w:right w:val="none" w:sz="0" w:space="0" w:color="auto"/>
      </w:divBdr>
    </w:div>
    <w:div w:id="1320813714">
      <w:marLeft w:val="0"/>
      <w:marRight w:val="0"/>
      <w:marTop w:val="180"/>
      <w:marBottom w:val="0"/>
      <w:divBdr>
        <w:top w:val="none" w:sz="0" w:space="0" w:color="auto"/>
        <w:left w:val="none" w:sz="0" w:space="0" w:color="auto"/>
        <w:bottom w:val="none" w:sz="0" w:space="0" w:color="auto"/>
        <w:right w:val="none" w:sz="0" w:space="0" w:color="auto"/>
      </w:divBdr>
    </w:div>
    <w:div w:id="1321694480">
      <w:marLeft w:val="0"/>
      <w:marRight w:val="0"/>
      <w:marTop w:val="0"/>
      <w:marBottom w:val="180"/>
      <w:divBdr>
        <w:top w:val="none" w:sz="0" w:space="0" w:color="auto"/>
        <w:left w:val="none" w:sz="0" w:space="0" w:color="auto"/>
        <w:bottom w:val="none" w:sz="0" w:space="0" w:color="auto"/>
        <w:right w:val="none" w:sz="0" w:space="0" w:color="auto"/>
      </w:divBdr>
    </w:div>
    <w:div w:id="1325087124">
      <w:marLeft w:val="0"/>
      <w:marRight w:val="0"/>
      <w:marTop w:val="0"/>
      <w:marBottom w:val="180"/>
      <w:divBdr>
        <w:top w:val="none" w:sz="0" w:space="0" w:color="auto"/>
        <w:left w:val="none" w:sz="0" w:space="0" w:color="auto"/>
        <w:bottom w:val="none" w:sz="0" w:space="0" w:color="auto"/>
        <w:right w:val="none" w:sz="0" w:space="0" w:color="auto"/>
      </w:divBdr>
    </w:div>
    <w:div w:id="1326202356">
      <w:marLeft w:val="0"/>
      <w:marRight w:val="0"/>
      <w:marTop w:val="0"/>
      <w:marBottom w:val="0"/>
      <w:divBdr>
        <w:top w:val="none" w:sz="0" w:space="0" w:color="auto"/>
        <w:left w:val="none" w:sz="0" w:space="0" w:color="auto"/>
        <w:bottom w:val="none" w:sz="0" w:space="0" w:color="auto"/>
        <w:right w:val="none" w:sz="0" w:space="0" w:color="auto"/>
      </w:divBdr>
    </w:div>
    <w:div w:id="1332100242">
      <w:marLeft w:val="0"/>
      <w:marRight w:val="0"/>
      <w:marTop w:val="0"/>
      <w:marBottom w:val="180"/>
      <w:divBdr>
        <w:top w:val="none" w:sz="0" w:space="0" w:color="auto"/>
        <w:left w:val="none" w:sz="0" w:space="0" w:color="auto"/>
        <w:bottom w:val="none" w:sz="0" w:space="0" w:color="auto"/>
        <w:right w:val="none" w:sz="0" w:space="0" w:color="auto"/>
      </w:divBdr>
    </w:div>
    <w:div w:id="1336609677">
      <w:marLeft w:val="0"/>
      <w:marRight w:val="0"/>
      <w:marTop w:val="0"/>
      <w:marBottom w:val="0"/>
      <w:divBdr>
        <w:top w:val="none" w:sz="0" w:space="0" w:color="auto"/>
        <w:left w:val="none" w:sz="0" w:space="0" w:color="auto"/>
        <w:bottom w:val="none" w:sz="0" w:space="0" w:color="auto"/>
        <w:right w:val="none" w:sz="0" w:space="0" w:color="auto"/>
      </w:divBdr>
    </w:div>
    <w:div w:id="1341850651">
      <w:marLeft w:val="0"/>
      <w:marRight w:val="0"/>
      <w:marTop w:val="0"/>
      <w:marBottom w:val="0"/>
      <w:divBdr>
        <w:top w:val="none" w:sz="0" w:space="0" w:color="auto"/>
        <w:left w:val="none" w:sz="0" w:space="0" w:color="auto"/>
        <w:bottom w:val="none" w:sz="0" w:space="0" w:color="auto"/>
        <w:right w:val="none" w:sz="0" w:space="0" w:color="auto"/>
      </w:divBdr>
    </w:div>
    <w:div w:id="1358507848">
      <w:marLeft w:val="0"/>
      <w:marRight w:val="0"/>
      <w:marTop w:val="0"/>
      <w:marBottom w:val="0"/>
      <w:divBdr>
        <w:top w:val="none" w:sz="0" w:space="0" w:color="auto"/>
        <w:left w:val="none" w:sz="0" w:space="0" w:color="auto"/>
        <w:bottom w:val="none" w:sz="0" w:space="0" w:color="auto"/>
        <w:right w:val="none" w:sz="0" w:space="0" w:color="auto"/>
      </w:divBdr>
      <w:divsChild>
        <w:div w:id="1655327975">
          <w:marLeft w:val="0"/>
          <w:marRight w:val="0"/>
          <w:marTop w:val="0"/>
          <w:marBottom w:val="0"/>
          <w:divBdr>
            <w:top w:val="none" w:sz="0" w:space="0" w:color="auto"/>
            <w:left w:val="none" w:sz="0" w:space="0" w:color="auto"/>
            <w:bottom w:val="none" w:sz="0" w:space="0" w:color="auto"/>
            <w:right w:val="none" w:sz="0" w:space="0" w:color="auto"/>
          </w:divBdr>
        </w:div>
      </w:divsChild>
    </w:div>
    <w:div w:id="1359238636">
      <w:marLeft w:val="0"/>
      <w:marRight w:val="0"/>
      <w:marTop w:val="180"/>
      <w:marBottom w:val="0"/>
      <w:divBdr>
        <w:top w:val="none" w:sz="0" w:space="0" w:color="auto"/>
        <w:left w:val="none" w:sz="0" w:space="0" w:color="auto"/>
        <w:bottom w:val="none" w:sz="0" w:space="0" w:color="auto"/>
        <w:right w:val="none" w:sz="0" w:space="0" w:color="auto"/>
      </w:divBdr>
    </w:div>
    <w:div w:id="1364942213">
      <w:marLeft w:val="0"/>
      <w:marRight w:val="0"/>
      <w:marTop w:val="0"/>
      <w:marBottom w:val="0"/>
      <w:divBdr>
        <w:top w:val="none" w:sz="0" w:space="0" w:color="auto"/>
        <w:left w:val="none" w:sz="0" w:space="0" w:color="auto"/>
        <w:bottom w:val="none" w:sz="0" w:space="0" w:color="auto"/>
        <w:right w:val="none" w:sz="0" w:space="0" w:color="auto"/>
      </w:divBdr>
      <w:divsChild>
        <w:div w:id="110365335">
          <w:marLeft w:val="0"/>
          <w:marRight w:val="0"/>
          <w:marTop w:val="0"/>
          <w:marBottom w:val="0"/>
          <w:divBdr>
            <w:top w:val="none" w:sz="0" w:space="0" w:color="auto"/>
            <w:left w:val="none" w:sz="0" w:space="0" w:color="auto"/>
            <w:bottom w:val="none" w:sz="0" w:space="0" w:color="auto"/>
            <w:right w:val="none" w:sz="0" w:space="0" w:color="auto"/>
          </w:divBdr>
        </w:div>
      </w:divsChild>
    </w:div>
    <w:div w:id="1378699315">
      <w:marLeft w:val="0"/>
      <w:marRight w:val="0"/>
      <w:marTop w:val="0"/>
      <w:marBottom w:val="0"/>
      <w:divBdr>
        <w:top w:val="none" w:sz="0" w:space="0" w:color="auto"/>
        <w:left w:val="none" w:sz="0" w:space="0" w:color="auto"/>
        <w:bottom w:val="none" w:sz="0" w:space="0" w:color="auto"/>
        <w:right w:val="none" w:sz="0" w:space="0" w:color="auto"/>
      </w:divBdr>
      <w:divsChild>
        <w:div w:id="1276905371">
          <w:marLeft w:val="0"/>
          <w:marRight w:val="0"/>
          <w:marTop w:val="0"/>
          <w:marBottom w:val="0"/>
          <w:divBdr>
            <w:top w:val="none" w:sz="0" w:space="0" w:color="auto"/>
            <w:left w:val="none" w:sz="0" w:space="0" w:color="auto"/>
            <w:bottom w:val="none" w:sz="0" w:space="0" w:color="auto"/>
            <w:right w:val="none" w:sz="0" w:space="0" w:color="auto"/>
          </w:divBdr>
        </w:div>
      </w:divsChild>
    </w:div>
    <w:div w:id="1385056943">
      <w:marLeft w:val="0"/>
      <w:marRight w:val="0"/>
      <w:marTop w:val="0"/>
      <w:marBottom w:val="0"/>
      <w:divBdr>
        <w:top w:val="none" w:sz="0" w:space="0" w:color="auto"/>
        <w:left w:val="none" w:sz="0" w:space="0" w:color="auto"/>
        <w:bottom w:val="none" w:sz="0" w:space="0" w:color="auto"/>
        <w:right w:val="none" w:sz="0" w:space="0" w:color="auto"/>
      </w:divBdr>
    </w:div>
    <w:div w:id="1387946843">
      <w:marLeft w:val="0"/>
      <w:marRight w:val="0"/>
      <w:marTop w:val="0"/>
      <w:marBottom w:val="0"/>
      <w:divBdr>
        <w:top w:val="none" w:sz="0" w:space="0" w:color="auto"/>
        <w:left w:val="none" w:sz="0" w:space="0" w:color="auto"/>
        <w:bottom w:val="none" w:sz="0" w:space="0" w:color="auto"/>
        <w:right w:val="none" w:sz="0" w:space="0" w:color="auto"/>
      </w:divBdr>
    </w:div>
    <w:div w:id="1390807245">
      <w:marLeft w:val="0"/>
      <w:marRight w:val="0"/>
      <w:marTop w:val="0"/>
      <w:marBottom w:val="0"/>
      <w:divBdr>
        <w:top w:val="none" w:sz="0" w:space="0" w:color="auto"/>
        <w:left w:val="none" w:sz="0" w:space="0" w:color="auto"/>
        <w:bottom w:val="none" w:sz="0" w:space="0" w:color="auto"/>
        <w:right w:val="none" w:sz="0" w:space="0" w:color="auto"/>
      </w:divBdr>
    </w:div>
    <w:div w:id="1396930141">
      <w:marLeft w:val="0"/>
      <w:marRight w:val="0"/>
      <w:marTop w:val="0"/>
      <w:marBottom w:val="180"/>
      <w:divBdr>
        <w:top w:val="none" w:sz="0" w:space="0" w:color="auto"/>
        <w:left w:val="none" w:sz="0" w:space="0" w:color="auto"/>
        <w:bottom w:val="none" w:sz="0" w:space="0" w:color="auto"/>
        <w:right w:val="none" w:sz="0" w:space="0" w:color="auto"/>
      </w:divBdr>
    </w:div>
    <w:div w:id="1405444653">
      <w:marLeft w:val="0"/>
      <w:marRight w:val="0"/>
      <w:marTop w:val="0"/>
      <w:marBottom w:val="180"/>
      <w:divBdr>
        <w:top w:val="none" w:sz="0" w:space="0" w:color="auto"/>
        <w:left w:val="none" w:sz="0" w:space="0" w:color="auto"/>
        <w:bottom w:val="none" w:sz="0" w:space="0" w:color="auto"/>
        <w:right w:val="none" w:sz="0" w:space="0" w:color="auto"/>
      </w:divBdr>
    </w:div>
    <w:div w:id="1415275825">
      <w:marLeft w:val="0"/>
      <w:marRight w:val="0"/>
      <w:marTop w:val="0"/>
      <w:marBottom w:val="0"/>
      <w:divBdr>
        <w:top w:val="none" w:sz="0" w:space="0" w:color="auto"/>
        <w:left w:val="none" w:sz="0" w:space="0" w:color="auto"/>
        <w:bottom w:val="none" w:sz="0" w:space="0" w:color="auto"/>
        <w:right w:val="none" w:sz="0" w:space="0" w:color="auto"/>
      </w:divBdr>
    </w:div>
    <w:div w:id="1420760197">
      <w:marLeft w:val="0"/>
      <w:marRight w:val="0"/>
      <w:marTop w:val="0"/>
      <w:marBottom w:val="0"/>
      <w:divBdr>
        <w:top w:val="none" w:sz="0" w:space="0" w:color="auto"/>
        <w:left w:val="none" w:sz="0" w:space="0" w:color="auto"/>
        <w:bottom w:val="none" w:sz="0" w:space="0" w:color="auto"/>
        <w:right w:val="none" w:sz="0" w:space="0" w:color="auto"/>
      </w:divBdr>
    </w:div>
    <w:div w:id="1425343270">
      <w:marLeft w:val="0"/>
      <w:marRight w:val="0"/>
      <w:marTop w:val="0"/>
      <w:marBottom w:val="0"/>
      <w:divBdr>
        <w:top w:val="none" w:sz="0" w:space="0" w:color="auto"/>
        <w:left w:val="none" w:sz="0" w:space="0" w:color="auto"/>
        <w:bottom w:val="none" w:sz="0" w:space="0" w:color="auto"/>
        <w:right w:val="none" w:sz="0" w:space="0" w:color="auto"/>
      </w:divBdr>
    </w:div>
    <w:div w:id="1426463798">
      <w:marLeft w:val="0"/>
      <w:marRight w:val="0"/>
      <w:marTop w:val="0"/>
      <w:marBottom w:val="180"/>
      <w:divBdr>
        <w:top w:val="none" w:sz="0" w:space="0" w:color="auto"/>
        <w:left w:val="none" w:sz="0" w:space="0" w:color="auto"/>
        <w:bottom w:val="none" w:sz="0" w:space="0" w:color="auto"/>
        <w:right w:val="none" w:sz="0" w:space="0" w:color="auto"/>
      </w:divBdr>
    </w:div>
    <w:div w:id="1430199405">
      <w:marLeft w:val="0"/>
      <w:marRight w:val="0"/>
      <w:marTop w:val="0"/>
      <w:marBottom w:val="180"/>
      <w:divBdr>
        <w:top w:val="none" w:sz="0" w:space="0" w:color="auto"/>
        <w:left w:val="none" w:sz="0" w:space="0" w:color="auto"/>
        <w:bottom w:val="none" w:sz="0" w:space="0" w:color="auto"/>
        <w:right w:val="none" w:sz="0" w:space="0" w:color="auto"/>
      </w:divBdr>
    </w:div>
    <w:div w:id="1432508625">
      <w:marLeft w:val="0"/>
      <w:marRight w:val="0"/>
      <w:marTop w:val="0"/>
      <w:marBottom w:val="0"/>
      <w:divBdr>
        <w:top w:val="none" w:sz="0" w:space="0" w:color="auto"/>
        <w:left w:val="none" w:sz="0" w:space="0" w:color="auto"/>
        <w:bottom w:val="none" w:sz="0" w:space="0" w:color="auto"/>
        <w:right w:val="none" w:sz="0" w:space="0" w:color="auto"/>
      </w:divBdr>
      <w:divsChild>
        <w:div w:id="1197692900">
          <w:marLeft w:val="0"/>
          <w:marRight w:val="0"/>
          <w:marTop w:val="0"/>
          <w:marBottom w:val="0"/>
          <w:divBdr>
            <w:top w:val="none" w:sz="0" w:space="0" w:color="auto"/>
            <w:left w:val="none" w:sz="0" w:space="0" w:color="auto"/>
            <w:bottom w:val="none" w:sz="0" w:space="0" w:color="auto"/>
            <w:right w:val="none" w:sz="0" w:space="0" w:color="auto"/>
          </w:divBdr>
        </w:div>
      </w:divsChild>
    </w:div>
    <w:div w:id="1433820233">
      <w:marLeft w:val="0"/>
      <w:marRight w:val="0"/>
      <w:marTop w:val="0"/>
      <w:marBottom w:val="0"/>
      <w:divBdr>
        <w:top w:val="none" w:sz="0" w:space="0" w:color="auto"/>
        <w:left w:val="none" w:sz="0" w:space="0" w:color="auto"/>
        <w:bottom w:val="none" w:sz="0" w:space="0" w:color="auto"/>
        <w:right w:val="none" w:sz="0" w:space="0" w:color="auto"/>
      </w:divBdr>
    </w:div>
    <w:div w:id="1439637726">
      <w:marLeft w:val="0"/>
      <w:marRight w:val="0"/>
      <w:marTop w:val="180"/>
      <w:marBottom w:val="0"/>
      <w:divBdr>
        <w:top w:val="none" w:sz="0" w:space="0" w:color="auto"/>
        <w:left w:val="none" w:sz="0" w:space="0" w:color="auto"/>
        <w:bottom w:val="none" w:sz="0" w:space="0" w:color="auto"/>
        <w:right w:val="none" w:sz="0" w:space="0" w:color="auto"/>
      </w:divBdr>
    </w:div>
    <w:div w:id="1464229389">
      <w:marLeft w:val="0"/>
      <w:marRight w:val="0"/>
      <w:marTop w:val="0"/>
      <w:marBottom w:val="0"/>
      <w:divBdr>
        <w:top w:val="none" w:sz="0" w:space="0" w:color="auto"/>
        <w:left w:val="none" w:sz="0" w:space="0" w:color="auto"/>
        <w:bottom w:val="none" w:sz="0" w:space="0" w:color="auto"/>
        <w:right w:val="none" w:sz="0" w:space="0" w:color="auto"/>
      </w:divBdr>
    </w:div>
    <w:div w:id="1472015304">
      <w:marLeft w:val="0"/>
      <w:marRight w:val="0"/>
      <w:marTop w:val="0"/>
      <w:marBottom w:val="0"/>
      <w:divBdr>
        <w:top w:val="none" w:sz="0" w:space="0" w:color="auto"/>
        <w:left w:val="none" w:sz="0" w:space="0" w:color="auto"/>
        <w:bottom w:val="none" w:sz="0" w:space="0" w:color="auto"/>
        <w:right w:val="none" w:sz="0" w:space="0" w:color="auto"/>
      </w:divBdr>
      <w:divsChild>
        <w:div w:id="1998680374">
          <w:marLeft w:val="0"/>
          <w:marRight w:val="0"/>
          <w:marTop w:val="0"/>
          <w:marBottom w:val="0"/>
          <w:divBdr>
            <w:top w:val="none" w:sz="0" w:space="0" w:color="auto"/>
            <w:left w:val="none" w:sz="0" w:space="0" w:color="auto"/>
            <w:bottom w:val="none" w:sz="0" w:space="0" w:color="auto"/>
            <w:right w:val="none" w:sz="0" w:space="0" w:color="auto"/>
          </w:divBdr>
        </w:div>
      </w:divsChild>
    </w:div>
    <w:div w:id="1480684187">
      <w:marLeft w:val="0"/>
      <w:marRight w:val="0"/>
      <w:marTop w:val="0"/>
      <w:marBottom w:val="0"/>
      <w:divBdr>
        <w:top w:val="none" w:sz="0" w:space="0" w:color="auto"/>
        <w:left w:val="none" w:sz="0" w:space="0" w:color="auto"/>
        <w:bottom w:val="none" w:sz="0" w:space="0" w:color="auto"/>
        <w:right w:val="none" w:sz="0" w:space="0" w:color="auto"/>
      </w:divBdr>
    </w:div>
    <w:div w:id="1484808158">
      <w:marLeft w:val="0"/>
      <w:marRight w:val="0"/>
      <w:marTop w:val="0"/>
      <w:marBottom w:val="180"/>
      <w:divBdr>
        <w:top w:val="none" w:sz="0" w:space="0" w:color="auto"/>
        <w:left w:val="none" w:sz="0" w:space="0" w:color="auto"/>
        <w:bottom w:val="none" w:sz="0" w:space="0" w:color="auto"/>
        <w:right w:val="none" w:sz="0" w:space="0" w:color="auto"/>
      </w:divBdr>
    </w:div>
    <w:div w:id="1512793649">
      <w:marLeft w:val="0"/>
      <w:marRight w:val="0"/>
      <w:marTop w:val="0"/>
      <w:marBottom w:val="0"/>
      <w:divBdr>
        <w:top w:val="none" w:sz="0" w:space="0" w:color="auto"/>
        <w:left w:val="none" w:sz="0" w:space="0" w:color="auto"/>
        <w:bottom w:val="none" w:sz="0" w:space="0" w:color="auto"/>
        <w:right w:val="none" w:sz="0" w:space="0" w:color="auto"/>
      </w:divBdr>
    </w:div>
    <w:div w:id="1531533296">
      <w:marLeft w:val="0"/>
      <w:marRight w:val="0"/>
      <w:marTop w:val="0"/>
      <w:marBottom w:val="0"/>
      <w:divBdr>
        <w:top w:val="none" w:sz="0" w:space="0" w:color="auto"/>
        <w:left w:val="none" w:sz="0" w:space="0" w:color="auto"/>
        <w:bottom w:val="none" w:sz="0" w:space="0" w:color="auto"/>
        <w:right w:val="none" w:sz="0" w:space="0" w:color="auto"/>
      </w:divBdr>
      <w:divsChild>
        <w:div w:id="1816726821">
          <w:marLeft w:val="0"/>
          <w:marRight w:val="0"/>
          <w:marTop w:val="0"/>
          <w:marBottom w:val="0"/>
          <w:divBdr>
            <w:top w:val="none" w:sz="0" w:space="0" w:color="auto"/>
            <w:left w:val="none" w:sz="0" w:space="0" w:color="auto"/>
            <w:bottom w:val="none" w:sz="0" w:space="0" w:color="auto"/>
            <w:right w:val="none" w:sz="0" w:space="0" w:color="auto"/>
          </w:divBdr>
        </w:div>
      </w:divsChild>
    </w:div>
    <w:div w:id="1531797793">
      <w:marLeft w:val="0"/>
      <w:marRight w:val="0"/>
      <w:marTop w:val="0"/>
      <w:marBottom w:val="0"/>
      <w:divBdr>
        <w:top w:val="none" w:sz="0" w:space="0" w:color="auto"/>
        <w:left w:val="none" w:sz="0" w:space="0" w:color="auto"/>
        <w:bottom w:val="none" w:sz="0" w:space="0" w:color="auto"/>
        <w:right w:val="none" w:sz="0" w:space="0" w:color="auto"/>
      </w:divBdr>
    </w:div>
    <w:div w:id="1540967078">
      <w:marLeft w:val="0"/>
      <w:marRight w:val="0"/>
      <w:marTop w:val="0"/>
      <w:marBottom w:val="0"/>
      <w:divBdr>
        <w:top w:val="none" w:sz="0" w:space="0" w:color="auto"/>
        <w:left w:val="none" w:sz="0" w:space="0" w:color="auto"/>
        <w:bottom w:val="none" w:sz="0" w:space="0" w:color="auto"/>
        <w:right w:val="none" w:sz="0" w:space="0" w:color="auto"/>
      </w:divBdr>
      <w:divsChild>
        <w:div w:id="2142844597">
          <w:marLeft w:val="0"/>
          <w:marRight w:val="0"/>
          <w:marTop w:val="0"/>
          <w:marBottom w:val="0"/>
          <w:divBdr>
            <w:top w:val="none" w:sz="0" w:space="0" w:color="auto"/>
            <w:left w:val="none" w:sz="0" w:space="0" w:color="auto"/>
            <w:bottom w:val="none" w:sz="0" w:space="0" w:color="auto"/>
            <w:right w:val="none" w:sz="0" w:space="0" w:color="auto"/>
          </w:divBdr>
        </w:div>
      </w:divsChild>
    </w:div>
    <w:div w:id="1560744766">
      <w:marLeft w:val="0"/>
      <w:marRight w:val="0"/>
      <w:marTop w:val="0"/>
      <w:marBottom w:val="0"/>
      <w:divBdr>
        <w:top w:val="none" w:sz="0" w:space="0" w:color="auto"/>
        <w:left w:val="none" w:sz="0" w:space="0" w:color="auto"/>
        <w:bottom w:val="none" w:sz="0" w:space="0" w:color="auto"/>
        <w:right w:val="none" w:sz="0" w:space="0" w:color="auto"/>
      </w:divBdr>
      <w:divsChild>
        <w:div w:id="1875733934">
          <w:marLeft w:val="0"/>
          <w:marRight w:val="0"/>
          <w:marTop w:val="0"/>
          <w:marBottom w:val="0"/>
          <w:divBdr>
            <w:top w:val="none" w:sz="0" w:space="0" w:color="auto"/>
            <w:left w:val="none" w:sz="0" w:space="0" w:color="auto"/>
            <w:bottom w:val="none" w:sz="0" w:space="0" w:color="auto"/>
            <w:right w:val="none" w:sz="0" w:space="0" w:color="auto"/>
          </w:divBdr>
        </w:div>
      </w:divsChild>
    </w:div>
    <w:div w:id="1568759185">
      <w:marLeft w:val="0"/>
      <w:marRight w:val="0"/>
      <w:marTop w:val="0"/>
      <w:marBottom w:val="0"/>
      <w:divBdr>
        <w:top w:val="none" w:sz="0" w:space="0" w:color="auto"/>
        <w:left w:val="none" w:sz="0" w:space="0" w:color="auto"/>
        <w:bottom w:val="none" w:sz="0" w:space="0" w:color="auto"/>
        <w:right w:val="none" w:sz="0" w:space="0" w:color="auto"/>
      </w:divBdr>
    </w:div>
    <w:div w:id="1569731447">
      <w:marLeft w:val="0"/>
      <w:marRight w:val="0"/>
      <w:marTop w:val="0"/>
      <w:marBottom w:val="0"/>
      <w:divBdr>
        <w:top w:val="none" w:sz="0" w:space="0" w:color="auto"/>
        <w:left w:val="none" w:sz="0" w:space="0" w:color="auto"/>
        <w:bottom w:val="none" w:sz="0" w:space="0" w:color="auto"/>
        <w:right w:val="none" w:sz="0" w:space="0" w:color="auto"/>
      </w:divBdr>
      <w:divsChild>
        <w:div w:id="1818493511">
          <w:marLeft w:val="0"/>
          <w:marRight w:val="0"/>
          <w:marTop w:val="0"/>
          <w:marBottom w:val="0"/>
          <w:divBdr>
            <w:top w:val="none" w:sz="0" w:space="0" w:color="auto"/>
            <w:left w:val="none" w:sz="0" w:space="0" w:color="auto"/>
            <w:bottom w:val="none" w:sz="0" w:space="0" w:color="auto"/>
            <w:right w:val="none" w:sz="0" w:space="0" w:color="auto"/>
          </w:divBdr>
        </w:div>
      </w:divsChild>
    </w:div>
    <w:div w:id="1573806995">
      <w:marLeft w:val="0"/>
      <w:marRight w:val="0"/>
      <w:marTop w:val="0"/>
      <w:marBottom w:val="0"/>
      <w:divBdr>
        <w:top w:val="none" w:sz="0" w:space="0" w:color="auto"/>
        <w:left w:val="none" w:sz="0" w:space="0" w:color="auto"/>
        <w:bottom w:val="none" w:sz="0" w:space="0" w:color="auto"/>
        <w:right w:val="none" w:sz="0" w:space="0" w:color="auto"/>
      </w:divBdr>
      <w:divsChild>
        <w:div w:id="222909255">
          <w:marLeft w:val="0"/>
          <w:marRight w:val="0"/>
          <w:marTop w:val="0"/>
          <w:marBottom w:val="0"/>
          <w:divBdr>
            <w:top w:val="none" w:sz="0" w:space="0" w:color="auto"/>
            <w:left w:val="none" w:sz="0" w:space="0" w:color="auto"/>
            <w:bottom w:val="none" w:sz="0" w:space="0" w:color="auto"/>
            <w:right w:val="none" w:sz="0" w:space="0" w:color="auto"/>
          </w:divBdr>
        </w:div>
      </w:divsChild>
    </w:div>
    <w:div w:id="1591695049">
      <w:marLeft w:val="0"/>
      <w:marRight w:val="0"/>
      <w:marTop w:val="0"/>
      <w:marBottom w:val="180"/>
      <w:divBdr>
        <w:top w:val="none" w:sz="0" w:space="0" w:color="auto"/>
        <w:left w:val="none" w:sz="0" w:space="0" w:color="auto"/>
        <w:bottom w:val="none" w:sz="0" w:space="0" w:color="auto"/>
        <w:right w:val="none" w:sz="0" w:space="0" w:color="auto"/>
      </w:divBdr>
    </w:div>
    <w:div w:id="1592009635">
      <w:marLeft w:val="0"/>
      <w:marRight w:val="0"/>
      <w:marTop w:val="0"/>
      <w:marBottom w:val="180"/>
      <w:divBdr>
        <w:top w:val="none" w:sz="0" w:space="0" w:color="auto"/>
        <w:left w:val="none" w:sz="0" w:space="0" w:color="auto"/>
        <w:bottom w:val="none" w:sz="0" w:space="0" w:color="auto"/>
        <w:right w:val="none" w:sz="0" w:space="0" w:color="auto"/>
      </w:divBdr>
    </w:div>
    <w:div w:id="1597444359">
      <w:marLeft w:val="0"/>
      <w:marRight w:val="0"/>
      <w:marTop w:val="0"/>
      <w:marBottom w:val="180"/>
      <w:divBdr>
        <w:top w:val="none" w:sz="0" w:space="0" w:color="auto"/>
        <w:left w:val="none" w:sz="0" w:space="0" w:color="auto"/>
        <w:bottom w:val="none" w:sz="0" w:space="0" w:color="auto"/>
        <w:right w:val="none" w:sz="0" w:space="0" w:color="auto"/>
      </w:divBdr>
    </w:div>
    <w:div w:id="1606765943">
      <w:marLeft w:val="0"/>
      <w:marRight w:val="0"/>
      <w:marTop w:val="0"/>
      <w:marBottom w:val="0"/>
      <w:divBdr>
        <w:top w:val="none" w:sz="0" w:space="0" w:color="auto"/>
        <w:left w:val="none" w:sz="0" w:space="0" w:color="auto"/>
        <w:bottom w:val="none" w:sz="0" w:space="0" w:color="auto"/>
        <w:right w:val="none" w:sz="0" w:space="0" w:color="auto"/>
      </w:divBdr>
    </w:div>
    <w:div w:id="1619751014">
      <w:marLeft w:val="0"/>
      <w:marRight w:val="0"/>
      <w:marTop w:val="0"/>
      <w:marBottom w:val="0"/>
      <w:divBdr>
        <w:top w:val="none" w:sz="0" w:space="0" w:color="auto"/>
        <w:left w:val="none" w:sz="0" w:space="0" w:color="auto"/>
        <w:bottom w:val="none" w:sz="0" w:space="0" w:color="auto"/>
        <w:right w:val="none" w:sz="0" w:space="0" w:color="auto"/>
      </w:divBdr>
      <w:divsChild>
        <w:div w:id="712849087">
          <w:marLeft w:val="0"/>
          <w:marRight w:val="0"/>
          <w:marTop w:val="0"/>
          <w:marBottom w:val="0"/>
          <w:divBdr>
            <w:top w:val="none" w:sz="0" w:space="0" w:color="auto"/>
            <w:left w:val="none" w:sz="0" w:space="0" w:color="auto"/>
            <w:bottom w:val="none" w:sz="0" w:space="0" w:color="auto"/>
            <w:right w:val="none" w:sz="0" w:space="0" w:color="auto"/>
          </w:divBdr>
        </w:div>
      </w:divsChild>
    </w:div>
    <w:div w:id="1628588791">
      <w:marLeft w:val="0"/>
      <w:marRight w:val="0"/>
      <w:marTop w:val="0"/>
      <w:marBottom w:val="180"/>
      <w:divBdr>
        <w:top w:val="none" w:sz="0" w:space="0" w:color="auto"/>
        <w:left w:val="none" w:sz="0" w:space="0" w:color="auto"/>
        <w:bottom w:val="none" w:sz="0" w:space="0" w:color="auto"/>
        <w:right w:val="none" w:sz="0" w:space="0" w:color="auto"/>
      </w:divBdr>
    </w:div>
    <w:div w:id="1630554874">
      <w:marLeft w:val="0"/>
      <w:marRight w:val="0"/>
      <w:marTop w:val="120"/>
      <w:marBottom w:val="0"/>
      <w:divBdr>
        <w:top w:val="none" w:sz="0" w:space="0" w:color="auto"/>
        <w:left w:val="none" w:sz="0" w:space="0" w:color="auto"/>
        <w:bottom w:val="none" w:sz="0" w:space="0" w:color="auto"/>
        <w:right w:val="none" w:sz="0" w:space="0" w:color="auto"/>
      </w:divBdr>
    </w:div>
    <w:div w:id="1638413421">
      <w:marLeft w:val="0"/>
      <w:marRight w:val="0"/>
      <w:marTop w:val="0"/>
      <w:marBottom w:val="180"/>
      <w:divBdr>
        <w:top w:val="none" w:sz="0" w:space="0" w:color="auto"/>
        <w:left w:val="none" w:sz="0" w:space="0" w:color="auto"/>
        <w:bottom w:val="none" w:sz="0" w:space="0" w:color="auto"/>
        <w:right w:val="none" w:sz="0" w:space="0" w:color="auto"/>
      </w:divBdr>
    </w:div>
    <w:div w:id="1652253442">
      <w:marLeft w:val="0"/>
      <w:marRight w:val="0"/>
      <w:marTop w:val="120"/>
      <w:marBottom w:val="0"/>
      <w:divBdr>
        <w:top w:val="none" w:sz="0" w:space="0" w:color="auto"/>
        <w:left w:val="none" w:sz="0" w:space="0" w:color="auto"/>
        <w:bottom w:val="none" w:sz="0" w:space="0" w:color="auto"/>
        <w:right w:val="none" w:sz="0" w:space="0" w:color="auto"/>
      </w:divBdr>
    </w:div>
    <w:div w:id="1654800008">
      <w:marLeft w:val="0"/>
      <w:marRight w:val="0"/>
      <w:marTop w:val="0"/>
      <w:marBottom w:val="0"/>
      <w:divBdr>
        <w:top w:val="none" w:sz="0" w:space="0" w:color="auto"/>
        <w:left w:val="none" w:sz="0" w:space="0" w:color="auto"/>
        <w:bottom w:val="none" w:sz="0" w:space="0" w:color="auto"/>
        <w:right w:val="none" w:sz="0" w:space="0" w:color="auto"/>
      </w:divBdr>
    </w:div>
    <w:div w:id="1656912772">
      <w:marLeft w:val="0"/>
      <w:marRight w:val="0"/>
      <w:marTop w:val="0"/>
      <w:marBottom w:val="180"/>
      <w:divBdr>
        <w:top w:val="none" w:sz="0" w:space="0" w:color="auto"/>
        <w:left w:val="none" w:sz="0" w:space="0" w:color="auto"/>
        <w:bottom w:val="none" w:sz="0" w:space="0" w:color="auto"/>
        <w:right w:val="none" w:sz="0" w:space="0" w:color="auto"/>
      </w:divBdr>
    </w:div>
    <w:div w:id="1665160559">
      <w:marLeft w:val="0"/>
      <w:marRight w:val="0"/>
      <w:marTop w:val="0"/>
      <w:marBottom w:val="180"/>
      <w:divBdr>
        <w:top w:val="none" w:sz="0" w:space="0" w:color="auto"/>
        <w:left w:val="none" w:sz="0" w:space="0" w:color="auto"/>
        <w:bottom w:val="none" w:sz="0" w:space="0" w:color="auto"/>
        <w:right w:val="none" w:sz="0" w:space="0" w:color="auto"/>
      </w:divBdr>
    </w:div>
    <w:div w:id="1666014485">
      <w:marLeft w:val="0"/>
      <w:marRight w:val="0"/>
      <w:marTop w:val="0"/>
      <w:marBottom w:val="180"/>
      <w:divBdr>
        <w:top w:val="none" w:sz="0" w:space="0" w:color="auto"/>
        <w:left w:val="none" w:sz="0" w:space="0" w:color="auto"/>
        <w:bottom w:val="none" w:sz="0" w:space="0" w:color="auto"/>
        <w:right w:val="none" w:sz="0" w:space="0" w:color="auto"/>
      </w:divBdr>
    </w:div>
    <w:div w:id="1668897825">
      <w:marLeft w:val="0"/>
      <w:marRight w:val="0"/>
      <w:marTop w:val="0"/>
      <w:marBottom w:val="0"/>
      <w:divBdr>
        <w:top w:val="none" w:sz="0" w:space="0" w:color="auto"/>
        <w:left w:val="none" w:sz="0" w:space="0" w:color="auto"/>
        <w:bottom w:val="none" w:sz="0" w:space="0" w:color="auto"/>
        <w:right w:val="none" w:sz="0" w:space="0" w:color="auto"/>
      </w:divBdr>
    </w:div>
    <w:div w:id="1676961246">
      <w:marLeft w:val="0"/>
      <w:marRight w:val="0"/>
      <w:marTop w:val="0"/>
      <w:marBottom w:val="180"/>
      <w:divBdr>
        <w:top w:val="none" w:sz="0" w:space="0" w:color="auto"/>
        <w:left w:val="none" w:sz="0" w:space="0" w:color="auto"/>
        <w:bottom w:val="none" w:sz="0" w:space="0" w:color="auto"/>
        <w:right w:val="none" w:sz="0" w:space="0" w:color="auto"/>
      </w:divBdr>
    </w:div>
    <w:div w:id="1678463416">
      <w:marLeft w:val="0"/>
      <w:marRight w:val="0"/>
      <w:marTop w:val="0"/>
      <w:marBottom w:val="20"/>
      <w:divBdr>
        <w:top w:val="none" w:sz="0" w:space="0" w:color="auto"/>
        <w:left w:val="none" w:sz="0" w:space="0" w:color="auto"/>
        <w:bottom w:val="none" w:sz="0" w:space="0" w:color="auto"/>
        <w:right w:val="none" w:sz="0" w:space="0" w:color="auto"/>
      </w:divBdr>
      <w:divsChild>
        <w:div w:id="994262205">
          <w:marLeft w:val="0"/>
          <w:marRight w:val="0"/>
          <w:marTop w:val="0"/>
          <w:marBottom w:val="0"/>
          <w:divBdr>
            <w:top w:val="none" w:sz="0" w:space="0" w:color="auto"/>
            <w:left w:val="none" w:sz="0" w:space="0" w:color="auto"/>
            <w:bottom w:val="none" w:sz="0" w:space="0" w:color="auto"/>
            <w:right w:val="none" w:sz="0" w:space="0" w:color="auto"/>
          </w:divBdr>
        </w:div>
      </w:divsChild>
    </w:div>
    <w:div w:id="1691489379">
      <w:marLeft w:val="0"/>
      <w:marRight w:val="0"/>
      <w:marTop w:val="0"/>
      <w:marBottom w:val="180"/>
      <w:divBdr>
        <w:top w:val="none" w:sz="0" w:space="0" w:color="auto"/>
        <w:left w:val="none" w:sz="0" w:space="0" w:color="auto"/>
        <w:bottom w:val="none" w:sz="0" w:space="0" w:color="auto"/>
        <w:right w:val="none" w:sz="0" w:space="0" w:color="auto"/>
      </w:divBdr>
    </w:div>
    <w:div w:id="1696534926">
      <w:marLeft w:val="0"/>
      <w:marRight w:val="0"/>
      <w:marTop w:val="0"/>
      <w:marBottom w:val="180"/>
      <w:divBdr>
        <w:top w:val="none" w:sz="0" w:space="0" w:color="auto"/>
        <w:left w:val="none" w:sz="0" w:space="0" w:color="auto"/>
        <w:bottom w:val="none" w:sz="0" w:space="0" w:color="auto"/>
        <w:right w:val="none" w:sz="0" w:space="0" w:color="auto"/>
      </w:divBdr>
    </w:div>
    <w:div w:id="1698507856">
      <w:marLeft w:val="0"/>
      <w:marRight w:val="0"/>
      <w:marTop w:val="0"/>
      <w:marBottom w:val="180"/>
      <w:divBdr>
        <w:top w:val="none" w:sz="0" w:space="0" w:color="auto"/>
        <w:left w:val="none" w:sz="0" w:space="0" w:color="auto"/>
        <w:bottom w:val="none" w:sz="0" w:space="0" w:color="auto"/>
        <w:right w:val="none" w:sz="0" w:space="0" w:color="auto"/>
      </w:divBdr>
    </w:div>
    <w:div w:id="1712534379">
      <w:marLeft w:val="0"/>
      <w:marRight w:val="0"/>
      <w:marTop w:val="0"/>
      <w:marBottom w:val="180"/>
      <w:divBdr>
        <w:top w:val="none" w:sz="0" w:space="0" w:color="auto"/>
        <w:left w:val="none" w:sz="0" w:space="0" w:color="auto"/>
        <w:bottom w:val="none" w:sz="0" w:space="0" w:color="auto"/>
        <w:right w:val="none" w:sz="0" w:space="0" w:color="auto"/>
      </w:divBdr>
    </w:div>
    <w:div w:id="1726374577">
      <w:marLeft w:val="0"/>
      <w:marRight w:val="0"/>
      <w:marTop w:val="0"/>
      <w:marBottom w:val="0"/>
      <w:divBdr>
        <w:top w:val="none" w:sz="0" w:space="0" w:color="auto"/>
        <w:left w:val="none" w:sz="0" w:space="0" w:color="auto"/>
        <w:bottom w:val="none" w:sz="0" w:space="0" w:color="auto"/>
        <w:right w:val="none" w:sz="0" w:space="0" w:color="auto"/>
      </w:divBdr>
      <w:divsChild>
        <w:div w:id="698241258">
          <w:marLeft w:val="0"/>
          <w:marRight w:val="0"/>
          <w:marTop w:val="0"/>
          <w:marBottom w:val="0"/>
          <w:divBdr>
            <w:top w:val="none" w:sz="0" w:space="0" w:color="auto"/>
            <w:left w:val="none" w:sz="0" w:space="0" w:color="auto"/>
            <w:bottom w:val="none" w:sz="0" w:space="0" w:color="auto"/>
            <w:right w:val="none" w:sz="0" w:space="0" w:color="auto"/>
          </w:divBdr>
        </w:div>
      </w:divsChild>
    </w:div>
    <w:div w:id="1727946380">
      <w:marLeft w:val="0"/>
      <w:marRight w:val="0"/>
      <w:marTop w:val="0"/>
      <w:marBottom w:val="180"/>
      <w:divBdr>
        <w:top w:val="none" w:sz="0" w:space="0" w:color="auto"/>
        <w:left w:val="none" w:sz="0" w:space="0" w:color="auto"/>
        <w:bottom w:val="none" w:sz="0" w:space="0" w:color="auto"/>
        <w:right w:val="none" w:sz="0" w:space="0" w:color="auto"/>
      </w:divBdr>
    </w:div>
    <w:div w:id="1730153225">
      <w:marLeft w:val="0"/>
      <w:marRight w:val="0"/>
      <w:marTop w:val="120"/>
      <w:marBottom w:val="0"/>
      <w:divBdr>
        <w:top w:val="none" w:sz="0" w:space="0" w:color="auto"/>
        <w:left w:val="none" w:sz="0" w:space="0" w:color="auto"/>
        <w:bottom w:val="none" w:sz="0" w:space="0" w:color="auto"/>
        <w:right w:val="none" w:sz="0" w:space="0" w:color="auto"/>
      </w:divBdr>
    </w:div>
    <w:div w:id="1747412317">
      <w:marLeft w:val="0"/>
      <w:marRight w:val="0"/>
      <w:marTop w:val="0"/>
      <w:marBottom w:val="0"/>
      <w:divBdr>
        <w:top w:val="none" w:sz="0" w:space="0" w:color="auto"/>
        <w:left w:val="none" w:sz="0" w:space="0" w:color="auto"/>
        <w:bottom w:val="none" w:sz="0" w:space="0" w:color="auto"/>
        <w:right w:val="none" w:sz="0" w:space="0" w:color="auto"/>
      </w:divBdr>
      <w:divsChild>
        <w:div w:id="2085032834">
          <w:marLeft w:val="0"/>
          <w:marRight w:val="0"/>
          <w:marTop w:val="0"/>
          <w:marBottom w:val="0"/>
          <w:divBdr>
            <w:top w:val="none" w:sz="0" w:space="0" w:color="auto"/>
            <w:left w:val="none" w:sz="0" w:space="0" w:color="auto"/>
            <w:bottom w:val="none" w:sz="0" w:space="0" w:color="auto"/>
            <w:right w:val="none" w:sz="0" w:space="0" w:color="auto"/>
          </w:divBdr>
        </w:div>
      </w:divsChild>
    </w:div>
    <w:div w:id="1748768884">
      <w:marLeft w:val="0"/>
      <w:marRight w:val="0"/>
      <w:marTop w:val="0"/>
      <w:marBottom w:val="0"/>
      <w:divBdr>
        <w:top w:val="none" w:sz="0" w:space="0" w:color="auto"/>
        <w:left w:val="none" w:sz="0" w:space="0" w:color="auto"/>
        <w:bottom w:val="none" w:sz="0" w:space="0" w:color="auto"/>
        <w:right w:val="none" w:sz="0" w:space="0" w:color="auto"/>
      </w:divBdr>
    </w:div>
    <w:div w:id="1760517251">
      <w:marLeft w:val="0"/>
      <w:marRight w:val="0"/>
      <w:marTop w:val="0"/>
      <w:marBottom w:val="180"/>
      <w:divBdr>
        <w:top w:val="none" w:sz="0" w:space="0" w:color="auto"/>
        <w:left w:val="none" w:sz="0" w:space="0" w:color="auto"/>
        <w:bottom w:val="none" w:sz="0" w:space="0" w:color="auto"/>
        <w:right w:val="none" w:sz="0" w:space="0" w:color="auto"/>
      </w:divBdr>
    </w:div>
    <w:div w:id="1768501704">
      <w:marLeft w:val="0"/>
      <w:marRight w:val="0"/>
      <w:marTop w:val="120"/>
      <w:marBottom w:val="0"/>
      <w:divBdr>
        <w:top w:val="none" w:sz="0" w:space="0" w:color="auto"/>
        <w:left w:val="none" w:sz="0" w:space="0" w:color="auto"/>
        <w:bottom w:val="none" w:sz="0" w:space="0" w:color="auto"/>
        <w:right w:val="none" w:sz="0" w:space="0" w:color="auto"/>
      </w:divBdr>
    </w:div>
    <w:div w:id="1770806185">
      <w:marLeft w:val="0"/>
      <w:marRight w:val="0"/>
      <w:marTop w:val="100"/>
      <w:marBottom w:val="180"/>
      <w:divBdr>
        <w:top w:val="none" w:sz="0" w:space="0" w:color="auto"/>
        <w:left w:val="none" w:sz="0" w:space="0" w:color="auto"/>
        <w:bottom w:val="none" w:sz="0" w:space="0" w:color="auto"/>
        <w:right w:val="none" w:sz="0" w:space="0" w:color="auto"/>
      </w:divBdr>
      <w:divsChild>
        <w:div w:id="51659463">
          <w:marLeft w:val="0"/>
          <w:marRight w:val="0"/>
          <w:marTop w:val="0"/>
          <w:marBottom w:val="0"/>
          <w:divBdr>
            <w:top w:val="none" w:sz="0" w:space="0" w:color="auto"/>
            <w:left w:val="none" w:sz="0" w:space="0" w:color="auto"/>
            <w:bottom w:val="none" w:sz="0" w:space="0" w:color="auto"/>
            <w:right w:val="none" w:sz="0" w:space="0" w:color="auto"/>
          </w:divBdr>
        </w:div>
      </w:divsChild>
    </w:div>
    <w:div w:id="1773234224">
      <w:marLeft w:val="0"/>
      <w:marRight w:val="0"/>
      <w:marTop w:val="0"/>
      <w:marBottom w:val="0"/>
      <w:divBdr>
        <w:top w:val="none" w:sz="0" w:space="0" w:color="auto"/>
        <w:left w:val="none" w:sz="0" w:space="0" w:color="auto"/>
        <w:bottom w:val="none" w:sz="0" w:space="0" w:color="auto"/>
        <w:right w:val="none" w:sz="0" w:space="0" w:color="auto"/>
      </w:divBdr>
      <w:divsChild>
        <w:div w:id="135267251">
          <w:marLeft w:val="0"/>
          <w:marRight w:val="0"/>
          <w:marTop w:val="0"/>
          <w:marBottom w:val="0"/>
          <w:divBdr>
            <w:top w:val="none" w:sz="0" w:space="0" w:color="auto"/>
            <w:left w:val="none" w:sz="0" w:space="0" w:color="auto"/>
            <w:bottom w:val="none" w:sz="0" w:space="0" w:color="auto"/>
            <w:right w:val="none" w:sz="0" w:space="0" w:color="auto"/>
          </w:divBdr>
        </w:div>
      </w:divsChild>
    </w:div>
    <w:div w:id="1787191234">
      <w:marLeft w:val="0"/>
      <w:marRight w:val="0"/>
      <w:marTop w:val="0"/>
      <w:marBottom w:val="0"/>
      <w:divBdr>
        <w:top w:val="none" w:sz="0" w:space="0" w:color="auto"/>
        <w:left w:val="none" w:sz="0" w:space="0" w:color="auto"/>
        <w:bottom w:val="none" w:sz="0" w:space="0" w:color="auto"/>
        <w:right w:val="none" w:sz="0" w:space="0" w:color="auto"/>
      </w:divBdr>
      <w:divsChild>
        <w:div w:id="1528328456">
          <w:marLeft w:val="0"/>
          <w:marRight w:val="0"/>
          <w:marTop w:val="0"/>
          <w:marBottom w:val="0"/>
          <w:divBdr>
            <w:top w:val="none" w:sz="0" w:space="0" w:color="auto"/>
            <w:left w:val="none" w:sz="0" w:space="0" w:color="auto"/>
            <w:bottom w:val="none" w:sz="0" w:space="0" w:color="auto"/>
            <w:right w:val="none" w:sz="0" w:space="0" w:color="auto"/>
          </w:divBdr>
        </w:div>
      </w:divsChild>
    </w:div>
    <w:div w:id="1787699873">
      <w:marLeft w:val="0"/>
      <w:marRight w:val="0"/>
      <w:marTop w:val="0"/>
      <w:marBottom w:val="0"/>
      <w:divBdr>
        <w:top w:val="none" w:sz="0" w:space="0" w:color="auto"/>
        <w:left w:val="none" w:sz="0" w:space="0" w:color="auto"/>
        <w:bottom w:val="none" w:sz="0" w:space="0" w:color="auto"/>
        <w:right w:val="none" w:sz="0" w:space="0" w:color="auto"/>
      </w:divBdr>
    </w:div>
    <w:div w:id="1793211855">
      <w:marLeft w:val="0"/>
      <w:marRight w:val="0"/>
      <w:marTop w:val="0"/>
      <w:marBottom w:val="0"/>
      <w:divBdr>
        <w:top w:val="none" w:sz="0" w:space="0" w:color="auto"/>
        <w:left w:val="none" w:sz="0" w:space="0" w:color="auto"/>
        <w:bottom w:val="none" w:sz="0" w:space="0" w:color="auto"/>
        <w:right w:val="none" w:sz="0" w:space="0" w:color="auto"/>
      </w:divBdr>
      <w:divsChild>
        <w:div w:id="2050834316">
          <w:marLeft w:val="0"/>
          <w:marRight w:val="0"/>
          <w:marTop w:val="0"/>
          <w:marBottom w:val="0"/>
          <w:divBdr>
            <w:top w:val="none" w:sz="0" w:space="0" w:color="auto"/>
            <w:left w:val="none" w:sz="0" w:space="0" w:color="auto"/>
            <w:bottom w:val="none" w:sz="0" w:space="0" w:color="auto"/>
            <w:right w:val="none" w:sz="0" w:space="0" w:color="auto"/>
          </w:divBdr>
        </w:div>
      </w:divsChild>
    </w:div>
    <w:div w:id="1815487855">
      <w:marLeft w:val="0"/>
      <w:marRight w:val="0"/>
      <w:marTop w:val="40"/>
      <w:marBottom w:val="40"/>
      <w:divBdr>
        <w:top w:val="none" w:sz="0" w:space="0" w:color="auto"/>
        <w:left w:val="none" w:sz="0" w:space="0" w:color="auto"/>
        <w:bottom w:val="none" w:sz="0" w:space="0" w:color="auto"/>
        <w:right w:val="none" w:sz="0" w:space="0" w:color="auto"/>
      </w:divBdr>
    </w:div>
    <w:div w:id="1826126853">
      <w:marLeft w:val="0"/>
      <w:marRight w:val="0"/>
      <w:marTop w:val="0"/>
      <w:marBottom w:val="280"/>
      <w:divBdr>
        <w:top w:val="none" w:sz="0" w:space="0" w:color="auto"/>
        <w:left w:val="none" w:sz="0" w:space="0" w:color="auto"/>
        <w:bottom w:val="none" w:sz="0" w:space="0" w:color="auto"/>
        <w:right w:val="none" w:sz="0" w:space="0" w:color="auto"/>
      </w:divBdr>
    </w:div>
    <w:div w:id="1832064254">
      <w:marLeft w:val="0"/>
      <w:marRight w:val="0"/>
      <w:marTop w:val="0"/>
      <w:marBottom w:val="0"/>
      <w:divBdr>
        <w:top w:val="none" w:sz="0" w:space="0" w:color="auto"/>
        <w:left w:val="none" w:sz="0" w:space="0" w:color="auto"/>
        <w:bottom w:val="none" w:sz="0" w:space="0" w:color="auto"/>
        <w:right w:val="none" w:sz="0" w:space="0" w:color="auto"/>
      </w:divBdr>
      <w:divsChild>
        <w:div w:id="1129785706">
          <w:marLeft w:val="0"/>
          <w:marRight w:val="0"/>
          <w:marTop w:val="0"/>
          <w:marBottom w:val="0"/>
          <w:divBdr>
            <w:top w:val="none" w:sz="0" w:space="0" w:color="auto"/>
            <w:left w:val="none" w:sz="0" w:space="0" w:color="auto"/>
            <w:bottom w:val="none" w:sz="0" w:space="0" w:color="auto"/>
            <w:right w:val="none" w:sz="0" w:space="0" w:color="auto"/>
          </w:divBdr>
        </w:div>
      </w:divsChild>
    </w:div>
    <w:div w:id="1833907204">
      <w:marLeft w:val="0"/>
      <w:marRight w:val="0"/>
      <w:marTop w:val="0"/>
      <w:marBottom w:val="0"/>
      <w:divBdr>
        <w:top w:val="none" w:sz="0" w:space="0" w:color="auto"/>
        <w:left w:val="none" w:sz="0" w:space="0" w:color="auto"/>
        <w:bottom w:val="none" w:sz="0" w:space="0" w:color="auto"/>
        <w:right w:val="none" w:sz="0" w:space="0" w:color="auto"/>
      </w:divBdr>
      <w:divsChild>
        <w:div w:id="597366601">
          <w:marLeft w:val="0"/>
          <w:marRight w:val="0"/>
          <w:marTop w:val="0"/>
          <w:marBottom w:val="0"/>
          <w:divBdr>
            <w:top w:val="none" w:sz="0" w:space="0" w:color="auto"/>
            <w:left w:val="none" w:sz="0" w:space="0" w:color="auto"/>
            <w:bottom w:val="none" w:sz="0" w:space="0" w:color="auto"/>
            <w:right w:val="none" w:sz="0" w:space="0" w:color="auto"/>
          </w:divBdr>
        </w:div>
      </w:divsChild>
    </w:div>
    <w:div w:id="1836340779">
      <w:marLeft w:val="0"/>
      <w:marRight w:val="0"/>
      <w:marTop w:val="120"/>
      <w:marBottom w:val="0"/>
      <w:divBdr>
        <w:top w:val="none" w:sz="0" w:space="0" w:color="auto"/>
        <w:left w:val="none" w:sz="0" w:space="0" w:color="auto"/>
        <w:bottom w:val="none" w:sz="0" w:space="0" w:color="auto"/>
        <w:right w:val="none" w:sz="0" w:space="0" w:color="auto"/>
      </w:divBdr>
    </w:div>
    <w:div w:id="1839612024">
      <w:marLeft w:val="0"/>
      <w:marRight w:val="0"/>
      <w:marTop w:val="0"/>
      <w:marBottom w:val="0"/>
      <w:divBdr>
        <w:top w:val="none" w:sz="0" w:space="0" w:color="auto"/>
        <w:left w:val="none" w:sz="0" w:space="0" w:color="auto"/>
        <w:bottom w:val="none" w:sz="0" w:space="0" w:color="auto"/>
        <w:right w:val="none" w:sz="0" w:space="0" w:color="auto"/>
      </w:divBdr>
      <w:divsChild>
        <w:div w:id="1661959957">
          <w:marLeft w:val="0"/>
          <w:marRight w:val="0"/>
          <w:marTop w:val="0"/>
          <w:marBottom w:val="0"/>
          <w:divBdr>
            <w:top w:val="none" w:sz="0" w:space="0" w:color="auto"/>
            <w:left w:val="none" w:sz="0" w:space="0" w:color="auto"/>
            <w:bottom w:val="none" w:sz="0" w:space="0" w:color="auto"/>
            <w:right w:val="none" w:sz="0" w:space="0" w:color="auto"/>
          </w:divBdr>
        </w:div>
      </w:divsChild>
    </w:div>
    <w:div w:id="1848134887">
      <w:marLeft w:val="0"/>
      <w:marRight w:val="0"/>
      <w:marTop w:val="180"/>
      <w:marBottom w:val="0"/>
      <w:divBdr>
        <w:top w:val="none" w:sz="0" w:space="0" w:color="auto"/>
        <w:left w:val="none" w:sz="0" w:space="0" w:color="auto"/>
        <w:bottom w:val="none" w:sz="0" w:space="0" w:color="auto"/>
        <w:right w:val="none" w:sz="0" w:space="0" w:color="auto"/>
      </w:divBdr>
    </w:div>
    <w:div w:id="1850674866">
      <w:marLeft w:val="0"/>
      <w:marRight w:val="0"/>
      <w:marTop w:val="0"/>
      <w:marBottom w:val="0"/>
      <w:divBdr>
        <w:top w:val="none" w:sz="0" w:space="0" w:color="auto"/>
        <w:left w:val="none" w:sz="0" w:space="0" w:color="auto"/>
        <w:bottom w:val="none" w:sz="0" w:space="0" w:color="auto"/>
        <w:right w:val="none" w:sz="0" w:space="0" w:color="auto"/>
      </w:divBdr>
      <w:divsChild>
        <w:div w:id="2054497062">
          <w:marLeft w:val="0"/>
          <w:marRight w:val="0"/>
          <w:marTop w:val="0"/>
          <w:marBottom w:val="0"/>
          <w:divBdr>
            <w:top w:val="none" w:sz="0" w:space="0" w:color="auto"/>
            <w:left w:val="none" w:sz="0" w:space="0" w:color="auto"/>
            <w:bottom w:val="none" w:sz="0" w:space="0" w:color="auto"/>
            <w:right w:val="none" w:sz="0" w:space="0" w:color="auto"/>
          </w:divBdr>
        </w:div>
      </w:divsChild>
    </w:div>
    <w:div w:id="1876119787">
      <w:marLeft w:val="0"/>
      <w:marRight w:val="0"/>
      <w:marTop w:val="0"/>
      <w:marBottom w:val="180"/>
      <w:divBdr>
        <w:top w:val="none" w:sz="0" w:space="0" w:color="auto"/>
        <w:left w:val="none" w:sz="0" w:space="0" w:color="auto"/>
        <w:bottom w:val="none" w:sz="0" w:space="0" w:color="auto"/>
        <w:right w:val="none" w:sz="0" w:space="0" w:color="auto"/>
      </w:divBdr>
    </w:div>
    <w:div w:id="1881938423">
      <w:marLeft w:val="0"/>
      <w:marRight w:val="0"/>
      <w:marTop w:val="0"/>
      <w:marBottom w:val="0"/>
      <w:divBdr>
        <w:top w:val="none" w:sz="0" w:space="0" w:color="auto"/>
        <w:left w:val="none" w:sz="0" w:space="0" w:color="auto"/>
        <w:bottom w:val="none" w:sz="0" w:space="0" w:color="auto"/>
        <w:right w:val="none" w:sz="0" w:space="0" w:color="auto"/>
      </w:divBdr>
    </w:div>
    <w:div w:id="1916086679">
      <w:marLeft w:val="0"/>
      <w:marRight w:val="0"/>
      <w:marTop w:val="0"/>
      <w:marBottom w:val="0"/>
      <w:divBdr>
        <w:top w:val="none" w:sz="0" w:space="0" w:color="auto"/>
        <w:left w:val="none" w:sz="0" w:space="0" w:color="auto"/>
        <w:bottom w:val="none" w:sz="0" w:space="0" w:color="auto"/>
        <w:right w:val="none" w:sz="0" w:space="0" w:color="auto"/>
      </w:divBdr>
      <w:divsChild>
        <w:div w:id="1602058658">
          <w:marLeft w:val="0"/>
          <w:marRight w:val="0"/>
          <w:marTop w:val="0"/>
          <w:marBottom w:val="0"/>
          <w:divBdr>
            <w:top w:val="none" w:sz="0" w:space="0" w:color="auto"/>
            <w:left w:val="none" w:sz="0" w:space="0" w:color="auto"/>
            <w:bottom w:val="none" w:sz="0" w:space="0" w:color="auto"/>
            <w:right w:val="none" w:sz="0" w:space="0" w:color="auto"/>
          </w:divBdr>
        </w:div>
      </w:divsChild>
    </w:div>
    <w:div w:id="1925147081">
      <w:marLeft w:val="0"/>
      <w:marRight w:val="0"/>
      <w:marTop w:val="0"/>
      <w:marBottom w:val="180"/>
      <w:divBdr>
        <w:top w:val="none" w:sz="0" w:space="0" w:color="auto"/>
        <w:left w:val="none" w:sz="0" w:space="0" w:color="auto"/>
        <w:bottom w:val="none" w:sz="0" w:space="0" w:color="auto"/>
        <w:right w:val="none" w:sz="0" w:space="0" w:color="auto"/>
      </w:divBdr>
    </w:div>
    <w:div w:id="1930113073">
      <w:marLeft w:val="0"/>
      <w:marRight w:val="0"/>
      <w:marTop w:val="0"/>
      <w:marBottom w:val="0"/>
      <w:divBdr>
        <w:top w:val="none" w:sz="0" w:space="0" w:color="auto"/>
        <w:left w:val="none" w:sz="0" w:space="0" w:color="auto"/>
        <w:bottom w:val="none" w:sz="0" w:space="0" w:color="auto"/>
        <w:right w:val="none" w:sz="0" w:space="0" w:color="auto"/>
      </w:divBdr>
      <w:divsChild>
        <w:div w:id="73940072">
          <w:marLeft w:val="0"/>
          <w:marRight w:val="0"/>
          <w:marTop w:val="0"/>
          <w:marBottom w:val="0"/>
          <w:divBdr>
            <w:top w:val="none" w:sz="0" w:space="0" w:color="auto"/>
            <w:left w:val="none" w:sz="0" w:space="0" w:color="auto"/>
            <w:bottom w:val="none" w:sz="0" w:space="0" w:color="auto"/>
            <w:right w:val="none" w:sz="0" w:space="0" w:color="auto"/>
          </w:divBdr>
        </w:div>
      </w:divsChild>
    </w:div>
    <w:div w:id="1933928386">
      <w:marLeft w:val="0"/>
      <w:marRight w:val="0"/>
      <w:marTop w:val="0"/>
      <w:marBottom w:val="0"/>
      <w:divBdr>
        <w:top w:val="none" w:sz="0" w:space="0" w:color="auto"/>
        <w:left w:val="none" w:sz="0" w:space="0" w:color="auto"/>
        <w:bottom w:val="none" w:sz="0" w:space="0" w:color="auto"/>
        <w:right w:val="none" w:sz="0" w:space="0" w:color="auto"/>
      </w:divBdr>
    </w:div>
    <w:div w:id="1940750238">
      <w:marLeft w:val="0"/>
      <w:marRight w:val="0"/>
      <w:marTop w:val="0"/>
      <w:marBottom w:val="0"/>
      <w:divBdr>
        <w:top w:val="none" w:sz="0" w:space="0" w:color="auto"/>
        <w:left w:val="none" w:sz="0" w:space="0" w:color="auto"/>
        <w:bottom w:val="none" w:sz="0" w:space="0" w:color="auto"/>
        <w:right w:val="none" w:sz="0" w:space="0" w:color="auto"/>
      </w:divBdr>
      <w:divsChild>
        <w:div w:id="1854803278">
          <w:marLeft w:val="0"/>
          <w:marRight w:val="0"/>
          <w:marTop w:val="0"/>
          <w:marBottom w:val="0"/>
          <w:divBdr>
            <w:top w:val="none" w:sz="0" w:space="0" w:color="auto"/>
            <w:left w:val="none" w:sz="0" w:space="0" w:color="auto"/>
            <w:bottom w:val="none" w:sz="0" w:space="0" w:color="auto"/>
            <w:right w:val="none" w:sz="0" w:space="0" w:color="auto"/>
          </w:divBdr>
        </w:div>
      </w:divsChild>
    </w:div>
    <w:div w:id="1943490826">
      <w:marLeft w:val="0"/>
      <w:marRight w:val="0"/>
      <w:marTop w:val="0"/>
      <w:marBottom w:val="0"/>
      <w:divBdr>
        <w:top w:val="none" w:sz="0" w:space="0" w:color="auto"/>
        <w:left w:val="none" w:sz="0" w:space="0" w:color="auto"/>
        <w:bottom w:val="none" w:sz="0" w:space="0" w:color="auto"/>
        <w:right w:val="none" w:sz="0" w:space="0" w:color="auto"/>
      </w:divBdr>
    </w:div>
    <w:div w:id="1946109614">
      <w:marLeft w:val="0"/>
      <w:marRight w:val="0"/>
      <w:marTop w:val="0"/>
      <w:marBottom w:val="180"/>
      <w:divBdr>
        <w:top w:val="none" w:sz="0" w:space="0" w:color="auto"/>
        <w:left w:val="none" w:sz="0" w:space="0" w:color="auto"/>
        <w:bottom w:val="none" w:sz="0" w:space="0" w:color="auto"/>
        <w:right w:val="none" w:sz="0" w:space="0" w:color="auto"/>
      </w:divBdr>
    </w:div>
    <w:div w:id="1949966157">
      <w:marLeft w:val="0"/>
      <w:marRight w:val="0"/>
      <w:marTop w:val="180"/>
      <w:marBottom w:val="0"/>
      <w:divBdr>
        <w:top w:val="none" w:sz="0" w:space="0" w:color="auto"/>
        <w:left w:val="none" w:sz="0" w:space="0" w:color="auto"/>
        <w:bottom w:val="none" w:sz="0" w:space="0" w:color="auto"/>
        <w:right w:val="none" w:sz="0" w:space="0" w:color="auto"/>
      </w:divBdr>
    </w:div>
    <w:div w:id="1951082723">
      <w:marLeft w:val="0"/>
      <w:marRight w:val="0"/>
      <w:marTop w:val="0"/>
      <w:marBottom w:val="0"/>
      <w:divBdr>
        <w:top w:val="none" w:sz="0" w:space="0" w:color="auto"/>
        <w:left w:val="none" w:sz="0" w:space="0" w:color="auto"/>
        <w:bottom w:val="none" w:sz="0" w:space="0" w:color="auto"/>
        <w:right w:val="none" w:sz="0" w:space="0" w:color="auto"/>
      </w:divBdr>
    </w:div>
    <w:div w:id="1958095305">
      <w:marLeft w:val="0"/>
      <w:marRight w:val="0"/>
      <w:marTop w:val="0"/>
      <w:marBottom w:val="280"/>
      <w:divBdr>
        <w:top w:val="none" w:sz="0" w:space="0" w:color="auto"/>
        <w:left w:val="none" w:sz="0" w:space="0" w:color="auto"/>
        <w:bottom w:val="none" w:sz="0" w:space="0" w:color="auto"/>
        <w:right w:val="none" w:sz="0" w:space="0" w:color="auto"/>
      </w:divBdr>
    </w:div>
    <w:div w:id="1961690852">
      <w:marLeft w:val="0"/>
      <w:marRight w:val="0"/>
      <w:marTop w:val="0"/>
      <w:marBottom w:val="0"/>
      <w:divBdr>
        <w:top w:val="none" w:sz="0" w:space="0" w:color="auto"/>
        <w:left w:val="none" w:sz="0" w:space="0" w:color="auto"/>
        <w:bottom w:val="none" w:sz="0" w:space="0" w:color="auto"/>
        <w:right w:val="none" w:sz="0" w:space="0" w:color="auto"/>
      </w:divBdr>
    </w:div>
    <w:div w:id="1972132433">
      <w:marLeft w:val="0"/>
      <w:marRight w:val="0"/>
      <w:marTop w:val="0"/>
      <w:marBottom w:val="0"/>
      <w:divBdr>
        <w:top w:val="none" w:sz="0" w:space="0" w:color="auto"/>
        <w:left w:val="none" w:sz="0" w:space="0" w:color="auto"/>
        <w:bottom w:val="none" w:sz="0" w:space="0" w:color="auto"/>
        <w:right w:val="none" w:sz="0" w:space="0" w:color="auto"/>
      </w:divBdr>
    </w:div>
    <w:div w:id="1972633824">
      <w:marLeft w:val="0"/>
      <w:marRight w:val="0"/>
      <w:marTop w:val="0"/>
      <w:marBottom w:val="0"/>
      <w:divBdr>
        <w:top w:val="none" w:sz="0" w:space="0" w:color="auto"/>
        <w:left w:val="none" w:sz="0" w:space="0" w:color="auto"/>
        <w:bottom w:val="none" w:sz="0" w:space="0" w:color="auto"/>
        <w:right w:val="none" w:sz="0" w:space="0" w:color="auto"/>
      </w:divBdr>
      <w:divsChild>
        <w:div w:id="845168187">
          <w:marLeft w:val="0"/>
          <w:marRight w:val="0"/>
          <w:marTop w:val="0"/>
          <w:marBottom w:val="0"/>
          <w:divBdr>
            <w:top w:val="none" w:sz="0" w:space="0" w:color="auto"/>
            <w:left w:val="none" w:sz="0" w:space="0" w:color="auto"/>
            <w:bottom w:val="none" w:sz="0" w:space="0" w:color="auto"/>
            <w:right w:val="none" w:sz="0" w:space="0" w:color="auto"/>
          </w:divBdr>
          <w:divsChild>
            <w:div w:id="4768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335">
      <w:marLeft w:val="0"/>
      <w:marRight w:val="0"/>
      <w:marTop w:val="0"/>
      <w:marBottom w:val="0"/>
      <w:divBdr>
        <w:top w:val="none" w:sz="0" w:space="0" w:color="auto"/>
        <w:left w:val="none" w:sz="0" w:space="0" w:color="auto"/>
        <w:bottom w:val="none" w:sz="0" w:space="0" w:color="auto"/>
        <w:right w:val="none" w:sz="0" w:space="0" w:color="auto"/>
      </w:divBdr>
    </w:div>
    <w:div w:id="1991860004">
      <w:marLeft w:val="0"/>
      <w:marRight w:val="0"/>
      <w:marTop w:val="0"/>
      <w:marBottom w:val="120"/>
      <w:divBdr>
        <w:top w:val="none" w:sz="0" w:space="0" w:color="auto"/>
        <w:left w:val="none" w:sz="0" w:space="0" w:color="auto"/>
        <w:bottom w:val="none" w:sz="0" w:space="0" w:color="auto"/>
        <w:right w:val="none" w:sz="0" w:space="0" w:color="auto"/>
      </w:divBdr>
    </w:div>
    <w:div w:id="2000109194">
      <w:marLeft w:val="0"/>
      <w:marRight w:val="0"/>
      <w:marTop w:val="0"/>
      <w:marBottom w:val="0"/>
      <w:divBdr>
        <w:top w:val="none" w:sz="0" w:space="0" w:color="auto"/>
        <w:left w:val="none" w:sz="0" w:space="0" w:color="auto"/>
        <w:bottom w:val="none" w:sz="0" w:space="0" w:color="auto"/>
        <w:right w:val="none" w:sz="0" w:space="0" w:color="auto"/>
      </w:divBdr>
      <w:divsChild>
        <w:div w:id="1220939396">
          <w:marLeft w:val="0"/>
          <w:marRight w:val="0"/>
          <w:marTop w:val="0"/>
          <w:marBottom w:val="0"/>
          <w:divBdr>
            <w:top w:val="none" w:sz="0" w:space="0" w:color="auto"/>
            <w:left w:val="none" w:sz="0" w:space="0" w:color="auto"/>
            <w:bottom w:val="none" w:sz="0" w:space="0" w:color="auto"/>
            <w:right w:val="none" w:sz="0" w:space="0" w:color="auto"/>
          </w:divBdr>
        </w:div>
      </w:divsChild>
    </w:div>
    <w:div w:id="2013095751">
      <w:marLeft w:val="0"/>
      <w:marRight w:val="0"/>
      <w:marTop w:val="0"/>
      <w:marBottom w:val="0"/>
      <w:divBdr>
        <w:top w:val="none" w:sz="0" w:space="0" w:color="auto"/>
        <w:left w:val="none" w:sz="0" w:space="0" w:color="auto"/>
        <w:bottom w:val="none" w:sz="0" w:space="0" w:color="auto"/>
        <w:right w:val="none" w:sz="0" w:space="0" w:color="auto"/>
      </w:divBdr>
      <w:divsChild>
        <w:div w:id="901671129">
          <w:marLeft w:val="0"/>
          <w:marRight w:val="0"/>
          <w:marTop w:val="0"/>
          <w:marBottom w:val="0"/>
          <w:divBdr>
            <w:top w:val="none" w:sz="0" w:space="0" w:color="auto"/>
            <w:left w:val="none" w:sz="0" w:space="0" w:color="auto"/>
            <w:bottom w:val="none" w:sz="0" w:space="0" w:color="auto"/>
            <w:right w:val="none" w:sz="0" w:space="0" w:color="auto"/>
          </w:divBdr>
        </w:div>
      </w:divsChild>
    </w:div>
    <w:div w:id="2016299171">
      <w:marLeft w:val="0"/>
      <w:marRight w:val="0"/>
      <w:marTop w:val="0"/>
      <w:marBottom w:val="0"/>
      <w:divBdr>
        <w:top w:val="none" w:sz="0" w:space="0" w:color="auto"/>
        <w:left w:val="none" w:sz="0" w:space="0" w:color="auto"/>
        <w:bottom w:val="none" w:sz="0" w:space="0" w:color="auto"/>
        <w:right w:val="none" w:sz="0" w:space="0" w:color="auto"/>
      </w:divBdr>
    </w:div>
    <w:div w:id="2018532037">
      <w:marLeft w:val="0"/>
      <w:marRight w:val="0"/>
      <w:marTop w:val="0"/>
      <w:marBottom w:val="180"/>
      <w:divBdr>
        <w:top w:val="none" w:sz="0" w:space="0" w:color="auto"/>
        <w:left w:val="none" w:sz="0" w:space="0" w:color="auto"/>
        <w:bottom w:val="none" w:sz="0" w:space="0" w:color="auto"/>
        <w:right w:val="none" w:sz="0" w:space="0" w:color="auto"/>
      </w:divBdr>
    </w:div>
    <w:div w:id="2042508410">
      <w:marLeft w:val="0"/>
      <w:marRight w:val="0"/>
      <w:marTop w:val="0"/>
      <w:marBottom w:val="0"/>
      <w:divBdr>
        <w:top w:val="none" w:sz="0" w:space="0" w:color="auto"/>
        <w:left w:val="none" w:sz="0" w:space="0" w:color="auto"/>
        <w:bottom w:val="none" w:sz="0" w:space="0" w:color="auto"/>
        <w:right w:val="none" w:sz="0" w:space="0" w:color="auto"/>
      </w:divBdr>
    </w:div>
    <w:div w:id="2044820939">
      <w:marLeft w:val="0"/>
      <w:marRight w:val="0"/>
      <w:marTop w:val="0"/>
      <w:marBottom w:val="0"/>
      <w:divBdr>
        <w:top w:val="none" w:sz="0" w:space="0" w:color="auto"/>
        <w:left w:val="none" w:sz="0" w:space="0" w:color="auto"/>
        <w:bottom w:val="none" w:sz="0" w:space="0" w:color="auto"/>
        <w:right w:val="none" w:sz="0" w:space="0" w:color="auto"/>
      </w:divBdr>
    </w:div>
    <w:div w:id="2050840493">
      <w:marLeft w:val="0"/>
      <w:marRight w:val="0"/>
      <w:marTop w:val="0"/>
      <w:marBottom w:val="0"/>
      <w:divBdr>
        <w:top w:val="none" w:sz="0" w:space="0" w:color="auto"/>
        <w:left w:val="none" w:sz="0" w:space="0" w:color="auto"/>
        <w:bottom w:val="none" w:sz="0" w:space="0" w:color="auto"/>
        <w:right w:val="none" w:sz="0" w:space="0" w:color="auto"/>
      </w:divBdr>
      <w:divsChild>
        <w:div w:id="1210918184">
          <w:marLeft w:val="0"/>
          <w:marRight w:val="0"/>
          <w:marTop w:val="0"/>
          <w:marBottom w:val="0"/>
          <w:divBdr>
            <w:top w:val="none" w:sz="0" w:space="0" w:color="auto"/>
            <w:left w:val="none" w:sz="0" w:space="0" w:color="auto"/>
            <w:bottom w:val="none" w:sz="0" w:space="0" w:color="auto"/>
            <w:right w:val="none" w:sz="0" w:space="0" w:color="auto"/>
          </w:divBdr>
        </w:div>
      </w:divsChild>
    </w:div>
    <w:div w:id="2062635507">
      <w:marLeft w:val="0"/>
      <w:marRight w:val="0"/>
      <w:marTop w:val="0"/>
      <w:marBottom w:val="180"/>
      <w:divBdr>
        <w:top w:val="none" w:sz="0" w:space="0" w:color="auto"/>
        <w:left w:val="none" w:sz="0" w:space="0" w:color="auto"/>
        <w:bottom w:val="none" w:sz="0" w:space="0" w:color="auto"/>
        <w:right w:val="none" w:sz="0" w:space="0" w:color="auto"/>
      </w:divBdr>
    </w:div>
    <w:div w:id="2064594150">
      <w:marLeft w:val="0"/>
      <w:marRight w:val="0"/>
      <w:marTop w:val="0"/>
      <w:marBottom w:val="0"/>
      <w:divBdr>
        <w:top w:val="none" w:sz="0" w:space="0" w:color="auto"/>
        <w:left w:val="none" w:sz="0" w:space="0" w:color="auto"/>
        <w:bottom w:val="none" w:sz="0" w:space="0" w:color="auto"/>
        <w:right w:val="none" w:sz="0" w:space="0" w:color="auto"/>
      </w:divBdr>
    </w:div>
    <w:div w:id="2072733846">
      <w:marLeft w:val="0"/>
      <w:marRight w:val="0"/>
      <w:marTop w:val="0"/>
      <w:marBottom w:val="0"/>
      <w:divBdr>
        <w:top w:val="none" w:sz="0" w:space="0" w:color="auto"/>
        <w:left w:val="none" w:sz="0" w:space="0" w:color="auto"/>
        <w:bottom w:val="none" w:sz="0" w:space="0" w:color="auto"/>
        <w:right w:val="none" w:sz="0" w:space="0" w:color="auto"/>
      </w:divBdr>
    </w:div>
    <w:div w:id="2073042216">
      <w:marLeft w:val="0"/>
      <w:marRight w:val="0"/>
      <w:marTop w:val="0"/>
      <w:marBottom w:val="180"/>
      <w:divBdr>
        <w:top w:val="none" w:sz="0" w:space="0" w:color="auto"/>
        <w:left w:val="none" w:sz="0" w:space="0" w:color="auto"/>
        <w:bottom w:val="none" w:sz="0" w:space="0" w:color="auto"/>
        <w:right w:val="none" w:sz="0" w:space="0" w:color="auto"/>
      </w:divBdr>
    </w:div>
    <w:div w:id="2075077437">
      <w:marLeft w:val="0"/>
      <w:marRight w:val="0"/>
      <w:marTop w:val="0"/>
      <w:marBottom w:val="0"/>
      <w:divBdr>
        <w:top w:val="none" w:sz="0" w:space="0" w:color="auto"/>
        <w:left w:val="none" w:sz="0" w:space="0" w:color="auto"/>
        <w:bottom w:val="none" w:sz="0" w:space="0" w:color="auto"/>
        <w:right w:val="none" w:sz="0" w:space="0" w:color="auto"/>
      </w:divBdr>
    </w:div>
    <w:div w:id="2082561625">
      <w:marLeft w:val="0"/>
      <w:marRight w:val="0"/>
      <w:marTop w:val="0"/>
      <w:marBottom w:val="0"/>
      <w:divBdr>
        <w:top w:val="none" w:sz="0" w:space="0" w:color="auto"/>
        <w:left w:val="none" w:sz="0" w:space="0" w:color="auto"/>
        <w:bottom w:val="none" w:sz="0" w:space="0" w:color="auto"/>
        <w:right w:val="none" w:sz="0" w:space="0" w:color="auto"/>
      </w:divBdr>
      <w:divsChild>
        <w:div w:id="87241865">
          <w:marLeft w:val="0"/>
          <w:marRight w:val="0"/>
          <w:marTop w:val="0"/>
          <w:marBottom w:val="0"/>
          <w:divBdr>
            <w:top w:val="none" w:sz="0" w:space="0" w:color="auto"/>
            <w:left w:val="none" w:sz="0" w:space="0" w:color="auto"/>
            <w:bottom w:val="none" w:sz="0" w:space="0" w:color="auto"/>
            <w:right w:val="none" w:sz="0" w:space="0" w:color="auto"/>
          </w:divBdr>
        </w:div>
      </w:divsChild>
    </w:div>
    <w:div w:id="2083288664">
      <w:marLeft w:val="0"/>
      <w:marRight w:val="0"/>
      <w:marTop w:val="0"/>
      <w:marBottom w:val="80"/>
      <w:divBdr>
        <w:top w:val="none" w:sz="0" w:space="0" w:color="auto"/>
        <w:left w:val="none" w:sz="0" w:space="0" w:color="auto"/>
        <w:bottom w:val="none" w:sz="0" w:space="0" w:color="auto"/>
        <w:right w:val="none" w:sz="0" w:space="0" w:color="auto"/>
      </w:divBdr>
    </w:div>
    <w:div w:id="2083987150">
      <w:marLeft w:val="0"/>
      <w:marRight w:val="0"/>
      <w:marTop w:val="0"/>
      <w:marBottom w:val="0"/>
      <w:divBdr>
        <w:top w:val="none" w:sz="0" w:space="0" w:color="auto"/>
        <w:left w:val="none" w:sz="0" w:space="0" w:color="auto"/>
        <w:bottom w:val="none" w:sz="0" w:space="0" w:color="auto"/>
        <w:right w:val="none" w:sz="0" w:space="0" w:color="auto"/>
      </w:divBdr>
    </w:div>
    <w:div w:id="2086950117">
      <w:marLeft w:val="0"/>
      <w:marRight w:val="0"/>
      <w:marTop w:val="0"/>
      <w:marBottom w:val="0"/>
      <w:divBdr>
        <w:top w:val="none" w:sz="0" w:space="0" w:color="auto"/>
        <w:left w:val="none" w:sz="0" w:space="0" w:color="auto"/>
        <w:bottom w:val="none" w:sz="0" w:space="0" w:color="auto"/>
        <w:right w:val="none" w:sz="0" w:space="0" w:color="auto"/>
      </w:divBdr>
      <w:divsChild>
        <w:div w:id="1062603266">
          <w:marLeft w:val="0"/>
          <w:marRight w:val="0"/>
          <w:marTop w:val="0"/>
          <w:marBottom w:val="0"/>
          <w:divBdr>
            <w:top w:val="none" w:sz="0" w:space="0" w:color="auto"/>
            <w:left w:val="none" w:sz="0" w:space="0" w:color="auto"/>
            <w:bottom w:val="none" w:sz="0" w:space="0" w:color="auto"/>
            <w:right w:val="none" w:sz="0" w:space="0" w:color="auto"/>
          </w:divBdr>
        </w:div>
      </w:divsChild>
    </w:div>
    <w:div w:id="2099403144">
      <w:marLeft w:val="0"/>
      <w:marRight w:val="0"/>
      <w:marTop w:val="0"/>
      <w:marBottom w:val="0"/>
      <w:divBdr>
        <w:top w:val="none" w:sz="0" w:space="0" w:color="auto"/>
        <w:left w:val="none" w:sz="0" w:space="0" w:color="auto"/>
        <w:bottom w:val="none" w:sz="0" w:space="0" w:color="auto"/>
        <w:right w:val="none" w:sz="0" w:space="0" w:color="auto"/>
      </w:divBdr>
      <w:divsChild>
        <w:div w:id="970482181">
          <w:marLeft w:val="0"/>
          <w:marRight w:val="0"/>
          <w:marTop w:val="0"/>
          <w:marBottom w:val="0"/>
          <w:divBdr>
            <w:top w:val="none" w:sz="0" w:space="0" w:color="auto"/>
            <w:left w:val="none" w:sz="0" w:space="0" w:color="auto"/>
            <w:bottom w:val="none" w:sz="0" w:space="0" w:color="auto"/>
            <w:right w:val="none" w:sz="0" w:space="0" w:color="auto"/>
          </w:divBdr>
        </w:div>
      </w:divsChild>
    </w:div>
    <w:div w:id="2114324483">
      <w:marLeft w:val="0"/>
      <w:marRight w:val="0"/>
      <w:marTop w:val="0"/>
      <w:marBottom w:val="180"/>
      <w:divBdr>
        <w:top w:val="none" w:sz="0" w:space="0" w:color="auto"/>
        <w:left w:val="none" w:sz="0" w:space="0" w:color="auto"/>
        <w:bottom w:val="none" w:sz="0" w:space="0" w:color="auto"/>
        <w:right w:val="none" w:sz="0" w:space="0" w:color="auto"/>
      </w:divBdr>
    </w:div>
    <w:div w:id="2117365678">
      <w:marLeft w:val="0"/>
      <w:marRight w:val="0"/>
      <w:marTop w:val="100"/>
      <w:marBottom w:val="100"/>
      <w:divBdr>
        <w:top w:val="none" w:sz="0" w:space="0" w:color="auto"/>
        <w:left w:val="none" w:sz="0" w:space="0" w:color="auto"/>
        <w:bottom w:val="none" w:sz="0" w:space="0" w:color="auto"/>
        <w:right w:val="none" w:sz="0" w:space="0" w:color="auto"/>
      </w:divBdr>
    </w:div>
    <w:div w:id="2118210698">
      <w:marLeft w:val="0"/>
      <w:marRight w:val="0"/>
      <w:marTop w:val="0"/>
      <w:marBottom w:val="180"/>
      <w:divBdr>
        <w:top w:val="none" w:sz="0" w:space="0" w:color="auto"/>
        <w:left w:val="none" w:sz="0" w:space="0" w:color="auto"/>
        <w:bottom w:val="none" w:sz="0" w:space="0" w:color="auto"/>
        <w:right w:val="none" w:sz="0" w:space="0" w:color="auto"/>
      </w:divBdr>
    </w:div>
    <w:div w:id="2145271520">
      <w:marLeft w:val="0"/>
      <w:marRight w:val="0"/>
      <w:marTop w:val="0"/>
      <w:marBottom w:val="2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3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32021.htm" TargetMode="External"/><Relationship Id="rId5" Type="http://schemas.openxmlformats.org/officeDocument/2006/relationships/hyperlink" Target="exhibit312q32021.htm" TargetMode="External"/><Relationship Id="rId4" Type="http://schemas.openxmlformats.org/officeDocument/2006/relationships/hyperlink" Target="exhibit311q3202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23171</Words>
  <Characters>132078</Characters>
  <Application>Microsoft Office Word</Application>
  <DocSecurity>0</DocSecurity>
  <Lines>1100</Lines>
  <Paragraphs>309</Paragraphs>
  <ScaleCrop>false</ScaleCrop>
  <Company/>
  <LinksUpToDate>false</LinksUpToDate>
  <CharactersWithSpaces>154940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avdl-20210930</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