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362F" w14:textId="77777777" w:rsidR="00000000" w:rsidRDefault="000C49AD">
      <w:pPr>
        <w:divId w:val="1691948926"/>
        <w:rPr>
          <w:rFonts w:eastAsia="Times New Roman"/>
          <w:vanish/>
        </w:rPr>
      </w:pPr>
      <w:r>
        <w:rPr>
          <w:rFonts w:eastAsia="Times New Roman"/>
          <w:vanish/>
        </w:rPr>
        <w:t>0001012477falseFY2021http://fasb.org/us-gaap/2021-01-31#AccountingStandardsUpdate202006MemberP10MP2YP5DP5D6733253300010124772021-01-012021-12-310001012477avdl:AmericanDepositarySharesMember2021-01-012021-12-310001012477</w:t>
      </w:r>
      <w:r>
        <w:rPr>
          <w:rFonts w:eastAsia="Times New Roman"/>
          <w:vanish/>
        </w:rPr>
        <w:t>avdl:OrdinaryShareNominalValue001PerShareMember2021-01-012021-12-3100010124772021-06-30iso4217:USD00010124772022-03-11xbrli:shares00010124772020-01-012020-12-3100010124772019-01-012019-12-31iso4217:USDxbrli:shares00010124772021-12-3100010124772020-12-31000</w:t>
      </w:r>
      <w:r>
        <w:rPr>
          <w:rFonts w:eastAsia="Times New Roman"/>
          <w:vanish/>
        </w:rPr>
        <w:t>1012477us-gaap:CommonStockMember2018-12-310001012477us-gaap:PreferredStockMember2018-12-310001012477us-gaap:AdditionalPaidInCapitalMember2018-12-310001012477us-gaap:RetainedEarningsMember2018-12-310001012477us-gaap:AccumulatedOtherComprehensiveIncomeMember</w:t>
      </w:r>
      <w:r>
        <w:rPr>
          <w:rFonts w:eastAsia="Times New Roman"/>
          <w:vanish/>
        </w:rPr>
        <w:t>2018-12-310001012477us-gaap:TreasuryStockMember2018-12-3100010124772018-12-310001012477us-gaap:RetainedEarningsMember2019-01-012019-12-310001012477us-gaap:AccumulatedOtherComprehensiveIncomeMember2019-01-012019-12-310001012477us-gaap:CommonStockMember2019-</w:t>
      </w:r>
      <w:r>
        <w:rPr>
          <w:rFonts w:eastAsia="Times New Roman"/>
          <w:vanish/>
        </w:rPr>
        <w:t>01-012019-12-310001012477us-gaap:AdditionalPaidInCapitalMember2019-01-012019-12-310001012477us-gaap:CommonStockMember2019-12-310001012477us-gaap:PreferredStockMember2019-12-310001012477us-gaap:AdditionalPaidInCapitalMember2019-12-310001012477us-gaap:Retain</w:t>
      </w:r>
      <w:r>
        <w:rPr>
          <w:rFonts w:eastAsia="Times New Roman"/>
          <w:vanish/>
        </w:rPr>
        <w:t>edEarningsMember2019-12-310001012477us-gaap:AccumulatedOtherComprehensiveIncomeMember2019-12-310001012477us-gaap:TreasuryStockMember2019-12-3100010124772019-12-310001012477us-gaap:RetainedEarningsMember2020-01-012020-12-310001012477us-gaap:AccumulatedOther</w:t>
      </w:r>
      <w:r>
        <w:rPr>
          <w:rFonts w:eastAsia="Times New Roman"/>
          <w:vanish/>
        </w:rPr>
        <w:t>ComprehensiveIncomeMember2020-01-012020-12-310001012477us-gaap:CommonStockMember2020-01-012020-12-310001012477us-gaap:AdditionalPaidInCapitalMember2020-01-012020-12-310001012477us-gaap:PreferredStockMember2020-01-012020-12-310001012477us-gaap:TreasuryStock</w:t>
      </w:r>
      <w:r>
        <w:rPr>
          <w:rFonts w:eastAsia="Times New Roman"/>
          <w:vanish/>
        </w:rPr>
        <w:t>Member2020-01-012020-12-310001012477us-gaap:CommonStockMember2020-12-310001012477us-gaap:PreferredStockMember2020-12-310001012477us-gaap:AdditionalPaidInCapitalMember2020-12-310001012477us-gaap:RetainedEarningsMember2020-12-310001012477us-gaap:AccumulatedO</w:t>
      </w:r>
      <w:r>
        <w:rPr>
          <w:rFonts w:eastAsia="Times New Roman"/>
          <w:vanish/>
        </w:rPr>
        <w:t>therComprehensiveIncomeMember2020-12-310001012477us-gaap:TreasuryStockMember2020-12-310001012477us-gaap:AdditionalPaidInCapitalMembersrt:CumulativeEffectPeriodOfAdoptionAdjustmentMember2020-12-310001012477srt:CumulativeEffectPeriodOfAdoptionAdjustmentMembe</w:t>
      </w:r>
      <w:r>
        <w:rPr>
          <w:rFonts w:eastAsia="Times New Roman"/>
          <w:vanish/>
        </w:rPr>
        <w:t>rus-gaap:RetainedEarningsMember2020-12-310001012477srt:CumulativeEffectPeriodOfAdoptionAdjustmentMember2020-12-310001012477us-gaap:RetainedEarningsMember2021-01-012021-12-310001012477us-gaap:AccumulatedOtherComprehensiveIncomeMember2021-01-012021-12-310001</w:t>
      </w:r>
      <w:r>
        <w:rPr>
          <w:rFonts w:eastAsia="Times New Roman"/>
          <w:vanish/>
        </w:rPr>
        <w:t>012477us-gaap:CommonStockMember2021-01-012021-12-310001012477us-gaap:AdditionalPaidInCapitalMember2021-01-012021-12-310001012477us-gaap:CommonStockMember2021-12-310001012477us-gaap:PreferredStockMember2021-12-310001012477us-gaap:AdditionalPaidInCapitalMemb</w:t>
      </w:r>
      <w:r>
        <w:rPr>
          <w:rFonts w:eastAsia="Times New Roman"/>
          <w:vanish/>
        </w:rPr>
        <w:t>er2021-12-310001012477us-gaap:RetainedEarningsMember2021-12-310001012477us-gaap:AccumulatedOtherComprehensiveIncomeMember2021-12-310001012477us-gaap:TreasuryStockMember2021-12-310001012477avdl:FourPointFiftyPercentExchangeableSeniorNotesDue2023Member2021-0</w:t>
      </w:r>
      <w:r>
        <w:rPr>
          <w:rFonts w:eastAsia="Times New Roman"/>
          <w:vanish/>
        </w:rPr>
        <w:t>1-012021-12-31xbrli:pure0001012477avdl:FourPointFiftyPercentExchangeableSeniorNotesDue2023Member2021-12-310001012477avdl:FourPointFiftyPercentExchangeableSeniorNotesDue2023Member2020-01-012020-12-310001012477avdl:FourPointFiftyPercentExchangeableSeniorNote</w:t>
      </w:r>
      <w:r>
        <w:rPr>
          <w:rFonts w:eastAsia="Times New Roman"/>
          <w:vanish/>
        </w:rPr>
        <w:t>sDue2023Member2019-01-012019-12-310001012477srt:RestatementAdjustmentMemberavdl:FourPointFiftyPercentExchangeableSeniorNotesDue2023Member2021-01-012021-12-310001012477us-gaap:AdvertisingMember2021-01-012021-12-310001012477us-gaap:AdvertisingMember2020-01-0</w:t>
      </w:r>
      <w:r>
        <w:rPr>
          <w:rFonts w:eastAsia="Times New Roman"/>
          <w:vanish/>
        </w:rPr>
        <w:t>12020-12-310001012477us-gaap:AdvertisingMember2019-01-012019-12-310001012477avdl:SoftwareandSoftwareDevelopmentCostsOfficeEquipmentandComputerEquipmentMember2021-01-012021-12-310001012477srt:MinimumMemberavdl:LeaseholdImprovementsFurnitureFixturesAndFittin</w:t>
      </w:r>
      <w:r>
        <w:rPr>
          <w:rFonts w:eastAsia="Times New Roman"/>
          <w:vanish/>
        </w:rPr>
        <w:t>gsMember2021-01-012021-12-310001012477srt:MaximumMemberavdl:LeaseholdImprovementsFurnitureFixturesAndFittingsMember2021-01-012021-12-310001012477us-gaap:SeniorNotesMemberavdl:A450PercentExchangeableSeniorNotesDue2023Member2020-12-310001012477avdl:Specialty</w:t>
      </w:r>
      <w:r>
        <w:rPr>
          <w:rFonts w:eastAsia="Times New Roman"/>
          <w:vanish/>
        </w:rPr>
        <w:t>PharmaMember2019-01-012019-12-310001012477us-gaap:DisposalGroupDisposedOfBySaleNotDiscontinuedOperationsMemberavdl:BloxiverzVazculepAkovazandNouressMember2020-06-300001012477us-gaap:DisposalGroupDisposedOfBySaleNotDiscontinuedOperationsMemberavdl:Bloxiverz</w:t>
      </w:r>
      <w:r>
        <w:rPr>
          <w:rFonts w:eastAsia="Times New Roman"/>
          <w:vanish/>
        </w:rPr>
        <w:t>VazculepAkovazandNouressMember2020-06-302020-06-300001012477us-gaap:DisposalGroupDisposedOfBySaleNotDiscontinuedOperationsMemberavdl:BloxiverzVazculepAkovazandNouressMember2020-01-012020-12-310001012477us-gaap:DisposalGroupDisposedOfBySaleNotDiscontinuedOp</w:t>
      </w:r>
      <w:r>
        <w:rPr>
          <w:rFonts w:eastAsia="Times New Roman"/>
          <w:vanish/>
        </w:rPr>
        <w:t>erationsMemberavdl:BloxiverzVazculepAkovazandNouressMember2021-01-012021-12-310001012477us-gaap:DisposalGroupDisposedOfBySaleNotDiscontinuedOperationsMemberavdl:BloxiverzVazculepAkovazandNouressMember2020-12-310001012477us-gaap:SellingGeneralAndAdministrat</w:t>
      </w:r>
      <w:r>
        <w:rPr>
          <w:rFonts w:eastAsia="Times New Roman"/>
          <w:vanish/>
        </w:rPr>
        <w:t>iveExpensesMember2020-01-012020-12-310001012477srt:ScenarioPreviouslyReportedMember2020-01-012020-12-310001012477srt:ProFormaMembersrt:RestatementAdjustmentMember2020-01-012020-12-310001012477srt:ProFormaMember2020-01-012020-12-310001012477srt:ScenarioPrev</w:t>
      </w:r>
      <w:r>
        <w:rPr>
          <w:rFonts w:eastAsia="Times New Roman"/>
          <w:vanish/>
        </w:rPr>
        <w:t>iouslyReportedMember2019-01-012019-12-310001012477srt:ProFormaMembersrt:RestatementAdjustmentMember2019-01-012019-12-310001012477srt:ProFormaMember2019-01-012019-12-310001012477us-gaap:DisposalGroupDisposedOfBySaleNotDiscontinuedOperationsMembersrt:ProForm</w:t>
      </w:r>
      <w:r>
        <w:rPr>
          <w:rFonts w:eastAsia="Times New Roman"/>
          <w:vanish/>
        </w:rPr>
        <w:t>aMembersrt:RestatementAdjustmentMember2020-01-012020-12-310001012477us-gaap:DisposalGroupDisposedOfBySaleNotDiscontinuedOperationsMembersrt:ProFormaMembersrt:RestatementAdjustmentMember2019-01-012019-12-310001012477us-gaap:FairValueInputsLevel1Memberus-gaa</w:t>
      </w:r>
      <w:r>
        <w:rPr>
          <w:rFonts w:eastAsia="Times New Roman"/>
          <w:vanish/>
        </w:rPr>
        <w:t>p:FairValueMeasurementsRecurringMemberus-gaap:MoneyMarketFundsMember2021-12-310001012477us-gaap:FairValueMeasurementsRecurringMemberus-gaap:MoneyMarketFundsMemberus-gaap:FairValueInputsLevel2Member2021-12-310001012477us-gaap:FairValueMeasurementsRecurringM</w:t>
      </w:r>
      <w:r>
        <w:rPr>
          <w:rFonts w:eastAsia="Times New Roman"/>
          <w:vanish/>
        </w:rPr>
        <w:t>emberus-gaap:MoneyMarketFundsMemberus-gaap:FairValueInputsLevel3Member2021-12-310001012477us-gaap:FairValueInputsLevel1Memberus-gaap:FairValueMeasurementsRecurringMemberus-gaap:MoneyMarketFundsMember2020-12-310001012477us-gaap:FairValueMeasurementsRecurrin</w:t>
      </w:r>
      <w:r>
        <w:rPr>
          <w:rFonts w:eastAsia="Times New Roman"/>
          <w:vanish/>
        </w:rPr>
        <w:t>gMemberus-gaap:MoneyMarketFundsMemberus-gaap:FairValueInputsLevel2Member2020-12-310001012477us-gaap:FairValueMeasurementsRecurringMemberus-gaap:MoneyMarketFundsMemberus-gaap:FairValueInputsLevel3Member2020-12-310001012477us-gaap:FairValueInputsLevel1Member</w:t>
      </w:r>
      <w:r>
        <w:rPr>
          <w:rFonts w:eastAsia="Times New Roman"/>
          <w:vanish/>
        </w:rPr>
        <w:t>us-gaap:CorporateDebtSecuritiesMemberus-gaap:FairValueMeasurementsRecurringMember2021-12-310001012477us-gaap:CorporateDebtSecuritiesMemberus-gaap:FairValueMeasurementsRecurringMemberus-gaap:FairValueInputsLevel2Member2021-12-310001012477us-gaap:CorporateDe</w:t>
      </w:r>
      <w:r>
        <w:rPr>
          <w:rFonts w:eastAsia="Times New Roman"/>
          <w:vanish/>
        </w:rPr>
        <w:t>btSecuritiesMemberus-gaap:FairValueMeasurementsRecurringMemberus-gaap:FairValueInputsLevel3Member2021-12-310001012477us-gaap:FairValueInputsLevel1Memberus-gaap:CorporateDebtSecuritiesMemberus-gaap:FairValueMeasurementsRecurringMember2020-12-310001012477us-</w:t>
      </w:r>
      <w:r>
        <w:rPr>
          <w:rFonts w:eastAsia="Times New Roman"/>
          <w:vanish/>
        </w:rPr>
        <w:t>gaap:CorporateDebtSecuritiesMemberus-gaap:FairValueMeasurementsRecurringMemberus-gaap:FairValueInputsLevel2Member2020-12-310001012477us-gaap:CorporateDebtSecuritiesMemberus-gaap:FairValueMeasurementsRecurringMemberus-gaap:FairValueInputsLevel3Member2020-12</w:t>
      </w:r>
      <w:r>
        <w:rPr>
          <w:rFonts w:eastAsia="Times New Roman"/>
          <w:vanish/>
        </w:rPr>
        <w:t>-310001012477us-gaap:FairValueInputsLevel1Memberus-gaap:USGovernmentAgenciesDebtSecuritiesMemberus-gaap:FairValueMeasurementsRecurringMember2021-12-310001012477us-gaap:USGovernmentAgenciesDebtSecuritiesMemberus-gaap:FairValueMeasurementsRecurringMemberus-g</w:t>
      </w:r>
      <w:r>
        <w:rPr>
          <w:rFonts w:eastAsia="Times New Roman"/>
          <w:vanish/>
        </w:rPr>
        <w:t>aap:FairValueInputsLevel2Member2021-12-310001012477us-gaap:USGovernmentAgenciesDebtSecuritiesMemberus-gaap:FairValueMeasurementsRecurringMemberus-gaap:FairValueInputsLevel3Member2021-12-310001012477us-gaap:FairValueInputsLevel1Memberus-gaap:USGovernmentAge</w:t>
      </w:r>
      <w:r>
        <w:rPr>
          <w:rFonts w:eastAsia="Times New Roman"/>
          <w:vanish/>
        </w:rPr>
        <w:t>nciesDebtSecuritiesMemberus-gaap:FairValueMeasurementsRecurringMember2020-12-310001012477us-gaap:USGovernmentAgenciesDebtSecuritiesMemberus-gaap:FairValueMeasurementsRecurringMemberus-gaap:FairValueInputsLevel2Member2020-12-310001012477us-gaap:USGovernment</w:t>
      </w:r>
      <w:r>
        <w:rPr>
          <w:rFonts w:eastAsia="Times New Roman"/>
          <w:vanish/>
        </w:rPr>
        <w:t>AgenciesDebtSecuritiesMemberus-gaap:FairValueMeasurementsRecurringMemberus-gaap:FairValueInputsLevel3Member2020-12-310001012477us-gaap:FixedIncomeSecuritiesMemberus-gaap:FairValueInputsLevel1Memberus-gaap:FairValueMeasurementsRecurringMember2021-12-3100010</w:t>
      </w:r>
      <w:r>
        <w:rPr>
          <w:rFonts w:eastAsia="Times New Roman"/>
          <w:vanish/>
        </w:rPr>
        <w:t>12477us-gaap:FixedIncomeSecuritiesMemberus-gaap:FairValueMeasurementsRecurringMemberus-gaap:FairValueInputsLevel2Member2021-12-310001012477us-gaap:FixedIncomeSecuritiesMemberus-gaap:FairValueMeasurementsRecurringMemberus-gaap:FairValueInputsLevel3Member202</w:t>
      </w:r>
      <w:r>
        <w:rPr>
          <w:rFonts w:eastAsia="Times New Roman"/>
          <w:vanish/>
        </w:rPr>
        <w:t>1-12-310001012477us-gaap:FixedIncomeSecuritiesMemberus-gaap:FairValueInputsLevel1Memberus-gaap:FairValueMeasurementsRecurringMember2020-12-310001012477us-gaap:FixedIncomeSecuritiesMemberus-gaap:FairValueMeasurementsRecurringMemberus-gaap:FairValueInputsLev</w:t>
      </w:r>
      <w:r>
        <w:rPr>
          <w:rFonts w:eastAsia="Times New Roman"/>
          <w:vanish/>
        </w:rPr>
        <w:t>el2Member2020-12-310001012477us-gaap:FixedIncomeSecuritiesMemberus-gaap:FairValueMeasurementsRecurringMemberus-gaap:FairValueInputsLevel3Member2020-12-310001012477us-gaap:FairValueInputsLevel1Memberus-gaap:FairValueMeasurementsRecurringMember2021-12-310001</w:t>
      </w:r>
      <w:r>
        <w:rPr>
          <w:rFonts w:eastAsia="Times New Roman"/>
          <w:vanish/>
        </w:rPr>
        <w:t>012477us-gaap:FairValueMeasurementsRecurringMemberus-gaap:FairValueInputsLevel2Member2021-12-310001012477us-gaap:FairValueMeasurementsRecurringMemberus-gaap:FairValueInputsLevel3Member2021-12-310001012477us-gaap:FairValueInputsLevel1Memberus-gaap:FairValue</w:t>
      </w:r>
      <w:r>
        <w:rPr>
          <w:rFonts w:eastAsia="Times New Roman"/>
          <w:vanish/>
        </w:rPr>
        <w:t>MeasurementsRecurringMember2020-12-310001012477us-gaap:FairValueMeasurementsRecurringMemberus-gaap:FairValueInputsLevel2Member2020-12-310001012477us-gaap:FairValueMeasurementsRecurringMemberus-gaap:FairValueInputsLevel3Member2020-12-310001012477us-gaap:Sen</w:t>
      </w:r>
      <w:r>
        <w:rPr>
          <w:rFonts w:eastAsia="Times New Roman"/>
          <w:vanish/>
        </w:rPr>
        <w:t>iorNotesMemberavdl:FourPointFiftyPercentExchangeableSeniorNotesDue2023Member2021-12-310001012477us-gaap:SeniorNotesMemberus-gaap:EstimateOfFairValueFairValueDisclosureMember2021-12-310001012477us-gaap:MoneyMarketFundsMember2021-12-310001012477us-gaap:Corpo</w:t>
      </w:r>
      <w:r>
        <w:rPr>
          <w:rFonts w:eastAsia="Times New Roman"/>
          <w:vanish/>
        </w:rPr>
        <w:t>rateDebtSecuritiesMember2021-12-310001012477us-gaap:USGovernmentAgenciesDebtSecuritiesMember2021-12-310001012477us-gaap:FixedIncomeSecuritiesMember2021-12-310001012477us-gaap:MoneyMarketFundsMember2020-12-310001012477us-gaap:CorporateDebtSecuritiesMember20</w:t>
      </w:r>
      <w:r>
        <w:rPr>
          <w:rFonts w:eastAsia="Times New Roman"/>
          <w:vanish/>
        </w:rPr>
        <w:t>20-12-310001012477us-gaap:USGovernmentAgenciesDebtSecuritiesMember2020-12-310001012477us-gaap:FixedIncomeSecuritiesMember2020-12-310001012477us-gaap:DebtSecuritiesMember2021-12-310001012477avdl:SoftwareandSoftwareDevelopmentCostsOfficeEquipmentandComputerE</w:t>
      </w:r>
      <w:r>
        <w:rPr>
          <w:rFonts w:eastAsia="Times New Roman"/>
          <w:vanish/>
        </w:rPr>
        <w:t>quipmentMember2021-12-310001012477avdl:SoftwareandSoftwareDevelopmentCostsOfficeEquipmentandComputerEquipmentMember2020-12-310001012477us-gaap:FurnitureAndFixturesMember2021-12-310001012477us-gaap:FurnitureAndFixturesMember2020-12-310001012477srt:MinimumMe</w:t>
      </w:r>
      <w:r>
        <w:rPr>
          <w:rFonts w:eastAsia="Times New Roman"/>
          <w:vanish/>
        </w:rPr>
        <w:t>mber2021-12-310001012477srt:MaximumMember2021-12-310001012477us-gaap:SeniorNotesMemberavdl:FourPointFiftyPercentExchangeableSeniorNotesDue2023Member2020-12-310001012477us-gaap:SeniorNotesMember2021-12-310001012477us-gaap:SeniorNotesMember2020-12-3100010124</w:t>
      </w:r>
      <w:r>
        <w:rPr>
          <w:rFonts w:eastAsia="Times New Roman"/>
          <w:vanish/>
        </w:rPr>
        <w:t>77us-gaap:SeniorNotesMember2021-01-012021-12-310001012477us-gaap:SeniorNotesMember2020-01-012020-12-310001012477us-gaap:SeniorNotesMember2019-01-012019-12-310001012477us-gaap:SeniorNotesMemberavdl:FourPointFiftyPercentExchangeableSeniorNotesDue2023Member20</w:t>
      </w:r>
      <w:r>
        <w:rPr>
          <w:rFonts w:eastAsia="Times New Roman"/>
          <w:vanish/>
        </w:rPr>
        <w:t>21-01-012021-12-310001012477us-gaap:ConvertibleDebtMemberavdl:FourPointFiftyPercentExchangeableSeniorNotesDue2023Member2018-02-160001012477us-gaap:ConvertibleDebtMemberavdl:FourPointFiftyPercentExchangeableSeniorNotesDue2023Member2018-02-162018-02-16000101</w:t>
      </w:r>
      <w:r>
        <w:rPr>
          <w:rFonts w:eastAsia="Times New Roman"/>
          <w:vanish/>
        </w:rPr>
        <w:t>24772018-02-162018-02-16utr:Rate0001012477us-gaap:DebtInstrumentRedemptionPeriodOneMemberus-gaap:ConvertibleDebtMemberavdl:FourPointFiftyPercentExchangeableSeniorNotesDue2023Member2018-02-162018-02-160001012477us-gaap:DebtInstrumentRedemptionPeriodTwoMembe</w:t>
      </w:r>
      <w:r>
        <w:rPr>
          <w:rFonts w:eastAsia="Times New Roman"/>
          <w:vanish/>
        </w:rPr>
        <w:t>rus-gaap:ConvertibleDebtMemberavdl:FourPointFiftyPercentExchangeableSeniorNotesDue2023Member2018-02-162018-02-16avdl:day0001012477us-gaap:ConvertibleDebtMemberavdl:FourPointFiftyPercentExchangeableSeniorNotesDue2023Memberus-gaap:DebtInstrumentRedemptionPer</w:t>
      </w:r>
      <w:r>
        <w:rPr>
          <w:rFonts w:eastAsia="Times New Roman"/>
          <w:vanish/>
        </w:rPr>
        <w:t>iodThreeMember2018-02-162018-02-160001012477country:IE2021-01-012021-12-310001012477country:IE2020-01-012020-12-310001012477country:IE2019-01-012019-12-310001012477country:US2021-01-012021-12-310001012477country:US2020-01-012020-12-310001012477country:US20</w:t>
      </w:r>
      <w:r>
        <w:rPr>
          <w:rFonts w:eastAsia="Times New Roman"/>
          <w:vanish/>
        </w:rPr>
        <w:t>19-01-012019-12-310001012477country:FR2021-01-012021-12-310001012477country:FR2020-01-012020-12-310001012477country:FR2019-01-012019-12-310001012477us-gaap:InternalRevenueServiceIRSMemberavdl:SpecialityPharamaMember2020-12-310001012477us-gaap:InternalReven</w:t>
      </w:r>
      <w:r>
        <w:rPr>
          <w:rFonts w:eastAsia="Times New Roman"/>
          <w:vanish/>
        </w:rPr>
        <w:t>ueServiceIRSMemberavdl:SpecialityPharamaMember2019-07-020001012477us-gaap:InternalRevenueServiceIRSMemberavdl:SpecialityPharamaMember2019-10-020001012477country:IE2021-12-310001012477country:US2021-12-310001012477avdl:FscHoldingsLlcMember2021-12-3100010124</w:t>
      </w:r>
      <w:r>
        <w:rPr>
          <w:rFonts w:eastAsia="Times New Roman"/>
          <w:vanish/>
        </w:rPr>
        <w:t>77avdl:U.S.HoldingsMember2021-12-310001012477us-gaap:TaxYear2019Member2020-01-012020-12-310001012477us-gaap:TaxYear2020Member2020-01-012020-12-310001012477us-gaap:DiscontinuedOperationsDisposedOfBySaleMemberavdl:FSCMemberavdl:A2016MIPAMember2018-02-012018-</w:t>
      </w:r>
      <w:r>
        <w:rPr>
          <w:rFonts w:eastAsia="Times New Roman"/>
          <w:vanish/>
        </w:rPr>
        <w:t>02-280001012477us-gaap:DiscontinuedOperationsDisposedOfBySaleMemberavdl:A2016MIPAMember2021-12-310001012477us-gaap:DiscontinuedOperationsDisposedOfBySaleMemberavdl:CerecorMember2021-12-310001012477avdl:TwoThousandNineteenCorporateFrenchRestructuringObligat</w:t>
      </w:r>
      <w:r>
        <w:rPr>
          <w:rFonts w:eastAsia="Times New Roman"/>
          <w:vanish/>
        </w:rPr>
        <w:t>ionMember2019-01-012019-12-310001012477us-gaap:EmployeeSeveranceMemberavdl:TwoThousandNineteenCorporateFrenchRestructuringObligationMember2019-01-012019-12-310001012477avdl:TwoThousandNineteenCorporateFrenchRestructuringObligationMemberavdl:RetirementIndem</w:t>
      </w:r>
      <w:r>
        <w:rPr>
          <w:rFonts w:eastAsia="Times New Roman"/>
          <w:vanish/>
        </w:rPr>
        <w:t>nityObligationMember2019-01-012019-12-310001012477avdl:TwoThousandNineteenCorporateFrenchRestructuringObligationMemberavdl:RetirementIndemnityObligationMember2021-01-012021-12-310001012477avdl:TwoThousandNineteenCorporateFrenchRestructuringObligationMember</w:t>
      </w:r>
      <w:r>
        <w:rPr>
          <w:rFonts w:eastAsia="Times New Roman"/>
          <w:vanish/>
        </w:rPr>
        <w:t>2020-12-310001012477avdl:TwoThousandNineteenCorporateFrenchRestructuringObligationMember2019-12-310001012477us-gaap:EmployeeSeveranceMemberavdl:TwoThousandNineteenCorporateFrenchRestructuringObligationMember2021-01-012021-12-310001012477us-gaap:EmployeeSev</w:t>
      </w:r>
      <w:r>
        <w:rPr>
          <w:rFonts w:eastAsia="Times New Roman"/>
          <w:vanish/>
        </w:rPr>
        <w:t>eranceMemberavdl:TwoThousandNineteenCorporateFrenchRestructuringObligationMember2020-01-012020-12-310001012477avdl:TwoThousandNineteenCorporateFrenchRestructuringObligationMember2021-01-012021-12-310001012477avdl:TwoThousandNineteenCorporateFrenchRestructu</w:t>
      </w:r>
      <w:r>
        <w:rPr>
          <w:rFonts w:eastAsia="Times New Roman"/>
          <w:vanish/>
        </w:rPr>
        <w:t>ringObligationMember2020-01-012020-12-310001012477avdl:TwoThousandNineteenCorporateFrenchRestructuringObligationMember2021-12-310001012477us-gaap:AccruedLiabilitiesMemberavdl:TwoThousandNineteenCorporateFrenchRestructuringObligationMember2021-12-3100010124</w:t>
      </w:r>
      <w:r>
        <w:rPr>
          <w:rFonts w:eastAsia="Times New Roman"/>
          <w:vanish/>
        </w:rPr>
        <w:t>77us-gaap:EmployeeSeveranceMemberavdl:TwoThousandNineteenCorporateRestructuringObligationsMember2019-03-310001012477avdl:TwoThousandNineteenCorporateRestructuringObligationsMember2019-01-012019-12-310001012477us-gaap:EmployeeSeveranceMemberavdl:TwoThousand</w:t>
      </w:r>
      <w:r>
        <w:rPr>
          <w:rFonts w:eastAsia="Times New Roman"/>
          <w:vanish/>
        </w:rPr>
        <w:t>NineteenCorporateRestructuringObligationsMember2019-01-012019-12-310001012477us-gaap:EmployeeSeveranceMemberavdl:TwoThousandNineteenCorporateRestructuringObligationsMember2021-01-012021-12-310001012477us-gaap:EmployeeSeveranceMemberavdl:TwoThousandNineteen</w:t>
      </w:r>
      <w:r>
        <w:rPr>
          <w:rFonts w:eastAsia="Times New Roman"/>
          <w:vanish/>
        </w:rPr>
        <w:t>CorporateRestructuringObligationsMember2020-01-012020-12-3100010124772020-02-2900010124772020-02-012020-02-290001012477us-gaap:PrivatePlacementMember2020-02-212020-02-210001012477sic:Z8880us-gaap:PrivatePlacementMember2020-02-212020-02-210001012477us-gaap:</w:t>
      </w:r>
      <w:r>
        <w:rPr>
          <w:rFonts w:eastAsia="Times New Roman"/>
          <w:vanish/>
        </w:rPr>
        <w:t>SeriesAPreferredStockMemberus-gaap:PrivatePlacementMember2020-02-212020-02-210001012477us-gaap:SeriesAPreferredStockMemberus-gaap:PrivatePlacementMember2020-02-2100010124772020-02-212020-02-210001012477us-gaap:AdditionalPaidInCapitalMember2020-02-212020-02</w:t>
      </w:r>
      <w:r>
        <w:rPr>
          <w:rFonts w:eastAsia="Times New Roman"/>
          <w:vanish/>
        </w:rPr>
        <w:t>-210001012477avdl:AmericanDepositarySharesMemberavdl:PublicOfferingMember2020-04-282020-04-280001012477avdl:AmericanDepositarySharesMemberavdl:PublicOfferingMember2020-04-2800010124772020-08-012020-08-310001012477us-gaap:TreasuryStockMember2020-08-012020-0</w:t>
      </w:r>
      <w:r>
        <w:rPr>
          <w:rFonts w:eastAsia="Times New Roman"/>
          <w:vanish/>
        </w:rPr>
        <w:t>8-310001012477us-gaap:AdditionalPaidInCapitalMember2020-08-012020-08-310001012477us-gaap:CommonStockMember2020-08-012020-08-310001012477us-gaap:ResearchAndDevelopmentExpenseMember2021-01-012021-12-310001012477us-gaap:ResearchAndDevelopmentExpenseMember2020</w:t>
      </w:r>
      <w:r>
        <w:rPr>
          <w:rFonts w:eastAsia="Times New Roman"/>
          <w:vanish/>
        </w:rPr>
        <w:t>-01-012020-12-310001012477us-gaap:ResearchAndDevelopmentExpenseMember2019-01-012019-12-310001012477us-gaap:SellingGeneralAndAdministrativeExpensesMember2021-01-012021-12-310001012477us-gaap:SellingGeneralAndAdministrativeExpensesMember2019-01-012019-12-310</w:t>
      </w:r>
      <w:r>
        <w:rPr>
          <w:rFonts w:eastAsia="Times New Roman"/>
          <w:vanish/>
        </w:rPr>
        <w:t>001012477us-gaap:RestructuringChargesMember2021-01-012021-12-310001012477us-gaap:RestructuringChargesMember2020-01-012020-12-310001012477us-gaap:RestructuringChargesMember2019-01-012019-12-310001012477us-gaap:EmployeeStockOptionMember2021-12-310001012477av</w:t>
      </w:r>
      <w:r>
        <w:rPr>
          <w:rFonts w:eastAsia="Times New Roman"/>
          <w:vanish/>
        </w:rPr>
        <w:t>dl:InducementPlanMember2021-12-310001012477us-gaap:EmployeeStockOptionMember2021-01-012021-12-310001012477us-gaap:EmployeeStockOptionMembersrt:DirectorMember2020-01-012020-12-310001012477us-gaap:EmployeeStockOptionMember2021-01-012021-12-310001012477us-gaa</w:t>
      </w:r>
      <w:r>
        <w:rPr>
          <w:rFonts w:eastAsia="Times New Roman"/>
          <w:vanish/>
        </w:rPr>
        <w:t>p:EmployeeStockOptionMember2020-01-012020-12-310001012477us-gaap:EmployeeStockOptionMember2019-01-012019-12-310001012477us-gaap:RestrictedStockMember2017-01-012020-12-310001012477avdl:RestrictedShareAwardsGrantedToEmployeesMember2021-01-012021-12-310001012</w:t>
      </w:r>
      <w:r>
        <w:rPr>
          <w:rFonts w:eastAsia="Times New Roman"/>
          <w:vanish/>
        </w:rPr>
        <w:t>477avdl:RestrictedShareAwardsGrantsBeginningIn2018Member2018-01-012018-12-310001012477avdl:FreeShareAwardMember2020-12-310001012477avdl:FreeShareAwardMember2021-01-012021-12-310001012477avdl:FreeShareAwardMember2021-12-310001012477avdl:FreeShareAwardMember</w:t>
      </w:r>
      <w:r>
        <w:rPr>
          <w:rFonts w:eastAsia="Times New Roman"/>
          <w:vanish/>
        </w:rPr>
        <w:t>2020-01-012020-12-310001012477avdl:FreeShareAwardMember2019-01-012019-12-310001012477avdl:VestUponTheAchievementOfCertainRegulatoryMilestonesMemberus-gaap:PerformanceSharesMember2021-01-012021-12-310001012477avdl:VestOneYearFollowingAchievementOfMilestones</w:t>
      </w:r>
      <w:r>
        <w:rPr>
          <w:rFonts w:eastAsia="Times New Roman"/>
          <w:vanish/>
        </w:rPr>
        <w:t>Memberus-gaap:PerformanceSharesMember2021-01-012021-12-310001012477us-gaap:PerformanceSharesMember2021-01-012021-12-310001012477avdl:VestUponAchievementOfCertainCorporateObjectivesMemberus-gaap:PerformanceSharesMember2021-01-012021-12-310001012477avdl:Vest</w:t>
      </w:r>
      <w:r>
        <w:rPr>
          <w:rFonts w:eastAsia="Times New Roman"/>
          <w:vanish/>
        </w:rPr>
        <w:t>OneYearFollowingAchievementOfCertainCorporateObjectivesMemberus-gaap:PerformanceSharesMember2021-01-012021-12-310001012477us-gaap:PerformanceSharesMemberavdl:VestUponAchievementOfCertainCorporateObjectivesBeingMetAndExceededMember2021-01-012021-12-31000101</w:t>
      </w:r>
      <w:r>
        <w:rPr>
          <w:rFonts w:eastAsia="Times New Roman"/>
          <w:vanish/>
        </w:rPr>
        <w:t>2477us-gaap:PerformanceSharesMember2020-12-310001012477us-gaap:PerformanceSharesMember2021-12-310001012477us-gaap:PerformanceSharesMember2020-01-012020-12-310001012477us-gaap:PerformanceSharesMember2019-01-012019-12-310001012477avdl:A2017AvadelEmployeeShar</w:t>
      </w:r>
      <w:r>
        <w:rPr>
          <w:rFonts w:eastAsia="Times New Roman"/>
          <w:vanish/>
        </w:rPr>
        <w:t>ePurchasePlanMember2021-12-310001012477avdl:A2017AvadelEmployeeSharePurchasePlanMember2021-01-012021-12-310001012477us-gaap:ShareBasedPaymentArrangementEmployeeMemberus-gaap:PerformanceSharesMember2021-01-012021-12-310001012477us-gaap:ShareBasedPaymentArra</w:t>
      </w:r>
      <w:r>
        <w:rPr>
          <w:rFonts w:eastAsia="Times New Roman"/>
          <w:vanish/>
        </w:rPr>
        <w:t>ngementEmployeeMemberus-gaap:PerformanceSharesMember2020-01-012020-12-310001012477avdl:RestrictedShareAwardsGrantedFrom20172020Memberus-gaap:ShareBasedCompensationAwardTrancheOneMember2021-01-012021-12-310001012477avdl:RestrictedShareAwardsGrantedFrom20172</w:t>
      </w:r>
      <w:r>
        <w:rPr>
          <w:rFonts w:eastAsia="Times New Roman"/>
          <w:vanish/>
        </w:rPr>
        <w:t>020Memberus-gaap:ShareBasedCompensationAwardTrancheTwoMember2021-01-012021-12-310001012477avdl:RestrictedShareAwardsGrantedToEmployeesMemberus-gaap:ShareBasedCompensationAwardTrancheThreeMember2021-01-012021-12-310001012477avdl:RestrictedShareAwardsGrantsB</w:t>
      </w:r>
      <w:r>
        <w:rPr>
          <w:rFonts w:eastAsia="Times New Roman"/>
          <w:vanish/>
        </w:rPr>
        <w:t>eginningIn2018Memberavdl:SharebasedCompensationAwardTrancheFourMember2021-01-012021-12-310001012477us-gaap:AccumulatedTranslationAdjustmentMember2020-12-310001012477us-gaap:AccumulatedTranslationAdjustmentMember2019-12-310001012477us-gaap:AccumulatedTransl</w:t>
      </w:r>
      <w:r>
        <w:rPr>
          <w:rFonts w:eastAsia="Times New Roman"/>
          <w:vanish/>
        </w:rPr>
        <w:t>ationAdjustmentMember2018-12-310001012477us-gaap:AccumulatedTranslationAdjustmentMember2021-01-012021-12-310001012477us-gaap:AccumulatedTranslationAdjustmentMember2020-01-012020-12-310001012477us-gaap:AccumulatedTranslationAdjustmentMember2019-01-012019-12</w:t>
      </w:r>
      <w:r>
        <w:rPr>
          <w:rFonts w:eastAsia="Times New Roman"/>
          <w:vanish/>
        </w:rPr>
        <w:t>-310001012477us-gaap:AccumulatedTranslationAdjustmentMember2021-12-310001012477us-gaap:AccumulatedNetUnrealizedInvestmentGainLossMember2020-12-310001012477us-gaap:AccumulatedNetUnrealizedInvestmentGainLossMember2019-12-310001012477us-gaap:AccumulatedNetUnr</w:t>
      </w:r>
      <w:r>
        <w:rPr>
          <w:rFonts w:eastAsia="Times New Roman"/>
          <w:vanish/>
        </w:rPr>
        <w:t>ealizedInvestmentGainLossMember2018-12-310001012477us-gaap:AccumulatedNetUnrealizedInvestmentGainLossMember2021-01-012021-12-310001012477us-gaap:AccumulatedNetUnrealizedInvestmentGainLossMember2020-01-012020-12-310001012477us-gaap:AccumulatedNetUnrealizedI</w:t>
      </w:r>
      <w:r>
        <w:rPr>
          <w:rFonts w:eastAsia="Times New Roman"/>
          <w:vanish/>
        </w:rPr>
        <w:t>nvestmentGainLossMember2019-01-012019-12-310001012477us-gaap:AccumulatedNetUnrealizedInvestmentGainLossMember2021-12-31avdl:segment0001012477avdl:BloxiverzMember2020-01-012020-12-310001012477avdl:BloxiverzMember2019-01-012019-12-310001012477avdl:VazculepMe</w:t>
      </w:r>
      <w:r>
        <w:rPr>
          <w:rFonts w:eastAsia="Times New Roman"/>
          <w:vanish/>
        </w:rPr>
        <w:t>mber2020-01-012020-12-310001012477avdl:VazculepMember2019-01-012019-12-310001012477avdl:AkovazMember2020-01-012020-12-310001012477avdl:AkovazMember2019-01-012019-12-310001012477avdl:OtherProductsMember2020-01-012020-12-310001012477avdl:OtherProductsMember2</w:t>
      </w:r>
      <w:r>
        <w:rPr>
          <w:rFonts w:eastAsia="Times New Roman"/>
          <w:vanish/>
        </w:rPr>
        <w:t>019-01-012019-12-310001012477avdl:CustomerMember2020-01-012020-12-310001012477avdl:CustomerMember2019-01-012019-12-310001012477avdl:CustomerBMember2020-01-012020-12-310001012477avdl:CustomerBMember2019-01-012019-12-310001012477avdl:CustomerCMember2020-01-0</w:t>
      </w:r>
      <w:r>
        <w:rPr>
          <w:rFonts w:eastAsia="Times New Roman"/>
          <w:vanish/>
        </w:rPr>
        <w:t>12020-12-310001012477avdl:CustomerCMember2019-01-012019-12-310001012477avdl:CustomerDMember2020-01-012020-12-310001012477avdl:CustomerDMember2019-01-012019-12-310001012477avdl:OtherCustomersMember2020-01-012020-12-310001012477avdl:OtherCustomersMember2019-</w:t>
      </w:r>
      <w:r>
        <w:rPr>
          <w:rFonts w:eastAsia="Times New Roman"/>
          <w:vanish/>
        </w:rPr>
        <w:t>01-012019-12-310001012477country:US2020-12-310001012477country:US2019-12-310001012477country:FR2021-12-310001012477country:FR2020-12-310001012477country:FR2019-12-310001012477country:IE2020-12-310001012477country:IE2019-12-310001012477us-gaap:SubsequentEve</w:t>
      </w:r>
      <w:r>
        <w:rPr>
          <w:rFonts w:eastAsia="Times New Roman"/>
          <w:vanish/>
        </w:rPr>
        <w:t>ntMemberavdl:A450PercentExchangeableSeniorNotesDueOctober22023Memberus-gaap:ConvertibleDebtMember2022-03-160001012477us-gaap:SubsequentEventMemberus-gaap:ConvertibleDebtMemberavdl:FourPointFiftyPercentExchangeableSeniorNotesDue2023Member2022-03-16</w:t>
      </w:r>
    </w:p>
    <w:p w14:paraId="23538444" w14:textId="77777777" w:rsidR="00000000" w:rsidRDefault="000C49AD">
      <w:pPr>
        <w:divId w:val="1040475321"/>
        <w:rPr>
          <w:rFonts w:eastAsia="Times New Roman"/>
        </w:rPr>
      </w:pPr>
    </w:p>
    <w:p w14:paraId="5605DA5A" w14:textId="77777777" w:rsidR="00000000" w:rsidRDefault="000C49AD">
      <w:pPr>
        <w:jc w:val="center"/>
        <w:rPr>
          <w:rFonts w:eastAsia="Times New Roman"/>
        </w:rPr>
      </w:pPr>
      <w:r>
        <w:rPr>
          <w:rFonts w:eastAsia="Times New Roman"/>
          <w:b/>
          <w:bCs/>
          <w:color w:val="000000"/>
          <w:sz w:val="22"/>
          <w:szCs w:val="22"/>
        </w:rPr>
        <w:t>UNITED</w:t>
      </w:r>
      <w:r>
        <w:rPr>
          <w:rFonts w:eastAsia="Times New Roman"/>
          <w:b/>
          <w:bCs/>
          <w:color w:val="000000"/>
          <w:sz w:val="22"/>
          <w:szCs w:val="22"/>
        </w:rPr>
        <w:t xml:space="preserve"> STATES</w:t>
      </w:r>
    </w:p>
    <w:p w14:paraId="39968AA2" w14:textId="77777777" w:rsidR="00000000" w:rsidRDefault="000C49AD">
      <w:pPr>
        <w:jc w:val="center"/>
        <w:rPr>
          <w:rFonts w:eastAsia="Times New Roman"/>
        </w:rPr>
      </w:pPr>
      <w:r>
        <w:rPr>
          <w:rFonts w:eastAsia="Times New Roman"/>
          <w:b/>
          <w:bCs/>
          <w:color w:val="000000"/>
          <w:sz w:val="22"/>
          <w:szCs w:val="22"/>
        </w:rPr>
        <w:t>SECURITIES AND EXCHANGE COMMISSION</w:t>
      </w:r>
    </w:p>
    <w:p w14:paraId="5F513DD2" w14:textId="77777777" w:rsidR="00000000" w:rsidRDefault="000C49AD">
      <w:pPr>
        <w:jc w:val="center"/>
        <w:rPr>
          <w:rFonts w:eastAsia="Times New Roman"/>
        </w:rPr>
      </w:pPr>
      <w:r>
        <w:rPr>
          <w:rFonts w:eastAsia="Times New Roman"/>
          <w:b/>
          <w:bCs/>
          <w:color w:val="000000"/>
          <w:sz w:val="18"/>
          <w:szCs w:val="18"/>
        </w:rPr>
        <w:t>Washington, D.C. 20549</w:t>
      </w:r>
    </w:p>
    <w:p w14:paraId="4ABD7A61" w14:textId="77777777" w:rsidR="00000000" w:rsidRDefault="000C49AD">
      <w:pPr>
        <w:jc w:val="center"/>
        <w:rPr>
          <w:rFonts w:eastAsia="Times New Roman"/>
        </w:rPr>
      </w:pPr>
      <w:r>
        <w:rPr>
          <w:rFonts w:eastAsia="Times New Roman"/>
          <w:b/>
          <w:bCs/>
          <w:color w:val="000000"/>
          <w:sz w:val="22"/>
          <w:szCs w:val="22"/>
        </w:rPr>
        <w:t>FORM 10-K</w:t>
      </w:r>
    </w:p>
    <w:p w14:paraId="620CB3F4" w14:textId="77777777" w:rsidR="00000000" w:rsidRDefault="000C49AD">
      <w:pPr>
        <w:divId w:val="1297645132"/>
        <w:rPr>
          <w:rFonts w:eastAsia="Times New Roman"/>
        </w:rPr>
      </w:pPr>
    </w:p>
    <w:p w14:paraId="1C6073E1" w14:textId="77777777" w:rsidR="00000000" w:rsidRDefault="000C49AD">
      <w:pPr>
        <w:jc w:val="both"/>
        <w:rPr>
          <w:rFonts w:eastAsia="Times New Roman"/>
        </w:rPr>
      </w:pPr>
      <w:r>
        <w:rPr>
          <w:rFonts w:ascii="Wingdings" w:eastAsia="Times New Roman" w:hAnsi="Wingdings"/>
          <w:color w:val="000000"/>
          <w:sz w:val="16"/>
          <w:szCs w:val="16"/>
        </w:rPr>
        <w:t>☒</w:t>
      </w:r>
      <w:r>
        <w:rPr>
          <w:rFonts w:eastAsia="Times New Roman"/>
          <w:color w:val="000000"/>
          <w:sz w:val="16"/>
          <w:szCs w:val="16"/>
        </w:rPr>
        <w:t xml:space="preserve"> </w:t>
      </w:r>
      <w:r>
        <w:rPr>
          <w:rFonts w:eastAsia="Times New Roman"/>
          <w:b/>
          <w:bCs/>
          <w:color w:val="000000"/>
          <w:sz w:val="16"/>
          <w:szCs w:val="16"/>
        </w:rPr>
        <w:t>ANNUAL REPORT PURSUANT TO SECTION 13 OR 15(d) OF THE SECURITIES EXCHANGE ACT OF 1934</w:t>
      </w:r>
    </w:p>
    <w:p w14:paraId="3B4A4938" w14:textId="77777777" w:rsidR="00000000" w:rsidRDefault="000C49AD">
      <w:pPr>
        <w:divId w:val="1555773777"/>
        <w:rPr>
          <w:rFonts w:eastAsia="Times New Roman"/>
        </w:rPr>
      </w:pPr>
      <w:r>
        <w:rPr>
          <w:rFonts w:eastAsia="Times New Roman"/>
          <w:b/>
          <w:bCs/>
          <w:color w:val="000000"/>
          <w:sz w:val="16"/>
          <w:szCs w:val="16"/>
        </w:rPr>
        <w:t>For the fiscal year ended</w:t>
      </w:r>
      <w:r>
        <w:rPr>
          <w:rFonts w:eastAsia="Times New Roman"/>
          <w:color w:val="000000"/>
          <w:sz w:val="16"/>
          <w:szCs w:val="16"/>
        </w:rPr>
        <w:t xml:space="preserve"> December 31, 2021 </w:t>
      </w:r>
      <w:r>
        <w:rPr>
          <w:rFonts w:eastAsia="Times New Roman"/>
          <w:b/>
          <w:bCs/>
          <w:color w:val="000000"/>
          <w:sz w:val="16"/>
          <w:szCs w:val="16"/>
        </w:rPr>
        <w:t>  </w:t>
      </w:r>
    </w:p>
    <w:p w14:paraId="2BE7B1F3" w14:textId="77777777" w:rsidR="00000000" w:rsidRDefault="000C49AD">
      <w:pPr>
        <w:divId w:val="53890277"/>
        <w:rPr>
          <w:rFonts w:eastAsia="Times New Roman"/>
        </w:rPr>
      </w:pPr>
    </w:p>
    <w:p w14:paraId="72A2917D" w14:textId="77777777" w:rsidR="00000000" w:rsidRDefault="000C49AD">
      <w:pPr>
        <w:divId w:val="320740315"/>
        <w:rPr>
          <w:rFonts w:eastAsia="Times New Roman"/>
        </w:rPr>
      </w:pPr>
      <w:r>
        <w:rPr>
          <w:rFonts w:eastAsia="Times New Roman"/>
          <w:b/>
          <w:bCs/>
          <w:color w:val="000000"/>
          <w:sz w:val="16"/>
          <w:szCs w:val="16"/>
        </w:rPr>
        <w:t>OR   </w:t>
      </w:r>
      <w:r>
        <w:rPr>
          <w:rFonts w:eastAsia="Times New Roman"/>
          <w:color w:val="000000"/>
          <w:sz w:val="16"/>
          <w:szCs w:val="16"/>
        </w:rPr>
        <w:t xml:space="preserve">     </w:t>
      </w:r>
    </w:p>
    <w:p w14:paraId="61B45CEC" w14:textId="77777777" w:rsidR="00000000" w:rsidRDefault="000C49AD">
      <w:pPr>
        <w:divId w:val="1126316571"/>
        <w:rPr>
          <w:rFonts w:eastAsia="Times New Roman"/>
        </w:rPr>
      </w:pPr>
    </w:p>
    <w:p w14:paraId="5F5DB4F5" w14:textId="77777777" w:rsidR="00000000" w:rsidRDefault="000C49AD">
      <w:pPr>
        <w:divId w:val="921529330"/>
        <w:rPr>
          <w:rFonts w:eastAsia="Times New Roman"/>
        </w:rPr>
      </w:pPr>
      <w:r>
        <w:rPr>
          <w:rFonts w:ascii="Segoe UI Symbol" w:eastAsia="Times New Roman" w:hAnsi="Segoe UI Symbol" w:cs="Segoe UI Symbol"/>
          <w:color w:val="000000"/>
          <w:sz w:val="16"/>
          <w:szCs w:val="16"/>
        </w:rPr>
        <w:t>☐</w:t>
      </w:r>
      <w:r>
        <w:rPr>
          <w:rFonts w:eastAsia="Times New Roman"/>
          <w:color w:val="000000"/>
          <w:sz w:val="16"/>
          <w:szCs w:val="16"/>
        </w:rPr>
        <w:t xml:space="preserve"> </w:t>
      </w:r>
      <w:r>
        <w:rPr>
          <w:rFonts w:eastAsia="Times New Roman"/>
          <w:b/>
          <w:bCs/>
          <w:color w:val="000000"/>
          <w:sz w:val="16"/>
          <w:szCs w:val="16"/>
        </w:rPr>
        <w:t xml:space="preserve">TRANSITION REPORT PURSUANT </w:t>
      </w:r>
      <w:r>
        <w:rPr>
          <w:rFonts w:eastAsia="Times New Roman"/>
          <w:b/>
          <w:bCs/>
          <w:color w:val="000000"/>
          <w:sz w:val="16"/>
          <w:szCs w:val="16"/>
        </w:rPr>
        <w:t>TO SECTION 13 OR 15(d) OF THE SECURITIES EXCHANGE ACT OF 1934</w:t>
      </w:r>
    </w:p>
    <w:p w14:paraId="28F3F213" w14:textId="77777777" w:rsidR="00000000" w:rsidRDefault="000C49AD">
      <w:pPr>
        <w:divId w:val="1280986450"/>
        <w:rPr>
          <w:rFonts w:eastAsia="Times New Roman"/>
        </w:rPr>
      </w:pPr>
      <w:r>
        <w:rPr>
          <w:rFonts w:eastAsia="Times New Roman"/>
          <w:b/>
          <w:bCs/>
          <w:color w:val="000000"/>
          <w:sz w:val="16"/>
          <w:szCs w:val="16"/>
        </w:rPr>
        <w:t>For the transition period ____________ to ____________   </w:t>
      </w:r>
    </w:p>
    <w:p w14:paraId="319A78ED" w14:textId="77777777" w:rsidR="00000000" w:rsidRDefault="000C49AD">
      <w:pPr>
        <w:jc w:val="center"/>
        <w:rPr>
          <w:rFonts w:eastAsia="Times New Roman"/>
        </w:rPr>
      </w:pPr>
    </w:p>
    <w:p w14:paraId="0E1DF484" w14:textId="77777777" w:rsidR="00000000" w:rsidRDefault="000C49AD">
      <w:pPr>
        <w:jc w:val="center"/>
        <w:rPr>
          <w:rFonts w:eastAsia="Times New Roman"/>
        </w:rPr>
      </w:pPr>
      <w:r>
        <w:rPr>
          <w:rFonts w:eastAsia="Times New Roman"/>
          <w:b/>
          <w:bCs/>
          <w:color w:val="000000"/>
          <w:sz w:val="16"/>
          <w:szCs w:val="16"/>
        </w:rPr>
        <w:t>Commission file number: 001-37977</w:t>
      </w:r>
    </w:p>
    <w:p w14:paraId="2E3A2C51" w14:textId="77777777" w:rsidR="00000000" w:rsidRDefault="000C49AD">
      <w:pPr>
        <w:jc w:val="center"/>
        <w:divId w:val="1491796913"/>
        <w:rPr>
          <w:rFonts w:eastAsia="Times New Roman"/>
        </w:rPr>
      </w:pPr>
    </w:p>
    <w:p w14:paraId="08C2FA64" w14:textId="77777777" w:rsidR="00000000" w:rsidRDefault="000C49AD">
      <w:pPr>
        <w:jc w:val="center"/>
        <w:rPr>
          <w:rFonts w:eastAsia="Times New Roman"/>
        </w:rPr>
      </w:pPr>
      <w:r>
        <w:rPr>
          <w:rFonts w:eastAsia="Times New Roman"/>
          <w:b/>
          <w:bCs/>
          <w:color w:val="000000"/>
          <w:sz w:val="32"/>
          <w:szCs w:val="32"/>
        </w:rPr>
        <w:t>AVADEL PHARMACEUTICALS PLC</w:t>
      </w:r>
    </w:p>
    <w:p w14:paraId="3B0C9570" w14:textId="77777777" w:rsidR="00000000" w:rsidRDefault="000C49AD">
      <w:pPr>
        <w:jc w:val="center"/>
        <w:rPr>
          <w:rFonts w:eastAsia="Times New Roman"/>
        </w:rPr>
      </w:pPr>
      <w:r>
        <w:rPr>
          <w:rFonts w:eastAsia="Times New Roman"/>
          <w:b/>
          <w:bCs/>
          <w:color w:val="000000"/>
          <w:sz w:val="16"/>
          <w:szCs w:val="16"/>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903"/>
        <w:gridCol w:w="36"/>
        <w:gridCol w:w="69"/>
        <w:gridCol w:w="183"/>
        <w:gridCol w:w="36"/>
        <w:gridCol w:w="70"/>
        <w:gridCol w:w="3904"/>
        <w:gridCol w:w="36"/>
      </w:tblGrid>
      <w:tr w:rsidR="00000000" w14:paraId="31E7D6DD" w14:textId="77777777">
        <w:trPr>
          <w:jc w:val="center"/>
        </w:trPr>
        <w:tc>
          <w:tcPr>
            <w:tcW w:w="50" w:type="pct"/>
            <w:vAlign w:val="center"/>
            <w:hideMark/>
          </w:tcPr>
          <w:p w14:paraId="6CCDAB9F" w14:textId="77777777" w:rsidR="00000000" w:rsidRDefault="000C49AD">
            <w:pPr>
              <w:jc w:val="center"/>
              <w:rPr>
                <w:rFonts w:eastAsia="Times New Roman"/>
              </w:rPr>
            </w:pPr>
          </w:p>
        </w:tc>
        <w:tc>
          <w:tcPr>
            <w:tcW w:w="2358" w:type="pct"/>
            <w:vAlign w:val="center"/>
            <w:hideMark/>
          </w:tcPr>
          <w:p w14:paraId="293DECF9" w14:textId="77777777" w:rsidR="00000000" w:rsidRDefault="000C49AD">
            <w:pPr>
              <w:spacing w:after="100"/>
              <w:rPr>
                <w:rFonts w:eastAsia="Times New Roman"/>
                <w:sz w:val="20"/>
                <w:szCs w:val="20"/>
              </w:rPr>
            </w:pPr>
          </w:p>
        </w:tc>
        <w:tc>
          <w:tcPr>
            <w:tcW w:w="5" w:type="pct"/>
            <w:vAlign w:val="center"/>
            <w:hideMark/>
          </w:tcPr>
          <w:p w14:paraId="47B8C9D3" w14:textId="77777777" w:rsidR="00000000" w:rsidRDefault="000C49AD">
            <w:pPr>
              <w:spacing w:after="100"/>
              <w:rPr>
                <w:rFonts w:eastAsia="Times New Roman"/>
                <w:sz w:val="20"/>
                <w:szCs w:val="20"/>
              </w:rPr>
            </w:pPr>
          </w:p>
        </w:tc>
        <w:tc>
          <w:tcPr>
            <w:tcW w:w="50" w:type="pct"/>
            <w:vAlign w:val="center"/>
            <w:hideMark/>
          </w:tcPr>
          <w:p w14:paraId="1723746E" w14:textId="77777777" w:rsidR="00000000" w:rsidRDefault="000C49AD">
            <w:pPr>
              <w:spacing w:after="100"/>
              <w:rPr>
                <w:rFonts w:eastAsia="Times New Roman"/>
                <w:sz w:val="20"/>
                <w:szCs w:val="20"/>
              </w:rPr>
            </w:pPr>
          </w:p>
        </w:tc>
        <w:tc>
          <w:tcPr>
            <w:tcW w:w="118" w:type="pct"/>
            <w:vAlign w:val="center"/>
            <w:hideMark/>
          </w:tcPr>
          <w:p w14:paraId="46364C18" w14:textId="77777777" w:rsidR="00000000" w:rsidRDefault="000C49AD">
            <w:pPr>
              <w:spacing w:after="100"/>
              <w:rPr>
                <w:rFonts w:eastAsia="Times New Roman"/>
                <w:sz w:val="20"/>
                <w:szCs w:val="20"/>
              </w:rPr>
            </w:pPr>
          </w:p>
        </w:tc>
        <w:tc>
          <w:tcPr>
            <w:tcW w:w="5" w:type="pct"/>
            <w:vAlign w:val="center"/>
            <w:hideMark/>
          </w:tcPr>
          <w:p w14:paraId="2C120E09" w14:textId="77777777" w:rsidR="00000000" w:rsidRDefault="000C49AD">
            <w:pPr>
              <w:spacing w:after="100"/>
              <w:rPr>
                <w:rFonts w:eastAsia="Times New Roman"/>
                <w:sz w:val="20"/>
                <w:szCs w:val="20"/>
              </w:rPr>
            </w:pPr>
          </w:p>
        </w:tc>
        <w:tc>
          <w:tcPr>
            <w:tcW w:w="50" w:type="pct"/>
            <w:vAlign w:val="center"/>
            <w:hideMark/>
          </w:tcPr>
          <w:p w14:paraId="4BB13687" w14:textId="77777777" w:rsidR="00000000" w:rsidRDefault="000C49AD">
            <w:pPr>
              <w:spacing w:after="100"/>
              <w:rPr>
                <w:rFonts w:eastAsia="Times New Roman"/>
                <w:sz w:val="20"/>
                <w:szCs w:val="20"/>
              </w:rPr>
            </w:pPr>
          </w:p>
        </w:tc>
        <w:tc>
          <w:tcPr>
            <w:tcW w:w="2358" w:type="pct"/>
            <w:vAlign w:val="center"/>
            <w:hideMark/>
          </w:tcPr>
          <w:p w14:paraId="6885A8EA" w14:textId="77777777" w:rsidR="00000000" w:rsidRDefault="000C49AD">
            <w:pPr>
              <w:spacing w:after="100"/>
              <w:rPr>
                <w:rFonts w:eastAsia="Times New Roman"/>
                <w:sz w:val="20"/>
                <w:szCs w:val="20"/>
              </w:rPr>
            </w:pPr>
          </w:p>
        </w:tc>
        <w:tc>
          <w:tcPr>
            <w:tcW w:w="5" w:type="pct"/>
            <w:vAlign w:val="center"/>
            <w:hideMark/>
          </w:tcPr>
          <w:p w14:paraId="6AAE0AF9" w14:textId="77777777" w:rsidR="00000000" w:rsidRDefault="000C49AD">
            <w:pPr>
              <w:spacing w:after="100"/>
              <w:rPr>
                <w:rFonts w:eastAsia="Times New Roman"/>
                <w:sz w:val="20"/>
                <w:szCs w:val="20"/>
              </w:rPr>
            </w:pPr>
          </w:p>
        </w:tc>
      </w:tr>
      <w:tr w:rsidR="00000000" w14:paraId="17DB4BC7" w14:textId="77777777">
        <w:trPr>
          <w:jc w:val="center"/>
        </w:trPr>
        <w:tc>
          <w:tcPr>
            <w:tcW w:w="0" w:type="auto"/>
            <w:gridSpan w:val="3"/>
            <w:tcMar>
              <w:top w:w="30" w:type="dxa"/>
              <w:left w:w="20" w:type="dxa"/>
              <w:bottom w:w="30" w:type="dxa"/>
              <w:right w:w="20" w:type="dxa"/>
            </w:tcMar>
            <w:hideMark/>
          </w:tcPr>
          <w:p w14:paraId="262A9F0C" w14:textId="77777777" w:rsidR="00000000" w:rsidRDefault="000C49AD">
            <w:pPr>
              <w:spacing w:after="100"/>
              <w:jc w:val="center"/>
              <w:rPr>
                <w:rFonts w:eastAsia="Times New Roman"/>
              </w:rPr>
            </w:pPr>
            <w:r>
              <w:rPr>
                <w:rFonts w:eastAsia="Times New Roman"/>
                <w:b/>
                <w:bCs/>
                <w:color w:val="000000"/>
                <w:sz w:val="16"/>
                <w:szCs w:val="16"/>
              </w:rPr>
              <w:t>Ireland</w:t>
            </w:r>
          </w:p>
        </w:tc>
        <w:tc>
          <w:tcPr>
            <w:tcW w:w="0" w:type="auto"/>
            <w:gridSpan w:val="3"/>
            <w:tcMar>
              <w:top w:w="30" w:type="dxa"/>
              <w:left w:w="20" w:type="dxa"/>
              <w:bottom w:w="30" w:type="dxa"/>
              <w:right w:w="20" w:type="dxa"/>
            </w:tcMar>
            <w:vAlign w:val="bottom"/>
            <w:hideMark/>
          </w:tcPr>
          <w:p w14:paraId="4C246321" w14:textId="77777777" w:rsidR="00000000" w:rsidRDefault="000C49A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2AFBC5AD" w14:textId="77777777" w:rsidR="00000000" w:rsidRDefault="000C49AD">
            <w:pPr>
              <w:spacing w:after="100"/>
              <w:jc w:val="center"/>
              <w:rPr>
                <w:rFonts w:eastAsia="Times New Roman"/>
              </w:rPr>
            </w:pPr>
            <w:r>
              <w:rPr>
                <w:rFonts w:eastAsia="Times New Roman"/>
                <w:b/>
                <w:bCs/>
                <w:color w:val="000000"/>
                <w:sz w:val="16"/>
                <w:szCs w:val="16"/>
              </w:rPr>
              <w:t>98-1341933</w:t>
            </w:r>
          </w:p>
        </w:tc>
      </w:tr>
      <w:tr w:rsidR="00000000" w14:paraId="0AC8F1B8" w14:textId="77777777">
        <w:trPr>
          <w:jc w:val="center"/>
        </w:trPr>
        <w:tc>
          <w:tcPr>
            <w:tcW w:w="0" w:type="auto"/>
            <w:gridSpan w:val="3"/>
            <w:tcBorders>
              <w:top w:val="single" w:sz="8" w:space="0" w:color="000000"/>
            </w:tcBorders>
            <w:tcMar>
              <w:top w:w="30" w:type="dxa"/>
              <w:left w:w="20" w:type="dxa"/>
              <w:bottom w:w="30" w:type="dxa"/>
              <w:right w:w="20" w:type="dxa"/>
            </w:tcMar>
            <w:hideMark/>
          </w:tcPr>
          <w:p w14:paraId="52F6C12C" w14:textId="77777777" w:rsidR="00000000" w:rsidRDefault="000C49AD">
            <w:pPr>
              <w:spacing w:after="100"/>
              <w:jc w:val="center"/>
              <w:rPr>
                <w:rFonts w:eastAsia="Times New Roman"/>
              </w:rPr>
            </w:pPr>
            <w:r>
              <w:rPr>
                <w:rFonts w:eastAsia="Times New Roman"/>
                <w:b/>
                <w:bCs/>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14:paraId="5F5D9172" w14:textId="77777777" w:rsidR="00000000" w:rsidRDefault="000C49A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14:paraId="23A1A1CD" w14:textId="77777777" w:rsidR="00000000" w:rsidRDefault="000C49AD">
            <w:pPr>
              <w:spacing w:after="100"/>
              <w:jc w:val="center"/>
              <w:rPr>
                <w:rFonts w:eastAsia="Times New Roman"/>
              </w:rPr>
            </w:pPr>
            <w:r>
              <w:rPr>
                <w:rFonts w:eastAsia="Times New Roman"/>
                <w:b/>
                <w:bCs/>
                <w:color w:val="000000"/>
                <w:sz w:val="16"/>
                <w:szCs w:val="16"/>
              </w:rPr>
              <w:t>(I.R.S. Employer Identification No.)</w:t>
            </w:r>
          </w:p>
        </w:tc>
      </w:tr>
      <w:tr w:rsidR="00000000" w14:paraId="68414811" w14:textId="77777777">
        <w:trPr>
          <w:trHeight w:val="60"/>
          <w:jc w:val="center"/>
        </w:trPr>
        <w:tc>
          <w:tcPr>
            <w:tcW w:w="0" w:type="auto"/>
            <w:gridSpan w:val="3"/>
            <w:tcMar>
              <w:top w:w="0" w:type="dxa"/>
              <w:left w:w="20" w:type="dxa"/>
              <w:bottom w:w="0" w:type="dxa"/>
              <w:right w:w="20" w:type="dxa"/>
            </w:tcMar>
            <w:vAlign w:val="center"/>
            <w:hideMark/>
          </w:tcPr>
          <w:p w14:paraId="59EDD4D1" w14:textId="77777777" w:rsidR="00000000" w:rsidRDefault="000C49AD">
            <w:pPr>
              <w:spacing w:after="100"/>
              <w:jc w:val="center"/>
              <w:rPr>
                <w:rFonts w:eastAsia="Times New Roman"/>
              </w:rPr>
            </w:pPr>
          </w:p>
        </w:tc>
        <w:tc>
          <w:tcPr>
            <w:tcW w:w="0" w:type="auto"/>
            <w:gridSpan w:val="6"/>
            <w:tcMar>
              <w:top w:w="0" w:type="dxa"/>
              <w:left w:w="20" w:type="dxa"/>
              <w:bottom w:w="0" w:type="dxa"/>
              <w:right w:w="20" w:type="dxa"/>
            </w:tcMar>
            <w:vAlign w:val="center"/>
            <w:hideMark/>
          </w:tcPr>
          <w:p w14:paraId="140A3FE1" w14:textId="77777777" w:rsidR="00000000" w:rsidRDefault="000C49AD">
            <w:pPr>
              <w:spacing w:after="100"/>
              <w:rPr>
                <w:rFonts w:eastAsia="Times New Roman"/>
                <w:sz w:val="20"/>
                <w:szCs w:val="20"/>
              </w:rPr>
            </w:pPr>
          </w:p>
        </w:tc>
      </w:tr>
      <w:tr w:rsidR="00000000" w14:paraId="77204752" w14:textId="77777777">
        <w:trPr>
          <w:jc w:val="center"/>
        </w:trPr>
        <w:tc>
          <w:tcPr>
            <w:tcW w:w="0" w:type="auto"/>
            <w:gridSpan w:val="3"/>
            <w:tcMar>
              <w:top w:w="30" w:type="dxa"/>
              <w:left w:w="20" w:type="dxa"/>
              <w:bottom w:w="30" w:type="dxa"/>
              <w:right w:w="20" w:type="dxa"/>
            </w:tcMar>
            <w:vAlign w:val="bottom"/>
            <w:hideMark/>
          </w:tcPr>
          <w:p w14:paraId="2B76B042" w14:textId="77777777" w:rsidR="00000000" w:rsidRDefault="000C49AD">
            <w:pPr>
              <w:spacing w:after="100"/>
              <w:jc w:val="center"/>
              <w:rPr>
                <w:rFonts w:eastAsia="Times New Roman"/>
              </w:rPr>
            </w:pPr>
            <w:r>
              <w:rPr>
                <w:rFonts w:eastAsia="Times New Roman"/>
                <w:b/>
                <w:bCs/>
                <w:color w:val="000000"/>
                <w:sz w:val="16"/>
                <w:szCs w:val="16"/>
              </w:rPr>
              <w:t>10 Earlsfort Terrace</w:t>
            </w:r>
          </w:p>
          <w:p w14:paraId="0354A607" w14:textId="77777777" w:rsidR="00000000" w:rsidRDefault="000C49AD">
            <w:pPr>
              <w:spacing w:after="100"/>
              <w:jc w:val="center"/>
              <w:rPr>
                <w:rFonts w:eastAsia="Times New Roman"/>
              </w:rPr>
            </w:pPr>
            <w:r>
              <w:rPr>
                <w:rFonts w:eastAsia="Times New Roman"/>
                <w:b/>
                <w:bCs/>
                <w:color w:val="000000"/>
                <w:sz w:val="16"/>
                <w:szCs w:val="16"/>
              </w:rPr>
              <w:t>Dublin 2, Ireland</w:t>
            </w:r>
          </w:p>
          <w:p w14:paraId="61720A0C" w14:textId="77777777" w:rsidR="00000000" w:rsidRDefault="000C49AD">
            <w:pPr>
              <w:spacing w:after="100"/>
              <w:jc w:val="center"/>
              <w:rPr>
                <w:rFonts w:eastAsia="Times New Roman"/>
              </w:rPr>
            </w:pPr>
            <w:r>
              <w:rPr>
                <w:rFonts w:eastAsia="Times New Roman"/>
                <w:b/>
                <w:bCs/>
                <w:color w:val="000000"/>
                <w:sz w:val="16"/>
                <w:szCs w:val="16"/>
              </w:rPr>
              <w:t>D02 T380</w:t>
            </w:r>
          </w:p>
        </w:tc>
        <w:tc>
          <w:tcPr>
            <w:tcW w:w="0" w:type="auto"/>
            <w:gridSpan w:val="3"/>
            <w:tcMar>
              <w:top w:w="30" w:type="dxa"/>
              <w:left w:w="20" w:type="dxa"/>
              <w:bottom w:w="30" w:type="dxa"/>
              <w:right w:w="20" w:type="dxa"/>
            </w:tcMar>
            <w:vAlign w:val="bottom"/>
            <w:hideMark/>
          </w:tcPr>
          <w:p w14:paraId="6EF84E58" w14:textId="77777777" w:rsidR="00000000" w:rsidRDefault="000C49AD">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14:paraId="46E26A99" w14:textId="77777777" w:rsidR="00000000" w:rsidRDefault="000C49AD">
            <w:pPr>
              <w:spacing w:after="100"/>
              <w:jc w:val="center"/>
              <w:rPr>
                <w:rFonts w:eastAsia="Times New Roman"/>
              </w:rPr>
            </w:pPr>
            <w:r>
              <w:rPr>
                <w:rFonts w:eastAsia="Times New Roman"/>
                <w:b/>
                <w:bCs/>
                <w:color w:val="000000"/>
                <w:sz w:val="16"/>
                <w:szCs w:val="16"/>
              </w:rPr>
              <w:t>Not Applicable</w:t>
            </w:r>
          </w:p>
        </w:tc>
      </w:tr>
      <w:tr w:rsidR="00000000" w14:paraId="05AFF953" w14:textId="77777777">
        <w:trPr>
          <w:jc w:val="center"/>
        </w:trPr>
        <w:tc>
          <w:tcPr>
            <w:tcW w:w="0" w:type="auto"/>
            <w:gridSpan w:val="3"/>
            <w:tcBorders>
              <w:top w:val="single" w:sz="8" w:space="0" w:color="000000"/>
            </w:tcBorders>
            <w:tcMar>
              <w:top w:w="30" w:type="dxa"/>
              <w:left w:w="20" w:type="dxa"/>
              <w:bottom w:w="30" w:type="dxa"/>
              <w:right w:w="20" w:type="dxa"/>
            </w:tcMar>
            <w:hideMark/>
          </w:tcPr>
          <w:p w14:paraId="2C5D0987" w14:textId="77777777" w:rsidR="00000000" w:rsidRDefault="000C49AD">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30" w:type="dxa"/>
              <w:left w:w="20" w:type="dxa"/>
              <w:bottom w:w="30" w:type="dxa"/>
              <w:right w:w="20" w:type="dxa"/>
            </w:tcMar>
            <w:vAlign w:val="bottom"/>
            <w:hideMark/>
          </w:tcPr>
          <w:p w14:paraId="084359E3" w14:textId="77777777" w:rsidR="00000000" w:rsidRDefault="000C49AD">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14:paraId="1ADC04C7" w14:textId="77777777" w:rsidR="00000000" w:rsidRDefault="000C49AD">
            <w:pPr>
              <w:spacing w:after="100"/>
              <w:jc w:val="center"/>
              <w:rPr>
                <w:rFonts w:eastAsia="Times New Roman"/>
              </w:rPr>
            </w:pPr>
            <w:r>
              <w:rPr>
                <w:rFonts w:eastAsia="Times New Roman"/>
                <w:b/>
                <w:bCs/>
                <w:color w:val="000000"/>
                <w:sz w:val="16"/>
                <w:szCs w:val="16"/>
              </w:rPr>
              <w:t>(Zip Code)</w:t>
            </w:r>
          </w:p>
        </w:tc>
      </w:tr>
      <w:tr w:rsidR="00000000" w14:paraId="7DD86F50" w14:textId="77777777">
        <w:trPr>
          <w:trHeight w:val="60"/>
          <w:jc w:val="center"/>
        </w:trPr>
        <w:tc>
          <w:tcPr>
            <w:tcW w:w="0" w:type="auto"/>
            <w:gridSpan w:val="3"/>
            <w:tcMar>
              <w:top w:w="0" w:type="dxa"/>
              <w:left w:w="20" w:type="dxa"/>
              <w:bottom w:w="0" w:type="dxa"/>
              <w:right w:w="20" w:type="dxa"/>
            </w:tcMar>
            <w:vAlign w:val="center"/>
            <w:hideMark/>
          </w:tcPr>
          <w:p w14:paraId="4AFC8D04"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5BA9E3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54233A" w14:textId="77777777" w:rsidR="00000000" w:rsidRDefault="000C49AD">
            <w:pPr>
              <w:spacing w:after="100"/>
              <w:rPr>
                <w:rFonts w:eastAsia="Times New Roman"/>
                <w:sz w:val="20"/>
                <w:szCs w:val="20"/>
              </w:rPr>
            </w:pPr>
          </w:p>
        </w:tc>
      </w:tr>
      <w:tr w:rsidR="00000000" w14:paraId="11D1DB81" w14:textId="77777777">
        <w:trPr>
          <w:jc w:val="center"/>
        </w:trPr>
        <w:tc>
          <w:tcPr>
            <w:tcW w:w="0" w:type="auto"/>
            <w:gridSpan w:val="9"/>
            <w:tcMar>
              <w:top w:w="30" w:type="dxa"/>
              <w:left w:w="20" w:type="dxa"/>
              <w:bottom w:w="30" w:type="dxa"/>
              <w:right w:w="20" w:type="dxa"/>
            </w:tcMar>
            <w:vAlign w:val="bottom"/>
            <w:hideMark/>
          </w:tcPr>
          <w:p w14:paraId="73334B04" w14:textId="77777777" w:rsidR="00000000" w:rsidRDefault="000C49AD">
            <w:pPr>
              <w:spacing w:after="100"/>
              <w:jc w:val="center"/>
              <w:rPr>
                <w:rFonts w:eastAsia="Times New Roman"/>
              </w:rPr>
            </w:pPr>
            <w:r>
              <w:rPr>
                <w:rFonts w:eastAsia="Times New Roman"/>
                <w:b/>
                <w:bCs/>
                <w:color w:val="000000"/>
                <w:sz w:val="16"/>
                <w:szCs w:val="16"/>
              </w:rPr>
              <w:t>Registrant’s telephone number, including area code: +353-1-901-5201</w:t>
            </w:r>
          </w:p>
        </w:tc>
      </w:tr>
      <w:tr w:rsidR="00000000" w14:paraId="42FE1014" w14:textId="77777777">
        <w:trPr>
          <w:trHeight w:val="60"/>
          <w:jc w:val="center"/>
        </w:trPr>
        <w:tc>
          <w:tcPr>
            <w:tcW w:w="0" w:type="auto"/>
            <w:gridSpan w:val="3"/>
            <w:tcMar>
              <w:top w:w="0" w:type="dxa"/>
              <w:left w:w="20" w:type="dxa"/>
              <w:bottom w:w="0" w:type="dxa"/>
              <w:right w:w="20" w:type="dxa"/>
            </w:tcMar>
            <w:vAlign w:val="center"/>
            <w:hideMark/>
          </w:tcPr>
          <w:p w14:paraId="3ADEB1DD"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C5A4880"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9C0879" w14:textId="77777777" w:rsidR="00000000" w:rsidRDefault="000C49AD">
            <w:pPr>
              <w:spacing w:after="100"/>
              <w:rPr>
                <w:rFonts w:eastAsia="Times New Roman"/>
                <w:sz w:val="20"/>
                <w:szCs w:val="20"/>
              </w:rPr>
            </w:pPr>
          </w:p>
        </w:tc>
      </w:tr>
    </w:tbl>
    <w:p w14:paraId="27BBAE80" w14:textId="77777777" w:rsidR="00000000" w:rsidRDefault="000C49AD">
      <w:pPr>
        <w:jc w:val="center"/>
        <w:divId w:val="1025131210"/>
        <w:rPr>
          <w:rFonts w:eastAsia="Times New Roman"/>
        </w:rPr>
      </w:pPr>
      <w:r>
        <w:rPr>
          <w:rFonts w:eastAsia="Times New Roman"/>
          <w:b/>
          <w:bCs/>
          <w:color w:val="000000"/>
          <w:sz w:val="16"/>
          <w:szCs w:val="16"/>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3494"/>
        <w:gridCol w:w="37"/>
        <w:gridCol w:w="69"/>
        <w:gridCol w:w="1001"/>
        <w:gridCol w:w="36"/>
        <w:gridCol w:w="69"/>
        <w:gridCol w:w="3495"/>
        <w:gridCol w:w="36"/>
      </w:tblGrid>
      <w:tr w:rsidR="00000000" w14:paraId="0599675C" w14:textId="77777777">
        <w:trPr>
          <w:divId w:val="1603147087"/>
        </w:trPr>
        <w:tc>
          <w:tcPr>
            <w:tcW w:w="50" w:type="pct"/>
            <w:vAlign w:val="center"/>
            <w:hideMark/>
          </w:tcPr>
          <w:p w14:paraId="6622392B" w14:textId="77777777" w:rsidR="00000000" w:rsidRDefault="000C49AD">
            <w:pPr>
              <w:jc w:val="center"/>
              <w:rPr>
                <w:rFonts w:eastAsia="Times New Roman"/>
              </w:rPr>
            </w:pPr>
          </w:p>
        </w:tc>
        <w:tc>
          <w:tcPr>
            <w:tcW w:w="2111" w:type="pct"/>
            <w:vAlign w:val="center"/>
            <w:hideMark/>
          </w:tcPr>
          <w:p w14:paraId="49F80A33" w14:textId="77777777" w:rsidR="00000000" w:rsidRDefault="000C49AD">
            <w:pPr>
              <w:spacing w:after="100"/>
              <w:rPr>
                <w:rFonts w:eastAsia="Times New Roman"/>
                <w:sz w:val="20"/>
                <w:szCs w:val="20"/>
              </w:rPr>
            </w:pPr>
          </w:p>
        </w:tc>
        <w:tc>
          <w:tcPr>
            <w:tcW w:w="5" w:type="pct"/>
            <w:vAlign w:val="center"/>
            <w:hideMark/>
          </w:tcPr>
          <w:p w14:paraId="4BAC2FBA" w14:textId="77777777" w:rsidR="00000000" w:rsidRDefault="000C49AD">
            <w:pPr>
              <w:spacing w:after="100"/>
              <w:rPr>
                <w:rFonts w:eastAsia="Times New Roman"/>
                <w:sz w:val="20"/>
                <w:szCs w:val="20"/>
              </w:rPr>
            </w:pPr>
          </w:p>
        </w:tc>
        <w:tc>
          <w:tcPr>
            <w:tcW w:w="50" w:type="pct"/>
            <w:vAlign w:val="center"/>
            <w:hideMark/>
          </w:tcPr>
          <w:p w14:paraId="27AFCD4F" w14:textId="77777777" w:rsidR="00000000" w:rsidRDefault="000C49AD">
            <w:pPr>
              <w:spacing w:after="100"/>
              <w:rPr>
                <w:rFonts w:eastAsia="Times New Roman"/>
                <w:sz w:val="20"/>
                <w:szCs w:val="20"/>
              </w:rPr>
            </w:pPr>
          </w:p>
        </w:tc>
        <w:tc>
          <w:tcPr>
            <w:tcW w:w="611" w:type="pct"/>
            <w:vAlign w:val="center"/>
            <w:hideMark/>
          </w:tcPr>
          <w:p w14:paraId="1E642844" w14:textId="77777777" w:rsidR="00000000" w:rsidRDefault="000C49AD">
            <w:pPr>
              <w:spacing w:after="100"/>
              <w:rPr>
                <w:rFonts w:eastAsia="Times New Roman"/>
                <w:sz w:val="20"/>
                <w:szCs w:val="20"/>
              </w:rPr>
            </w:pPr>
          </w:p>
        </w:tc>
        <w:tc>
          <w:tcPr>
            <w:tcW w:w="5" w:type="pct"/>
            <w:vAlign w:val="center"/>
            <w:hideMark/>
          </w:tcPr>
          <w:p w14:paraId="03698702" w14:textId="77777777" w:rsidR="00000000" w:rsidRDefault="000C49AD">
            <w:pPr>
              <w:spacing w:after="100"/>
              <w:rPr>
                <w:rFonts w:eastAsia="Times New Roman"/>
                <w:sz w:val="20"/>
                <w:szCs w:val="20"/>
              </w:rPr>
            </w:pPr>
          </w:p>
        </w:tc>
        <w:tc>
          <w:tcPr>
            <w:tcW w:w="50" w:type="pct"/>
            <w:vAlign w:val="center"/>
            <w:hideMark/>
          </w:tcPr>
          <w:p w14:paraId="026D0417" w14:textId="77777777" w:rsidR="00000000" w:rsidRDefault="000C49AD">
            <w:pPr>
              <w:spacing w:after="100"/>
              <w:rPr>
                <w:rFonts w:eastAsia="Times New Roman"/>
                <w:sz w:val="20"/>
                <w:szCs w:val="20"/>
              </w:rPr>
            </w:pPr>
          </w:p>
        </w:tc>
        <w:tc>
          <w:tcPr>
            <w:tcW w:w="2111" w:type="pct"/>
            <w:vAlign w:val="center"/>
            <w:hideMark/>
          </w:tcPr>
          <w:p w14:paraId="2B4287DA" w14:textId="77777777" w:rsidR="00000000" w:rsidRDefault="000C49AD">
            <w:pPr>
              <w:spacing w:after="100"/>
              <w:rPr>
                <w:rFonts w:eastAsia="Times New Roman"/>
                <w:sz w:val="20"/>
                <w:szCs w:val="20"/>
              </w:rPr>
            </w:pPr>
          </w:p>
        </w:tc>
        <w:tc>
          <w:tcPr>
            <w:tcW w:w="5" w:type="pct"/>
            <w:vAlign w:val="center"/>
            <w:hideMark/>
          </w:tcPr>
          <w:p w14:paraId="32627118" w14:textId="77777777" w:rsidR="00000000" w:rsidRDefault="000C49AD">
            <w:pPr>
              <w:spacing w:after="100"/>
              <w:rPr>
                <w:rFonts w:eastAsia="Times New Roman"/>
                <w:sz w:val="20"/>
                <w:szCs w:val="20"/>
              </w:rPr>
            </w:pPr>
          </w:p>
        </w:tc>
      </w:tr>
      <w:tr w:rsidR="00000000" w14:paraId="39683F42" w14:textId="77777777">
        <w:trPr>
          <w:divId w:val="1603147087"/>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691EEC64" w14:textId="77777777" w:rsidR="00000000" w:rsidRDefault="000C49AD">
            <w:pPr>
              <w:spacing w:after="100"/>
              <w:jc w:val="center"/>
              <w:rPr>
                <w:rFonts w:eastAsia="Times New Roman"/>
              </w:rPr>
            </w:pPr>
            <w:r>
              <w:rPr>
                <w:rFonts w:eastAsia="Times New Roman"/>
                <w:b/>
                <w:bCs/>
                <w:color w:val="000000"/>
                <w:sz w:val="16"/>
                <w:szCs w:val="16"/>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625FAC77" w14:textId="77777777" w:rsidR="00000000" w:rsidRDefault="000C49AD">
            <w:pPr>
              <w:spacing w:after="100"/>
              <w:jc w:val="center"/>
              <w:rPr>
                <w:rFonts w:eastAsia="Times New Roman"/>
              </w:rPr>
            </w:pPr>
            <w:r>
              <w:rPr>
                <w:rFonts w:eastAsia="Times New Roman"/>
                <w:b/>
                <w:bCs/>
                <w:color w:val="000000"/>
                <w:sz w:val="16"/>
                <w:szCs w:val="16"/>
              </w:rPr>
              <w:t>Trading Symbol (s)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0B683FE7" w14:textId="77777777" w:rsidR="00000000" w:rsidRDefault="000C49AD">
            <w:pPr>
              <w:spacing w:after="100"/>
              <w:jc w:val="center"/>
              <w:rPr>
                <w:rFonts w:eastAsia="Times New Roman"/>
              </w:rPr>
            </w:pPr>
            <w:r>
              <w:rPr>
                <w:rFonts w:eastAsia="Times New Roman"/>
                <w:b/>
                <w:bCs/>
                <w:color w:val="000000"/>
                <w:sz w:val="16"/>
                <w:szCs w:val="16"/>
              </w:rPr>
              <w:t>Name of exchange on which registered</w:t>
            </w:r>
          </w:p>
        </w:tc>
      </w:tr>
      <w:tr w:rsidR="00000000" w14:paraId="63BB7466" w14:textId="77777777">
        <w:trPr>
          <w:divId w:val="1603147087"/>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6F4FA59C" w14:textId="77777777" w:rsidR="00000000" w:rsidRDefault="000C49AD">
            <w:pPr>
              <w:spacing w:after="100"/>
              <w:jc w:val="center"/>
              <w:rPr>
                <w:rFonts w:eastAsia="Times New Roman"/>
              </w:rPr>
            </w:pPr>
            <w:r>
              <w:rPr>
                <w:rFonts w:eastAsia="Times New Roman"/>
                <w:color w:val="000000"/>
                <w:sz w:val="16"/>
                <w:szCs w:val="16"/>
              </w:rPr>
              <w:t>American Depositary Shares*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5D913B52" w14:textId="77777777" w:rsidR="00000000" w:rsidRDefault="000C49AD">
            <w:pPr>
              <w:spacing w:after="100"/>
              <w:jc w:val="center"/>
              <w:rPr>
                <w:rFonts w:eastAsia="Times New Roman"/>
              </w:rPr>
            </w:pPr>
            <w:r>
              <w:rPr>
                <w:rFonts w:eastAsia="Times New Roman"/>
                <w:color w:val="000000"/>
                <w:sz w:val="16"/>
                <w:szCs w:val="16"/>
              </w:rPr>
              <w:t>AVDL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279D9720" w14:textId="77777777" w:rsidR="00000000" w:rsidRDefault="000C49AD">
            <w:pPr>
              <w:spacing w:after="100"/>
              <w:jc w:val="center"/>
              <w:rPr>
                <w:rFonts w:eastAsia="Times New Roman"/>
              </w:rPr>
            </w:pPr>
            <w:r>
              <w:rPr>
                <w:rFonts w:eastAsia="Times New Roman"/>
                <w:color w:val="000000"/>
                <w:sz w:val="16"/>
                <w:szCs w:val="16"/>
              </w:rPr>
              <w:t>The Nasdaq Global Market</w:t>
            </w:r>
          </w:p>
        </w:tc>
      </w:tr>
      <w:tr w:rsidR="00000000" w14:paraId="44509E71" w14:textId="77777777">
        <w:trPr>
          <w:divId w:val="1603147087"/>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296D5BBA" w14:textId="77777777" w:rsidR="00000000" w:rsidRDefault="000C49AD">
            <w:pPr>
              <w:spacing w:after="100"/>
              <w:jc w:val="center"/>
              <w:rPr>
                <w:rFonts w:eastAsia="Times New Roman"/>
              </w:rPr>
            </w:pPr>
            <w:r>
              <w:rPr>
                <w:rFonts w:eastAsia="Times New Roman"/>
                <w:color w:val="000000"/>
                <w:sz w:val="16"/>
                <w:szCs w:val="16"/>
              </w:rPr>
              <w:t>Ordinary Shares, nominal value $0.01 per share**</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6364ACE9" w14:textId="77777777" w:rsidR="00000000" w:rsidRDefault="000C49AD">
            <w:pPr>
              <w:spacing w:after="100"/>
              <w:jc w:val="center"/>
              <w:rPr>
                <w:rFonts w:eastAsia="Times New Roman"/>
              </w:rPr>
            </w:pPr>
            <w:r>
              <w:rPr>
                <w:rFonts w:eastAsia="Times New Roman"/>
                <w:color w:val="000000"/>
                <w:sz w:val="16"/>
                <w:szCs w:val="16"/>
              </w:rPr>
              <w:t>AVDL</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284A4548" w14:textId="77777777" w:rsidR="00000000" w:rsidRDefault="000C49AD">
            <w:pPr>
              <w:spacing w:after="100"/>
              <w:jc w:val="center"/>
              <w:rPr>
                <w:rFonts w:eastAsia="Times New Roman"/>
              </w:rPr>
            </w:pPr>
            <w:r>
              <w:rPr>
                <w:rFonts w:eastAsia="Times New Roman"/>
                <w:color w:val="000000"/>
                <w:sz w:val="16"/>
                <w:szCs w:val="16"/>
              </w:rPr>
              <w:t>The Nasdaq Global Market</w:t>
            </w:r>
          </w:p>
        </w:tc>
      </w:tr>
      <w:tr w:rsidR="00000000" w14:paraId="1B4D71E4" w14:textId="77777777">
        <w:trPr>
          <w:divId w:val="1603147087"/>
          <w:trHeight w:val="60"/>
        </w:trPr>
        <w:tc>
          <w:tcPr>
            <w:tcW w:w="0" w:type="auto"/>
            <w:gridSpan w:val="3"/>
            <w:tcBorders>
              <w:top w:val="single" w:sz="8" w:space="0" w:color="000000"/>
            </w:tcBorders>
            <w:tcMar>
              <w:top w:w="0" w:type="dxa"/>
              <w:left w:w="20" w:type="dxa"/>
              <w:bottom w:w="0" w:type="dxa"/>
              <w:right w:w="20" w:type="dxa"/>
            </w:tcMar>
            <w:vAlign w:val="center"/>
            <w:hideMark/>
          </w:tcPr>
          <w:p w14:paraId="63DB333C" w14:textId="77777777" w:rsidR="00000000" w:rsidRDefault="000C49A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B496AFF"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9AAF8B" w14:textId="77777777" w:rsidR="00000000" w:rsidRDefault="000C49AD">
            <w:pPr>
              <w:spacing w:after="100"/>
              <w:rPr>
                <w:rFonts w:eastAsia="Times New Roman"/>
                <w:sz w:val="20"/>
                <w:szCs w:val="20"/>
              </w:rPr>
            </w:pPr>
          </w:p>
        </w:tc>
      </w:tr>
    </w:tbl>
    <w:tbl>
      <w:tblPr>
        <w:tblW w:w="10785" w:type="dxa"/>
        <w:tblCellMar>
          <w:top w:w="15" w:type="dxa"/>
          <w:left w:w="15" w:type="dxa"/>
          <w:bottom w:w="15" w:type="dxa"/>
          <w:right w:w="15" w:type="dxa"/>
        </w:tblCellMar>
        <w:tblLook w:val="04A0" w:firstRow="1" w:lastRow="0" w:firstColumn="1" w:lastColumn="0" w:noHBand="0" w:noVBand="1"/>
      </w:tblPr>
      <w:tblGrid>
        <w:gridCol w:w="36"/>
        <w:gridCol w:w="154"/>
        <w:gridCol w:w="36"/>
        <w:gridCol w:w="36"/>
        <w:gridCol w:w="154"/>
        <w:gridCol w:w="36"/>
        <w:gridCol w:w="36"/>
        <w:gridCol w:w="10261"/>
        <w:gridCol w:w="36"/>
      </w:tblGrid>
      <w:tr w:rsidR="00000000" w14:paraId="073CD192" w14:textId="77777777">
        <w:tc>
          <w:tcPr>
            <w:tcW w:w="20" w:type="dxa"/>
            <w:vAlign w:val="center"/>
            <w:hideMark/>
          </w:tcPr>
          <w:p w14:paraId="0516FE31" w14:textId="77777777" w:rsidR="00000000" w:rsidRDefault="000C49AD">
            <w:pPr>
              <w:rPr>
                <w:rFonts w:eastAsia="Times New Roman"/>
              </w:rPr>
            </w:pPr>
          </w:p>
        </w:tc>
        <w:tc>
          <w:tcPr>
            <w:tcW w:w="155" w:type="dxa"/>
            <w:vAlign w:val="center"/>
            <w:hideMark/>
          </w:tcPr>
          <w:p w14:paraId="5E22406B" w14:textId="77777777" w:rsidR="00000000" w:rsidRDefault="000C49AD">
            <w:pPr>
              <w:spacing w:after="100"/>
              <w:rPr>
                <w:rFonts w:eastAsia="Times New Roman"/>
                <w:sz w:val="20"/>
                <w:szCs w:val="20"/>
              </w:rPr>
            </w:pPr>
          </w:p>
        </w:tc>
        <w:tc>
          <w:tcPr>
            <w:tcW w:w="20" w:type="dxa"/>
            <w:vAlign w:val="center"/>
            <w:hideMark/>
          </w:tcPr>
          <w:p w14:paraId="630E1F90" w14:textId="77777777" w:rsidR="00000000" w:rsidRDefault="000C49AD">
            <w:pPr>
              <w:spacing w:after="100"/>
              <w:rPr>
                <w:rFonts w:eastAsia="Times New Roman"/>
                <w:sz w:val="20"/>
                <w:szCs w:val="20"/>
              </w:rPr>
            </w:pPr>
          </w:p>
        </w:tc>
        <w:tc>
          <w:tcPr>
            <w:tcW w:w="20" w:type="dxa"/>
            <w:vAlign w:val="center"/>
            <w:hideMark/>
          </w:tcPr>
          <w:p w14:paraId="2FDDB739" w14:textId="77777777" w:rsidR="00000000" w:rsidRDefault="000C49AD">
            <w:pPr>
              <w:spacing w:after="100"/>
              <w:rPr>
                <w:rFonts w:eastAsia="Times New Roman"/>
                <w:sz w:val="20"/>
                <w:szCs w:val="20"/>
              </w:rPr>
            </w:pPr>
          </w:p>
        </w:tc>
        <w:tc>
          <w:tcPr>
            <w:tcW w:w="155" w:type="dxa"/>
            <w:vAlign w:val="center"/>
            <w:hideMark/>
          </w:tcPr>
          <w:p w14:paraId="67CACC5D" w14:textId="77777777" w:rsidR="00000000" w:rsidRDefault="000C49AD">
            <w:pPr>
              <w:spacing w:after="100"/>
              <w:rPr>
                <w:rFonts w:eastAsia="Times New Roman"/>
                <w:sz w:val="20"/>
                <w:szCs w:val="20"/>
              </w:rPr>
            </w:pPr>
          </w:p>
        </w:tc>
        <w:tc>
          <w:tcPr>
            <w:tcW w:w="20" w:type="dxa"/>
            <w:vAlign w:val="center"/>
            <w:hideMark/>
          </w:tcPr>
          <w:p w14:paraId="6A0EF0A3" w14:textId="77777777" w:rsidR="00000000" w:rsidRDefault="000C49AD">
            <w:pPr>
              <w:spacing w:after="100"/>
              <w:rPr>
                <w:rFonts w:eastAsia="Times New Roman"/>
                <w:sz w:val="20"/>
                <w:szCs w:val="20"/>
              </w:rPr>
            </w:pPr>
          </w:p>
        </w:tc>
        <w:tc>
          <w:tcPr>
            <w:tcW w:w="20" w:type="dxa"/>
            <w:vAlign w:val="center"/>
            <w:hideMark/>
          </w:tcPr>
          <w:p w14:paraId="5A3289C9" w14:textId="77777777" w:rsidR="00000000" w:rsidRDefault="000C49AD">
            <w:pPr>
              <w:spacing w:after="100"/>
              <w:rPr>
                <w:rFonts w:eastAsia="Times New Roman"/>
                <w:sz w:val="20"/>
                <w:szCs w:val="20"/>
              </w:rPr>
            </w:pPr>
          </w:p>
        </w:tc>
        <w:tc>
          <w:tcPr>
            <w:tcW w:w="10355" w:type="dxa"/>
            <w:vAlign w:val="center"/>
            <w:hideMark/>
          </w:tcPr>
          <w:p w14:paraId="5FDCC56D" w14:textId="77777777" w:rsidR="00000000" w:rsidRDefault="000C49AD">
            <w:pPr>
              <w:spacing w:after="100"/>
              <w:rPr>
                <w:rFonts w:eastAsia="Times New Roman"/>
                <w:sz w:val="20"/>
                <w:szCs w:val="20"/>
              </w:rPr>
            </w:pPr>
          </w:p>
        </w:tc>
        <w:tc>
          <w:tcPr>
            <w:tcW w:w="20" w:type="dxa"/>
            <w:vAlign w:val="center"/>
            <w:hideMark/>
          </w:tcPr>
          <w:p w14:paraId="338EC588" w14:textId="77777777" w:rsidR="00000000" w:rsidRDefault="000C49AD">
            <w:pPr>
              <w:spacing w:after="100"/>
              <w:rPr>
                <w:rFonts w:eastAsia="Times New Roman"/>
                <w:sz w:val="20"/>
                <w:szCs w:val="20"/>
              </w:rPr>
            </w:pPr>
          </w:p>
        </w:tc>
      </w:tr>
      <w:tr w:rsidR="00000000" w14:paraId="65202254" w14:textId="77777777">
        <w:trPr>
          <w:trHeight w:val="240"/>
        </w:trPr>
        <w:tc>
          <w:tcPr>
            <w:tcW w:w="0" w:type="auto"/>
            <w:gridSpan w:val="3"/>
            <w:tcMar>
              <w:top w:w="0" w:type="dxa"/>
              <w:left w:w="20" w:type="dxa"/>
              <w:bottom w:w="0" w:type="dxa"/>
              <w:right w:w="20" w:type="dxa"/>
            </w:tcMar>
            <w:vAlign w:val="center"/>
            <w:hideMark/>
          </w:tcPr>
          <w:p w14:paraId="43407560" w14:textId="77777777" w:rsidR="00000000" w:rsidRDefault="000C49AD">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1AE3CB94" w14:textId="77777777" w:rsidR="00000000" w:rsidRDefault="000C49AD">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14:paraId="3005AF3A" w14:textId="77777777" w:rsidR="00000000" w:rsidRDefault="000C49AD">
            <w:pPr>
              <w:spacing w:after="100"/>
              <w:jc w:val="both"/>
              <w:rPr>
                <w:rFonts w:eastAsia="Times New Roman"/>
              </w:rPr>
            </w:pPr>
            <w:r>
              <w:rPr>
                <w:rFonts w:eastAsia="Times New Roman"/>
                <w:color w:val="000000"/>
                <w:sz w:val="16"/>
                <w:szCs w:val="16"/>
              </w:rPr>
              <w:t>American Depositary Shares may be evidenced by American Depository Receipts. Each American Depositary Share represents one (1) Ordinary Share.</w:t>
            </w:r>
          </w:p>
        </w:tc>
      </w:tr>
    </w:tbl>
    <w:p w14:paraId="1CD1DDB0" w14:textId="77777777" w:rsidR="00000000" w:rsidRDefault="000C49AD">
      <w:pPr>
        <w:divId w:val="1103888479"/>
        <w:rPr>
          <w:rFonts w:eastAsia="Times New Roman"/>
          <w:vanish/>
        </w:rPr>
      </w:pPr>
    </w:p>
    <w:tbl>
      <w:tblPr>
        <w:tblW w:w="10785" w:type="dxa"/>
        <w:tblCellMar>
          <w:top w:w="15" w:type="dxa"/>
          <w:left w:w="15" w:type="dxa"/>
          <w:bottom w:w="15" w:type="dxa"/>
          <w:right w:w="15" w:type="dxa"/>
        </w:tblCellMar>
        <w:tblLook w:val="04A0" w:firstRow="1" w:lastRow="0" w:firstColumn="1" w:lastColumn="0" w:noHBand="0" w:noVBand="1"/>
      </w:tblPr>
      <w:tblGrid>
        <w:gridCol w:w="36"/>
        <w:gridCol w:w="153"/>
        <w:gridCol w:w="36"/>
        <w:gridCol w:w="36"/>
        <w:gridCol w:w="274"/>
        <w:gridCol w:w="36"/>
        <w:gridCol w:w="36"/>
        <w:gridCol w:w="10142"/>
        <w:gridCol w:w="36"/>
      </w:tblGrid>
      <w:tr w:rsidR="00000000" w14:paraId="068B5EC0" w14:textId="77777777">
        <w:trPr>
          <w:divId w:val="1103888479"/>
        </w:trPr>
        <w:tc>
          <w:tcPr>
            <w:tcW w:w="20" w:type="dxa"/>
            <w:vAlign w:val="center"/>
            <w:hideMark/>
          </w:tcPr>
          <w:p w14:paraId="3A32755D" w14:textId="77777777" w:rsidR="00000000" w:rsidRDefault="000C49AD">
            <w:pPr>
              <w:rPr>
                <w:rFonts w:eastAsia="Times New Roman"/>
              </w:rPr>
            </w:pPr>
          </w:p>
        </w:tc>
        <w:tc>
          <w:tcPr>
            <w:tcW w:w="155" w:type="dxa"/>
            <w:vAlign w:val="center"/>
            <w:hideMark/>
          </w:tcPr>
          <w:p w14:paraId="3CCD551D" w14:textId="77777777" w:rsidR="00000000" w:rsidRDefault="000C49AD">
            <w:pPr>
              <w:spacing w:after="100"/>
              <w:rPr>
                <w:rFonts w:eastAsia="Times New Roman"/>
                <w:sz w:val="20"/>
                <w:szCs w:val="20"/>
              </w:rPr>
            </w:pPr>
          </w:p>
        </w:tc>
        <w:tc>
          <w:tcPr>
            <w:tcW w:w="20" w:type="dxa"/>
            <w:vAlign w:val="center"/>
            <w:hideMark/>
          </w:tcPr>
          <w:p w14:paraId="2C471BB1" w14:textId="77777777" w:rsidR="00000000" w:rsidRDefault="000C49AD">
            <w:pPr>
              <w:spacing w:after="100"/>
              <w:rPr>
                <w:rFonts w:eastAsia="Times New Roman"/>
                <w:sz w:val="20"/>
                <w:szCs w:val="20"/>
              </w:rPr>
            </w:pPr>
          </w:p>
        </w:tc>
        <w:tc>
          <w:tcPr>
            <w:tcW w:w="20" w:type="dxa"/>
            <w:vAlign w:val="center"/>
            <w:hideMark/>
          </w:tcPr>
          <w:p w14:paraId="3EFE2D31" w14:textId="77777777" w:rsidR="00000000" w:rsidRDefault="000C49AD">
            <w:pPr>
              <w:spacing w:after="100"/>
              <w:rPr>
                <w:rFonts w:eastAsia="Times New Roman"/>
                <w:sz w:val="20"/>
                <w:szCs w:val="20"/>
              </w:rPr>
            </w:pPr>
          </w:p>
        </w:tc>
        <w:tc>
          <w:tcPr>
            <w:tcW w:w="275" w:type="dxa"/>
            <w:vAlign w:val="center"/>
            <w:hideMark/>
          </w:tcPr>
          <w:p w14:paraId="38188D1D" w14:textId="77777777" w:rsidR="00000000" w:rsidRDefault="000C49AD">
            <w:pPr>
              <w:spacing w:after="100"/>
              <w:rPr>
                <w:rFonts w:eastAsia="Times New Roman"/>
                <w:sz w:val="20"/>
                <w:szCs w:val="20"/>
              </w:rPr>
            </w:pPr>
          </w:p>
        </w:tc>
        <w:tc>
          <w:tcPr>
            <w:tcW w:w="20" w:type="dxa"/>
            <w:vAlign w:val="center"/>
            <w:hideMark/>
          </w:tcPr>
          <w:p w14:paraId="20EA62FC" w14:textId="77777777" w:rsidR="00000000" w:rsidRDefault="000C49AD">
            <w:pPr>
              <w:spacing w:after="100"/>
              <w:rPr>
                <w:rFonts w:eastAsia="Times New Roman"/>
                <w:sz w:val="20"/>
                <w:szCs w:val="20"/>
              </w:rPr>
            </w:pPr>
          </w:p>
        </w:tc>
        <w:tc>
          <w:tcPr>
            <w:tcW w:w="20" w:type="dxa"/>
            <w:vAlign w:val="center"/>
            <w:hideMark/>
          </w:tcPr>
          <w:p w14:paraId="5AE42208" w14:textId="77777777" w:rsidR="00000000" w:rsidRDefault="000C49AD">
            <w:pPr>
              <w:spacing w:after="100"/>
              <w:rPr>
                <w:rFonts w:eastAsia="Times New Roman"/>
                <w:sz w:val="20"/>
                <w:szCs w:val="20"/>
              </w:rPr>
            </w:pPr>
          </w:p>
        </w:tc>
        <w:tc>
          <w:tcPr>
            <w:tcW w:w="10235" w:type="dxa"/>
            <w:vAlign w:val="center"/>
            <w:hideMark/>
          </w:tcPr>
          <w:p w14:paraId="7CFA677E" w14:textId="77777777" w:rsidR="00000000" w:rsidRDefault="000C49AD">
            <w:pPr>
              <w:spacing w:after="100"/>
              <w:rPr>
                <w:rFonts w:eastAsia="Times New Roman"/>
                <w:sz w:val="20"/>
                <w:szCs w:val="20"/>
              </w:rPr>
            </w:pPr>
          </w:p>
        </w:tc>
        <w:tc>
          <w:tcPr>
            <w:tcW w:w="20" w:type="dxa"/>
            <w:vAlign w:val="center"/>
            <w:hideMark/>
          </w:tcPr>
          <w:p w14:paraId="2D613DC4" w14:textId="77777777" w:rsidR="00000000" w:rsidRDefault="000C49AD">
            <w:pPr>
              <w:spacing w:after="100"/>
              <w:rPr>
                <w:rFonts w:eastAsia="Times New Roman"/>
                <w:sz w:val="20"/>
                <w:szCs w:val="20"/>
              </w:rPr>
            </w:pPr>
          </w:p>
        </w:tc>
      </w:tr>
      <w:tr w:rsidR="00000000" w14:paraId="37CCC271" w14:textId="77777777">
        <w:trPr>
          <w:divId w:val="1103888479"/>
          <w:trHeight w:val="240"/>
        </w:trPr>
        <w:tc>
          <w:tcPr>
            <w:tcW w:w="0" w:type="auto"/>
            <w:gridSpan w:val="3"/>
            <w:tcMar>
              <w:top w:w="0" w:type="dxa"/>
              <w:left w:w="20" w:type="dxa"/>
              <w:bottom w:w="0" w:type="dxa"/>
              <w:right w:w="20" w:type="dxa"/>
            </w:tcMar>
            <w:vAlign w:val="center"/>
            <w:hideMark/>
          </w:tcPr>
          <w:p w14:paraId="2BBE975C" w14:textId="77777777" w:rsidR="00000000" w:rsidRDefault="000C49AD">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49C17352" w14:textId="77777777" w:rsidR="00000000" w:rsidRDefault="000C49AD">
            <w:pPr>
              <w:spacing w:after="100"/>
              <w:rPr>
                <w:rFonts w:eastAsia="Times New Roman"/>
              </w:rPr>
            </w:pPr>
            <w:r>
              <w:rPr>
                <w:rFonts w:eastAsia="Times New Roman"/>
                <w:color w:val="000000"/>
                <w:sz w:val="16"/>
                <w:szCs w:val="16"/>
              </w:rPr>
              <w:t>**</w:t>
            </w:r>
          </w:p>
        </w:tc>
        <w:tc>
          <w:tcPr>
            <w:tcW w:w="0" w:type="auto"/>
            <w:gridSpan w:val="3"/>
            <w:tcMar>
              <w:top w:w="30" w:type="dxa"/>
              <w:left w:w="20" w:type="dxa"/>
              <w:bottom w:w="30" w:type="dxa"/>
              <w:right w:w="20" w:type="dxa"/>
            </w:tcMar>
            <w:vAlign w:val="bottom"/>
            <w:hideMark/>
          </w:tcPr>
          <w:p w14:paraId="1D71F4E5" w14:textId="77777777" w:rsidR="00000000" w:rsidRDefault="000C49AD">
            <w:pPr>
              <w:spacing w:after="100"/>
              <w:jc w:val="both"/>
              <w:rPr>
                <w:rFonts w:eastAsia="Times New Roman"/>
              </w:rPr>
            </w:pPr>
            <w:r>
              <w:rPr>
                <w:rFonts w:eastAsia="Times New Roman"/>
                <w:color w:val="000000"/>
                <w:sz w:val="16"/>
                <w:szCs w:val="16"/>
              </w:rPr>
              <w:t>Not for trading, but only in connection with the listing of American Depositary Shares. on The Nasdaq Global Market.</w:t>
            </w:r>
          </w:p>
        </w:tc>
      </w:tr>
    </w:tbl>
    <w:p w14:paraId="454C4D4E" w14:textId="77777777" w:rsidR="00000000" w:rsidRDefault="000C49AD">
      <w:pPr>
        <w:jc w:val="center"/>
        <w:rPr>
          <w:rFonts w:eastAsia="Times New Roman"/>
        </w:rPr>
      </w:pPr>
      <w:r>
        <w:rPr>
          <w:rFonts w:eastAsia="Times New Roman"/>
          <w:b/>
          <w:bCs/>
          <w:color w:val="000000"/>
          <w:sz w:val="16"/>
          <w:szCs w:val="16"/>
        </w:rPr>
        <w:t> </w:t>
      </w:r>
    </w:p>
    <w:p w14:paraId="1B3E8487" w14:textId="77777777" w:rsidR="00000000" w:rsidRDefault="000C49AD">
      <w:pPr>
        <w:jc w:val="center"/>
        <w:rPr>
          <w:rFonts w:eastAsia="Times New Roman"/>
        </w:rPr>
      </w:pPr>
      <w:r>
        <w:rPr>
          <w:rFonts w:eastAsia="Times New Roman"/>
          <w:b/>
          <w:bCs/>
          <w:color w:val="000000"/>
          <w:sz w:val="16"/>
          <w:szCs w:val="16"/>
        </w:rPr>
        <w:t>Securities registered pursuant to Section 12(g) of the Act: None</w:t>
      </w:r>
    </w:p>
    <w:p w14:paraId="486EE4B1" w14:textId="77777777" w:rsidR="00000000" w:rsidRDefault="000C49AD">
      <w:pPr>
        <w:jc w:val="center"/>
        <w:rPr>
          <w:rFonts w:eastAsia="Times New Roman"/>
        </w:rPr>
      </w:pPr>
    </w:p>
    <w:p w14:paraId="6148363C" w14:textId="77777777" w:rsidR="00000000" w:rsidRDefault="000C49AD">
      <w:pPr>
        <w:jc w:val="both"/>
        <w:rPr>
          <w:rFonts w:eastAsia="Times New Roman"/>
        </w:rPr>
      </w:pPr>
      <w:r>
        <w:rPr>
          <w:rFonts w:eastAsia="Times New Roman"/>
          <w:color w:val="000000"/>
          <w:sz w:val="16"/>
          <w:szCs w:val="16"/>
        </w:rPr>
        <w:t xml:space="preserve">Indicate by check mark if the registrant is a well-known seasoned issuer, as defined in Rule 405 of the Securities Act.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ý</w:t>
      </w:r>
    </w:p>
    <w:p w14:paraId="2A559721" w14:textId="77777777" w:rsidR="00000000" w:rsidRDefault="000C49AD">
      <w:pPr>
        <w:jc w:val="both"/>
        <w:rPr>
          <w:rFonts w:eastAsia="Times New Roman"/>
        </w:rPr>
      </w:pPr>
    </w:p>
    <w:p w14:paraId="3093A614" w14:textId="77777777" w:rsidR="00000000" w:rsidRDefault="000C49AD">
      <w:pPr>
        <w:jc w:val="both"/>
        <w:rPr>
          <w:rFonts w:eastAsia="Times New Roman"/>
        </w:rPr>
      </w:pPr>
      <w:r>
        <w:rPr>
          <w:rFonts w:eastAsia="Times New Roman"/>
          <w:color w:val="000000"/>
          <w:sz w:val="16"/>
          <w:szCs w:val="16"/>
        </w:rPr>
        <w:t>Indicate by check mark if the registrant is not required to file reports pursuant to Section </w:t>
      </w:r>
      <w:r>
        <w:rPr>
          <w:rFonts w:eastAsia="Times New Roman"/>
          <w:color w:val="000000"/>
          <w:sz w:val="16"/>
          <w:szCs w:val="16"/>
        </w:rPr>
        <w:t xml:space="preserve">13 or Section 15(d) of the Act.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ý</w:t>
      </w:r>
    </w:p>
    <w:p w14:paraId="2B5725FB" w14:textId="77777777" w:rsidR="00000000" w:rsidRDefault="000C49AD">
      <w:pPr>
        <w:jc w:val="both"/>
        <w:rPr>
          <w:rFonts w:eastAsia="Times New Roman"/>
        </w:rPr>
      </w:pPr>
    </w:p>
    <w:p w14:paraId="4958EA6C" w14:textId="77777777" w:rsidR="00000000" w:rsidRDefault="000C49AD">
      <w:pPr>
        <w:jc w:val="both"/>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preceding 12 months (or for such sho</w:t>
      </w:r>
      <w:r>
        <w:rPr>
          <w:rFonts w:eastAsia="Times New Roman"/>
          <w:color w:val="000000"/>
          <w:sz w:val="16"/>
          <w:szCs w:val="16"/>
        </w:rPr>
        <w:t>rter period that the registrant was required to file such reports), and (2) has been subject to such filing requirements for the past 90 days.Yes </w:t>
      </w:r>
      <w:r>
        <w:rPr>
          <w:rFonts w:ascii="Wingdings" w:eastAsia="Times New Roman" w:hAnsi="Wingdings"/>
          <w:color w:val="000000"/>
          <w:sz w:val="16"/>
          <w:szCs w:val="16"/>
        </w:rPr>
        <w:t>ý</w:t>
      </w:r>
      <w:r>
        <w:rPr>
          <w:rFonts w:eastAsia="Times New Roman"/>
          <w:color w:val="000000"/>
          <w:sz w:val="16"/>
          <w:szCs w:val="16"/>
        </w:rPr>
        <w:t xml:space="preserve">     No   </w:t>
      </w:r>
      <w:r>
        <w:rPr>
          <w:rFonts w:ascii="Wingdings" w:eastAsia="Times New Roman" w:hAnsi="Wingdings"/>
          <w:color w:val="000000"/>
          <w:sz w:val="16"/>
          <w:szCs w:val="16"/>
        </w:rPr>
        <w:t>¨</w:t>
      </w:r>
    </w:p>
    <w:p w14:paraId="7325FBB6" w14:textId="77777777" w:rsidR="00000000" w:rsidRDefault="000C49AD">
      <w:pPr>
        <w:jc w:val="both"/>
        <w:rPr>
          <w:rFonts w:eastAsia="Times New Roman"/>
        </w:rPr>
      </w:pPr>
    </w:p>
    <w:p w14:paraId="13366417" w14:textId="77777777" w:rsidR="00000000" w:rsidRDefault="000C49AD">
      <w:pPr>
        <w:jc w:val="both"/>
        <w:rPr>
          <w:rFonts w:eastAsia="Times New Roman"/>
        </w:rPr>
      </w:pPr>
      <w:r>
        <w:rPr>
          <w:rFonts w:eastAsia="Times New Roman"/>
          <w:color w:val="000000"/>
          <w:sz w:val="16"/>
          <w:szCs w:val="16"/>
        </w:rPr>
        <w:t>Indicate by check mark whether the registrant has submitted electronically, every Interactive D</w:t>
      </w:r>
      <w:r>
        <w:rPr>
          <w:rFonts w:eastAsia="Times New Roman"/>
          <w:color w:val="000000"/>
          <w:sz w:val="16"/>
          <w:szCs w:val="16"/>
        </w:rPr>
        <w:t xml:space="preserve">ata File required to be submitted and pursuant to Rule 405 of Regulation S-T (§232.405 of this chapter) during the preceding 12 months (or for such shorter period that the registrant was required to submit such files). Yes  </w:t>
      </w:r>
      <w:r>
        <w:rPr>
          <w:rFonts w:ascii="Wingdings" w:eastAsia="Times New Roman" w:hAnsi="Wingdings"/>
          <w:color w:val="000000"/>
          <w:sz w:val="16"/>
          <w:szCs w:val="16"/>
        </w:rPr>
        <w:t>ý</w:t>
      </w:r>
      <w:r>
        <w:rPr>
          <w:rFonts w:eastAsia="Times New Roman"/>
          <w:color w:val="000000"/>
          <w:sz w:val="16"/>
          <w:szCs w:val="16"/>
        </w:rPr>
        <w:t xml:space="preserve">     No   </w:t>
      </w:r>
      <w:r>
        <w:rPr>
          <w:rFonts w:ascii="Wingdings" w:eastAsia="Times New Roman" w:hAnsi="Wingdings"/>
          <w:color w:val="000000"/>
          <w:sz w:val="16"/>
          <w:szCs w:val="16"/>
        </w:rPr>
        <w:t>☐</w:t>
      </w:r>
    </w:p>
    <w:p w14:paraId="28AA7A48" w14:textId="77777777" w:rsidR="00000000" w:rsidRDefault="000C49AD">
      <w:pPr>
        <w:jc w:val="both"/>
        <w:rPr>
          <w:rFonts w:eastAsia="Times New Roman"/>
        </w:rPr>
      </w:pPr>
      <w:r>
        <w:rPr>
          <w:rFonts w:eastAsia="Times New Roman"/>
          <w:color w:val="000000"/>
          <w:sz w:val="16"/>
          <w:szCs w:val="16"/>
        </w:rPr>
        <w:t> </w:t>
      </w:r>
    </w:p>
    <w:p w14:paraId="2F21F147" w14:textId="77777777" w:rsidR="00000000" w:rsidRDefault="000C49AD">
      <w:pPr>
        <w:jc w:val="both"/>
        <w:rPr>
          <w:rFonts w:eastAsia="Times New Roman"/>
        </w:rPr>
      </w:pPr>
      <w:r>
        <w:rPr>
          <w:rFonts w:eastAsia="Times New Roman"/>
          <w:color w:val="000000"/>
          <w:sz w:val="16"/>
          <w:szCs w:val="16"/>
        </w:rPr>
        <w:lastRenderedPageBreak/>
        <w:t>Indicate by check</w:t>
      </w:r>
      <w:r>
        <w:rPr>
          <w:rFonts w:eastAsia="Times New Roman"/>
          <w:color w:val="000000"/>
          <w:sz w:val="16"/>
          <w:szCs w:val="16"/>
        </w:rPr>
        <w:t xml:space="preserve"> mark whether the registrant is a large accelerated filer, an accelerated filer, a non-accelerated filer, a smaller reporting company or an emerging growth company. See the definitions of “large accelerated filer”, “accelerated filer”, “smaller reporting c</w:t>
      </w:r>
      <w:r>
        <w:rPr>
          <w:rFonts w:eastAsia="Times New Roman"/>
          <w:color w:val="000000"/>
          <w:sz w:val="16"/>
          <w:szCs w:val="16"/>
        </w:rPr>
        <w:t>ompany”, and “emerging growth company” in Rule 12b-2 of the Exchange Act.</w:t>
      </w:r>
    </w:p>
    <w:p w14:paraId="4431F175" w14:textId="77777777" w:rsidR="00000000" w:rsidRDefault="000C49AD">
      <w:pPr>
        <w:jc w:val="both"/>
        <w:rPr>
          <w:rFonts w:eastAsia="Times New Roman"/>
        </w:rPr>
      </w:pPr>
      <w:r>
        <w:rPr>
          <w:rFonts w:eastAsia="Times New Roman"/>
          <w:color w:val="000000"/>
          <w:sz w:val="16"/>
          <w:szCs w:val="16"/>
        </w:rPr>
        <w:t> </w:t>
      </w:r>
    </w:p>
    <w:p w14:paraId="4B08E5FA" w14:textId="77777777" w:rsidR="00000000" w:rsidRDefault="000C49AD">
      <w:pPr>
        <w:jc w:val="both"/>
        <w:rPr>
          <w:rFonts w:eastAsia="Times New Roman"/>
        </w:rPr>
      </w:pPr>
      <w:r>
        <w:rPr>
          <w:rFonts w:eastAsia="Times New Roman"/>
          <w:color w:val="000000"/>
          <w:sz w:val="16"/>
          <w:szCs w:val="16"/>
        </w:rPr>
        <w:t xml:space="preserve">Large accelerated filer </w:t>
      </w:r>
      <w:r>
        <w:rPr>
          <w:rFonts w:ascii="Wingdings" w:eastAsia="Times New Roman" w:hAnsi="Wingdings"/>
          <w:color w:val="000000"/>
          <w:sz w:val="16"/>
          <w:szCs w:val="16"/>
        </w:rPr>
        <w:t>☐</w:t>
      </w:r>
      <w:r>
        <w:rPr>
          <w:rFonts w:eastAsia="Times New Roman"/>
          <w:color w:val="000000"/>
          <w:sz w:val="16"/>
          <w:szCs w:val="16"/>
        </w:rPr>
        <w:t xml:space="preserve">     Accelerated filer </w:t>
      </w:r>
      <w:r>
        <w:rPr>
          <w:rFonts w:ascii="Wingdings" w:eastAsia="Times New Roman" w:hAnsi="Wingdings"/>
          <w:color w:val="000000"/>
          <w:sz w:val="16"/>
          <w:szCs w:val="16"/>
        </w:rPr>
        <w:t>ý</w:t>
      </w:r>
    </w:p>
    <w:p w14:paraId="2F6B84CF" w14:textId="77777777" w:rsidR="00000000" w:rsidRDefault="000C49AD">
      <w:pPr>
        <w:jc w:val="both"/>
        <w:rPr>
          <w:rFonts w:eastAsia="Times New Roman"/>
        </w:rPr>
      </w:pPr>
      <w:r>
        <w:rPr>
          <w:rFonts w:eastAsia="Times New Roman"/>
          <w:color w:val="000000"/>
          <w:sz w:val="16"/>
          <w:szCs w:val="16"/>
        </w:rPr>
        <w:t xml:space="preserve">Non-accelerated filer </w:t>
      </w:r>
      <w:r>
        <w:rPr>
          <w:rFonts w:ascii="Wingdings" w:eastAsia="Times New Roman" w:hAnsi="Wingdings"/>
          <w:color w:val="000000"/>
          <w:sz w:val="16"/>
          <w:szCs w:val="16"/>
        </w:rPr>
        <w:t>☐</w:t>
      </w:r>
      <w:r>
        <w:rPr>
          <w:rFonts w:eastAsia="Times New Roman"/>
          <w:color w:val="000000"/>
          <w:sz w:val="16"/>
          <w:szCs w:val="16"/>
        </w:rPr>
        <w:t xml:space="preserve">     Smaller reporting company </w:t>
      </w:r>
      <w:r>
        <w:rPr>
          <w:rFonts w:ascii="Wingdings" w:eastAsia="Times New Roman" w:hAnsi="Wingdings"/>
          <w:color w:val="000000"/>
          <w:sz w:val="16"/>
          <w:szCs w:val="16"/>
        </w:rPr>
        <w:t>☐</w:t>
      </w:r>
    </w:p>
    <w:p w14:paraId="4AD2BCA2" w14:textId="77777777" w:rsidR="00000000" w:rsidRDefault="000C49AD">
      <w:pPr>
        <w:jc w:val="both"/>
        <w:rPr>
          <w:rFonts w:eastAsia="Times New Roman"/>
        </w:rPr>
      </w:pPr>
      <w:r>
        <w:rPr>
          <w:rFonts w:eastAsia="Times New Roman"/>
          <w:color w:val="000000"/>
          <w:sz w:val="16"/>
          <w:szCs w:val="16"/>
        </w:rPr>
        <w:t xml:space="preserve">Emerging growth company </w:t>
      </w:r>
      <w:r>
        <w:rPr>
          <w:rFonts w:ascii="Wingdings" w:eastAsia="Times New Roman" w:hAnsi="Wingdings"/>
          <w:color w:val="000000"/>
          <w:sz w:val="16"/>
          <w:szCs w:val="16"/>
        </w:rPr>
        <w:t>☐</w:t>
      </w:r>
    </w:p>
    <w:p w14:paraId="119B7EFA" w14:textId="77777777" w:rsidR="00000000" w:rsidRDefault="000C49AD">
      <w:pPr>
        <w:jc w:val="both"/>
        <w:rPr>
          <w:rFonts w:eastAsia="Times New Roman"/>
        </w:rPr>
      </w:pPr>
      <w:r>
        <w:rPr>
          <w:rFonts w:eastAsia="Times New Roman"/>
          <w:color w:val="000000"/>
          <w:sz w:val="16"/>
          <w:szCs w:val="16"/>
        </w:rPr>
        <w:t>If an emerging growth company, indicate by check</w:t>
      </w:r>
      <w:r>
        <w:rPr>
          <w:rFonts w:eastAsia="Times New Roman"/>
          <w:color w:val="000000"/>
          <w:sz w:val="16"/>
          <w:szCs w:val="16"/>
        </w:rPr>
        <w:t xml:space="preserve">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16"/>
          <w:szCs w:val="16"/>
        </w:rPr>
        <w:t>☐</w:t>
      </w:r>
    </w:p>
    <w:p w14:paraId="1562F46C" w14:textId="77777777" w:rsidR="00000000" w:rsidRDefault="000C49AD">
      <w:pPr>
        <w:jc w:val="both"/>
        <w:rPr>
          <w:rFonts w:eastAsia="Times New Roman"/>
        </w:rPr>
      </w:pPr>
    </w:p>
    <w:p w14:paraId="10477E2C" w14:textId="77777777" w:rsidR="00000000" w:rsidRDefault="000C49AD">
      <w:pPr>
        <w:jc w:val="both"/>
        <w:rPr>
          <w:rFonts w:eastAsia="Times New Roman"/>
        </w:rPr>
      </w:pPr>
      <w:r>
        <w:rPr>
          <w:rFonts w:eastAsia="Times New Roman"/>
          <w:color w:val="000000"/>
          <w:sz w:val="16"/>
          <w:szCs w:val="16"/>
        </w:rPr>
        <w:t>Indicate by check mark whether the registrant ha</w:t>
      </w:r>
      <w:r>
        <w:rPr>
          <w:rFonts w:eastAsia="Times New Roman"/>
          <w:color w:val="000000"/>
          <w:sz w:val="16"/>
          <w:szCs w:val="16"/>
        </w:rPr>
        <w:t>s filed a report on and attestation to its management’s assessment of the effectiveness of its internal control over financial reporting under Section 404(b) of the Sarbanes-Oxley Act (15 U.S.C. 7262(b)) by the registered public accounting firm that prepar</w:t>
      </w:r>
      <w:r>
        <w:rPr>
          <w:rFonts w:eastAsia="Times New Roman"/>
          <w:color w:val="000000"/>
          <w:sz w:val="16"/>
          <w:szCs w:val="16"/>
        </w:rPr>
        <w:t xml:space="preserve">ed or issued its audit report. </w:t>
      </w:r>
      <w:r>
        <w:rPr>
          <w:rFonts w:ascii="Wingdings" w:eastAsia="Times New Roman" w:hAnsi="Wingdings"/>
          <w:color w:val="000000"/>
          <w:sz w:val="16"/>
          <w:szCs w:val="16"/>
        </w:rPr>
        <w:t>ý</w:t>
      </w:r>
      <w:r>
        <w:rPr>
          <w:rFonts w:ascii="Wingdings" w:eastAsia="Times New Roman" w:hAnsi="Wingdings"/>
          <w:color w:val="000000"/>
          <w:sz w:val="16"/>
          <w:szCs w:val="16"/>
        </w:rPr>
        <w:t xml:space="preserve"> </w:t>
      </w:r>
    </w:p>
    <w:p w14:paraId="21C01489" w14:textId="77777777" w:rsidR="00000000" w:rsidRDefault="000C49AD">
      <w:pPr>
        <w:jc w:val="both"/>
        <w:rPr>
          <w:rFonts w:eastAsia="Times New Roman"/>
        </w:rPr>
      </w:pPr>
    </w:p>
    <w:p w14:paraId="60E0883C" w14:textId="77777777" w:rsidR="00000000" w:rsidRDefault="000C49AD">
      <w:pPr>
        <w:jc w:val="both"/>
        <w:rPr>
          <w:rFonts w:eastAsia="Times New Roman"/>
        </w:rPr>
      </w:pPr>
      <w:r>
        <w:rPr>
          <w:rFonts w:eastAsia="Times New Roman"/>
          <w:color w:val="000000"/>
          <w:sz w:val="16"/>
          <w:szCs w:val="16"/>
        </w:rPr>
        <w:t xml:space="preserve">Indicate by check mark whether the registrant is a shell company (as defined in Rule 12b-2 of the Act). Yes   </w:t>
      </w:r>
      <w:r>
        <w:rPr>
          <w:rFonts w:ascii="Wingdings" w:eastAsia="Times New Roman" w:hAnsi="Wingdings"/>
          <w:color w:val="000000"/>
          <w:sz w:val="16"/>
          <w:szCs w:val="16"/>
        </w:rPr>
        <w:t>☐</w:t>
      </w:r>
      <w:r>
        <w:rPr>
          <w:rFonts w:eastAsia="Times New Roman"/>
          <w:color w:val="000000"/>
          <w:sz w:val="16"/>
          <w:szCs w:val="16"/>
        </w:rPr>
        <w:t xml:space="preserve">     No  </w:t>
      </w:r>
      <w:r>
        <w:rPr>
          <w:rFonts w:ascii="Wingdings" w:eastAsia="Times New Roman" w:hAnsi="Wingdings"/>
          <w:color w:val="000000"/>
          <w:sz w:val="16"/>
          <w:szCs w:val="16"/>
        </w:rPr>
        <w:t>ý</w:t>
      </w:r>
    </w:p>
    <w:p w14:paraId="20D7560B" w14:textId="77777777" w:rsidR="00000000" w:rsidRDefault="000C49AD">
      <w:pPr>
        <w:jc w:val="both"/>
        <w:rPr>
          <w:rFonts w:eastAsia="Times New Roman"/>
        </w:rPr>
      </w:pPr>
      <w:r>
        <w:rPr>
          <w:rFonts w:eastAsia="Times New Roman"/>
          <w:color w:val="000000"/>
          <w:sz w:val="16"/>
          <w:szCs w:val="16"/>
        </w:rPr>
        <w:t> </w:t>
      </w:r>
    </w:p>
    <w:p w14:paraId="000C9B39" w14:textId="77777777" w:rsidR="00000000" w:rsidRDefault="000C49AD">
      <w:pPr>
        <w:jc w:val="both"/>
        <w:rPr>
          <w:rFonts w:eastAsia="Times New Roman"/>
        </w:rPr>
      </w:pPr>
      <w:r>
        <w:rPr>
          <w:rFonts w:eastAsia="Times New Roman"/>
          <w:color w:val="000000"/>
          <w:sz w:val="16"/>
          <w:szCs w:val="16"/>
        </w:rPr>
        <w:t xml:space="preserve">The aggregate market value of voting stock held by non-affiliates of the registrant as of the last business day of the registrant’s most recently completed second fiscal quarter was $390,167,685 based on the closing sale price of the registrant’s American </w:t>
      </w:r>
      <w:r>
        <w:rPr>
          <w:rFonts w:eastAsia="Times New Roman"/>
          <w:color w:val="000000"/>
          <w:sz w:val="16"/>
          <w:szCs w:val="16"/>
        </w:rPr>
        <w:t>Depositary Shares as reported by the Nasdaq Global Market on June 30, 2021. Such market value excludes 513,155 ordinary shares, $0.01 per share nominal value, which may be represented by the registrant’s American Depositary Shares, held by each officer and</w:t>
      </w:r>
      <w:r>
        <w:rPr>
          <w:rFonts w:eastAsia="Times New Roman"/>
          <w:color w:val="000000"/>
          <w:sz w:val="16"/>
          <w:szCs w:val="16"/>
        </w:rPr>
        <w:t xml:space="preserve"> director and by shareholders that the registrant concluded were affiliates of the registrant on that date. Exclusion of such shares should not be construed to indicate that any such person possesses the power, direct or indirect, to direct or cause the di</w:t>
      </w:r>
      <w:r>
        <w:rPr>
          <w:rFonts w:eastAsia="Times New Roman"/>
          <w:color w:val="000000"/>
          <w:sz w:val="16"/>
          <w:szCs w:val="16"/>
        </w:rPr>
        <w:t>rection of the management or policies of the registrant or that such person is controlled by or under common control with the registrant.</w:t>
      </w:r>
    </w:p>
    <w:p w14:paraId="7EAB8829" w14:textId="77777777" w:rsidR="00000000" w:rsidRDefault="000C49AD">
      <w:pPr>
        <w:divId w:val="865093973"/>
        <w:rPr>
          <w:rFonts w:eastAsia="Times New Roman"/>
        </w:rPr>
      </w:pPr>
    </w:p>
    <w:p w14:paraId="15937E6A" w14:textId="77777777" w:rsidR="00000000" w:rsidRDefault="000C49AD">
      <w:pPr>
        <w:jc w:val="center"/>
        <w:divId w:val="1740709190"/>
        <w:rPr>
          <w:rFonts w:eastAsia="Times New Roman"/>
        </w:rPr>
      </w:pPr>
    </w:p>
    <w:p w14:paraId="566570D0" w14:textId="77777777" w:rsidR="00000000" w:rsidRDefault="000C49AD">
      <w:pPr>
        <w:rPr>
          <w:rFonts w:eastAsia="Times New Roman"/>
        </w:rPr>
      </w:pPr>
      <w:r>
        <w:rPr>
          <w:rFonts w:eastAsia="Times New Roman"/>
        </w:rPr>
        <w:pict w14:anchorId="76BADB86">
          <v:rect id="_x0000_i1025" style="width:0;height:1.5pt" o:hralign="center" o:hrstd="t" o:hr="t" fillcolor="#a0a0a0" stroked="f"/>
        </w:pict>
      </w:r>
    </w:p>
    <w:p w14:paraId="0CA5C045" w14:textId="77777777" w:rsidR="00000000" w:rsidRDefault="000C49AD">
      <w:pPr>
        <w:divId w:val="281111059"/>
        <w:rPr>
          <w:rFonts w:eastAsia="Times New Roman"/>
        </w:rPr>
      </w:pPr>
    </w:p>
    <w:p w14:paraId="4DCDCF56" w14:textId="77777777" w:rsidR="00000000" w:rsidRDefault="000C49AD">
      <w:pPr>
        <w:jc w:val="both"/>
        <w:rPr>
          <w:rFonts w:eastAsia="Times New Roman"/>
        </w:rPr>
      </w:pPr>
      <w:r>
        <w:rPr>
          <w:rFonts w:eastAsia="Times New Roman"/>
          <w:color w:val="000000"/>
          <w:sz w:val="16"/>
          <w:szCs w:val="16"/>
        </w:rPr>
        <w:t>The number of the registrant’s ordinary shares, $0.01 per share nominal valu</w:t>
      </w:r>
      <w:r>
        <w:rPr>
          <w:rFonts w:eastAsia="Times New Roman"/>
          <w:color w:val="000000"/>
          <w:sz w:val="16"/>
          <w:szCs w:val="16"/>
        </w:rPr>
        <w:t>e, outstanding as of March 11, 2022 was 59,032,237.</w:t>
      </w:r>
    </w:p>
    <w:p w14:paraId="6B97FFE4" w14:textId="77777777" w:rsidR="00000000" w:rsidRDefault="000C49AD">
      <w:pPr>
        <w:jc w:val="both"/>
        <w:rPr>
          <w:rFonts w:eastAsia="Times New Roman"/>
        </w:rPr>
      </w:pPr>
    </w:p>
    <w:p w14:paraId="4140AC03" w14:textId="77777777" w:rsidR="00000000" w:rsidRDefault="000C49AD">
      <w:pPr>
        <w:jc w:val="both"/>
        <w:divId w:val="874730838"/>
        <w:rPr>
          <w:rFonts w:eastAsia="Times New Roman"/>
        </w:rPr>
      </w:pPr>
      <w:r>
        <w:rPr>
          <w:rFonts w:eastAsia="Times New Roman"/>
          <w:b/>
          <w:bCs/>
          <w:color w:val="000000"/>
          <w:sz w:val="16"/>
          <w:szCs w:val="16"/>
        </w:rPr>
        <w:t>DOCUMENTS INCORPORATED BY REFERENCE</w:t>
      </w:r>
    </w:p>
    <w:p w14:paraId="6913D55D" w14:textId="77777777" w:rsidR="00000000" w:rsidRDefault="000C49AD">
      <w:pPr>
        <w:jc w:val="both"/>
        <w:rPr>
          <w:rFonts w:eastAsia="Times New Roman"/>
        </w:rPr>
      </w:pPr>
      <w:r>
        <w:rPr>
          <w:rFonts w:eastAsia="Times New Roman"/>
          <w:color w:val="000000"/>
          <w:sz w:val="16"/>
          <w:szCs w:val="16"/>
        </w:rPr>
        <w:t>Portions of either (a) a definitive proxy statement involving the election of directors or (b) an amendment to this Form 10-K, either of which will be filed within 12</w:t>
      </w:r>
      <w:r>
        <w:rPr>
          <w:rFonts w:eastAsia="Times New Roman"/>
          <w:color w:val="000000"/>
          <w:sz w:val="16"/>
          <w:szCs w:val="16"/>
        </w:rPr>
        <w:t>0 days after December 31, 2021, are incorporated by reference into Part III of this Form 10-K.</w:t>
      </w:r>
    </w:p>
    <w:p w14:paraId="38ED4EAA" w14:textId="77777777" w:rsidR="00000000" w:rsidRDefault="000C49AD">
      <w:pPr>
        <w:jc w:val="center"/>
        <w:divId w:val="1802184164"/>
        <w:rPr>
          <w:rFonts w:eastAsia="Times New Roman"/>
        </w:rPr>
      </w:pPr>
    </w:p>
    <w:p w14:paraId="02EFAF98" w14:textId="77777777" w:rsidR="00000000" w:rsidRDefault="000C49AD">
      <w:pPr>
        <w:rPr>
          <w:rFonts w:eastAsia="Times New Roman"/>
        </w:rPr>
      </w:pPr>
      <w:r>
        <w:rPr>
          <w:rFonts w:eastAsia="Times New Roman"/>
        </w:rPr>
        <w:pict w14:anchorId="7984A048">
          <v:rect id="_x0000_i1026" style="width:0;height:1.5pt" o:hralign="center" o:hrstd="t" o:hr="t" fillcolor="#a0a0a0" stroked="f"/>
        </w:pict>
      </w:r>
    </w:p>
    <w:p w14:paraId="403019E8" w14:textId="77777777" w:rsidR="00000000" w:rsidRDefault="000C49AD">
      <w:pPr>
        <w:divId w:val="1431513826"/>
        <w:rPr>
          <w:rFonts w:eastAsia="Times New Roman"/>
        </w:rPr>
      </w:pPr>
    </w:p>
    <w:p w14:paraId="105EC243" w14:textId="77777777" w:rsidR="00000000" w:rsidRDefault="000C49AD">
      <w:pPr>
        <w:jc w:val="center"/>
        <w:rPr>
          <w:rFonts w:eastAsia="Times New Roman"/>
        </w:rPr>
      </w:pPr>
    </w:p>
    <w:p w14:paraId="1E4F3AD1" w14:textId="77777777" w:rsidR="00000000" w:rsidRDefault="000C49AD">
      <w:pPr>
        <w:jc w:val="center"/>
        <w:rPr>
          <w:rFonts w:eastAsia="Times New Roman"/>
        </w:rPr>
      </w:pPr>
      <w:r>
        <w:rPr>
          <w:rFonts w:eastAsia="Times New Roman"/>
          <w:b/>
          <w:bCs/>
          <w:color w:val="000000"/>
          <w:sz w:val="20"/>
          <w:szCs w:val="20"/>
        </w:rPr>
        <w:t>TABLE OF CONTENTS</w:t>
      </w:r>
    </w:p>
    <w:p w14:paraId="6090196C" w14:textId="77777777" w:rsidR="00000000" w:rsidRDefault="000C49AD">
      <w:pPr>
        <w:jc w:val="center"/>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974"/>
        <w:gridCol w:w="38"/>
        <w:gridCol w:w="68"/>
        <w:gridCol w:w="6173"/>
        <w:gridCol w:w="38"/>
        <w:gridCol w:w="69"/>
        <w:gridCol w:w="829"/>
        <w:gridCol w:w="36"/>
      </w:tblGrid>
      <w:tr w:rsidR="00000000" w14:paraId="66860C3F" w14:textId="77777777">
        <w:trPr>
          <w:jc w:val="center"/>
        </w:trPr>
        <w:tc>
          <w:tcPr>
            <w:tcW w:w="50" w:type="pct"/>
            <w:vAlign w:val="center"/>
            <w:hideMark/>
          </w:tcPr>
          <w:p w14:paraId="132C389A" w14:textId="77777777" w:rsidR="00000000" w:rsidRDefault="000C49AD">
            <w:pPr>
              <w:jc w:val="center"/>
              <w:rPr>
                <w:rFonts w:eastAsia="Times New Roman"/>
              </w:rPr>
            </w:pPr>
          </w:p>
        </w:tc>
        <w:tc>
          <w:tcPr>
            <w:tcW w:w="596" w:type="pct"/>
            <w:vAlign w:val="center"/>
            <w:hideMark/>
          </w:tcPr>
          <w:p w14:paraId="228422CC" w14:textId="77777777" w:rsidR="00000000" w:rsidRDefault="000C49AD">
            <w:pPr>
              <w:spacing w:after="100"/>
              <w:rPr>
                <w:rFonts w:eastAsia="Times New Roman"/>
                <w:sz w:val="20"/>
                <w:szCs w:val="20"/>
              </w:rPr>
            </w:pPr>
          </w:p>
        </w:tc>
        <w:tc>
          <w:tcPr>
            <w:tcW w:w="5" w:type="pct"/>
            <w:vAlign w:val="center"/>
            <w:hideMark/>
          </w:tcPr>
          <w:p w14:paraId="42379E16" w14:textId="77777777" w:rsidR="00000000" w:rsidRDefault="000C49AD">
            <w:pPr>
              <w:spacing w:after="100"/>
              <w:rPr>
                <w:rFonts w:eastAsia="Times New Roman"/>
                <w:sz w:val="20"/>
                <w:szCs w:val="20"/>
              </w:rPr>
            </w:pPr>
          </w:p>
        </w:tc>
        <w:tc>
          <w:tcPr>
            <w:tcW w:w="50" w:type="pct"/>
            <w:vAlign w:val="center"/>
            <w:hideMark/>
          </w:tcPr>
          <w:p w14:paraId="6AB891C0" w14:textId="77777777" w:rsidR="00000000" w:rsidRDefault="000C49AD">
            <w:pPr>
              <w:spacing w:after="100"/>
              <w:rPr>
                <w:rFonts w:eastAsia="Times New Roman"/>
                <w:sz w:val="20"/>
                <w:szCs w:val="20"/>
              </w:rPr>
            </w:pPr>
          </w:p>
        </w:tc>
        <w:tc>
          <w:tcPr>
            <w:tcW w:w="3729" w:type="pct"/>
            <w:vAlign w:val="center"/>
            <w:hideMark/>
          </w:tcPr>
          <w:p w14:paraId="45BC51D5" w14:textId="77777777" w:rsidR="00000000" w:rsidRDefault="000C49AD">
            <w:pPr>
              <w:spacing w:after="100"/>
              <w:rPr>
                <w:rFonts w:eastAsia="Times New Roman"/>
                <w:sz w:val="20"/>
                <w:szCs w:val="20"/>
              </w:rPr>
            </w:pPr>
          </w:p>
        </w:tc>
        <w:tc>
          <w:tcPr>
            <w:tcW w:w="5" w:type="pct"/>
            <w:vAlign w:val="center"/>
            <w:hideMark/>
          </w:tcPr>
          <w:p w14:paraId="649C4579" w14:textId="77777777" w:rsidR="00000000" w:rsidRDefault="000C49AD">
            <w:pPr>
              <w:spacing w:after="100"/>
              <w:rPr>
                <w:rFonts w:eastAsia="Times New Roman"/>
                <w:sz w:val="20"/>
                <w:szCs w:val="20"/>
              </w:rPr>
            </w:pPr>
          </w:p>
        </w:tc>
        <w:tc>
          <w:tcPr>
            <w:tcW w:w="50" w:type="pct"/>
            <w:vAlign w:val="center"/>
            <w:hideMark/>
          </w:tcPr>
          <w:p w14:paraId="5A221EC7" w14:textId="77777777" w:rsidR="00000000" w:rsidRDefault="000C49AD">
            <w:pPr>
              <w:spacing w:after="100"/>
              <w:rPr>
                <w:rFonts w:eastAsia="Times New Roman"/>
                <w:sz w:val="20"/>
                <w:szCs w:val="20"/>
              </w:rPr>
            </w:pPr>
          </w:p>
        </w:tc>
        <w:tc>
          <w:tcPr>
            <w:tcW w:w="508" w:type="pct"/>
            <w:vAlign w:val="center"/>
            <w:hideMark/>
          </w:tcPr>
          <w:p w14:paraId="6A03A0BE" w14:textId="77777777" w:rsidR="00000000" w:rsidRDefault="000C49AD">
            <w:pPr>
              <w:spacing w:after="100"/>
              <w:rPr>
                <w:rFonts w:eastAsia="Times New Roman"/>
                <w:sz w:val="20"/>
                <w:szCs w:val="20"/>
              </w:rPr>
            </w:pPr>
          </w:p>
        </w:tc>
        <w:tc>
          <w:tcPr>
            <w:tcW w:w="5" w:type="pct"/>
            <w:vAlign w:val="center"/>
            <w:hideMark/>
          </w:tcPr>
          <w:p w14:paraId="283A7ACE" w14:textId="77777777" w:rsidR="00000000" w:rsidRDefault="000C49AD">
            <w:pPr>
              <w:spacing w:after="100"/>
              <w:rPr>
                <w:rFonts w:eastAsia="Times New Roman"/>
                <w:sz w:val="20"/>
                <w:szCs w:val="20"/>
              </w:rPr>
            </w:pPr>
          </w:p>
        </w:tc>
      </w:tr>
      <w:tr w:rsidR="00000000" w14:paraId="3CFC2D3D" w14:textId="77777777">
        <w:trPr>
          <w:jc w:val="center"/>
        </w:trPr>
        <w:tc>
          <w:tcPr>
            <w:tcW w:w="0" w:type="auto"/>
            <w:gridSpan w:val="6"/>
            <w:tcMar>
              <w:top w:w="30" w:type="dxa"/>
              <w:left w:w="20" w:type="dxa"/>
              <w:bottom w:w="30" w:type="dxa"/>
              <w:right w:w="20" w:type="dxa"/>
            </w:tcMar>
            <w:vAlign w:val="bottom"/>
            <w:hideMark/>
          </w:tcPr>
          <w:p w14:paraId="3F90BDCE"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ECE5769" w14:textId="77777777" w:rsidR="00000000" w:rsidRDefault="000C49AD">
            <w:pPr>
              <w:spacing w:after="100"/>
              <w:jc w:val="center"/>
              <w:rPr>
                <w:rFonts w:eastAsia="Times New Roman"/>
              </w:rPr>
            </w:pPr>
            <w:r>
              <w:rPr>
                <w:rFonts w:eastAsia="Times New Roman"/>
                <w:b/>
                <w:bCs/>
                <w:color w:val="000000"/>
                <w:sz w:val="20"/>
                <w:szCs w:val="20"/>
              </w:rPr>
              <w:t>Page #</w:t>
            </w:r>
          </w:p>
        </w:tc>
      </w:tr>
      <w:tr w:rsidR="00000000" w14:paraId="182B6663" w14:textId="77777777">
        <w:trPr>
          <w:jc w:val="center"/>
        </w:trPr>
        <w:tc>
          <w:tcPr>
            <w:tcW w:w="0" w:type="auto"/>
            <w:gridSpan w:val="6"/>
            <w:tcMar>
              <w:top w:w="30" w:type="dxa"/>
              <w:left w:w="20" w:type="dxa"/>
              <w:bottom w:w="30" w:type="dxa"/>
              <w:right w:w="20" w:type="dxa"/>
            </w:tcMar>
            <w:vAlign w:val="bottom"/>
            <w:hideMark/>
          </w:tcPr>
          <w:p w14:paraId="31604BB0"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6446033" w14:textId="77777777" w:rsidR="00000000" w:rsidRDefault="000C49AD">
            <w:pPr>
              <w:spacing w:after="100"/>
              <w:jc w:val="center"/>
              <w:rPr>
                <w:rFonts w:eastAsia="Times New Roman"/>
              </w:rPr>
            </w:pPr>
            <w:r>
              <w:rPr>
                <w:rFonts w:eastAsia="Times New Roman"/>
                <w:color w:val="000000"/>
                <w:sz w:val="20"/>
                <w:szCs w:val="20"/>
              </w:rPr>
              <w:t> </w:t>
            </w:r>
          </w:p>
        </w:tc>
      </w:tr>
      <w:tr w:rsidR="00000000" w14:paraId="411F0922" w14:textId="77777777">
        <w:trPr>
          <w:jc w:val="center"/>
        </w:trPr>
        <w:tc>
          <w:tcPr>
            <w:tcW w:w="0" w:type="auto"/>
            <w:gridSpan w:val="6"/>
            <w:shd w:val="clear" w:color="auto" w:fill="CCEEFF"/>
            <w:tcMar>
              <w:top w:w="30" w:type="dxa"/>
              <w:left w:w="20" w:type="dxa"/>
              <w:bottom w:w="30" w:type="dxa"/>
              <w:right w:w="20" w:type="dxa"/>
            </w:tcMar>
            <w:vAlign w:val="bottom"/>
            <w:hideMark/>
          </w:tcPr>
          <w:p w14:paraId="54039FFB" w14:textId="77777777" w:rsidR="00000000" w:rsidRDefault="000C49AD">
            <w:pPr>
              <w:spacing w:after="100"/>
              <w:divId w:val="634916083"/>
              <w:rPr>
                <w:rFonts w:eastAsia="Times New Roman"/>
              </w:rPr>
            </w:pPr>
            <w:hyperlink w:anchor="i56bb95bb4ed94f6abb9be4d186e21dfb_10" w:history="1">
              <w:r>
                <w:rPr>
                  <w:rStyle w:val="a3"/>
                  <w:rFonts w:eastAsia="Times New Roman"/>
                  <w:sz w:val="20"/>
                  <w:szCs w:val="20"/>
                </w:rPr>
                <w:t>Summary Of The Material Risks Associated With Our Business</w:t>
              </w:r>
            </w:hyperlink>
          </w:p>
        </w:tc>
        <w:tc>
          <w:tcPr>
            <w:tcW w:w="0" w:type="auto"/>
            <w:gridSpan w:val="3"/>
            <w:shd w:val="clear" w:color="auto" w:fill="CCEEFF"/>
            <w:tcMar>
              <w:top w:w="30" w:type="dxa"/>
              <w:left w:w="20" w:type="dxa"/>
              <w:bottom w:w="30" w:type="dxa"/>
              <w:right w:w="20" w:type="dxa"/>
            </w:tcMar>
            <w:vAlign w:val="bottom"/>
            <w:hideMark/>
          </w:tcPr>
          <w:p w14:paraId="2A1D4CFB" w14:textId="77777777" w:rsidR="00000000" w:rsidRDefault="000C49AD">
            <w:pPr>
              <w:spacing w:after="100"/>
              <w:jc w:val="center"/>
              <w:rPr>
                <w:rFonts w:eastAsia="Times New Roman"/>
              </w:rPr>
            </w:pPr>
            <w:hyperlink w:anchor="i56bb95bb4ed94f6abb9be4d186e21dfb_10" w:history="1">
              <w:r>
                <w:rPr>
                  <w:rStyle w:val="a3"/>
                  <w:rFonts w:eastAsia="Times New Roman"/>
                  <w:sz w:val="20"/>
                  <w:szCs w:val="20"/>
                </w:rPr>
                <w:t>4</w:t>
              </w:r>
            </w:hyperlink>
          </w:p>
        </w:tc>
      </w:tr>
      <w:tr w:rsidR="00000000" w14:paraId="253DEFF4" w14:textId="77777777">
        <w:trPr>
          <w:jc w:val="center"/>
        </w:trPr>
        <w:tc>
          <w:tcPr>
            <w:tcW w:w="0" w:type="auto"/>
            <w:gridSpan w:val="6"/>
            <w:shd w:val="clear" w:color="auto" w:fill="FFFFFF"/>
            <w:tcMar>
              <w:top w:w="30" w:type="dxa"/>
              <w:left w:w="20" w:type="dxa"/>
              <w:bottom w:w="30" w:type="dxa"/>
              <w:right w:w="20" w:type="dxa"/>
            </w:tcMar>
            <w:vAlign w:val="bottom"/>
            <w:hideMark/>
          </w:tcPr>
          <w:p w14:paraId="5EAE2FEC" w14:textId="77777777" w:rsidR="00000000" w:rsidRDefault="000C49AD">
            <w:pPr>
              <w:spacing w:after="100"/>
              <w:divId w:val="1336569238"/>
              <w:rPr>
                <w:rFonts w:eastAsia="Times New Roman"/>
              </w:rPr>
            </w:pPr>
            <w:hyperlink w:anchor="i56bb95bb4ed94f6abb9be4d186e21dfb_13" w:history="1">
              <w:r>
                <w:rPr>
                  <w:rStyle w:val="a3"/>
                  <w:rFonts w:eastAsia="Times New Roman"/>
                  <w:sz w:val="20"/>
                  <w:szCs w:val="20"/>
                </w:rPr>
                <w:t>Cautionary</w:t>
              </w:r>
              <w:r>
                <w:rPr>
                  <w:rStyle w:val="a3"/>
                  <w:rFonts w:eastAsia="Times New Roman"/>
                  <w:sz w:val="20"/>
                  <w:szCs w:val="20"/>
                </w:rPr>
                <w:t xml:space="preserve"> Disclosure Regarding Forward-Looking Statements</w:t>
              </w:r>
            </w:hyperlink>
          </w:p>
        </w:tc>
        <w:tc>
          <w:tcPr>
            <w:tcW w:w="0" w:type="auto"/>
            <w:gridSpan w:val="3"/>
            <w:shd w:val="clear" w:color="auto" w:fill="FFFFFF"/>
            <w:tcMar>
              <w:top w:w="30" w:type="dxa"/>
              <w:left w:w="20" w:type="dxa"/>
              <w:bottom w:w="30" w:type="dxa"/>
              <w:right w:w="20" w:type="dxa"/>
            </w:tcMar>
            <w:vAlign w:val="bottom"/>
            <w:hideMark/>
          </w:tcPr>
          <w:p w14:paraId="5B715104" w14:textId="77777777" w:rsidR="00000000" w:rsidRDefault="000C49AD">
            <w:pPr>
              <w:spacing w:after="100"/>
              <w:jc w:val="center"/>
              <w:rPr>
                <w:rFonts w:eastAsia="Times New Roman"/>
              </w:rPr>
            </w:pPr>
            <w:hyperlink w:anchor="i56bb95bb4ed94f6abb9be4d186e21dfb_13" w:history="1">
              <w:r>
                <w:rPr>
                  <w:rStyle w:val="a3"/>
                  <w:rFonts w:eastAsia="Times New Roman"/>
                  <w:sz w:val="20"/>
                  <w:szCs w:val="20"/>
                </w:rPr>
                <w:t>5</w:t>
              </w:r>
            </w:hyperlink>
          </w:p>
        </w:tc>
      </w:tr>
      <w:tr w:rsidR="00000000" w14:paraId="7ABBAF71" w14:textId="77777777">
        <w:trPr>
          <w:jc w:val="center"/>
        </w:trPr>
        <w:tc>
          <w:tcPr>
            <w:tcW w:w="0" w:type="auto"/>
            <w:gridSpan w:val="6"/>
            <w:shd w:val="clear" w:color="auto" w:fill="CCEEFF"/>
            <w:tcMar>
              <w:top w:w="30" w:type="dxa"/>
              <w:left w:w="20" w:type="dxa"/>
              <w:bottom w:w="30" w:type="dxa"/>
              <w:right w:w="20" w:type="dxa"/>
            </w:tcMar>
            <w:vAlign w:val="bottom"/>
            <w:hideMark/>
          </w:tcPr>
          <w:p w14:paraId="542B33E3"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187279E9" w14:textId="77777777" w:rsidR="00000000" w:rsidRDefault="000C49AD">
            <w:pPr>
              <w:spacing w:after="100"/>
              <w:jc w:val="center"/>
              <w:rPr>
                <w:rFonts w:eastAsia="Times New Roman"/>
              </w:rPr>
            </w:pPr>
            <w:r>
              <w:rPr>
                <w:rFonts w:eastAsia="Times New Roman"/>
                <w:color w:val="000000"/>
                <w:sz w:val="20"/>
                <w:szCs w:val="20"/>
              </w:rPr>
              <w:t> </w:t>
            </w:r>
          </w:p>
        </w:tc>
      </w:tr>
      <w:tr w:rsidR="00000000" w14:paraId="5C02BFDA" w14:textId="77777777">
        <w:trPr>
          <w:jc w:val="center"/>
        </w:trPr>
        <w:tc>
          <w:tcPr>
            <w:tcW w:w="0" w:type="auto"/>
            <w:gridSpan w:val="6"/>
            <w:shd w:val="clear" w:color="auto" w:fill="FFFFFF"/>
            <w:tcMar>
              <w:top w:w="30" w:type="dxa"/>
              <w:left w:w="20" w:type="dxa"/>
              <w:bottom w:w="30" w:type="dxa"/>
              <w:right w:w="20" w:type="dxa"/>
            </w:tcMar>
            <w:vAlign w:val="bottom"/>
            <w:hideMark/>
          </w:tcPr>
          <w:p w14:paraId="0D466D0D" w14:textId="77777777" w:rsidR="00000000" w:rsidRDefault="000C49AD">
            <w:pPr>
              <w:spacing w:after="100"/>
              <w:divId w:val="773788743"/>
              <w:rPr>
                <w:rFonts w:eastAsia="Times New Roman"/>
              </w:rPr>
            </w:pPr>
            <w:hyperlink w:anchor="i56bb95bb4ed94f6abb9be4d186e21dfb_16" w:history="1">
              <w:r>
                <w:rPr>
                  <w:rStyle w:val="a3"/>
                  <w:rFonts w:eastAsia="Times New Roman"/>
                  <w:b/>
                  <w:bCs/>
                  <w:sz w:val="20"/>
                  <w:szCs w:val="20"/>
                </w:rPr>
                <w:t>PART I</w:t>
              </w:r>
            </w:hyperlink>
          </w:p>
        </w:tc>
        <w:tc>
          <w:tcPr>
            <w:tcW w:w="0" w:type="auto"/>
            <w:gridSpan w:val="3"/>
            <w:shd w:val="clear" w:color="auto" w:fill="FFFFFF"/>
            <w:tcMar>
              <w:top w:w="30" w:type="dxa"/>
              <w:left w:w="20" w:type="dxa"/>
              <w:bottom w:w="30" w:type="dxa"/>
              <w:right w:w="20" w:type="dxa"/>
            </w:tcMar>
            <w:vAlign w:val="bottom"/>
            <w:hideMark/>
          </w:tcPr>
          <w:p w14:paraId="61D24DE2" w14:textId="77777777" w:rsidR="00000000" w:rsidRDefault="000C49AD">
            <w:pPr>
              <w:spacing w:after="100"/>
              <w:jc w:val="center"/>
              <w:rPr>
                <w:rFonts w:eastAsia="Times New Roman"/>
              </w:rPr>
            </w:pPr>
            <w:r>
              <w:rPr>
                <w:rFonts w:eastAsia="Times New Roman"/>
                <w:color w:val="000000"/>
                <w:sz w:val="20"/>
                <w:szCs w:val="20"/>
              </w:rPr>
              <w:t> </w:t>
            </w:r>
          </w:p>
        </w:tc>
      </w:tr>
      <w:tr w:rsidR="00000000" w14:paraId="295F24E3" w14:textId="77777777">
        <w:trPr>
          <w:jc w:val="center"/>
        </w:trPr>
        <w:tc>
          <w:tcPr>
            <w:tcW w:w="0" w:type="auto"/>
            <w:gridSpan w:val="3"/>
            <w:shd w:val="clear" w:color="auto" w:fill="CCEEFF"/>
            <w:tcMar>
              <w:top w:w="30" w:type="dxa"/>
              <w:left w:w="20" w:type="dxa"/>
              <w:bottom w:w="30" w:type="dxa"/>
              <w:right w:w="20" w:type="dxa"/>
            </w:tcMar>
            <w:vAlign w:val="bottom"/>
            <w:hideMark/>
          </w:tcPr>
          <w:p w14:paraId="7086E57C" w14:textId="77777777" w:rsidR="00000000" w:rsidRDefault="000C49AD">
            <w:pPr>
              <w:spacing w:after="100"/>
              <w:rPr>
                <w:rFonts w:eastAsia="Times New Roman"/>
              </w:rPr>
            </w:pPr>
            <w:r>
              <w:rPr>
                <w:rFonts w:eastAsia="Times New Roman"/>
                <w:color w:val="000000"/>
                <w:sz w:val="20"/>
                <w:szCs w:val="20"/>
              </w:rPr>
              <w:t>Item 1.</w:t>
            </w:r>
          </w:p>
        </w:tc>
        <w:tc>
          <w:tcPr>
            <w:tcW w:w="0" w:type="auto"/>
            <w:gridSpan w:val="3"/>
            <w:shd w:val="clear" w:color="auto" w:fill="CCEEFF"/>
            <w:tcMar>
              <w:top w:w="30" w:type="dxa"/>
              <w:left w:w="20" w:type="dxa"/>
              <w:bottom w:w="30" w:type="dxa"/>
              <w:right w:w="20" w:type="dxa"/>
            </w:tcMar>
            <w:vAlign w:val="bottom"/>
            <w:hideMark/>
          </w:tcPr>
          <w:p w14:paraId="021EB758" w14:textId="77777777" w:rsidR="00000000" w:rsidRDefault="000C49AD">
            <w:pPr>
              <w:spacing w:after="100"/>
              <w:divId w:val="1903786821"/>
              <w:rPr>
                <w:rFonts w:eastAsia="Times New Roman"/>
              </w:rPr>
            </w:pPr>
            <w:hyperlink w:anchor="i56bb95bb4ed94f6abb9be4d186e21dfb_19" w:history="1">
              <w:r>
                <w:rPr>
                  <w:rStyle w:val="a3"/>
                  <w:rFonts w:eastAsia="Times New Roman"/>
                  <w:sz w:val="20"/>
                  <w:szCs w:val="20"/>
                </w:rPr>
                <w:t>Business</w:t>
              </w:r>
            </w:hyperlink>
          </w:p>
        </w:tc>
        <w:tc>
          <w:tcPr>
            <w:tcW w:w="0" w:type="auto"/>
            <w:gridSpan w:val="3"/>
            <w:shd w:val="clear" w:color="auto" w:fill="CCEEFF"/>
            <w:tcMar>
              <w:top w:w="30" w:type="dxa"/>
              <w:left w:w="20" w:type="dxa"/>
              <w:bottom w:w="30" w:type="dxa"/>
              <w:right w:w="20" w:type="dxa"/>
            </w:tcMar>
            <w:vAlign w:val="bottom"/>
            <w:hideMark/>
          </w:tcPr>
          <w:p w14:paraId="6F6C50A8" w14:textId="77777777" w:rsidR="00000000" w:rsidRDefault="000C49AD">
            <w:pPr>
              <w:spacing w:after="100"/>
              <w:jc w:val="center"/>
              <w:rPr>
                <w:rFonts w:eastAsia="Times New Roman"/>
              </w:rPr>
            </w:pPr>
            <w:hyperlink w:anchor="i56bb95bb4ed94f6abb9be4d186e21dfb_19" w:history="1">
              <w:r>
                <w:rPr>
                  <w:rStyle w:val="a3"/>
                  <w:rFonts w:eastAsia="Times New Roman"/>
                  <w:sz w:val="20"/>
                  <w:szCs w:val="20"/>
                </w:rPr>
                <w:t>7</w:t>
              </w:r>
            </w:hyperlink>
          </w:p>
        </w:tc>
      </w:tr>
      <w:tr w:rsidR="00000000" w14:paraId="2BD78437" w14:textId="77777777">
        <w:trPr>
          <w:jc w:val="center"/>
        </w:trPr>
        <w:tc>
          <w:tcPr>
            <w:tcW w:w="0" w:type="auto"/>
            <w:gridSpan w:val="3"/>
            <w:shd w:val="clear" w:color="auto" w:fill="FFFFFF"/>
            <w:tcMar>
              <w:top w:w="30" w:type="dxa"/>
              <w:left w:w="20" w:type="dxa"/>
              <w:bottom w:w="30" w:type="dxa"/>
              <w:right w:w="20" w:type="dxa"/>
            </w:tcMar>
            <w:vAlign w:val="bottom"/>
            <w:hideMark/>
          </w:tcPr>
          <w:p w14:paraId="4216D994" w14:textId="77777777" w:rsidR="00000000" w:rsidRDefault="000C49AD">
            <w:pPr>
              <w:spacing w:after="100"/>
              <w:rPr>
                <w:rFonts w:eastAsia="Times New Roman"/>
              </w:rPr>
            </w:pPr>
            <w:r>
              <w:rPr>
                <w:rFonts w:eastAsia="Times New Roman"/>
                <w:color w:val="000000"/>
                <w:sz w:val="20"/>
                <w:szCs w:val="20"/>
              </w:rPr>
              <w:t>Item 1A.</w:t>
            </w:r>
          </w:p>
        </w:tc>
        <w:tc>
          <w:tcPr>
            <w:tcW w:w="0" w:type="auto"/>
            <w:gridSpan w:val="3"/>
            <w:shd w:val="clear" w:color="auto" w:fill="FFFFFF"/>
            <w:tcMar>
              <w:top w:w="30" w:type="dxa"/>
              <w:left w:w="20" w:type="dxa"/>
              <w:bottom w:w="30" w:type="dxa"/>
              <w:right w:w="20" w:type="dxa"/>
            </w:tcMar>
            <w:vAlign w:val="bottom"/>
            <w:hideMark/>
          </w:tcPr>
          <w:p w14:paraId="01A5D6B0" w14:textId="77777777" w:rsidR="00000000" w:rsidRDefault="000C49AD">
            <w:pPr>
              <w:spacing w:after="100"/>
              <w:divId w:val="891964197"/>
              <w:rPr>
                <w:rFonts w:eastAsia="Times New Roman"/>
              </w:rPr>
            </w:pPr>
            <w:hyperlink w:anchor="i56bb95bb4ed94f6abb9be4d186e21dfb_22" w:history="1">
              <w:r>
                <w:rPr>
                  <w:rStyle w:val="a3"/>
                  <w:rFonts w:eastAsia="Times New Roman"/>
                  <w:sz w:val="20"/>
                  <w:szCs w:val="20"/>
                </w:rPr>
                <w:t>Risk Factors</w:t>
              </w:r>
            </w:hyperlink>
          </w:p>
        </w:tc>
        <w:tc>
          <w:tcPr>
            <w:tcW w:w="0" w:type="auto"/>
            <w:gridSpan w:val="3"/>
            <w:shd w:val="clear" w:color="auto" w:fill="FFFFFF"/>
            <w:tcMar>
              <w:top w:w="30" w:type="dxa"/>
              <w:left w:w="20" w:type="dxa"/>
              <w:bottom w:w="30" w:type="dxa"/>
              <w:right w:w="20" w:type="dxa"/>
            </w:tcMar>
            <w:vAlign w:val="bottom"/>
            <w:hideMark/>
          </w:tcPr>
          <w:p w14:paraId="5229E232" w14:textId="77777777" w:rsidR="00000000" w:rsidRDefault="000C49AD">
            <w:pPr>
              <w:spacing w:after="100"/>
              <w:jc w:val="center"/>
              <w:rPr>
                <w:rFonts w:eastAsia="Times New Roman"/>
              </w:rPr>
            </w:pPr>
            <w:hyperlink w:anchor="i56bb95bb4ed94f6abb9be4d186e21dfb_22" w:history="1">
              <w:r>
                <w:rPr>
                  <w:rStyle w:val="a3"/>
                  <w:rFonts w:eastAsia="Times New Roman"/>
                  <w:sz w:val="20"/>
                  <w:szCs w:val="20"/>
                </w:rPr>
                <w:t>23</w:t>
              </w:r>
            </w:hyperlink>
          </w:p>
        </w:tc>
      </w:tr>
      <w:tr w:rsidR="00000000" w14:paraId="35FF2634" w14:textId="77777777">
        <w:trPr>
          <w:jc w:val="center"/>
        </w:trPr>
        <w:tc>
          <w:tcPr>
            <w:tcW w:w="0" w:type="auto"/>
            <w:gridSpan w:val="3"/>
            <w:shd w:val="clear" w:color="auto" w:fill="CCEEFF"/>
            <w:tcMar>
              <w:top w:w="30" w:type="dxa"/>
              <w:left w:w="20" w:type="dxa"/>
              <w:bottom w:w="30" w:type="dxa"/>
              <w:right w:w="20" w:type="dxa"/>
            </w:tcMar>
            <w:vAlign w:val="bottom"/>
            <w:hideMark/>
          </w:tcPr>
          <w:p w14:paraId="05F7EE14" w14:textId="77777777" w:rsidR="00000000" w:rsidRDefault="000C49AD">
            <w:pPr>
              <w:spacing w:after="100"/>
              <w:rPr>
                <w:rFonts w:eastAsia="Times New Roman"/>
              </w:rPr>
            </w:pPr>
            <w:r>
              <w:rPr>
                <w:rFonts w:eastAsia="Times New Roman"/>
                <w:color w:val="000000"/>
                <w:sz w:val="20"/>
                <w:szCs w:val="20"/>
              </w:rPr>
              <w:t>Item 1B.</w:t>
            </w:r>
          </w:p>
        </w:tc>
        <w:tc>
          <w:tcPr>
            <w:tcW w:w="0" w:type="auto"/>
            <w:gridSpan w:val="3"/>
            <w:shd w:val="clear" w:color="auto" w:fill="CCEEFF"/>
            <w:tcMar>
              <w:top w:w="30" w:type="dxa"/>
              <w:left w:w="20" w:type="dxa"/>
              <w:bottom w:w="30" w:type="dxa"/>
              <w:right w:w="20" w:type="dxa"/>
            </w:tcMar>
            <w:vAlign w:val="bottom"/>
            <w:hideMark/>
          </w:tcPr>
          <w:p w14:paraId="13751C4E" w14:textId="77777777" w:rsidR="00000000" w:rsidRDefault="000C49AD">
            <w:pPr>
              <w:spacing w:after="100"/>
              <w:divId w:val="1987736554"/>
              <w:rPr>
                <w:rFonts w:eastAsia="Times New Roman"/>
              </w:rPr>
            </w:pPr>
            <w:hyperlink w:anchor="i56bb95bb4ed94f6abb9be4d186e21dfb_25" w:history="1">
              <w:r>
                <w:rPr>
                  <w:rStyle w:val="a3"/>
                  <w:rFonts w:eastAsia="Times New Roman"/>
                  <w:sz w:val="20"/>
                  <w:szCs w:val="20"/>
                </w:rPr>
                <w:t>Unresolved Staff Comments</w:t>
              </w:r>
            </w:hyperlink>
          </w:p>
        </w:tc>
        <w:tc>
          <w:tcPr>
            <w:tcW w:w="0" w:type="auto"/>
            <w:gridSpan w:val="3"/>
            <w:shd w:val="clear" w:color="auto" w:fill="CCEEFF"/>
            <w:tcMar>
              <w:top w:w="30" w:type="dxa"/>
              <w:left w:w="20" w:type="dxa"/>
              <w:bottom w:w="30" w:type="dxa"/>
              <w:right w:w="20" w:type="dxa"/>
            </w:tcMar>
            <w:vAlign w:val="bottom"/>
            <w:hideMark/>
          </w:tcPr>
          <w:p w14:paraId="0ECBA82B" w14:textId="77777777" w:rsidR="00000000" w:rsidRDefault="000C49AD">
            <w:pPr>
              <w:spacing w:after="100"/>
              <w:jc w:val="center"/>
              <w:rPr>
                <w:rFonts w:eastAsia="Times New Roman"/>
              </w:rPr>
            </w:pPr>
            <w:hyperlink w:anchor="i56bb95bb4ed94f6abb9be4d186e21dfb_25" w:history="1">
              <w:r>
                <w:rPr>
                  <w:rStyle w:val="a3"/>
                  <w:rFonts w:eastAsia="Times New Roman"/>
                  <w:sz w:val="20"/>
                  <w:szCs w:val="20"/>
                </w:rPr>
                <w:t>59</w:t>
              </w:r>
            </w:hyperlink>
          </w:p>
        </w:tc>
      </w:tr>
      <w:tr w:rsidR="00000000" w14:paraId="069FC92A" w14:textId="77777777">
        <w:trPr>
          <w:jc w:val="center"/>
        </w:trPr>
        <w:tc>
          <w:tcPr>
            <w:tcW w:w="0" w:type="auto"/>
            <w:gridSpan w:val="3"/>
            <w:shd w:val="clear" w:color="auto" w:fill="FFFFFF"/>
            <w:tcMar>
              <w:top w:w="30" w:type="dxa"/>
              <w:left w:w="20" w:type="dxa"/>
              <w:bottom w:w="30" w:type="dxa"/>
              <w:right w:w="20" w:type="dxa"/>
            </w:tcMar>
            <w:vAlign w:val="bottom"/>
            <w:hideMark/>
          </w:tcPr>
          <w:p w14:paraId="186975A8" w14:textId="77777777" w:rsidR="00000000" w:rsidRDefault="000C49AD">
            <w:pPr>
              <w:spacing w:after="100"/>
              <w:rPr>
                <w:rFonts w:eastAsia="Times New Roman"/>
              </w:rPr>
            </w:pPr>
            <w:r>
              <w:rPr>
                <w:rFonts w:eastAsia="Times New Roman"/>
                <w:color w:val="000000"/>
                <w:sz w:val="20"/>
                <w:szCs w:val="20"/>
              </w:rPr>
              <w:t>Item 2.</w:t>
            </w:r>
          </w:p>
        </w:tc>
        <w:tc>
          <w:tcPr>
            <w:tcW w:w="0" w:type="auto"/>
            <w:gridSpan w:val="3"/>
            <w:shd w:val="clear" w:color="auto" w:fill="FFFFFF"/>
            <w:tcMar>
              <w:top w:w="30" w:type="dxa"/>
              <w:left w:w="20" w:type="dxa"/>
              <w:bottom w:w="30" w:type="dxa"/>
              <w:right w:w="20" w:type="dxa"/>
            </w:tcMar>
            <w:vAlign w:val="bottom"/>
            <w:hideMark/>
          </w:tcPr>
          <w:p w14:paraId="20D35C90" w14:textId="77777777" w:rsidR="00000000" w:rsidRDefault="000C49AD">
            <w:pPr>
              <w:spacing w:after="100"/>
              <w:divId w:val="1985813280"/>
              <w:rPr>
                <w:rFonts w:eastAsia="Times New Roman"/>
              </w:rPr>
            </w:pPr>
            <w:hyperlink w:anchor="i56bb95bb4ed94f6abb9be4d186e21dfb_28" w:history="1">
              <w:r>
                <w:rPr>
                  <w:rStyle w:val="a3"/>
                  <w:rFonts w:eastAsia="Times New Roman"/>
                  <w:sz w:val="20"/>
                  <w:szCs w:val="20"/>
                </w:rPr>
                <w:t>Properties</w:t>
              </w:r>
            </w:hyperlink>
          </w:p>
        </w:tc>
        <w:tc>
          <w:tcPr>
            <w:tcW w:w="0" w:type="auto"/>
            <w:gridSpan w:val="3"/>
            <w:shd w:val="clear" w:color="auto" w:fill="FFFFFF"/>
            <w:tcMar>
              <w:top w:w="30" w:type="dxa"/>
              <w:left w:w="20" w:type="dxa"/>
              <w:bottom w:w="30" w:type="dxa"/>
              <w:right w:w="20" w:type="dxa"/>
            </w:tcMar>
            <w:vAlign w:val="bottom"/>
            <w:hideMark/>
          </w:tcPr>
          <w:p w14:paraId="6792D26F" w14:textId="77777777" w:rsidR="00000000" w:rsidRDefault="000C49AD">
            <w:pPr>
              <w:spacing w:after="100"/>
              <w:jc w:val="center"/>
              <w:rPr>
                <w:rFonts w:eastAsia="Times New Roman"/>
              </w:rPr>
            </w:pPr>
            <w:hyperlink w:anchor="i56bb95bb4ed94f6abb9be4d186e21dfb_28" w:history="1">
              <w:r>
                <w:rPr>
                  <w:rStyle w:val="a3"/>
                  <w:rFonts w:eastAsia="Times New Roman"/>
                  <w:sz w:val="20"/>
                  <w:szCs w:val="20"/>
                </w:rPr>
                <w:t>59</w:t>
              </w:r>
            </w:hyperlink>
          </w:p>
        </w:tc>
      </w:tr>
      <w:tr w:rsidR="00000000" w14:paraId="24E1A3C0" w14:textId="77777777">
        <w:trPr>
          <w:jc w:val="center"/>
        </w:trPr>
        <w:tc>
          <w:tcPr>
            <w:tcW w:w="0" w:type="auto"/>
            <w:gridSpan w:val="3"/>
            <w:shd w:val="clear" w:color="auto" w:fill="CCEEFF"/>
            <w:tcMar>
              <w:top w:w="30" w:type="dxa"/>
              <w:left w:w="20" w:type="dxa"/>
              <w:bottom w:w="30" w:type="dxa"/>
              <w:right w:w="20" w:type="dxa"/>
            </w:tcMar>
            <w:vAlign w:val="bottom"/>
            <w:hideMark/>
          </w:tcPr>
          <w:p w14:paraId="3AF505C2" w14:textId="77777777" w:rsidR="00000000" w:rsidRDefault="000C49AD">
            <w:pPr>
              <w:spacing w:after="100"/>
              <w:rPr>
                <w:rFonts w:eastAsia="Times New Roman"/>
              </w:rPr>
            </w:pPr>
            <w:r>
              <w:rPr>
                <w:rFonts w:eastAsia="Times New Roman"/>
                <w:color w:val="000000"/>
                <w:sz w:val="20"/>
                <w:szCs w:val="20"/>
              </w:rPr>
              <w:t>Item 3.</w:t>
            </w:r>
          </w:p>
        </w:tc>
        <w:tc>
          <w:tcPr>
            <w:tcW w:w="0" w:type="auto"/>
            <w:gridSpan w:val="3"/>
            <w:shd w:val="clear" w:color="auto" w:fill="CCEEFF"/>
            <w:tcMar>
              <w:top w:w="30" w:type="dxa"/>
              <w:left w:w="20" w:type="dxa"/>
              <w:bottom w:w="30" w:type="dxa"/>
              <w:right w:w="20" w:type="dxa"/>
            </w:tcMar>
            <w:vAlign w:val="bottom"/>
            <w:hideMark/>
          </w:tcPr>
          <w:p w14:paraId="64EAB17A" w14:textId="77777777" w:rsidR="00000000" w:rsidRDefault="000C49AD">
            <w:pPr>
              <w:spacing w:after="100"/>
              <w:divId w:val="1002515186"/>
              <w:rPr>
                <w:rFonts w:eastAsia="Times New Roman"/>
              </w:rPr>
            </w:pPr>
            <w:hyperlink w:anchor="i56bb95bb4ed94f6abb9be4d186e21dfb_31" w:history="1">
              <w:r>
                <w:rPr>
                  <w:rStyle w:val="a3"/>
                  <w:rFonts w:eastAsia="Times New Roman"/>
                  <w:sz w:val="20"/>
                  <w:szCs w:val="20"/>
                </w:rPr>
                <w:t>Legal Proceedings</w:t>
              </w:r>
            </w:hyperlink>
          </w:p>
        </w:tc>
        <w:tc>
          <w:tcPr>
            <w:tcW w:w="0" w:type="auto"/>
            <w:gridSpan w:val="3"/>
            <w:shd w:val="clear" w:color="auto" w:fill="CCEEFF"/>
            <w:tcMar>
              <w:top w:w="30" w:type="dxa"/>
              <w:left w:w="20" w:type="dxa"/>
              <w:bottom w:w="30" w:type="dxa"/>
              <w:right w:w="20" w:type="dxa"/>
            </w:tcMar>
            <w:vAlign w:val="bottom"/>
            <w:hideMark/>
          </w:tcPr>
          <w:p w14:paraId="1AA77289" w14:textId="77777777" w:rsidR="00000000" w:rsidRDefault="000C49AD">
            <w:pPr>
              <w:spacing w:after="100"/>
              <w:jc w:val="center"/>
              <w:rPr>
                <w:rFonts w:eastAsia="Times New Roman"/>
              </w:rPr>
            </w:pPr>
            <w:hyperlink w:anchor="i56bb95bb4ed94f6abb9be4d186e21dfb_31" w:history="1">
              <w:r>
                <w:rPr>
                  <w:rStyle w:val="a3"/>
                  <w:rFonts w:eastAsia="Times New Roman"/>
                  <w:sz w:val="20"/>
                  <w:szCs w:val="20"/>
                </w:rPr>
                <w:t>59</w:t>
              </w:r>
            </w:hyperlink>
          </w:p>
        </w:tc>
      </w:tr>
      <w:tr w:rsidR="00000000" w14:paraId="30DA9CA0" w14:textId="77777777">
        <w:trPr>
          <w:jc w:val="center"/>
        </w:trPr>
        <w:tc>
          <w:tcPr>
            <w:tcW w:w="0" w:type="auto"/>
            <w:gridSpan w:val="3"/>
            <w:shd w:val="clear" w:color="auto" w:fill="FFFFFF"/>
            <w:tcMar>
              <w:top w:w="30" w:type="dxa"/>
              <w:left w:w="20" w:type="dxa"/>
              <w:bottom w:w="30" w:type="dxa"/>
              <w:right w:w="20" w:type="dxa"/>
            </w:tcMar>
            <w:vAlign w:val="bottom"/>
            <w:hideMark/>
          </w:tcPr>
          <w:p w14:paraId="7F53B624" w14:textId="77777777" w:rsidR="00000000" w:rsidRDefault="000C49AD">
            <w:pPr>
              <w:spacing w:after="100"/>
              <w:rPr>
                <w:rFonts w:eastAsia="Times New Roman"/>
              </w:rPr>
            </w:pPr>
            <w:r>
              <w:rPr>
                <w:rFonts w:eastAsia="Times New Roman"/>
                <w:color w:val="000000"/>
                <w:sz w:val="20"/>
                <w:szCs w:val="20"/>
              </w:rPr>
              <w:t>Item 4.</w:t>
            </w:r>
          </w:p>
        </w:tc>
        <w:tc>
          <w:tcPr>
            <w:tcW w:w="0" w:type="auto"/>
            <w:gridSpan w:val="3"/>
            <w:shd w:val="clear" w:color="auto" w:fill="FFFFFF"/>
            <w:tcMar>
              <w:top w:w="30" w:type="dxa"/>
              <w:left w:w="20" w:type="dxa"/>
              <w:bottom w:w="30" w:type="dxa"/>
              <w:right w:w="20" w:type="dxa"/>
            </w:tcMar>
            <w:vAlign w:val="bottom"/>
            <w:hideMark/>
          </w:tcPr>
          <w:p w14:paraId="497F8886" w14:textId="77777777" w:rsidR="00000000" w:rsidRDefault="000C49AD">
            <w:pPr>
              <w:spacing w:after="100"/>
              <w:divId w:val="288896975"/>
              <w:rPr>
                <w:rFonts w:eastAsia="Times New Roman"/>
              </w:rPr>
            </w:pPr>
            <w:hyperlink w:anchor="i56bb95bb4ed94f6abb9be4d186e21dfb_34"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vAlign w:val="bottom"/>
            <w:hideMark/>
          </w:tcPr>
          <w:p w14:paraId="3CA569DA" w14:textId="77777777" w:rsidR="00000000" w:rsidRDefault="000C49AD">
            <w:pPr>
              <w:spacing w:after="100"/>
              <w:jc w:val="center"/>
              <w:rPr>
                <w:rFonts w:eastAsia="Times New Roman"/>
              </w:rPr>
            </w:pPr>
            <w:hyperlink w:anchor="i56bb95bb4ed94f6abb9be4d186e21dfb_34" w:history="1">
              <w:r>
                <w:rPr>
                  <w:rStyle w:val="a3"/>
                  <w:rFonts w:eastAsia="Times New Roman"/>
                  <w:sz w:val="20"/>
                  <w:szCs w:val="20"/>
                </w:rPr>
                <w:t>59</w:t>
              </w:r>
            </w:hyperlink>
          </w:p>
        </w:tc>
      </w:tr>
      <w:tr w:rsidR="00000000" w14:paraId="786C27FE" w14:textId="77777777">
        <w:trPr>
          <w:jc w:val="center"/>
        </w:trPr>
        <w:tc>
          <w:tcPr>
            <w:tcW w:w="0" w:type="auto"/>
            <w:gridSpan w:val="3"/>
            <w:shd w:val="clear" w:color="auto" w:fill="CCEEFF"/>
            <w:tcMar>
              <w:top w:w="30" w:type="dxa"/>
              <w:left w:w="20" w:type="dxa"/>
              <w:bottom w:w="30" w:type="dxa"/>
              <w:right w:w="20" w:type="dxa"/>
            </w:tcMar>
            <w:vAlign w:val="bottom"/>
            <w:hideMark/>
          </w:tcPr>
          <w:p w14:paraId="4DB76417"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0F87A884"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6258817B" w14:textId="77777777" w:rsidR="00000000" w:rsidRDefault="000C49AD">
            <w:pPr>
              <w:spacing w:after="100"/>
              <w:jc w:val="center"/>
              <w:rPr>
                <w:rFonts w:eastAsia="Times New Roman"/>
              </w:rPr>
            </w:pPr>
            <w:r>
              <w:rPr>
                <w:rFonts w:eastAsia="Times New Roman"/>
                <w:color w:val="000000"/>
                <w:sz w:val="20"/>
                <w:szCs w:val="20"/>
              </w:rPr>
              <w:t> </w:t>
            </w:r>
          </w:p>
        </w:tc>
      </w:tr>
      <w:tr w:rsidR="00000000" w14:paraId="407A082A" w14:textId="77777777">
        <w:trPr>
          <w:jc w:val="center"/>
        </w:trPr>
        <w:tc>
          <w:tcPr>
            <w:tcW w:w="0" w:type="auto"/>
            <w:gridSpan w:val="3"/>
            <w:shd w:val="clear" w:color="auto" w:fill="FFFFFF"/>
            <w:tcMar>
              <w:top w:w="30" w:type="dxa"/>
              <w:left w:w="20" w:type="dxa"/>
              <w:bottom w:w="30" w:type="dxa"/>
              <w:right w:w="20" w:type="dxa"/>
            </w:tcMar>
            <w:vAlign w:val="bottom"/>
            <w:hideMark/>
          </w:tcPr>
          <w:p w14:paraId="68473315" w14:textId="77777777" w:rsidR="00000000" w:rsidRDefault="000C49AD">
            <w:pPr>
              <w:spacing w:after="100"/>
              <w:divId w:val="673653622"/>
              <w:rPr>
                <w:rFonts w:eastAsia="Times New Roman"/>
              </w:rPr>
            </w:pPr>
            <w:hyperlink w:anchor="i56bb95bb4ed94f6abb9be4d186e21dfb_37" w:history="1">
              <w:r>
                <w:rPr>
                  <w:rStyle w:val="a3"/>
                  <w:rFonts w:eastAsia="Times New Roman"/>
                  <w:b/>
                  <w:bCs/>
                  <w:sz w:val="20"/>
                  <w:szCs w:val="20"/>
                </w:rPr>
                <w:t>PART II</w:t>
              </w:r>
            </w:hyperlink>
          </w:p>
        </w:tc>
        <w:tc>
          <w:tcPr>
            <w:tcW w:w="0" w:type="auto"/>
            <w:gridSpan w:val="3"/>
            <w:shd w:val="clear" w:color="auto" w:fill="FFFFFF"/>
            <w:tcMar>
              <w:top w:w="30" w:type="dxa"/>
              <w:left w:w="20" w:type="dxa"/>
              <w:bottom w:w="30" w:type="dxa"/>
              <w:right w:w="20" w:type="dxa"/>
            </w:tcMar>
            <w:vAlign w:val="bottom"/>
            <w:hideMark/>
          </w:tcPr>
          <w:p w14:paraId="0E7F978E"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4FE5DDC7" w14:textId="77777777" w:rsidR="00000000" w:rsidRDefault="000C49AD">
            <w:pPr>
              <w:spacing w:after="100"/>
              <w:jc w:val="center"/>
              <w:rPr>
                <w:rFonts w:eastAsia="Times New Roman"/>
              </w:rPr>
            </w:pPr>
            <w:r>
              <w:rPr>
                <w:rFonts w:eastAsia="Times New Roman"/>
                <w:color w:val="000000"/>
                <w:sz w:val="20"/>
                <w:szCs w:val="20"/>
              </w:rPr>
              <w:t> </w:t>
            </w:r>
          </w:p>
        </w:tc>
      </w:tr>
      <w:tr w:rsidR="00000000" w14:paraId="4E5BCD54" w14:textId="77777777">
        <w:trPr>
          <w:jc w:val="center"/>
        </w:trPr>
        <w:tc>
          <w:tcPr>
            <w:tcW w:w="0" w:type="auto"/>
            <w:gridSpan w:val="3"/>
            <w:shd w:val="clear" w:color="auto" w:fill="CCEEFF"/>
            <w:tcMar>
              <w:top w:w="30" w:type="dxa"/>
              <w:left w:w="20" w:type="dxa"/>
              <w:bottom w:w="30" w:type="dxa"/>
              <w:right w:w="20" w:type="dxa"/>
            </w:tcMar>
            <w:hideMark/>
          </w:tcPr>
          <w:p w14:paraId="24980A2D" w14:textId="77777777" w:rsidR="00000000" w:rsidRDefault="000C49AD">
            <w:pPr>
              <w:spacing w:after="100"/>
              <w:rPr>
                <w:rFonts w:eastAsia="Times New Roman"/>
              </w:rPr>
            </w:pPr>
            <w:r>
              <w:rPr>
                <w:rFonts w:eastAsia="Times New Roman"/>
                <w:color w:val="000000"/>
                <w:sz w:val="20"/>
                <w:szCs w:val="20"/>
              </w:rPr>
              <w:lastRenderedPageBreak/>
              <w:t>Item 5.</w:t>
            </w:r>
          </w:p>
        </w:tc>
        <w:tc>
          <w:tcPr>
            <w:tcW w:w="0" w:type="auto"/>
            <w:gridSpan w:val="3"/>
            <w:shd w:val="clear" w:color="auto" w:fill="CCEEFF"/>
            <w:tcMar>
              <w:top w:w="30" w:type="dxa"/>
              <w:left w:w="20" w:type="dxa"/>
              <w:bottom w:w="30" w:type="dxa"/>
              <w:right w:w="20" w:type="dxa"/>
            </w:tcMar>
            <w:vAlign w:val="bottom"/>
            <w:hideMark/>
          </w:tcPr>
          <w:p w14:paraId="77CB2ECB" w14:textId="77777777" w:rsidR="00000000" w:rsidRDefault="000C49AD">
            <w:pPr>
              <w:spacing w:after="100"/>
              <w:divId w:val="1737975578"/>
              <w:rPr>
                <w:rFonts w:eastAsia="Times New Roman"/>
              </w:rPr>
            </w:pPr>
            <w:hyperlink w:anchor="i56bb95bb4ed94f6abb9be4d186e21dfb_40" w:history="1">
              <w:r>
                <w:rPr>
                  <w:rStyle w:val="a3"/>
                  <w:rFonts w:eastAsia="Times New Roman"/>
                  <w:sz w:val="20"/>
                  <w:szCs w:val="20"/>
                </w:rPr>
                <w:t>Market for Registrant’s Common Equity, Related Stockholder Matters and Issuer Purchases of Equity Securities</w:t>
              </w:r>
            </w:hyperlink>
          </w:p>
        </w:tc>
        <w:tc>
          <w:tcPr>
            <w:tcW w:w="0" w:type="auto"/>
            <w:gridSpan w:val="3"/>
            <w:shd w:val="clear" w:color="auto" w:fill="CCEEFF"/>
            <w:tcMar>
              <w:top w:w="30" w:type="dxa"/>
              <w:left w:w="20" w:type="dxa"/>
              <w:bottom w:w="30" w:type="dxa"/>
              <w:right w:w="20" w:type="dxa"/>
            </w:tcMar>
            <w:vAlign w:val="bottom"/>
            <w:hideMark/>
          </w:tcPr>
          <w:p w14:paraId="48CF28C4" w14:textId="77777777" w:rsidR="00000000" w:rsidRDefault="000C49AD">
            <w:pPr>
              <w:spacing w:after="100"/>
              <w:jc w:val="center"/>
              <w:rPr>
                <w:rFonts w:eastAsia="Times New Roman"/>
              </w:rPr>
            </w:pPr>
            <w:hyperlink w:anchor="i56bb95bb4ed94f6abb9be4d186e21dfb_40" w:history="1">
              <w:r>
                <w:rPr>
                  <w:rStyle w:val="a3"/>
                  <w:rFonts w:eastAsia="Times New Roman"/>
                  <w:sz w:val="20"/>
                  <w:szCs w:val="20"/>
                </w:rPr>
                <w:t>60</w:t>
              </w:r>
            </w:hyperlink>
          </w:p>
        </w:tc>
      </w:tr>
      <w:tr w:rsidR="00000000" w14:paraId="71D24E31" w14:textId="77777777">
        <w:trPr>
          <w:jc w:val="center"/>
        </w:trPr>
        <w:tc>
          <w:tcPr>
            <w:tcW w:w="0" w:type="auto"/>
            <w:gridSpan w:val="3"/>
            <w:shd w:val="clear" w:color="auto" w:fill="FFFFFF"/>
            <w:tcMar>
              <w:top w:w="30" w:type="dxa"/>
              <w:left w:w="20" w:type="dxa"/>
              <w:bottom w:w="30" w:type="dxa"/>
              <w:right w:w="20" w:type="dxa"/>
            </w:tcMar>
            <w:vAlign w:val="bottom"/>
            <w:hideMark/>
          </w:tcPr>
          <w:p w14:paraId="32E0FF76" w14:textId="77777777" w:rsidR="00000000" w:rsidRDefault="000C49AD">
            <w:pPr>
              <w:spacing w:after="100"/>
              <w:rPr>
                <w:rFonts w:eastAsia="Times New Roman"/>
              </w:rPr>
            </w:pPr>
            <w:r>
              <w:rPr>
                <w:rFonts w:eastAsia="Times New Roman"/>
                <w:color w:val="000000"/>
                <w:sz w:val="20"/>
                <w:szCs w:val="20"/>
              </w:rPr>
              <w:t>Item 6.</w:t>
            </w:r>
          </w:p>
        </w:tc>
        <w:tc>
          <w:tcPr>
            <w:tcW w:w="0" w:type="auto"/>
            <w:gridSpan w:val="3"/>
            <w:shd w:val="clear" w:color="auto" w:fill="FFFFFF"/>
            <w:tcMar>
              <w:top w:w="30" w:type="dxa"/>
              <w:left w:w="20" w:type="dxa"/>
              <w:bottom w:w="30" w:type="dxa"/>
              <w:right w:w="20" w:type="dxa"/>
            </w:tcMar>
            <w:vAlign w:val="bottom"/>
            <w:hideMark/>
          </w:tcPr>
          <w:p w14:paraId="7CB51393" w14:textId="77777777" w:rsidR="00000000" w:rsidRDefault="000C49AD">
            <w:pPr>
              <w:spacing w:after="100"/>
              <w:divId w:val="2014650910"/>
              <w:rPr>
                <w:rFonts w:eastAsia="Times New Roman"/>
              </w:rPr>
            </w:pPr>
            <w:hyperlink w:anchor="i56bb95bb4ed94f6abb9be4d186e21dfb_43" w:history="1">
              <w:r>
                <w:rPr>
                  <w:rStyle w:val="a3"/>
                  <w:rFonts w:eastAsia="Times New Roman"/>
                  <w:sz w:val="20"/>
                  <w:szCs w:val="20"/>
                </w:rPr>
                <w:t>Reserved</w:t>
              </w:r>
            </w:hyperlink>
          </w:p>
        </w:tc>
        <w:tc>
          <w:tcPr>
            <w:tcW w:w="0" w:type="auto"/>
            <w:gridSpan w:val="3"/>
            <w:shd w:val="clear" w:color="auto" w:fill="FFFFFF"/>
            <w:tcMar>
              <w:top w:w="30" w:type="dxa"/>
              <w:left w:w="20" w:type="dxa"/>
              <w:bottom w:w="30" w:type="dxa"/>
              <w:right w:w="20" w:type="dxa"/>
            </w:tcMar>
            <w:vAlign w:val="bottom"/>
            <w:hideMark/>
          </w:tcPr>
          <w:p w14:paraId="49BCFA12" w14:textId="77777777" w:rsidR="00000000" w:rsidRDefault="000C49AD">
            <w:pPr>
              <w:spacing w:after="100"/>
              <w:jc w:val="center"/>
              <w:rPr>
                <w:rFonts w:eastAsia="Times New Roman"/>
              </w:rPr>
            </w:pPr>
            <w:hyperlink w:anchor="i56bb95bb4ed94f6abb9be4d186e21dfb_43" w:history="1">
              <w:r>
                <w:rPr>
                  <w:rStyle w:val="a3"/>
                  <w:rFonts w:eastAsia="Times New Roman"/>
                  <w:sz w:val="20"/>
                  <w:szCs w:val="20"/>
                </w:rPr>
                <w:t>61</w:t>
              </w:r>
            </w:hyperlink>
          </w:p>
        </w:tc>
      </w:tr>
      <w:tr w:rsidR="00000000" w14:paraId="0A837EF9" w14:textId="77777777">
        <w:trPr>
          <w:jc w:val="center"/>
        </w:trPr>
        <w:tc>
          <w:tcPr>
            <w:tcW w:w="0" w:type="auto"/>
            <w:gridSpan w:val="3"/>
            <w:shd w:val="clear" w:color="auto" w:fill="CCEEFF"/>
            <w:tcMar>
              <w:top w:w="30" w:type="dxa"/>
              <w:left w:w="20" w:type="dxa"/>
              <w:bottom w:w="30" w:type="dxa"/>
              <w:right w:w="20" w:type="dxa"/>
            </w:tcMar>
            <w:vAlign w:val="bottom"/>
            <w:hideMark/>
          </w:tcPr>
          <w:p w14:paraId="2C0E9CD9" w14:textId="77777777" w:rsidR="00000000" w:rsidRDefault="000C49AD">
            <w:pPr>
              <w:spacing w:after="100"/>
              <w:rPr>
                <w:rFonts w:eastAsia="Times New Roman"/>
              </w:rPr>
            </w:pPr>
            <w:r>
              <w:rPr>
                <w:rFonts w:eastAsia="Times New Roman"/>
                <w:color w:val="000000"/>
                <w:sz w:val="20"/>
                <w:szCs w:val="20"/>
              </w:rPr>
              <w:t>Item 7.</w:t>
            </w:r>
          </w:p>
        </w:tc>
        <w:tc>
          <w:tcPr>
            <w:tcW w:w="0" w:type="auto"/>
            <w:gridSpan w:val="3"/>
            <w:shd w:val="clear" w:color="auto" w:fill="CCEEFF"/>
            <w:tcMar>
              <w:top w:w="30" w:type="dxa"/>
              <w:left w:w="20" w:type="dxa"/>
              <w:bottom w:w="30" w:type="dxa"/>
              <w:right w:w="20" w:type="dxa"/>
            </w:tcMar>
            <w:vAlign w:val="bottom"/>
            <w:hideMark/>
          </w:tcPr>
          <w:p w14:paraId="47A3EBCD" w14:textId="77777777" w:rsidR="00000000" w:rsidRDefault="000C49AD">
            <w:pPr>
              <w:spacing w:after="100"/>
              <w:divId w:val="2043047035"/>
              <w:rPr>
                <w:rFonts w:eastAsia="Times New Roman"/>
              </w:rPr>
            </w:pPr>
            <w:hyperlink w:anchor="i56bb95bb4ed94f6abb9be4d186e21dfb_46" w:history="1">
              <w:r>
                <w:rPr>
                  <w:rStyle w:val="a3"/>
                  <w:rFonts w:eastAsia="Times New Roman"/>
                  <w:sz w:val="20"/>
                  <w:szCs w:val="20"/>
                </w:rPr>
                <w:t>Management’s Discussion and Analysis of Financial Co</w:t>
              </w:r>
              <w:r>
                <w:rPr>
                  <w:rStyle w:val="a3"/>
                  <w:rFonts w:eastAsia="Times New Roman"/>
                  <w:sz w:val="20"/>
                  <w:szCs w:val="20"/>
                </w:rPr>
                <w:t>ndition and Results of Operations</w:t>
              </w:r>
            </w:hyperlink>
          </w:p>
        </w:tc>
        <w:tc>
          <w:tcPr>
            <w:tcW w:w="0" w:type="auto"/>
            <w:gridSpan w:val="3"/>
            <w:shd w:val="clear" w:color="auto" w:fill="CCEEFF"/>
            <w:tcMar>
              <w:top w:w="30" w:type="dxa"/>
              <w:left w:w="20" w:type="dxa"/>
              <w:bottom w:w="30" w:type="dxa"/>
              <w:right w:w="20" w:type="dxa"/>
            </w:tcMar>
            <w:vAlign w:val="bottom"/>
            <w:hideMark/>
          </w:tcPr>
          <w:p w14:paraId="7699EF6F" w14:textId="77777777" w:rsidR="00000000" w:rsidRDefault="000C49AD">
            <w:pPr>
              <w:spacing w:after="100"/>
              <w:jc w:val="center"/>
              <w:rPr>
                <w:rFonts w:eastAsia="Times New Roman"/>
              </w:rPr>
            </w:pPr>
            <w:hyperlink w:anchor="i56bb95bb4ed94f6abb9be4d186e21dfb_46" w:history="1">
              <w:r>
                <w:rPr>
                  <w:rStyle w:val="a3"/>
                  <w:rFonts w:eastAsia="Times New Roman"/>
                  <w:sz w:val="20"/>
                  <w:szCs w:val="20"/>
                </w:rPr>
                <w:t>63</w:t>
              </w:r>
            </w:hyperlink>
          </w:p>
        </w:tc>
      </w:tr>
      <w:tr w:rsidR="00000000" w14:paraId="7CC6E39B" w14:textId="77777777">
        <w:trPr>
          <w:jc w:val="center"/>
        </w:trPr>
        <w:tc>
          <w:tcPr>
            <w:tcW w:w="0" w:type="auto"/>
            <w:gridSpan w:val="3"/>
            <w:shd w:val="clear" w:color="auto" w:fill="FFFFFF"/>
            <w:tcMar>
              <w:top w:w="30" w:type="dxa"/>
              <w:left w:w="20" w:type="dxa"/>
              <w:bottom w:w="30" w:type="dxa"/>
              <w:right w:w="20" w:type="dxa"/>
            </w:tcMar>
            <w:vAlign w:val="bottom"/>
            <w:hideMark/>
          </w:tcPr>
          <w:p w14:paraId="71AABD7E" w14:textId="77777777" w:rsidR="00000000" w:rsidRDefault="000C49AD">
            <w:pPr>
              <w:spacing w:after="100"/>
              <w:rPr>
                <w:rFonts w:eastAsia="Times New Roman"/>
              </w:rPr>
            </w:pPr>
            <w:r>
              <w:rPr>
                <w:rFonts w:eastAsia="Times New Roman"/>
                <w:color w:val="000000"/>
                <w:sz w:val="20"/>
                <w:szCs w:val="20"/>
              </w:rPr>
              <w:t>Item 7A.</w:t>
            </w:r>
          </w:p>
        </w:tc>
        <w:tc>
          <w:tcPr>
            <w:tcW w:w="0" w:type="auto"/>
            <w:gridSpan w:val="3"/>
            <w:shd w:val="clear" w:color="auto" w:fill="FFFFFF"/>
            <w:tcMar>
              <w:top w:w="30" w:type="dxa"/>
              <w:left w:w="20" w:type="dxa"/>
              <w:bottom w:w="30" w:type="dxa"/>
              <w:right w:w="20" w:type="dxa"/>
            </w:tcMar>
            <w:vAlign w:val="bottom"/>
            <w:hideMark/>
          </w:tcPr>
          <w:p w14:paraId="3E347CF7" w14:textId="77777777" w:rsidR="00000000" w:rsidRDefault="000C49AD">
            <w:pPr>
              <w:spacing w:after="100"/>
              <w:divId w:val="1473519652"/>
              <w:rPr>
                <w:rFonts w:eastAsia="Times New Roman"/>
              </w:rPr>
            </w:pPr>
            <w:hyperlink w:anchor="i56bb95bb4ed94f6abb9be4d186e21dfb_67" w:history="1">
              <w:r>
                <w:rPr>
                  <w:rStyle w:val="a3"/>
                  <w:rFonts w:eastAsia="Times New Roman"/>
                  <w:sz w:val="20"/>
                  <w:szCs w:val="20"/>
                </w:rPr>
                <w:t>Quantitative and Qualitative Disclosures About Market Risks</w:t>
              </w:r>
            </w:hyperlink>
          </w:p>
        </w:tc>
        <w:tc>
          <w:tcPr>
            <w:tcW w:w="0" w:type="auto"/>
            <w:gridSpan w:val="3"/>
            <w:shd w:val="clear" w:color="auto" w:fill="FFFFFF"/>
            <w:tcMar>
              <w:top w:w="30" w:type="dxa"/>
              <w:left w:w="20" w:type="dxa"/>
              <w:bottom w:w="30" w:type="dxa"/>
              <w:right w:w="20" w:type="dxa"/>
            </w:tcMar>
            <w:vAlign w:val="bottom"/>
            <w:hideMark/>
          </w:tcPr>
          <w:p w14:paraId="7EAAE2AC" w14:textId="77777777" w:rsidR="00000000" w:rsidRDefault="000C49AD">
            <w:pPr>
              <w:spacing w:after="100"/>
              <w:jc w:val="center"/>
              <w:rPr>
                <w:rFonts w:eastAsia="Times New Roman"/>
              </w:rPr>
            </w:pPr>
            <w:hyperlink w:anchor="i56bb95bb4ed94f6abb9be4d186e21dfb_67" w:history="1">
              <w:r>
                <w:rPr>
                  <w:rStyle w:val="a3"/>
                  <w:rFonts w:eastAsia="Times New Roman"/>
                  <w:sz w:val="20"/>
                  <w:szCs w:val="20"/>
                </w:rPr>
                <w:t>73</w:t>
              </w:r>
            </w:hyperlink>
          </w:p>
        </w:tc>
      </w:tr>
      <w:tr w:rsidR="00000000" w14:paraId="687B47F1" w14:textId="77777777">
        <w:trPr>
          <w:jc w:val="center"/>
        </w:trPr>
        <w:tc>
          <w:tcPr>
            <w:tcW w:w="0" w:type="auto"/>
            <w:gridSpan w:val="3"/>
            <w:shd w:val="clear" w:color="auto" w:fill="CCEEFF"/>
            <w:tcMar>
              <w:top w:w="30" w:type="dxa"/>
              <w:left w:w="20" w:type="dxa"/>
              <w:bottom w:w="30" w:type="dxa"/>
              <w:right w:w="20" w:type="dxa"/>
            </w:tcMar>
            <w:vAlign w:val="bottom"/>
            <w:hideMark/>
          </w:tcPr>
          <w:p w14:paraId="7516ACB6" w14:textId="77777777" w:rsidR="00000000" w:rsidRDefault="000C49AD">
            <w:pPr>
              <w:spacing w:after="100"/>
              <w:rPr>
                <w:rFonts w:eastAsia="Times New Roman"/>
              </w:rPr>
            </w:pPr>
            <w:r>
              <w:rPr>
                <w:rFonts w:eastAsia="Times New Roman"/>
                <w:color w:val="000000"/>
                <w:sz w:val="20"/>
                <w:szCs w:val="20"/>
              </w:rPr>
              <w:t>Item 8.</w:t>
            </w:r>
          </w:p>
        </w:tc>
        <w:tc>
          <w:tcPr>
            <w:tcW w:w="0" w:type="auto"/>
            <w:gridSpan w:val="3"/>
            <w:shd w:val="clear" w:color="auto" w:fill="CCEEFF"/>
            <w:tcMar>
              <w:top w:w="30" w:type="dxa"/>
              <w:left w:w="20" w:type="dxa"/>
              <w:bottom w:w="30" w:type="dxa"/>
              <w:right w:w="20" w:type="dxa"/>
            </w:tcMar>
            <w:vAlign w:val="bottom"/>
            <w:hideMark/>
          </w:tcPr>
          <w:p w14:paraId="01ECC89E" w14:textId="77777777" w:rsidR="00000000" w:rsidRDefault="000C49AD">
            <w:pPr>
              <w:spacing w:after="100"/>
              <w:divId w:val="625813406"/>
              <w:rPr>
                <w:rFonts w:eastAsia="Times New Roman"/>
              </w:rPr>
            </w:pPr>
            <w:hyperlink w:anchor="i56bb95bb4ed94f6abb9be4d186e21dfb_70" w:history="1">
              <w:r>
                <w:rPr>
                  <w:rStyle w:val="a3"/>
                  <w:rFonts w:eastAsia="Times New Roman"/>
                  <w:sz w:val="20"/>
                  <w:szCs w:val="20"/>
                </w:rPr>
                <w:t>Financial Statements and Supplementary Data</w:t>
              </w:r>
            </w:hyperlink>
          </w:p>
        </w:tc>
        <w:tc>
          <w:tcPr>
            <w:tcW w:w="0" w:type="auto"/>
            <w:gridSpan w:val="3"/>
            <w:shd w:val="clear" w:color="auto" w:fill="CCEEFF"/>
            <w:tcMar>
              <w:top w:w="30" w:type="dxa"/>
              <w:left w:w="20" w:type="dxa"/>
              <w:bottom w:w="30" w:type="dxa"/>
              <w:right w:w="20" w:type="dxa"/>
            </w:tcMar>
            <w:vAlign w:val="bottom"/>
            <w:hideMark/>
          </w:tcPr>
          <w:p w14:paraId="73D90AAB" w14:textId="77777777" w:rsidR="00000000" w:rsidRDefault="000C49AD">
            <w:pPr>
              <w:spacing w:after="100"/>
              <w:jc w:val="center"/>
              <w:rPr>
                <w:rFonts w:eastAsia="Times New Roman"/>
              </w:rPr>
            </w:pPr>
            <w:hyperlink w:anchor="i56bb95bb4ed94f6abb9be4d186e21dfb_70" w:history="1">
              <w:r>
                <w:rPr>
                  <w:rStyle w:val="a3"/>
                  <w:rFonts w:eastAsia="Times New Roman"/>
                  <w:sz w:val="20"/>
                  <w:szCs w:val="20"/>
                </w:rPr>
                <w:t>74</w:t>
              </w:r>
            </w:hyperlink>
          </w:p>
        </w:tc>
      </w:tr>
      <w:tr w:rsidR="00000000" w14:paraId="29747097" w14:textId="77777777">
        <w:trPr>
          <w:jc w:val="center"/>
        </w:trPr>
        <w:tc>
          <w:tcPr>
            <w:tcW w:w="0" w:type="auto"/>
            <w:gridSpan w:val="3"/>
            <w:shd w:val="clear" w:color="auto" w:fill="FFFFFF"/>
            <w:tcMar>
              <w:top w:w="30" w:type="dxa"/>
              <w:left w:w="20" w:type="dxa"/>
              <w:bottom w:w="30" w:type="dxa"/>
              <w:right w:w="20" w:type="dxa"/>
            </w:tcMar>
            <w:vAlign w:val="bottom"/>
            <w:hideMark/>
          </w:tcPr>
          <w:p w14:paraId="5C83E934" w14:textId="77777777" w:rsidR="00000000" w:rsidRDefault="000C49AD">
            <w:pPr>
              <w:spacing w:after="100"/>
              <w:rPr>
                <w:rFonts w:eastAsia="Times New Roman"/>
              </w:rPr>
            </w:pPr>
            <w:r>
              <w:rPr>
                <w:rFonts w:eastAsia="Times New Roman"/>
                <w:color w:val="000000"/>
                <w:sz w:val="20"/>
                <w:szCs w:val="20"/>
              </w:rPr>
              <w:t>Item 9.</w:t>
            </w:r>
          </w:p>
        </w:tc>
        <w:tc>
          <w:tcPr>
            <w:tcW w:w="0" w:type="auto"/>
            <w:gridSpan w:val="3"/>
            <w:shd w:val="clear" w:color="auto" w:fill="FFFFFF"/>
            <w:tcMar>
              <w:top w:w="30" w:type="dxa"/>
              <w:left w:w="20" w:type="dxa"/>
              <w:bottom w:w="30" w:type="dxa"/>
              <w:right w:w="20" w:type="dxa"/>
            </w:tcMar>
            <w:vAlign w:val="bottom"/>
            <w:hideMark/>
          </w:tcPr>
          <w:p w14:paraId="4B964502" w14:textId="77777777" w:rsidR="00000000" w:rsidRDefault="000C49AD">
            <w:pPr>
              <w:spacing w:after="100"/>
              <w:divId w:val="1762142854"/>
              <w:rPr>
                <w:rFonts w:eastAsia="Times New Roman"/>
              </w:rPr>
            </w:pPr>
            <w:hyperlink w:anchor="i56bb95bb4ed94f6abb9be4d186e21dfb_175" w:history="1">
              <w:r>
                <w:rPr>
                  <w:rStyle w:val="a3"/>
                  <w:rFonts w:eastAsia="Times New Roman"/>
                  <w:sz w:val="20"/>
                  <w:szCs w:val="20"/>
                </w:rPr>
                <w:t>Changes in and Disagreements with Accountants on Accounting and Financial Disclosure</w:t>
              </w:r>
            </w:hyperlink>
          </w:p>
        </w:tc>
        <w:tc>
          <w:tcPr>
            <w:tcW w:w="0" w:type="auto"/>
            <w:gridSpan w:val="3"/>
            <w:shd w:val="clear" w:color="auto" w:fill="FFFFFF"/>
            <w:tcMar>
              <w:top w:w="30" w:type="dxa"/>
              <w:left w:w="20" w:type="dxa"/>
              <w:bottom w:w="30" w:type="dxa"/>
              <w:right w:w="20" w:type="dxa"/>
            </w:tcMar>
            <w:vAlign w:val="bottom"/>
            <w:hideMark/>
          </w:tcPr>
          <w:p w14:paraId="5EE244C0" w14:textId="77777777" w:rsidR="00000000" w:rsidRDefault="000C49AD">
            <w:pPr>
              <w:spacing w:after="100"/>
              <w:jc w:val="center"/>
              <w:rPr>
                <w:rFonts w:eastAsia="Times New Roman"/>
              </w:rPr>
            </w:pPr>
            <w:hyperlink w:anchor="i56bb95bb4ed94f6abb9be4d186e21dfb_175" w:history="1">
              <w:r>
                <w:rPr>
                  <w:rStyle w:val="a3"/>
                  <w:rFonts w:eastAsia="Times New Roman"/>
                  <w:sz w:val="20"/>
                  <w:szCs w:val="20"/>
                </w:rPr>
                <w:t>109</w:t>
              </w:r>
            </w:hyperlink>
          </w:p>
        </w:tc>
      </w:tr>
      <w:tr w:rsidR="00000000" w14:paraId="3173E1C7" w14:textId="77777777">
        <w:trPr>
          <w:jc w:val="center"/>
        </w:trPr>
        <w:tc>
          <w:tcPr>
            <w:tcW w:w="0" w:type="auto"/>
            <w:gridSpan w:val="3"/>
            <w:shd w:val="clear" w:color="auto" w:fill="CCEEFF"/>
            <w:tcMar>
              <w:top w:w="30" w:type="dxa"/>
              <w:left w:w="20" w:type="dxa"/>
              <w:bottom w:w="30" w:type="dxa"/>
              <w:right w:w="20" w:type="dxa"/>
            </w:tcMar>
            <w:vAlign w:val="bottom"/>
            <w:hideMark/>
          </w:tcPr>
          <w:p w14:paraId="7310077A" w14:textId="77777777" w:rsidR="00000000" w:rsidRDefault="000C49AD">
            <w:pPr>
              <w:spacing w:after="100"/>
              <w:rPr>
                <w:rFonts w:eastAsia="Times New Roman"/>
              </w:rPr>
            </w:pPr>
            <w:r>
              <w:rPr>
                <w:rFonts w:eastAsia="Times New Roman"/>
                <w:color w:val="000000"/>
                <w:sz w:val="20"/>
                <w:szCs w:val="20"/>
              </w:rPr>
              <w:t>Item 9A.</w:t>
            </w:r>
          </w:p>
        </w:tc>
        <w:tc>
          <w:tcPr>
            <w:tcW w:w="0" w:type="auto"/>
            <w:gridSpan w:val="3"/>
            <w:shd w:val="clear" w:color="auto" w:fill="CCEEFF"/>
            <w:tcMar>
              <w:top w:w="30" w:type="dxa"/>
              <w:left w:w="20" w:type="dxa"/>
              <w:bottom w:w="30" w:type="dxa"/>
              <w:right w:w="20" w:type="dxa"/>
            </w:tcMar>
            <w:vAlign w:val="bottom"/>
            <w:hideMark/>
          </w:tcPr>
          <w:p w14:paraId="48FBBD1E" w14:textId="77777777" w:rsidR="00000000" w:rsidRDefault="000C49AD">
            <w:pPr>
              <w:spacing w:after="100"/>
              <w:divId w:val="2047942103"/>
              <w:rPr>
                <w:rFonts w:eastAsia="Times New Roman"/>
              </w:rPr>
            </w:pPr>
            <w:hyperlink w:anchor="i56bb95bb4ed94f6abb9be4d186e21dfb_178"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vAlign w:val="bottom"/>
            <w:hideMark/>
          </w:tcPr>
          <w:p w14:paraId="7C931404" w14:textId="77777777" w:rsidR="00000000" w:rsidRDefault="000C49AD">
            <w:pPr>
              <w:spacing w:after="100"/>
              <w:jc w:val="center"/>
              <w:rPr>
                <w:rFonts w:eastAsia="Times New Roman"/>
              </w:rPr>
            </w:pPr>
            <w:hyperlink w:anchor="i56bb95bb4ed94f6abb9be4d186e21dfb_178" w:history="1">
              <w:r>
                <w:rPr>
                  <w:rStyle w:val="a3"/>
                  <w:rFonts w:eastAsia="Times New Roman"/>
                  <w:sz w:val="20"/>
                  <w:szCs w:val="20"/>
                </w:rPr>
                <w:t>109</w:t>
              </w:r>
            </w:hyperlink>
          </w:p>
        </w:tc>
      </w:tr>
      <w:tr w:rsidR="00000000" w14:paraId="5A41C28E" w14:textId="77777777">
        <w:trPr>
          <w:jc w:val="center"/>
        </w:trPr>
        <w:tc>
          <w:tcPr>
            <w:tcW w:w="0" w:type="auto"/>
            <w:gridSpan w:val="3"/>
            <w:shd w:val="clear" w:color="auto" w:fill="FFFFFF"/>
            <w:tcMar>
              <w:top w:w="30" w:type="dxa"/>
              <w:left w:w="20" w:type="dxa"/>
              <w:bottom w:w="30" w:type="dxa"/>
              <w:right w:w="20" w:type="dxa"/>
            </w:tcMar>
            <w:vAlign w:val="bottom"/>
            <w:hideMark/>
          </w:tcPr>
          <w:p w14:paraId="45A960BD" w14:textId="77777777" w:rsidR="00000000" w:rsidRDefault="000C49AD">
            <w:pPr>
              <w:spacing w:after="100"/>
              <w:rPr>
                <w:rFonts w:eastAsia="Times New Roman"/>
              </w:rPr>
            </w:pPr>
            <w:r>
              <w:rPr>
                <w:rFonts w:eastAsia="Times New Roman"/>
                <w:color w:val="000000"/>
                <w:sz w:val="20"/>
                <w:szCs w:val="20"/>
              </w:rPr>
              <w:t>Item 9B.</w:t>
            </w:r>
          </w:p>
        </w:tc>
        <w:tc>
          <w:tcPr>
            <w:tcW w:w="0" w:type="auto"/>
            <w:gridSpan w:val="3"/>
            <w:shd w:val="clear" w:color="auto" w:fill="FFFFFF"/>
            <w:tcMar>
              <w:top w:w="30" w:type="dxa"/>
              <w:left w:w="20" w:type="dxa"/>
              <w:bottom w:w="30" w:type="dxa"/>
              <w:right w:w="20" w:type="dxa"/>
            </w:tcMar>
            <w:vAlign w:val="bottom"/>
            <w:hideMark/>
          </w:tcPr>
          <w:p w14:paraId="0DF11D83" w14:textId="77777777" w:rsidR="00000000" w:rsidRDefault="000C49AD">
            <w:pPr>
              <w:spacing w:after="100"/>
              <w:divId w:val="1106342872"/>
              <w:rPr>
                <w:rFonts w:eastAsia="Times New Roman"/>
              </w:rPr>
            </w:pPr>
            <w:hyperlink w:anchor="i56bb95bb4ed94f6abb9be4d186e21dfb_181" w:history="1">
              <w:r>
                <w:rPr>
                  <w:rStyle w:val="a3"/>
                  <w:rFonts w:eastAsia="Times New Roman"/>
                  <w:sz w:val="20"/>
                  <w:szCs w:val="20"/>
                </w:rPr>
                <w:t>Other Information</w:t>
              </w:r>
            </w:hyperlink>
          </w:p>
        </w:tc>
        <w:tc>
          <w:tcPr>
            <w:tcW w:w="0" w:type="auto"/>
            <w:gridSpan w:val="3"/>
            <w:shd w:val="clear" w:color="auto" w:fill="FFFFFF"/>
            <w:tcMar>
              <w:top w:w="30" w:type="dxa"/>
              <w:left w:w="20" w:type="dxa"/>
              <w:bottom w:w="30" w:type="dxa"/>
              <w:right w:w="20" w:type="dxa"/>
            </w:tcMar>
            <w:vAlign w:val="bottom"/>
            <w:hideMark/>
          </w:tcPr>
          <w:p w14:paraId="7605DED0" w14:textId="77777777" w:rsidR="00000000" w:rsidRDefault="000C49AD">
            <w:pPr>
              <w:spacing w:after="100"/>
              <w:jc w:val="center"/>
              <w:rPr>
                <w:rFonts w:eastAsia="Times New Roman"/>
              </w:rPr>
            </w:pPr>
            <w:hyperlink w:anchor="i56bb95bb4ed94f6abb9be4d186e21dfb_181" w:history="1">
              <w:r>
                <w:rPr>
                  <w:rStyle w:val="a3"/>
                  <w:rFonts w:eastAsia="Times New Roman"/>
                  <w:sz w:val="20"/>
                  <w:szCs w:val="20"/>
                </w:rPr>
                <w:t>110</w:t>
              </w:r>
            </w:hyperlink>
          </w:p>
        </w:tc>
      </w:tr>
      <w:tr w:rsidR="00000000" w14:paraId="046BA3D0" w14:textId="77777777">
        <w:trPr>
          <w:jc w:val="center"/>
        </w:trPr>
        <w:tc>
          <w:tcPr>
            <w:tcW w:w="0" w:type="auto"/>
            <w:gridSpan w:val="3"/>
            <w:shd w:val="clear" w:color="auto" w:fill="CCEEFF"/>
            <w:tcMar>
              <w:top w:w="30" w:type="dxa"/>
              <w:left w:w="20" w:type="dxa"/>
              <w:bottom w:w="30" w:type="dxa"/>
              <w:right w:w="20" w:type="dxa"/>
            </w:tcMar>
            <w:vAlign w:val="bottom"/>
            <w:hideMark/>
          </w:tcPr>
          <w:p w14:paraId="27D19821" w14:textId="77777777" w:rsidR="00000000" w:rsidRDefault="000C49AD">
            <w:pPr>
              <w:spacing w:after="100"/>
              <w:rPr>
                <w:rFonts w:eastAsia="Times New Roman"/>
              </w:rPr>
            </w:pPr>
            <w:r>
              <w:rPr>
                <w:rFonts w:eastAsia="Times New Roman"/>
                <w:color w:val="000000"/>
                <w:sz w:val="20"/>
                <w:szCs w:val="20"/>
              </w:rPr>
              <w:t>Item 9C.</w:t>
            </w:r>
          </w:p>
        </w:tc>
        <w:tc>
          <w:tcPr>
            <w:tcW w:w="0" w:type="auto"/>
            <w:gridSpan w:val="3"/>
            <w:shd w:val="clear" w:color="auto" w:fill="CCEEFF"/>
            <w:tcMar>
              <w:top w:w="30" w:type="dxa"/>
              <w:left w:w="20" w:type="dxa"/>
              <w:bottom w:w="30" w:type="dxa"/>
              <w:right w:w="20" w:type="dxa"/>
            </w:tcMar>
            <w:vAlign w:val="bottom"/>
            <w:hideMark/>
          </w:tcPr>
          <w:p w14:paraId="2EC5FBF6" w14:textId="77777777" w:rsidR="00000000" w:rsidRDefault="000C49AD">
            <w:pPr>
              <w:spacing w:after="100"/>
              <w:divId w:val="1505054968"/>
              <w:rPr>
                <w:rFonts w:eastAsia="Times New Roman"/>
              </w:rPr>
            </w:pPr>
            <w:hyperlink w:anchor="i56bb95bb4ed94f6abb9be4d186e21dfb_1849" w:history="1">
              <w:r>
                <w:rPr>
                  <w:rStyle w:val="a3"/>
                  <w:rFonts w:eastAsia="Times New Roman"/>
                  <w:sz w:val="20"/>
                  <w:szCs w:val="20"/>
                </w:rPr>
                <w:t>Disclosure Regarding Foreign Jurisdictions that Prevent Inspections</w:t>
              </w:r>
            </w:hyperlink>
          </w:p>
        </w:tc>
        <w:tc>
          <w:tcPr>
            <w:tcW w:w="0" w:type="auto"/>
            <w:gridSpan w:val="3"/>
            <w:shd w:val="clear" w:color="auto" w:fill="CCEEFF"/>
            <w:tcMar>
              <w:top w:w="30" w:type="dxa"/>
              <w:left w:w="20" w:type="dxa"/>
              <w:bottom w:w="30" w:type="dxa"/>
              <w:right w:w="20" w:type="dxa"/>
            </w:tcMar>
            <w:vAlign w:val="bottom"/>
            <w:hideMark/>
          </w:tcPr>
          <w:p w14:paraId="7C5FDB43" w14:textId="77777777" w:rsidR="00000000" w:rsidRDefault="000C49AD">
            <w:pPr>
              <w:spacing w:after="100"/>
              <w:jc w:val="center"/>
              <w:rPr>
                <w:rFonts w:eastAsia="Times New Roman"/>
              </w:rPr>
            </w:pPr>
            <w:hyperlink w:anchor="i56bb95bb4ed94f6abb9be4d186e21dfb_1849" w:history="1">
              <w:r>
                <w:rPr>
                  <w:rStyle w:val="a3"/>
                  <w:rFonts w:eastAsia="Times New Roman"/>
                  <w:sz w:val="20"/>
                  <w:szCs w:val="20"/>
                </w:rPr>
                <w:t>110</w:t>
              </w:r>
            </w:hyperlink>
          </w:p>
        </w:tc>
      </w:tr>
      <w:tr w:rsidR="00000000" w14:paraId="11E6D7BC" w14:textId="77777777">
        <w:trPr>
          <w:jc w:val="center"/>
        </w:trPr>
        <w:tc>
          <w:tcPr>
            <w:tcW w:w="0" w:type="auto"/>
            <w:gridSpan w:val="3"/>
            <w:shd w:val="clear" w:color="auto" w:fill="FFFFFF"/>
            <w:tcMar>
              <w:top w:w="30" w:type="dxa"/>
              <w:left w:w="20" w:type="dxa"/>
              <w:bottom w:w="30" w:type="dxa"/>
              <w:right w:w="20" w:type="dxa"/>
            </w:tcMar>
            <w:vAlign w:val="bottom"/>
            <w:hideMark/>
          </w:tcPr>
          <w:p w14:paraId="30780974"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080F6509"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51A3BF18" w14:textId="77777777" w:rsidR="00000000" w:rsidRDefault="000C49AD">
            <w:pPr>
              <w:spacing w:after="100"/>
              <w:jc w:val="center"/>
              <w:rPr>
                <w:rFonts w:eastAsia="Times New Roman"/>
              </w:rPr>
            </w:pPr>
            <w:r>
              <w:rPr>
                <w:rFonts w:eastAsia="Times New Roman"/>
                <w:color w:val="000000"/>
                <w:sz w:val="20"/>
                <w:szCs w:val="20"/>
              </w:rPr>
              <w:t> </w:t>
            </w:r>
          </w:p>
        </w:tc>
      </w:tr>
      <w:tr w:rsidR="00000000" w14:paraId="3F4D9738" w14:textId="77777777">
        <w:trPr>
          <w:jc w:val="center"/>
        </w:trPr>
        <w:tc>
          <w:tcPr>
            <w:tcW w:w="0" w:type="auto"/>
            <w:gridSpan w:val="3"/>
            <w:shd w:val="clear" w:color="auto" w:fill="CCEEFF"/>
            <w:tcMar>
              <w:top w:w="30" w:type="dxa"/>
              <w:left w:w="20" w:type="dxa"/>
              <w:bottom w:w="30" w:type="dxa"/>
              <w:right w:w="20" w:type="dxa"/>
            </w:tcMar>
            <w:vAlign w:val="bottom"/>
            <w:hideMark/>
          </w:tcPr>
          <w:p w14:paraId="5FEEFCDE" w14:textId="77777777" w:rsidR="00000000" w:rsidRDefault="000C49AD">
            <w:pPr>
              <w:spacing w:after="100"/>
              <w:divId w:val="1726756630"/>
              <w:rPr>
                <w:rFonts w:eastAsia="Times New Roman"/>
              </w:rPr>
            </w:pPr>
            <w:hyperlink w:anchor="i56bb95bb4ed94f6abb9be4d186e21dfb_184" w:history="1">
              <w:r>
                <w:rPr>
                  <w:rStyle w:val="a3"/>
                  <w:rFonts w:eastAsia="Times New Roman"/>
                  <w:b/>
                  <w:bCs/>
                  <w:sz w:val="20"/>
                  <w:szCs w:val="20"/>
                </w:rPr>
                <w:t>PART III</w:t>
              </w:r>
            </w:hyperlink>
          </w:p>
        </w:tc>
        <w:tc>
          <w:tcPr>
            <w:tcW w:w="0" w:type="auto"/>
            <w:gridSpan w:val="3"/>
            <w:shd w:val="clear" w:color="auto" w:fill="CCEEFF"/>
            <w:tcMar>
              <w:top w:w="30" w:type="dxa"/>
              <w:left w:w="20" w:type="dxa"/>
              <w:bottom w:w="30" w:type="dxa"/>
              <w:right w:w="20" w:type="dxa"/>
            </w:tcMar>
            <w:vAlign w:val="bottom"/>
            <w:hideMark/>
          </w:tcPr>
          <w:p w14:paraId="6E67CBFA"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1F093547" w14:textId="77777777" w:rsidR="00000000" w:rsidRDefault="000C49AD">
            <w:pPr>
              <w:spacing w:after="100"/>
              <w:jc w:val="center"/>
              <w:rPr>
                <w:rFonts w:eastAsia="Times New Roman"/>
              </w:rPr>
            </w:pPr>
            <w:r>
              <w:rPr>
                <w:rFonts w:eastAsia="Times New Roman"/>
                <w:color w:val="000000"/>
                <w:sz w:val="20"/>
                <w:szCs w:val="20"/>
              </w:rPr>
              <w:t> </w:t>
            </w:r>
          </w:p>
        </w:tc>
      </w:tr>
      <w:tr w:rsidR="00000000" w14:paraId="4D459ADD" w14:textId="77777777">
        <w:trPr>
          <w:jc w:val="center"/>
        </w:trPr>
        <w:tc>
          <w:tcPr>
            <w:tcW w:w="0" w:type="auto"/>
            <w:gridSpan w:val="3"/>
            <w:shd w:val="clear" w:color="auto" w:fill="FFFFFF"/>
            <w:tcMar>
              <w:top w:w="30" w:type="dxa"/>
              <w:left w:w="20" w:type="dxa"/>
              <w:bottom w:w="30" w:type="dxa"/>
              <w:right w:w="20" w:type="dxa"/>
            </w:tcMar>
            <w:vAlign w:val="bottom"/>
            <w:hideMark/>
          </w:tcPr>
          <w:p w14:paraId="1EAF228D" w14:textId="77777777" w:rsidR="00000000" w:rsidRDefault="000C49AD">
            <w:pPr>
              <w:spacing w:after="100"/>
              <w:rPr>
                <w:rFonts w:eastAsia="Times New Roman"/>
              </w:rPr>
            </w:pPr>
            <w:r>
              <w:rPr>
                <w:rFonts w:eastAsia="Times New Roman"/>
                <w:color w:val="000000"/>
                <w:sz w:val="20"/>
                <w:szCs w:val="20"/>
              </w:rPr>
              <w:t>Item 10.</w:t>
            </w:r>
          </w:p>
        </w:tc>
        <w:tc>
          <w:tcPr>
            <w:tcW w:w="0" w:type="auto"/>
            <w:gridSpan w:val="3"/>
            <w:shd w:val="clear" w:color="auto" w:fill="FFFFFF"/>
            <w:tcMar>
              <w:top w:w="30" w:type="dxa"/>
              <w:left w:w="20" w:type="dxa"/>
              <w:bottom w:w="30" w:type="dxa"/>
              <w:right w:w="20" w:type="dxa"/>
            </w:tcMar>
            <w:vAlign w:val="bottom"/>
            <w:hideMark/>
          </w:tcPr>
          <w:p w14:paraId="3FCD4195" w14:textId="77777777" w:rsidR="00000000" w:rsidRDefault="000C49AD">
            <w:pPr>
              <w:spacing w:after="100"/>
              <w:divId w:val="1361777700"/>
              <w:rPr>
                <w:rFonts w:eastAsia="Times New Roman"/>
              </w:rPr>
            </w:pPr>
            <w:hyperlink w:anchor="i56bb95bb4ed94f6abb9be4d186e21dfb_187" w:history="1">
              <w:r>
                <w:rPr>
                  <w:rStyle w:val="a3"/>
                  <w:rFonts w:eastAsia="Times New Roman"/>
                  <w:sz w:val="20"/>
                  <w:szCs w:val="20"/>
                </w:rPr>
                <w:t>Directors, Executive Officers and Corporate Governance</w:t>
              </w:r>
            </w:hyperlink>
          </w:p>
        </w:tc>
        <w:tc>
          <w:tcPr>
            <w:tcW w:w="0" w:type="auto"/>
            <w:gridSpan w:val="3"/>
            <w:shd w:val="clear" w:color="auto" w:fill="FFFFFF"/>
            <w:tcMar>
              <w:top w:w="30" w:type="dxa"/>
              <w:left w:w="20" w:type="dxa"/>
              <w:bottom w:w="30" w:type="dxa"/>
              <w:right w:w="20" w:type="dxa"/>
            </w:tcMar>
            <w:vAlign w:val="bottom"/>
            <w:hideMark/>
          </w:tcPr>
          <w:p w14:paraId="4059BA1C" w14:textId="77777777" w:rsidR="00000000" w:rsidRDefault="000C49AD">
            <w:pPr>
              <w:spacing w:after="100"/>
              <w:jc w:val="center"/>
              <w:rPr>
                <w:rFonts w:eastAsia="Times New Roman"/>
              </w:rPr>
            </w:pPr>
            <w:hyperlink w:anchor="i56bb95bb4ed94f6abb9be4d186e21dfb_187" w:history="1">
              <w:r>
                <w:rPr>
                  <w:rStyle w:val="a3"/>
                  <w:rFonts w:eastAsia="Times New Roman"/>
                  <w:sz w:val="20"/>
                  <w:szCs w:val="20"/>
                </w:rPr>
                <w:t>111</w:t>
              </w:r>
            </w:hyperlink>
          </w:p>
        </w:tc>
      </w:tr>
      <w:tr w:rsidR="00000000" w14:paraId="2C3A45A7" w14:textId="77777777">
        <w:trPr>
          <w:jc w:val="center"/>
        </w:trPr>
        <w:tc>
          <w:tcPr>
            <w:tcW w:w="0" w:type="auto"/>
            <w:gridSpan w:val="3"/>
            <w:shd w:val="clear" w:color="auto" w:fill="CCEEFF"/>
            <w:tcMar>
              <w:top w:w="30" w:type="dxa"/>
              <w:left w:w="20" w:type="dxa"/>
              <w:bottom w:w="30" w:type="dxa"/>
              <w:right w:w="20" w:type="dxa"/>
            </w:tcMar>
            <w:vAlign w:val="bottom"/>
            <w:hideMark/>
          </w:tcPr>
          <w:p w14:paraId="0252F033" w14:textId="77777777" w:rsidR="00000000" w:rsidRDefault="000C49AD">
            <w:pPr>
              <w:spacing w:after="100"/>
              <w:rPr>
                <w:rFonts w:eastAsia="Times New Roman"/>
              </w:rPr>
            </w:pPr>
            <w:r>
              <w:rPr>
                <w:rFonts w:eastAsia="Times New Roman"/>
                <w:color w:val="000000"/>
                <w:sz w:val="20"/>
                <w:szCs w:val="20"/>
              </w:rPr>
              <w:t>Item 11.</w:t>
            </w:r>
          </w:p>
        </w:tc>
        <w:tc>
          <w:tcPr>
            <w:tcW w:w="0" w:type="auto"/>
            <w:gridSpan w:val="3"/>
            <w:shd w:val="clear" w:color="auto" w:fill="CCEEFF"/>
            <w:tcMar>
              <w:top w:w="30" w:type="dxa"/>
              <w:left w:w="20" w:type="dxa"/>
              <w:bottom w:w="30" w:type="dxa"/>
              <w:right w:w="20" w:type="dxa"/>
            </w:tcMar>
            <w:vAlign w:val="bottom"/>
            <w:hideMark/>
          </w:tcPr>
          <w:p w14:paraId="42D574D2" w14:textId="77777777" w:rsidR="00000000" w:rsidRDefault="000C49AD">
            <w:pPr>
              <w:spacing w:after="100"/>
              <w:divId w:val="883521393"/>
              <w:rPr>
                <w:rFonts w:eastAsia="Times New Roman"/>
              </w:rPr>
            </w:pPr>
            <w:hyperlink w:anchor="i56bb95bb4ed94f6abb9be4d186e21dfb_190" w:history="1">
              <w:r>
                <w:rPr>
                  <w:rStyle w:val="a3"/>
                  <w:rFonts w:eastAsia="Times New Roman"/>
                  <w:sz w:val="20"/>
                  <w:szCs w:val="20"/>
                </w:rPr>
                <w:t>Executive Compensation</w:t>
              </w:r>
            </w:hyperlink>
          </w:p>
        </w:tc>
        <w:tc>
          <w:tcPr>
            <w:tcW w:w="0" w:type="auto"/>
            <w:gridSpan w:val="3"/>
            <w:shd w:val="clear" w:color="auto" w:fill="CCEEFF"/>
            <w:tcMar>
              <w:top w:w="30" w:type="dxa"/>
              <w:left w:w="20" w:type="dxa"/>
              <w:bottom w:w="30" w:type="dxa"/>
              <w:right w:w="20" w:type="dxa"/>
            </w:tcMar>
            <w:vAlign w:val="bottom"/>
            <w:hideMark/>
          </w:tcPr>
          <w:p w14:paraId="11EF8126" w14:textId="77777777" w:rsidR="00000000" w:rsidRDefault="000C49AD">
            <w:pPr>
              <w:spacing w:after="100"/>
              <w:jc w:val="center"/>
              <w:rPr>
                <w:rFonts w:eastAsia="Times New Roman"/>
              </w:rPr>
            </w:pPr>
            <w:hyperlink w:anchor="i56bb95bb4ed94f6abb9be4d186e21dfb_190" w:history="1">
              <w:r>
                <w:rPr>
                  <w:rStyle w:val="a3"/>
                  <w:rFonts w:eastAsia="Times New Roman"/>
                  <w:sz w:val="20"/>
                  <w:szCs w:val="20"/>
                </w:rPr>
                <w:t>111</w:t>
              </w:r>
            </w:hyperlink>
          </w:p>
        </w:tc>
      </w:tr>
      <w:tr w:rsidR="00000000" w14:paraId="03D53F16" w14:textId="77777777">
        <w:trPr>
          <w:jc w:val="center"/>
        </w:trPr>
        <w:tc>
          <w:tcPr>
            <w:tcW w:w="0" w:type="auto"/>
            <w:gridSpan w:val="3"/>
            <w:shd w:val="clear" w:color="auto" w:fill="FFFFFF"/>
            <w:tcMar>
              <w:top w:w="30" w:type="dxa"/>
              <w:left w:w="20" w:type="dxa"/>
              <w:bottom w:w="30" w:type="dxa"/>
              <w:right w:w="20" w:type="dxa"/>
            </w:tcMar>
            <w:hideMark/>
          </w:tcPr>
          <w:p w14:paraId="528EF002" w14:textId="77777777" w:rsidR="00000000" w:rsidRDefault="000C49AD">
            <w:pPr>
              <w:spacing w:after="100"/>
              <w:rPr>
                <w:rFonts w:eastAsia="Times New Roman"/>
              </w:rPr>
            </w:pPr>
            <w:r>
              <w:rPr>
                <w:rFonts w:eastAsia="Times New Roman"/>
                <w:color w:val="000000"/>
                <w:sz w:val="20"/>
                <w:szCs w:val="20"/>
              </w:rPr>
              <w:t>Item 12.</w:t>
            </w:r>
          </w:p>
        </w:tc>
        <w:tc>
          <w:tcPr>
            <w:tcW w:w="0" w:type="auto"/>
            <w:gridSpan w:val="3"/>
            <w:shd w:val="clear" w:color="auto" w:fill="FFFFFF"/>
            <w:tcMar>
              <w:top w:w="30" w:type="dxa"/>
              <w:left w:w="20" w:type="dxa"/>
              <w:bottom w:w="30" w:type="dxa"/>
              <w:right w:w="20" w:type="dxa"/>
            </w:tcMar>
            <w:vAlign w:val="bottom"/>
            <w:hideMark/>
          </w:tcPr>
          <w:p w14:paraId="509A5C7C" w14:textId="77777777" w:rsidR="00000000" w:rsidRDefault="000C49AD">
            <w:pPr>
              <w:spacing w:after="100"/>
              <w:divId w:val="1490562523"/>
              <w:rPr>
                <w:rFonts w:eastAsia="Times New Roman"/>
              </w:rPr>
            </w:pPr>
            <w:hyperlink w:anchor="i56bb95bb4ed94f6abb9be4d186e21dfb_193" w:history="1">
              <w:r>
                <w:rPr>
                  <w:rStyle w:val="a3"/>
                  <w:rFonts w:eastAsia="Times New Roman"/>
                  <w:sz w:val="20"/>
                  <w:szCs w:val="20"/>
                </w:rPr>
                <w:t>Security Ownership of Certain Beneficial Owners and Management and Related Stockholder Matters</w:t>
              </w:r>
            </w:hyperlink>
          </w:p>
        </w:tc>
        <w:tc>
          <w:tcPr>
            <w:tcW w:w="0" w:type="auto"/>
            <w:gridSpan w:val="3"/>
            <w:shd w:val="clear" w:color="auto" w:fill="FFFFFF"/>
            <w:tcMar>
              <w:top w:w="30" w:type="dxa"/>
              <w:left w:w="20" w:type="dxa"/>
              <w:bottom w:w="30" w:type="dxa"/>
              <w:right w:w="20" w:type="dxa"/>
            </w:tcMar>
            <w:vAlign w:val="bottom"/>
            <w:hideMark/>
          </w:tcPr>
          <w:p w14:paraId="4CDAE021" w14:textId="77777777" w:rsidR="00000000" w:rsidRDefault="000C49AD">
            <w:pPr>
              <w:spacing w:after="100"/>
              <w:jc w:val="center"/>
              <w:rPr>
                <w:rFonts w:eastAsia="Times New Roman"/>
              </w:rPr>
            </w:pPr>
            <w:hyperlink w:anchor="i56bb95bb4ed94f6abb9be4d186e21dfb_193" w:history="1">
              <w:r>
                <w:rPr>
                  <w:rStyle w:val="a3"/>
                  <w:rFonts w:eastAsia="Times New Roman"/>
                  <w:sz w:val="20"/>
                  <w:szCs w:val="20"/>
                </w:rPr>
                <w:t>111</w:t>
              </w:r>
            </w:hyperlink>
          </w:p>
        </w:tc>
      </w:tr>
      <w:tr w:rsidR="00000000" w14:paraId="71F7989B" w14:textId="77777777">
        <w:trPr>
          <w:jc w:val="center"/>
        </w:trPr>
        <w:tc>
          <w:tcPr>
            <w:tcW w:w="0" w:type="auto"/>
            <w:gridSpan w:val="3"/>
            <w:shd w:val="clear" w:color="auto" w:fill="CCEEFF"/>
            <w:tcMar>
              <w:top w:w="30" w:type="dxa"/>
              <w:left w:w="20" w:type="dxa"/>
              <w:bottom w:w="30" w:type="dxa"/>
              <w:right w:w="20" w:type="dxa"/>
            </w:tcMar>
            <w:vAlign w:val="bottom"/>
            <w:hideMark/>
          </w:tcPr>
          <w:p w14:paraId="26E1F474" w14:textId="77777777" w:rsidR="00000000" w:rsidRDefault="000C49AD">
            <w:pPr>
              <w:spacing w:after="100"/>
              <w:rPr>
                <w:rFonts w:eastAsia="Times New Roman"/>
              </w:rPr>
            </w:pPr>
            <w:r>
              <w:rPr>
                <w:rFonts w:eastAsia="Times New Roman"/>
                <w:color w:val="000000"/>
                <w:sz w:val="20"/>
                <w:szCs w:val="20"/>
              </w:rPr>
              <w:t>Item 13.</w:t>
            </w:r>
          </w:p>
        </w:tc>
        <w:tc>
          <w:tcPr>
            <w:tcW w:w="0" w:type="auto"/>
            <w:gridSpan w:val="3"/>
            <w:shd w:val="clear" w:color="auto" w:fill="CCEEFF"/>
            <w:tcMar>
              <w:top w:w="30" w:type="dxa"/>
              <w:left w:w="20" w:type="dxa"/>
              <w:bottom w:w="30" w:type="dxa"/>
              <w:right w:w="20" w:type="dxa"/>
            </w:tcMar>
            <w:vAlign w:val="bottom"/>
            <w:hideMark/>
          </w:tcPr>
          <w:p w14:paraId="456BC83A" w14:textId="77777777" w:rsidR="00000000" w:rsidRDefault="000C49AD">
            <w:pPr>
              <w:spacing w:after="100"/>
              <w:divId w:val="1227646764"/>
              <w:rPr>
                <w:rFonts w:eastAsia="Times New Roman"/>
              </w:rPr>
            </w:pPr>
            <w:hyperlink w:anchor="i56bb95bb4ed94f6abb9be4d186e21dfb_196" w:history="1">
              <w:r>
                <w:rPr>
                  <w:rStyle w:val="a3"/>
                  <w:rFonts w:eastAsia="Times New Roman"/>
                  <w:sz w:val="20"/>
                  <w:szCs w:val="20"/>
                </w:rPr>
                <w:t>Certain Relationships and Related Transactions, and Director Independence</w:t>
              </w:r>
            </w:hyperlink>
          </w:p>
        </w:tc>
        <w:tc>
          <w:tcPr>
            <w:tcW w:w="0" w:type="auto"/>
            <w:gridSpan w:val="3"/>
            <w:shd w:val="clear" w:color="auto" w:fill="CCEEFF"/>
            <w:tcMar>
              <w:top w:w="30" w:type="dxa"/>
              <w:left w:w="20" w:type="dxa"/>
              <w:bottom w:w="30" w:type="dxa"/>
              <w:right w:w="20" w:type="dxa"/>
            </w:tcMar>
            <w:vAlign w:val="bottom"/>
            <w:hideMark/>
          </w:tcPr>
          <w:p w14:paraId="52ED3ADA" w14:textId="77777777" w:rsidR="00000000" w:rsidRDefault="000C49AD">
            <w:pPr>
              <w:spacing w:after="100"/>
              <w:jc w:val="center"/>
              <w:rPr>
                <w:rFonts w:eastAsia="Times New Roman"/>
              </w:rPr>
            </w:pPr>
            <w:hyperlink w:anchor="i56bb95bb4ed94f6abb9be4d186e21dfb_196" w:history="1">
              <w:r>
                <w:rPr>
                  <w:rStyle w:val="a3"/>
                  <w:rFonts w:eastAsia="Times New Roman"/>
                  <w:sz w:val="20"/>
                  <w:szCs w:val="20"/>
                </w:rPr>
                <w:t>111</w:t>
              </w:r>
            </w:hyperlink>
          </w:p>
        </w:tc>
      </w:tr>
      <w:tr w:rsidR="00000000" w14:paraId="005350B0" w14:textId="77777777">
        <w:trPr>
          <w:jc w:val="center"/>
        </w:trPr>
        <w:tc>
          <w:tcPr>
            <w:tcW w:w="0" w:type="auto"/>
            <w:gridSpan w:val="3"/>
            <w:shd w:val="clear" w:color="auto" w:fill="FFFFFF"/>
            <w:tcMar>
              <w:top w:w="30" w:type="dxa"/>
              <w:left w:w="20" w:type="dxa"/>
              <w:bottom w:w="30" w:type="dxa"/>
              <w:right w:w="20" w:type="dxa"/>
            </w:tcMar>
            <w:vAlign w:val="bottom"/>
            <w:hideMark/>
          </w:tcPr>
          <w:p w14:paraId="42A6633A" w14:textId="77777777" w:rsidR="00000000" w:rsidRDefault="000C49AD">
            <w:pPr>
              <w:spacing w:after="100"/>
              <w:rPr>
                <w:rFonts w:eastAsia="Times New Roman"/>
              </w:rPr>
            </w:pPr>
            <w:r>
              <w:rPr>
                <w:rFonts w:eastAsia="Times New Roman"/>
                <w:color w:val="000000"/>
                <w:sz w:val="20"/>
                <w:szCs w:val="20"/>
              </w:rPr>
              <w:t>Item 14.</w:t>
            </w:r>
          </w:p>
        </w:tc>
        <w:tc>
          <w:tcPr>
            <w:tcW w:w="0" w:type="auto"/>
            <w:gridSpan w:val="3"/>
            <w:shd w:val="clear" w:color="auto" w:fill="FFFFFF"/>
            <w:tcMar>
              <w:top w:w="30" w:type="dxa"/>
              <w:left w:w="20" w:type="dxa"/>
              <w:bottom w:w="30" w:type="dxa"/>
              <w:right w:w="20" w:type="dxa"/>
            </w:tcMar>
            <w:vAlign w:val="bottom"/>
            <w:hideMark/>
          </w:tcPr>
          <w:p w14:paraId="043977B9" w14:textId="77777777" w:rsidR="00000000" w:rsidRDefault="000C49AD">
            <w:pPr>
              <w:spacing w:after="100"/>
              <w:divId w:val="831749819"/>
              <w:rPr>
                <w:rFonts w:eastAsia="Times New Roman"/>
              </w:rPr>
            </w:pPr>
            <w:hyperlink w:anchor="i56bb95bb4ed94f6abb9be4d186e21dfb_199" w:history="1">
              <w:r>
                <w:rPr>
                  <w:rStyle w:val="a3"/>
                  <w:rFonts w:eastAsia="Times New Roman"/>
                  <w:sz w:val="20"/>
                  <w:szCs w:val="20"/>
                </w:rPr>
                <w:t>Principal Accounting Fees and Services</w:t>
              </w:r>
            </w:hyperlink>
          </w:p>
        </w:tc>
        <w:tc>
          <w:tcPr>
            <w:tcW w:w="0" w:type="auto"/>
            <w:gridSpan w:val="3"/>
            <w:shd w:val="clear" w:color="auto" w:fill="FFFFFF"/>
            <w:tcMar>
              <w:top w:w="30" w:type="dxa"/>
              <w:left w:w="20" w:type="dxa"/>
              <w:bottom w:w="30" w:type="dxa"/>
              <w:right w:w="20" w:type="dxa"/>
            </w:tcMar>
            <w:vAlign w:val="bottom"/>
            <w:hideMark/>
          </w:tcPr>
          <w:p w14:paraId="2BB2AAE8" w14:textId="77777777" w:rsidR="00000000" w:rsidRDefault="000C49AD">
            <w:pPr>
              <w:spacing w:after="100"/>
              <w:jc w:val="center"/>
              <w:rPr>
                <w:rFonts w:eastAsia="Times New Roman"/>
              </w:rPr>
            </w:pPr>
            <w:hyperlink w:anchor="i56bb95bb4ed94f6abb9be4d186e21dfb_199" w:history="1">
              <w:r>
                <w:rPr>
                  <w:rStyle w:val="a3"/>
                  <w:rFonts w:eastAsia="Times New Roman"/>
                  <w:sz w:val="20"/>
                  <w:szCs w:val="20"/>
                </w:rPr>
                <w:t>111</w:t>
              </w:r>
            </w:hyperlink>
          </w:p>
        </w:tc>
      </w:tr>
      <w:tr w:rsidR="00000000" w14:paraId="182C2237" w14:textId="77777777">
        <w:trPr>
          <w:jc w:val="center"/>
        </w:trPr>
        <w:tc>
          <w:tcPr>
            <w:tcW w:w="0" w:type="auto"/>
            <w:gridSpan w:val="3"/>
            <w:shd w:val="clear" w:color="auto" w:fill="CCEEFF"/>
            <w:tcMar>
              <w:top w:w="30" w:type="dxa"/>
              <w:left w:w="20" w:type="dxa"/>
              <w:bottom w:w="30" w:type="dxa"/>
              <w:right w:w="20" w:type="dxa"/>
            </w:tcMar>
            <w:vAlign w:val="bottom"/>
            <w:hideMark/>
          </w:tcPr>
          <w:p w14:paraId="174B3194"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3AB9B2BD"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CCEEFF"/>
            <w:tcMar>
              <w:top w:w="30" w:type="dxa"/>
              <w:left w:w="20" w:type="dxa"/>
              <w:bottom w:w="30" w:type="dxa"/>
              <w:right w:w="20" w:type="dxa"/>
            </w:tcMar>
            <w:vAlign w:val="bottom"/>
            <w:hideMark/>
          </w:tcPr>
          <w:p w14:paraId="010AD8CF" w14:textId="77777777" w:rsidR="00000000" w:rsidRDefault="000C49AD">
            <w:pPr>
              <w:spacing w:after="100"/>
              <w:jc w:val="center"/>
              <w:rPr>
                <w:rFonts w:eastAsia="Times New Roman"/>
              </w:rPr>
            </w:pPr>
            <w:r>
              <w:rPr>
                <w:rFonts w:eastAsia="Times New Roman"/>
                <w:color w:val="000000"/>
                <w:sz w:val="20"/>
                <w:szCs w:val="20"/>
              </w:rPr>
              <w:t> </w:t>
            </w:r>
          </w:p>
        </w:tc>
      </w:tr>
      <w:tr w:rsidR="00000000" w14:paraId="681536F2" w14:textId="77777777">
        <w:trPr>
          <w:jc w:val="center"/>
        </w:trPr>
        <w:tc>
          <w:tcPr>
            <w:tcW w:w="0" w:type="auto"/>
            <w:gridSpan w:val="3"/>
            <w:shd w:val="clear" w:color="auto" w:fill="FFFFFF"/>
            <w:tcMar>
              <w:top w:w="30" w:type="dxa"/>
              <w:left w:w="20" w:type="dxa"/>
              <w:bottom w:w="30" w:type="dxa"/>
              <w:right w:w="20" w:type="dxa"/>
            </w:tcMar>
            <w:vAlign w:val="bottom"/>
            <w:hideMark/>
          </w:tcPr>
          <w:p w14:paraId="7029677A" w14:textId="77777777" w:rsidR="00000000" w:rsidRDefault="000C49AD">
            <w:pPr>
              <w:spacing w:after="100"/>
              <w:divId w:val="1967082098"/>
              <w:rPr>
                <w:rFonts w:eastAsia="Times New Roman"/>
              </w:rPr>
            </w:pPr>
            <w:hyperlink w:anchor="i56bb95bb4ed94f6abb9be4d186e21dfb_202" w:history="1">
              <w:r>
                <w:rPr>
                  <w:rStyle w:val="a3"/>
                  <w:rFonts w:eastAsia="Times New Roman"/>
                  <w:b/>
                  <w:bCs/>
                  <w:sz w:val="20"/>
                  <w:szCs w:val="20"/>
                </w:rPr>
                <w:t>PART IV</w:t>
              </w:r>
            </w:hyperlink>
          </w:p>
        </w:tc>
        <w:tc>
          <w:tcPr>
            <w:tcW w:w="0" w:type="auto"/>
            <w:gridSpan w:val="3"/>
            <w:shd w:val="clear" w:color="auto" w:fill="FFFFFF"/>
            <w:tcMar>
              <w:top w:w="30" w:type="dxa"/>
              <w:left w:w="20" w:type="dxa"/>
              <w:bottom w:w="30" w:type="dxa"/>
              <w:right w:w="20" w:type="dxa"/>
            </w:tcMar>
            <w:vAlign w:val="bottom"/>
            <w:hideMark/>
          </w:tcPr>
          <w:p w14:paraId="7F73B44E"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14D91C09" w14:textId="77777777" w:rsidR="00000000" w:rsidRDefault="000C49AD">
            <w:pPr>
              <w:spacing w:after="100"/>
              <w:jc w:val="center"/>
              <w:rPr>
                <w:rFonts w:eastAsia="Times New Roman"/>
              </w:rPr>
            </w:pPr>
            <w:r>
              <w:rPr>
                <w:rFonts w:eastAsia="Times New Roman"/>
                <w:color w:val="000000"/>
                <w:sz w:val="20"/>
                <w:szCs w:val="20"/>
              </w:rPr>
              <w:t> </w:t>
            </w:r>
          </w:p>
        </w:tc>
      </w:tr>
      <w:tr w:rsidR="00000000" w14:paraId="63C84AC6" w14:textId="77777777">
        <w:trPr>
          <w:jc w:val="center"/>
        </w:trPr>
        <w:tc>
          <w:tcPr>
            <w:tcW w:w="0" w:type="auto"/>
            <w:gridSpan w:val="3"/>
            <w:shd w:val="clear" w:color="auto" w:fill="CCEEFF"/>
            <w:tcMar>
              <w:top w:w="30" w:type="dxa"/>
              <w:left w:w="20" w:type="dxa"/>
              <w:bottom w:w="30" w:type="dxa"/>
              <w:right w:w="20" w:type="dxa"/>
            </w:tcMar>
            <w:vAlign w:val="bottom"/>
            <w:hideMark/>
          </w:tcPr>
          <w:p w14:paraId="10E9CC2A" w14:textId="77777777" w:rsidR="00000000" w:rsidRDefault="000C49AD">
            <w:pPr>
              <w:spacing w:after="100"/>
              <w:rPr>
                <w:rFonts w:eastAsia="Times New Roman"/>
              </w:rPr>
            </w:pPr>
            <w:r>
              <w:rPr>
                <w:rFonts w:eastAsia="Times New Roman"/>
                <w:color w:val="000000"/>
                <w:sz w:val="20"/>
                <w:szCs w:val="20"/>
              </w:rPr>
              <w:t>Item 15.</w:t>
            </w:r>
          </w:p>
        </w:tc>
        <w:tc>
          <w:tcPr>
            <w:tcW w:w="0" w:type="auto"/>
            <w:gridSpan w:val="3"/>
            <w:shd w:val="clear" w:color="auto" w:fill="CCEEFF"/>
            <w:tcMar>
              <w:top w:w="30" w:type="dxa"/>
              <w:left w:w="20" w:type="dxa"/>
              <w:bottom w:w="30" w:type="dxa"/>
              <w:right w:w="20" w:type="dxa"/>
            </w:tcMar>
            <w:vAlign w:val="bottom"/>
            <w:hideMark/>
          </w:tcPr>
          <w:p w14:paraId="744A3076" w14:textId="77777777" w:rsidR="00000000" w:rsidRDefault="000C49AD">
            <w:pPr>
              <w:spacing w:after="100"/>
              <w:divId w:val="221141132"/>
              <w:rPr>
                <w:rFonts w:eastAsia="Times New Roman"/>
              </w:rPr>
            </w:pPr>
            <w:hyperlink w:anchor="i56bb95bb4ed94f6abb9be4d186e21dfb_205" w:history="1">
              <w:r>
                <w:rPr>
                  <w:rStyle w:val="a3"/>
                  <w:rFonts w:eastAsia="Times New Roman"/>
                  <w:sz w:val="20"/>
                  <w:szCs w:val="20"/>
                </w:rPr>
                <w:t>Exhibits</w:t>
              </w:r>
            </w:hyperlink>
          </w:p>
        </w:tc>
        <w:tc>
          <w:tcPr>
            <w:tcW w:w="0" w:type="auto"/>
            <w:gridSpan w:val="3"/>
            <w:shd w:val="clear" w:color="auto" w:fill="CCEEFF"/>
            <w:tcMar>
              <w:top w:w="30" w:type="dxa"/>
              <w:left w:w="20" w:type="dxa"/>
              <w:bottom w:w="30" w:type="dxa"/>
              <w:right w:w="20" w:type="dxa"/>
            </w:tcMar>
            <w:vAlign w:val="bottom"/>
            <w:hideMark/>
          </w:tcPr>
          <w:p w14:paraId="5D320A76" w14:textId="77777777" w:rsidR="00000000" w:rsidRDefault="000C49AD">
            <w:pPr>
              <w:spacing w:after="100"/>
              <w:jc w:val="center"/>
              <w:rPr>
                <w:rFonts w:eastAsia="Times New Roman"/>
              </w:rPr>
            </w:pPr>
            <w:hyperlink w:anchor="i56bb95bb4ed94f6abb9be4d186e21dfb_205" w:history="1">
              <w:r>
                <w:rPr>
                  <w:rStyle w:val="a3"/>
                  <w:rFonts w:eastAsia="Times New Roman"/>
                  <w:sz w:val="20"/>
                  <w:szCs w:val="20"/>
                </w:rPr>
                <w:t>112</w:t>
              </w:r>
            </w:hyperlink>
          </w:p>
        </w:tc>
      </w:tr>
      <w:tr w:rsidR="00000000" w14:paraId="5D388FEB" w14:textId="77777777">
        <w:trPr>
          <w:jc w:val="center"/>
        </w:trPr>
        <w:tc>
          <w:tcPr>
            <w:tcW w:w="0" w:type="auto"/>
            <w:gridSpan w:val="6"/>
            <w:shd w:val="clear" w:color="auto" w:fill="FFFFFF"/>
            <w:tcMar>
              <w:top w:w="30" w:type="dxa"/>
              <w:left w:w="20" w:type="dxa"/>
              <w:bottom w:w="30" w:type="dxa"/>
              <w:right w:w="20" w:type="dxa"/>
            </w:tcMar>
            <w:vAlign w:val="bottom"/>
            <w:hideMark/>
          </w:tcPr>
          <w:p w14:paraId="15E97C14" w14:textId="77777777" w:rsidR="00000000" w:rsidRDefault="000C49AD">
            <w:pPr>
              <w:spacing w:after="100"/>
              <w:rPr>
                <w:rFonts w:eastAsia="Times New Roman"/>
              </w:rPr>
            </w:pPr>
            <w:r>
              <w:rPr>
                <w:rFonts w:eastAsia="Times New Roman"/>
                <w:color w:val="000000"/>
                <w:sz w:val="20"/>
                <w:szCs w:val="20"/>
              </w:rPr>
              <w:t> </w:t>
            </w:r>
          </w:p>
        </w:tc>
        <w:tc>
          <w:tcPr>
            <w:tcW w:w="0" w:type="auto"/>
            <w:gridSpan w:val="3"/>
            <w:shd w:val="clear" w:color="auto" w:fill="FFFFFF"/>
            <w:tcMar>
              <w:top w:w="30" w:type="dxa"/>
              <w:left w:w="20" w:type="dxa"/>
              <w:bottom w:w="30" w:type="dxa"/>
              <w:right w:w="20" w:type="dxa"/>
            </w:tcMar>
            <w:vAlign w:val="bottom"/>
            <w:hideMark/>
          </w:tcPr>
          <w:p w14:paraId="3949BF31" w14:textId="77777777" w:rsidR="00000000" w:rsidRDefault="000C49AD">
            <w:pPr>
              <w:spacing w:after="100"/>
              <w:jc w:val="center"/>
              <w:rPr>
                <w:rFonts w:eastAsia="Times New Roman"/>
              </w:rPr>
            </w:pPr>
            <w:r>
              <w:rPr>
                <w:rFonts w:eastAsia="Times New Roman"/>
                <w:color w:val="000000"/>
                <w:sz w:val="20"/>
                <w:szCs w:val="20"/>
              </w:rPr>
              <w:t> </w:t>
            </w:r>
          </w:p>
        </w:tc>
      </w:tr>
      <w:tr w:rsidR="00000000" w14:paraId="3FCC8608" w14:textId="77777777">
        <w:trPr>
          <w:jc w:val="center"/>
        </w:trPr>
        <w:tc>
          <w:tcPr>
            <w:tcW w:w="0" w:type="auto"/>
            <w:gridSpan w:val="6"/>
            <w:shd w:val="clear" w:color="auto" w:fill="CCEEFF"/>
            <w:tcMar>
              <w:top w:w="30" w:type="dxa"/>
              <w:left w:w="20" w:type="dxa"/>
              <w:bottom w:w="30" w:type="dxa"/>
              <w:right w:w="20" w:type="dxa"/>
            </w:tcMar>
            <w:vAlign w:val="bottom"/>
            <w:hideMark/>
          </w:tcPr>
          <w:p w14:paraId="5DF61165" w14:textId="77777777" w:rsidR="00000000" w:rsidRDefault="000C49AD">
            <w:pPr>
              <w:spacing w:after="100"/>
              <w:divId w:val="525799209"/>
              <w:rPr>
                <w:rFonts w:eastAsia="Times New Roman"/>
              </w:rPr>
            </w:pPr>
            <w:hyperlink w:anchor="i56bb95bb4ed94f6abb9be4d186e21dfb_208" w:history="1">
              <w:r>
                <w:rPr>
                  <w:rStyle w:val="a3"/>
                  <w:rFonts w:eastAsia="Times New Roman"/>
                  <w:b/>
                  <w:bCs/>
                  <w:sz w:val="20"/>
                  <w:szCs w:val="20"/>
                </w:rPr>
                <w:t>SIGNATURES</w:t>
              </w:r>
            </w:hyperlink>
          </w:p>
        </w:tc>
        <w:tc>
          <w:tcPr>
            <w:tcW w:w="0" w:type="auto"/>
            <w:gridSpan w:val="3"/>
            <w:shd w:val="clear" w:color="auto" w:fill="CCEEFF"/>
            <w:tcMar>
              <w:top w:w="30" w:type="dxa"/>
              <w:left w:w="20" w:type="dxa"/>
              <w:bottom w:w="30" w:type="dxa"/>
              <w:right w:w="20" w:type="dxa"/>
            </w:tcMar>
            <w:vAlign w:val="bottom"/>
            <w:hideMark/>
          </w:tcPr>
          <w:p w14:paraId="44064687" w14:textId="77777777" w:rsidR="00000000" w:rsidRDefault="000C49AD">
            <w:pPr>
              <w:spacing w:after="100"/>
              <w:jc w:val="center"/>
              <w:rPr>
                <w:rFonts w:eastAsia="Times New Roman"/>
              </w:rPr>
            </w:pPr>
            <w:hyperlink w:anchor="i56bb95bb4ed94f6abb9be4d186e21dfb_208" w:history="1">
              <w:r>
                <w:rPr>
                  <w:rStyle w:val="a3"/>
                  <w:rFonts w:eastAsia="Times New Roman"/>
                  <w:sz w:val="20"/>
                  <w:szCs w:val="20"/>
                </w:rPr>
                <w:t>116</w:t>
              </w:r>
            </w:hyperlink>
          </w:p>
        </w:tc>
      </w:tr>
    </w:tbl>
    <w:p w14:paraId="243EA458" w14:textId="77777777" w:rsidR="00000000" w:rsidRDefault="000C49AD">
      <w:pPr>
        <w:divId w:val="831406684"/>
        <w:rPr>
          <w:rFonts w:eastAsia="Times New Roman"/>
        </w:rPr>
      </w:pPr>
      <w:r>
        <w:rPr>
          <w:rFonts w:eastAsia="Times New Roman"/>
          <w:color w:val="000000"/>
          <w:sz w:val="20"/>
          <w:szCs w:val="20"/>
        </w:rPr>
        <w:t> </w:t>
      </w:r>
    </w:p>
    <w:p w14:paraId="123389BB" w14:textId="77777777" w:rsidR="00000000" w:rsidRDefault="000C49AD">
      <w:pPr>
        <w:divId w:val="1322543785"/>
        <w:rPr>
          <w:rFonts w:eastAsia="Times New Roman"/>
        </w:rPr>
      </w:pPr>
    </w:p>
    <w:p w14:paraId="5E378287" w14:textId="77777777" w:rsidR="00000000" w:rsidRDefault="000C49AD">
      <w:pPr>
        <w:divId w:val="2036274647"/>
        <w:rPr>
          <w:rFonts w:eastAsia="Times New Roman"/>
        </w:rPr>
      </w:pPr>
    </w:p>
    <w:p w14:paraId="12976CB5" w14:textId="77777777" w:rsidR="00000000" w:rsidRDefault="000C49AD">
      <w:pPr>
        <w:jc w:val="center"/>
        <w:divId w:val="1653833208"/>
        <w:rPr>
          <w:rFonts w:eastAsia="Times New Roman"/>
        </w:rPr>
      </w:pPr>
      <w:r>
        <w:rPr>
          <w:rFonts w:eastAsia="Times New Roman"/>
          <w:color w:val="000000"/>
          <w:sz w:val="20"/>
          <w:szCs w:val="20"/>
        </w:rPr>
        <w:t>-3-</w:t>
      </w:r>
    </w:p>
    <w:p w14:paraId="5632124D" w14:textId="77777777" w:rsidR="00000000" w:rsidRDefault="000C49AD">
      <w:pPr>
        <w:rPr>
          <w:rFonts w:eastAsia="Times New Roman"/>
        </w:rPr>
      </w:pPr>
      <w:r>
        <w:rPr>
          <w:rFonts w:eastAsia="Times New Roman"/>
        </w:rPr>
        <w:pict w14:anchorId="7005ED0E">
          <v:rect id="_x0000_i1027" style="width:0;height:1.5pt" o:hralign="center" o:hrstd="t" o:hr="t" fillcolor="#a0a0a0" stroked="f"/>
        </w:pict>
      </w:r>
    </w:p>
    <w:p w14:paraId="59F4F6CD" w14:textId="77777777" w:rsidR="00000000" w:rsidRDefault="000C49AD">
      <w:pPr>
        <w:divId w:val="1163358007"/>
        <w:rPr>
          <w:rFonts w:eastAsia="Times New Roman"/>
        </w:rPr>
      </w:pPr>
    </w:p>
    <w:p w14:paraId="25AD06B8" w14:textId="77777777" w:rsidR="00000000" w:rsidRDefault="000C49AD">
      <w:pPr>
        <w:jc w:val="center"/>
        <w:rPr>
          <w:rFonts w:eastAsia="Times New Roman"/>
        </w:rPr>
      </w:pPr>
      <w:r>
        <w:rPr>
          <w:rFonts w:eastAsia="Times New Roman"/>
          <w:b/>
          <w:bCs/>
          <w:color w:val="000000"/>
          <w:sz w:val="20"/>
          <w:szCs w:val="20"/>
        </w:rPr>
        <w:t>SUMMARY OF THE MATERIAL RISKS ASSOCIATED WITH OUR BUSINESS</w:t>
      </w:r>
    </w:p>
    <w:p w14:paraId="79E77810" w14:textId="77777777" w:rsidR="00000000" w:rsidRDefault="000C49AD">
      <w:pPr>
        <w:divId w:val="1151212426"/>
        <w:rPr>
          <w:rFonts w:eastAsia="Times New Roman"/>
        </w:rPr>
      </w:pPr>
    </w:p>
    <w:p w14:paraId="3FF5F8FF" w14:textId="77777777" w:rsidR="00000000" w:rsidRDefault="000C49AD">
      <w:pPr>
        <w:jc w:val="both"/>
        <w:rPr>
          <w:rFonts w:eastAsia="Times New Roman"/>
        </w:rPr>
      </w:pPr>
      <w:r>
        <w:rPr>
          <w:rFonts w:eastAsia="Times New Roman"/>
          <w:color w:val="000000"/>
          <w:sz w:val="20"/>
          <w:szCs w:val="20"/>
        </w:rPr>
        <w:t>Our business is subject to numerous material and other risks and uncertainties, including those described in Part I, Item 1A. “Risk Factors” in this Annual R</w:t>
      </w:r>
      <w:r>
        <w:rPr>
          <w:rFonts w:eastAsia="Times New Roman"/>
          <w:color w:val="000000"/>
          <w:sz w:val="20"/>
          <w:szCs w:val="20"/>
        </w:rPr>
        <w:t>eport on Form 10-K. The principal risks and uncertainties affecting our business include the following:</w:t>
      </w:r>
    </w:p>
    <w:p w14:paraId="5A5E19CA" w14:textId="77777777" w:rsidR="00000000" w:rsidRDefault="000C49AD">
      <w:pPr>
        <w:divId w:val="538081672"/>
        <w:rPr>
          <w:rFonts w:eastAsia="Times New Roman"/>
        </w:rPr>
      </w:pPr>
    </w:p>
    <w:p w14:paraId="67103B57"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cannot be certain that our lead product candidate or future product candidates will receive marketing approval. Without marketing approval, we will not be able to commercialize our lead product candidate or future product candidates.</w:t>
      </w:r>
    </w:p>
    <w:p w14:paraId="74C15417"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business is significantly dependent on the successful development, regulatory approval and commercialization of FT218, our only product candidate.</w:t>
      </w:r>
    </w:p>
    <w:p w14:paraId="37C3EE3E"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lead product candidate and future product candidates may not reach the commercial market for a numbe</w:t>
      </w:r>
      <w:r>
        <w:rPr>
          <w:rFonts w:eastAsia="Times New Roman"/>
          <w:color w:val="000000"/>
          <w:sz w:val="20"/>
          <w:szCs w:val="20"/>
        </w:rPr>
        <w:t>r of reasons.</w:t>
      </w:r>
    </w:p>
    <w:p w14:paraId="72978BF9" w14:textId="77777777" w:rsidR="00000000" w:rsidRDefault="000C49AD">
      <w:pPr>
        <w:ind w:hanging="360"/>
        <w:jc w:val="both"/>
        <w:rPr>
          <w:rFonts w:eastAsia="Times New Roman"/>
        </w:rPr>
      </w:pPr>
      <w:r>
        <w:rPr>
          <w:rFonts w:ascii="Arial" w:eastAsia="Times New Roman" w:hAnsi="Arial" w:cs="Arial"/>
          <w:color w:val="000000"/>
        </w:rPr>
        <w:lastRenderedPageBreak/>
        <w:t>•</w:t>
      </w:r>
      <w:r>
        <w:rPr>
          <w:rFonts w:eastAsia="Times New Roman"/>
          <w:color w:val="000000"/>
          <w:sz w:val="20"/>
          <w:szCs w:val="20"/>
        </w:rPr>
        <w:t xml:space="preserve">If we are not able to use the 505(b)(2) regulatory approval pathway for the regulatory approval of FT218 or if the U.S. Food and Drug Administration (“FDA”) requires additional clinical or nonclinical data to support an New Drug Application </w:t>
      </w:r>
      <w:r>
        <w:rPr>
          <w:rFonts w:eastAsia="Times New Roman"/>
          <w:color w:val="000000"/>
          <w:sz w:val="20"/>
          <w:szCs w:val="20"/>
        </w:rPr>
        <w:t>under Section 505(b)(2) than we previously anticipated, it will likely take significantly longer, cost significantly more and be significantly more complicated to gain FDA approval for FT218, and in any case may not be successful.</w:t>
      </w:r>
    </w:p>
    <w:p w14:paraId="3AE1CC4A"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incurred a net loss i</w:t>
      </w:r>
      <w:r>
        <w:rPr>
          <w:rFonts w:eastAsia="Times New Roman"/>
          <w:color w:val="000000"/>
          <w:sz w:val="20"/>
          <w:szCs w:val="20"/>
        </w:rPr>
        <w:t>n 2021 and we will likely incur a net loss in 2022, and if we are not able to regain profitability in the future, the value of our shares may fall.</w:t>
      </w:r>
    </w:p>
    <w:p w14:paraId="0366FE0A"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may require additional financing, which may not be available on favorable terms or at all, and which may</w:t>
      </w:r>
      <w:r>
        <w:rPr>
          <w:rFonts w:eastAsia="Times New Roman"/>
          <w:color w:val="000000"/>
          <w:sz w:val="20"/>
          <w:szCs w:val="20"/>
        </w:rPr>
        <w:t xml:space="preserve"> result in dilution of the equity interest of the holders of American Depositary Shares (“ADSs”).</w:t>
      </w:r>
    </w:p>
    <w:p w14:paraId="212C803B"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The distribution and sale of FT218, if approved, will be subject to significant regulatory restrictions, including the requirements of a Risk Evaluation and </w:t>
      </w:r>
      <w:r>
        <w:rPr>
          <w:rFonts w:eastAsia="Times New Roman"/>
          <w:color w:val="000000"/>
          <w:sz w:val="20"/>
          <w:szCs w:val="20"/>
        </w:rPr>
        <w:t>Mitigation Strategy (“REMS”) and safety reporting requirements, and these regulatory requirements will subject us to risks and uncertainties, any of which could negatively impact sales of FT218, if approved.</w:t>
      </w:r>
      <w:r>
        <w:rPr>
          <w:rFonts w:eastAsia="Times New Roman"/>
          <w:color w:val="000000"/>
        </w:rPr>
        <w:t xml:space="preserve"> </w:t>
      </w:r>
    </w:p>
    <w:p w14:paraId="43400C8F"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Disruptions at the FDA, the U.S. Drug Enforcem</w:t>
      </w:r>
      <w:r>
        <w:rPr>
          <w:rFonts w:eastAsia="Times New Roman"/>
          <w:color w:val="000000"/>
          <w:sz w:val="20"/>
          <w:szCs w:val="20"/>
        </w:rPr>
        <w:t>ent Administration and other government agencies caused by funding shortages or global health concerns could hinder their ability to hire and retain key leadership and other personnel, prevent new products and services from being developed or commercialize</w:t>
      </w:r>
      <w:r>
        <w:rPr>
          <w:rFonts w:eastAsia="Times New Roman"/>
          <w:color w:val="000000"/>
          <w:sz w:val="20"/>
          <w:szCs w:val="20"/>
        </w:rPr>
        <w:t>d in a timely manner or otherwise prevent those agencies from performing normal business functions on which the operation of our business may rely, which could negatively impact our business.</w:t>
      </w:r>
    </w:p>
    <w:p w14:paraId="0B2E9B7A"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FT218, if approved by the FDA, may not obtain desired regulator</w:t>
      </w:r>
      <w:r>
        <w:rPr>
          <w:rFonts w:eastAsia="Times New Roman"/>
          <w:color w:val="000000"/>
          <w:sz w:val="20"/>
          <w:szCs w:val="20"/>
        </w:rPr>
        <w:t>y exclusivities, including orphan drug exclusivity.</w:t>
      </w:r>
    </w:p>
    <w:p w14:paraId="160F3C6A"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rely, and intend to continue to rely, on single source providers for the development, manufacture and supply of FT218, and if we experience problems with those suppliers, or they fail to comply with a</w:t>
      </w:r>
      <w:r>
        <w:rPr>
          <w:rFonts w:eastAsia="Times New Roman"/>
          <w:color w:val="000000"/>
          <w:sz w:val="20"/>
          <w:szCs w:val="20"/>
        </w:rPr>
        <w:t>pplicable regulatory requirements or to supply sufficient quantities at acceptable quality levels or prices, or at all, our business would materially and adversely affected.</w:t>
      </w:r>
    </w:p>
    <w:p w14:paraId="618D5E9C"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If we cannot adequately protect our intellectual property and proprietary informa</w:t>
      </w:r>
      <w:r>
        <w:rPr>
          <w:rFonts w:eastAsia="Times New Roman"/>
          <w:color w:val="000000"/>
          <w:sz w:val="20"/>
          <w:szCs w:val="20"/>
        </w:rPr>
        <w:t>tion, we may be unable to effectively compete.</w:t>
      </w:r>
    </w:p>
    <w:p w14:paraId="0773780B"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If we are unable to establish effective sales, marketing and distribution capabilities, or enter into agreements with third parties to market, sell and distribute FT218, if approved, our business, results of </w:t>
      </w:r>
      <w:r>
        <w:rPr>
          <w:rFonts w:eastAsia="Times New Roman"/>
          <w:color w:val="000000"/>
          <w:sz w:val="20"/>
          <w:szCs w:val="20"/>
        </w:rPr>
        <w:t>operations, financial condition and prospects will be materially adversely affected.</w:t>
      </w:r>
    </w:p>
    <w:p w14:paraId="73D0EAA7"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COVID-19 may materially and adversely affect our business and our financial results.</w:t>
      </w:r>
    </w:p>
    <w:p w14:paraId="30C6EC66"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may become involved in lawsuits to protect or enforce our patents or other intell</w:t>
      </w:r>
      <w:r>
        <w:rPr>
          <w:rFonts w:eastAsia="Times New Roman"/>
          <w:color w:val="000000"/>
          <w:sz w:val="20"/>
          <w:szCs w:val="20"/>
        </w:rPr>
        <w:t>ectual property, which could be expensive, time consuming and unsuccessful.</w:t>
      </w:r>
    </w:p>
    <w:p w14:paraId="5A67D5E7"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price of ADSs representing our ordinary shares has been volatile and may continue to be volatile.</w:t>
      </w:r>
    </w:p>
    <w:p w14:paraId="5C85D862" w14:textId="77777777" w:rsidR="00000000" w:rsidRDefault="000C49AD">
      <w:pPr>
        <w:jc w:val="center"/>
        <w:divId w:val="2010323323"/>
        <w:rPr>
          <w:rFonts w:eastAsia="Times New Roman"/>
        </w:rPr>
      </w:pPr>
      <w:r>
        <w:rPr>
          <w:rFonts w:eastAsia="Times New Roman"/>
          <w:color w:val="000000"/>
          <w:sz w:val="20"/>
          <w:szCs w:val="20"/>
        </w:rPr>
        <w:t>-4-</w:t>
      </w:r>
    </w:p>
    <w:p w14:paraId="15CAFCCC" w14:textId="77777777" w:rsidR="00000000" w:rsidRDefault="000C49AD">
      <w:pPr>
        <w:rPr>
          <w:rFonts w:eastAsia="Times New Roman"/>
        </w:rPr>
      </w:pPr>
      <w:r>
        <w:rPr>
          <w:rFonts w:eastAsia="Times New Roman"/>
        </w:rPr>
        <w:pict w14:anchorId="2E641884">
          <v:rect id="_x0000_i1028" style="width:0;height:1.5pt" o:hralign="center" o:hrstd="t" o:hr="t" fillcolor="#a0a0a0" stroked="f"/>
        </w:pict>
      </w:r>
    </w:p>
    <w:p w14:paraId="2750E5BE" w14:textId="77777777" w:rsidR="00000000" w:rsidRDefault="000C49AD">
      <w:pPr>
        <w:divId w:val="643583286"/>
        <w:rPr>
          <w:rFonts w:eastAsia="Times New Roman"/>
        </w:rPr>
      </w:pPr>
    </w:p>
    <w:p w14:paraId="658A7660" w14:textId="77777777" w:rsidR="00000000" w:rsidRDefault="000C49AD">
      <w:pPr>
        <w:jc w:val="both"/>
        <w:divId w:val="1076441469"/>
        <w:rPr>
          <w:rFonts w:eastAsia="Times New Roman"/>
        </w:rPr>
      </w:pPr>
      <w:r>
        <w:rPr>
          <w:rFonts w:eastAsia="Times New Roman"/>
          <w:b/>
          <w:bCs/>
          <w:color w:val="000000"/>
          <w:sz w:val="20"/>
          <w:szCs w:val="20"/>
        </w:rPr>
        <w:t>Cautionary Disclosure Regarding Fo</w:t>
      </w:r>
      <w:r>
        <w:rPr>
          <w:rFonts w:eastAsia="Times New Roman"/>
          <w:b/>
          <w:bCs/>
          <w:color w:val="000000"/>
          <w:sz w:val="20"/>
          <w:szCs w:val="20"/>
        </w:rPr>
        <w:t>rward-Looking Statements</w:t>
      </w:r>
    </w:p>
    <w:p w14:paraId="0BEC1E3D" w14:textId="77777777" w:rsidR="00000000" w:rsidRDefault="000C49AD">
      <w:pPr>
        <w:jc w:val="both"/>
        <w:rPr>
          <w:rFonts w:eastAsia="Times New Roman"/>
        </w:rPr>
      </w:pPr>
      <w:r>
        <w:rPr>
          <w:rFonts w:eastAsia="Times New Roman"/>
          <w:color w:val="000000"/>
          <w:sz w:val="20"/>
          <w:szCs w:val="20"/>
        </w:rPr>
        <w:t>This Annual Report on Form 10-K includes “forward-looking statements” within the meaning of Section 27A of the Securities Act of 1933, as amended (the “Securities Act”), and Section 21E of the Securities Exchange Act of 1934, as am</w:t>
      </w:r>
      <w:r>
        <w:rPr>
          <w:rFonts w:eastAsia="Times New Roman"/>
          <w:color w:val="000000"/>
          <w:sz w:val="20"/>
          <w:szCs w:val="20"/>
        </w:rPr>
        <w:t>ended (the “Exchange Act”). Any statements about our expectations, beliefs, plans, objectives, assumptions or future events or performance are not historical facts and may be forward-looking. These statements are often, but are not always, made through the</w:t>
      </w:r>
      <w:r>
        <w:rPr>
          <w:rFonts w:eastAsia="Times New Roman"/>
          <w:color w:val="000000"/>
          <w:sz w:val="20"/>
          <w:szCs w:val="20"/>
        </w:rPr>
        <w:t xml:space="preserve"> use of words or phrases such as “may,” “will,” “could,” “should,” “expects,” “intends,” “plans,” “anticipates,” “believes,” “estimates,” “predicts,” “projects,” “potential,” “continue,” and similar expressions, or the negative of these terms, or similar e</w:t>
      </w:r>
      <w:r>
        <w:rPr>
          <w:rFonts w:eastAsia="Times New Roman"/>
          <w:color w:val="000000"/>
          <w:sz w:val="20"/>
          <w:szCs w:val="20"/>
        </w:rPr>
        <w:t>xpressions. Accordingly, these statements involve estimates, assumptions, risks and uncertainties which could cause actual results to differ materially from those expressed in them. Any forward-looking statements are qualified in their entirety by referenc</w:t>
      </w:r>
      <w:r>
        <w:rPr>
          <w:rFonts w:eastAsia="Times New Roman"/>
          <w:color w:val="000000"/>
          <w:sz w:val="20"/>
          <w:szCs w:val="20"/>
        </w:rPr>
        <w:t xml:space="preserve">e to the factors discussed throughout this prospectus, and in particular those factors referenced in the section “Risk Factors” in Part I, Item 1A of this Annual Report on Form 10-K. </w:t>
      </w:r>
    </w:p>
    <w:p w14:paraId="7C50CA12" w14:textId="77777777" w:rsidR="00000000" w:rsidRDefault="000C49AD">
      <w:pPr>
        <w:jc w:val="both"/>
        <w:divId w:val="581063418"/>
        <w:rPr>
          <w:rFonts w:eastAsia="Times New Roman"/>
        </w:rPr>
      </w:pPr>
      <w:r>
        <w:rPr>
          <w:rFonts w:eastAsia="Times New Roman"/>
          <w:color w:val="000000"/>
          <w:sz w:val="20"/>
          <w:szCs w:val="20"/>
        </w:rPr>
        <w:t>This Annual Report on Form 10-K contains forward-looking statements that</w:t>
      </w:r>
      <w:r>
        <w:rPr>
          <w:rFonts w:eastAsia="Times New Roman"/>
          <w:color w:val="000000"/>
          <w:sz w:val="20"/>
          <w:szCs w:val="20"/>
        </w:rPr>
        <w:t xml:space="preserve"> are based on our management’s belief and assumptions and on information currently available to our management. These statements relate to future events or our future financial performance, and involve known and unknown risks, uncertainties and other facto</w:t>
      </w:r>
      <w:r>
        <w:rPr>
          <w:rFonts w:eastAsia="Times New Roman"/>
          <w:color w:val="000000"/>
          <w:sz w:val="20"/>
          <w:szCs w:val="20"/>
        </w:rPr>
        <w:t>rs that may cause our actual results, levels of activity, performance or achievements to be materially different from any future results, levels of activity, performance or achievements expressed or implied by these forward-looking statements. Forward-look</w:t>
      </w:r>
      <w:r>
        <w:rPr>
          <w:rFonts w:eastAsia="Times New Roman"/>
          <w:color w:val="000000"/>
          <w:sz w:val="20"/>
          <w:szCs w:val="20"/>
        </w:rPr>
        <w:t>ing statements include, but are not limited to, statements about:</w:t>
      </w:r>
    </w:p>
    <w:p w14:paraId="4265126B" w14:textId="77777777" w:rsidR="00000000" w:rsidRDefault="000C49AD">
      <w:pPr>
        <w:jc w:val="both"/>
        <w:rPr>
          <w:rFonts w:eastAsia="Times New Roman"/>
        </w:rPr>
      </w:pPr>
    </w:p>
    <w:p w14:paraId="3A8072B4" w14:textId="77777777" w:rsidR="00000000" w:rsidRDefault="000C49AD">
      <w:pPr>
        <w:ind w:hanging="360"/>
        <w:jc w:val="both"/>
        <w:rPr>
          <w:rFonts w:eastAsia="Times New Roman"/>
        </w:rPr>
      </w:pPr>
      <w:r>
        <w:rPr>
          <w:rFonts w:eastAsia="Times New Roman"/>
          <w:color w:val="000000"/>
          <w:sz w:val="20"/>
          <w:szCs w:val="20"/>
        </w:rPr>
        <w:t>•Our reliance on a single lead product candidate, FT218;</w:t>
      </w:r>
    </w:p>
    <w:p w14:paraId="6CBD4971" w14:textId="77777777" w:rsidR="00000000" w:rsidRDefault="000C49AD">
      <w:pPr>
        <w:ind w:hanging="360"/>
        <w:jc w:val="both"/>
        <w:rPr>
          <w:rFonts w:eastAsia="Times New Roman"/>
        </w:rPr>
      </w:pPr>
      <w:r>
        <w:rPr>
          <w:rFonts w:eastAsia="Times New Roman"/>
          <w:color w:val="000000"/>
          <w:sz w:val="20"/>
          <w:szCs w:val="20"/>
        </w:rPr>
        <w:t>•Our ability to obtain regulatory approval of and successfully commercialize FT218, including any delays in approval;</w:t>
      </w:r>
    </w:p>
    <w:p w14:paraId="34B75D07" w14:textId="77777777" w:rsidR="00000000" w:rsidRDefault="000C49AD">
      <w:pPr>
        <w:ind w:hanging="360"/>
        <w:jc w:val="both"/>
        <w:rPr>
          <w:rFonts w:eastAsia="Times New Roman"/>
        </w:rPr>
      </w:pPr>
      <w:r>
        <w:rPr>
          <w:rFonts w:eastAsia="Times New Roman"/>
          <w:color w:val="000000"/>
          <w:sz w:val="20"/>
          <w:szCs w:val="20"/>
        </w:rPr>
        <w:t xml:space="preserve">•The ability </w:t>
      </w:r>
      <w:r>
        <w:rPr>
          <w:rFonts w:eastAsia="Times New Roman"/>
          <w:color w:val="000000"/>
          <w:sz w:val="20"/>
          <w:szCs w:val="20"/>
        </w:rPr>
        <w:t>of FT218, if approved, to gain market acceptance;</w:t>
      </w:r>
    </w:p>
    <w:p w14:paraId="79789B73" w14:textId="77777777" w:rsidR="00000000" w:rsidRDefault="000C49AD">
      <w:pPr>
        <w:ind w:hanging="360"/>
        <w:jc w:val="both"/>
        <w:rPr>
          <w:rFonts w:eastAsia="Times New Roman"/>
        </w:rPr>
      </w:pPr>
      <w:r>
        <w:rPr>
          <w:rFonts w:eastAsia="Times New Roman"/>
          <w:color w:val="000000"/>
          <w:sz w:val="20"/>
          <w:szCs w:val="20"/>
        </w:rPr>
        <w:t>•Our ability to enter into strategic partnerships for the commercialization, manufacturing and distribution of FT218, if approved;</w:t>
      </w:r>
    </w:p>
    <w:p w14:paraId="22F076AD" w14:textId="77777777" w:rsidR="00000000" w:rsidRDefault="000C49AD">
      <w:pPr>
        <w:ind w:hanging="360"/>
        <w:jc w:val="both"/>
        <w:rPr>
          <w:rFonts w:eastAsia="Times New Roman"/>
        </w:rPr>
      </w:pPr>
      <w:r>
        <w:rPr>
          <w:rFonts w:eastAsia="Times New Roman"/>
          <w:color w:val="000000"/>
          <w:sz w:val="20"/>
          <w:szCs w:val="20"/>
        </w:rPr>
        <w:t>•Our dependence on a limited number of suppliers for the manufacturing of F</w:t>
      </w:r>
      <w:r>
        <w:rPr>
          <w:rFonts w:eastAsia="Times New Roman"/>
          <w:color w:val="000000"/>
          <w:sz w:val="20"/>
          <w:szCs w:val="20"/>
        </w:rPr>
        <w:t>T218 and certain raw materials in FT218 and any failure of such suppliers to deliver sufficient quantities of these raw materials, which could have a material adverse effect on our business;</w:t>
      </w:r>
    </w:p>
    <w:p w14:paraId="7E0593E6" w14:textId="77777777" w:rsidR="00000000" w:rsidRDefault="000C49AD">
      <w:pPr>
        <w:ind w:hanging="360"/>
        <w:jc w:val="both"/>
        <w:rPr>
          <w:rFonts w:eastAsia="Times New Roman"/>
        </w:rPr>
      </w:pPr>
      <w:r>
        <w:rPr>
          <w:rFonts w:eastAsia="Times New Roman"/>
          <w:color w:val="000000"/>
          <w:sz w:val="20"/>
          <w:szCs w:val="20"/>
        </w:rPr>
        <w:t>•Our ability to finance our operations on acceptable terms, eithe</w:t>
      </w:r>
      <w:r>
        <w:rPr>
          <w:rFonts w:eastAsia="Times New Roman"/>
          <w:color w:val="000000"/>
          <w:sz w:val="20"/>
          <w:szCs w:val="20"/>
        </w:rPr>
        <w:t>r through the raising of capital, the incurrence of convertible or other indebtedness or through strategic financing or commercialization partnerships;</w:t>
      </w:r>
    </w:p>
    <w:p w14:paraId="3707E294"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Our expectations about the potential market size and market participation for FT218; </w:t>
      </w:r>
    </w:p>
    <w:p w14:paraId="448C23B4" w14:textId="77777777" w:rsidR="00000000" w:rsidRDefault="000C49AD">
      <w:pPr>
        <w:ind w:hanging="360"/>
        <w:jc w:val="both"/>
        <w:rPr>
          <w:rFonts w:eastAsia="Times New Roman"/>
        </w:rPr>
      </w:pPr>
      <w:r>
        <w:rPr>
          <w:rFonts w:eastAsia="Times New Roman"/>
          <w:color w:val="000000"/>
          <w:sz w:val="20"/>
          <w:szCs w:val="20"/>
        </w:rPr>
        <w:t>•Our ability to continue to service the our Exchangeable Senior Notes due February 2023 (the “February 2023 Notes”) and our Exchangeable Senior Notes due October 2023 (th</w:t>
      </w:r>
      <w:r>
        <w:rPr>
          <w:rFonts w:eastAsia="Times New Roman"/>
          <w:color w:val="000000"/>
          <w:sz w:val="20"/>
          <w:szCs w:val="20"/>
        </w:rPr>
        <w:t xml:space="preserve">e “October 2023 Notes”, together with the February 2023 Notes, the “2023 Notes”), including making the ongoing interest payments on the 2023 Notes, settling exchanges of the 2023 Notes in cash or completing any required repurchases of the 2023 Notes; </w:t>
      </w:r>
    </w:p>
    <w:p w14:paraId="4F42855C" w14:textId="77777777" w:rsidR="00000000" w:rsidRDefault="000C49AD">
      <w:pPr>
        <w:ind w:hanging="360"/>
        <w:jc w:val="both"/>
        <w:rPr>
          <w:rFonts w:eastAsia="Times New Roman"/>
        </w:rPr>
      </w:pPr>
      <w:r>
        <w:rPr>
          <w:rFonts w:eastAsia="Times New Roman"/>
          <w:color w:val="000000"/>
          <w:sz w:val="20"/>
          <w:szCs w:val="20"/>
        </w:rPr>
        <w:t>•The</w:t>
      </w:r>
      <w:r>
        <w:rPr>
          <w:rFonts w:eastAsia="Times New Roman"/>
          <w:color w:val="000000"/>
          <w:sz w:val="20"/>
          <w:szCs w:val="20"/>
        </w:rPr>
        <w:t xml:space="preserve"> potential impact of COVID-19 on our business and future operating results;</w:t>
      </w:r>
    </w:p>
    <w:p w14:paraId="4602F383" w14:textId="77777777" w:rsidR="00000000" w:rsidRDefault="000C49AD">
      <w:pPr>
        <w:ind w:hanging="360"/>
        <w:jc w:val="both"/>
        <w:rPr>
          <w:rFonts w:eastAsia="Times New Roman"/>
        </w:rPr>
      </w:pPr>
      <w:r>
        <w:rPr>
          <w:rFonts w:eastAsia="Times New Roman"/>
          <w:color w:val="000000"/>
          <w:sz w:val="20"/>
          <w:szCs w:val="20"/>
        </w:rPr>
        <w:t>•Our ability to hire and retain key members of our leadership team and other personnel; and</w:t>
      </w:r>
    </w:p>
    <w:p w14:paraId="7A44C14D" w14:textId="77777777" w:rsidR="00000000" w:rsidRDefault="000C49AD">
      <w:pPr>
        <w:ind w:hanging="360"/>
        <w:jc w:val="both"/>
        <w:rPr>
          <w:rFonts w:eastAsia="Times New Roman"/>
        </w:rPr>
      </w:pPr>
      <w:r>
        <w:rPr>
          <w:rFonts w:eastAsia="Times New Roman"/>
          <w:color w:val="000000"/>
          <w:sz w:val="20"/>
          <w:szCs w:val="20"/>
        </w:rPr>
        <w:t xml:space="preserve">•Competition existing today or that will likely arise in the future. </w:t>
      </w:r>
    </w:p>
    <w:p w14:paraId="3AB8A993" w14:textId="77777777" w:rsidR="00000000" w:rsidRDefault="000C49AD">
      <w:pPr>
        <w:jc w:val="both"/>
        <w:divId w:val="1451701907"/>
        <w:rPr>
          <w:rFonts w:eastAsia="Times New Roman"/>
        </w:rPr>
      </w:pPr>
      <w:r>
        <w:rPr>
          <w:rFonts w:eastAsia="Times New Roman"/>
          <w:color w:val="000000"/>
          <w:sz w:val="20"/>
          <w:szCs w:val="20"/>
        </w:rPr>
        <w:t>These forward-look</w:t>
      </w:r>
      <w:r>
        <w:rPr>
          <w:rFonts w:eastAsia="Times New Roman"/>
          <w:color w:val="000000"/>
          <w:sz w:val="20"/>
          <w:szCs w:val="20"/>
        </w:rPr>
        <w:t>ing statements are neither promises nor guarantees of future performance due to a variety of risks and uncertainties and other factors more fully discussed in the “Risk Factors” section in Part I, Item 1A of this Annual Report on Form 10-K and the risk fac</w:t>
      </w:r>
      <w:r>
        <w:rPr>
          <w:rFonts w:eastAsia="Times New Roman"/>
          <w:color w:val="000000"/>
          <w:sz w:val="20"/>
          <w:szCs w:val="20"/>
        </w:rPr>
        <w:t>tors and cautionary statements described in other documents that we file from time to time with the SEC. Given these uncertainties, readers should not place undue reliance on our forward-looking statements. These forward-looking statements speak only as of</w:t>
      </w:r>
      <w:r>
        <w:rPr>
          <w:rFonts w:eastAsia="Times New Roman"/>
          <w:color w:val="000000"/>
          <w:sz w:val="20"/>
          <w:szCs w:val="20"/>
        </w:rPr>
        <w:t xml:space="preserve"> the date on which the statements were made and are not guarantees of future performance. Except as may be required by applicable law, we do not undertake to update any forward-looking statements after the date of this Annual Report or the respective dates</w:t>
      </w:r>
      <w:r>
        <w:rPr>
          <w:rFonts w:eastAsia="Times New Roman"/>
          <w:color w:val="000000"/>
          <w:sz w:val="20"/>
          <w:szCs w:val="20"/>
        </w:rPr>
        <w:t xml:space="preserve"> of documents incorporated by reference herein or therein that include forward-looking statements. </w:t>
      </w:r>
    </w:p>
    <w:p w14:paraId="594E36F4" w14:textId="77777777" w:rsidR="00000000" w:rsidRDefault="000C49AD">
      <w:pPr>
        <w:jc w:val="both"/>
        <w:divId w:val="1305351544"/>
        <w:rPr>
          <w:rFonts w:eastAsia="Times New Roman"/>
        </w:rPr>
      </w:pPr>
      <w:r>
        <w:rPr>
          <w:rFonts w:eastAsia="Times New Roman"/>
          <w:color w:val="000000"/>
          <w:sz w:val="20"/>
          <w:szCs w:val="20"/>
        </w:rPr>
        <w:t>Except as required by law, we assume no obligation to update these forward-looking statements publicly, or to revise any forward-looking statements to reflect events or developments occurring after the date of this Annual Report, even if new information be</w:t>
      </w:r>
      <w:r>
        <w:rPr>
          <w:rFonts w:eastAsia="Times New Roman"/>
          <w:color w:val="000000"/>
          <w:sz w:val="20"/>
          <w:szCs w:val="20"/>
        </w:rPr>
        <w:t xml:space="preserve">comes available in the future. </w:t>
      </w:r>
    </w:p>
    <w:p w14:paraId="289F2494" w14:textId="77777777" w:rsidR="00000000" w:rsidRDefault="000C49AD">
      <w:pPr>
        <w:jc w:val="center"/>
        <w:rPr>
          <w:rFonts w:eastAsia="Times New Roman"/>
        </w:rPr>
      </w:pPr>
    </w:p>
    <w:p w14:paraId="7C4B17DB" w14:textId="77777777" w:rsidR="00000000" w:rsidRDefault="000C49AD">
      <w:pPr>
        <w:divId w:val="598880148"/>
        <w:rPr>
          <w:rFonts w:eastAsia="Times New Roman"/>
        </w:rPr>
      </w:pPr>
    </w:p>
    <w:p w14:paraId="67DF2172" w14:textId="77777777" w:rsidR="00000000" w:rsidRDefault="000C49AD">
      <w:pPr>
        <w:jc w:val="center"/>
        <w:rPr>
          <w:rFonts w:eastAsia="Times New Roman"/>
        </w:rPr>
      </w:pPr>
      <w:r>
        <w:rPr>
          <w:rFonts w:eastAsia="Times New Roman"/>
          <w:color w:val="000000"/>
          <w:sz w:val="20"/>
          <w:szCs w:val="20"/>
        </w:rPr>
        <w:t>NOTE REGARDING TRADEMARKS</w:t>
      </w:r>
    </w:p>
    <w:p w14:paraId="7612FA09" w14:textId="77777777" w:rsidR="00000000" w:rsidRDefault="000C49AD">
      <w:pPr>
        <w:divId w:val="1345747132"/>
        <w:rPr>
          <w:rFonts w:eastAsia="Times New Roman"/>
        </w:rPr>
      </w:pPr>
    </w:p>
    <w:p w14:paraId="510F337D" w14:textId="77777777" w:rsidR="00000000" w:rsidRDefault="000C49AD">
      <w:pPr>
        <w:jc w:val="both"/>
        <w:rPr>
          <w:rFonts w:eastAsia="Times New Roman"/>
        </w:rPr>
      </w:pPr>
      <w:r>
        <w:rPr>
          <w:rFonts w:eastAsia="Times New Roman"/>
          <w:color w:val="000000"/>
          <w:sz w:val="20"/>
          <w:szCs w:val="20"/>
        </w:rPr>
        <w:t>We own various trademark registrations and applications, and unregistered trademarks, including Avadel®, Micropump®, LiquiTime®</w:t>
      </w:r>
      <w:r>
        <w:rPr>
          <w:rFonts w:eastAsia="Times New Roman"/>
          <w:i/>
          <w:iCs/>
          <w:color w:val="000000"/>
        </w:rPr>
        <w:t xml:space="preserve"> </w:t>
      </w:r>
      <w:r>
        <w:rPr>
          <w:rFonts w:eastAsia="Times New Roman"/>
          <w:color w:val="000000"/>
          <w:sz w:val="20"/>
          <w:szCs w:val="20"/>
        </w:rPr>
        <w:t>and</w:t>
      </w:r>
      <w:r>
        <w:rPr>
          <w:rFonts w:eastAsia="Times New Roman"/>
          <w:color w:val="000000"/>
        </w:rPr>
        <w:t xml:space="preserve"> </w:t>
      </w:r>
      <w:r>
        <w:rPr>
          <w:rFonts w:eastAsia="Times New Roman"/>
          <w:color w:val="000000"/>
          <w:sz w:val="20"/>
          <w:szCs w:val="20"/>
        </w:rPr>
        <w:t>Medusa®. All other trade names, trademarks and service marks</w:t>
      </w:r>
      <w:r>
        <w:rPr>
          <w:rFonts w:eastAsia="Times New Roman"/>
          <w:color w:val="000000"/>
          <w:sz w:val="20"/>
          <w:szCs w:val="20"/>
        </w:rPr>
        <w:t xml:space="preserve"> of other companies appearing in this Annual Report are the property of their respective holders. Solely for convenience, the trademarks and trade names in this Annual Report may be referred to without the ® and ™ symbols, but such references should not be</w:t>
      </w:r>
      <w:r>
        <w:rPr>
          <w:rFonts w:eastAsia="Times New Roman"/>
          <w:color w:val="000000"/>
          <w:sz w:val="20"/>
          <w:szCs w:val="20"/>
        </w:rPr>
        <w:t xml:space="preserve"> construed as any indicator that their respective owners will not assert, to the fullest extent under applicable law, their rights thereto. We do not intend to use or </w:t>
      </w:r>
    </w:p>
    <w:p w14:paraId="4F3724F1" w14:textId="77777777" w:rsidR="00000000" w:rsidRDefault="000C49AD">
      <w:pPr>
        <w:jc w:val="center"/>
        <w:divId w:val="1913276571"/>
        <w:rPr>
          <w:rFonts w:eastAsia="Times New Roman"/>
        </w:rPr>
      </w:pPr>
      <w:r>
        <w:rPr>
          <w:rFonts w:eastAsia="Times New Roman"/>
          <w:color w:val="000000"/>
          <w:sz w:val="20"/>
          <w:szCs w:val="20"/>
        </w:rPr>
        <w:t>-5-</w:t>
      </w:r>
    </w:p>
    <w:p w14:paraId="119105EC" w14:textId="77777777" w:rsidR="00000000" w:rsidRDefault="000C49AD">
      <w:pPr>
        <w:rPr>
          <w:rFonts w:eastAsia="Times New Roman"/>
        </w:rPr>
      </w:pPr>
      <w:r>
        <w:rPr>
          <w:rFonts w:eastAsia="Times New Roman"/>
        </w:rPr>
        <w:pict w14:anchorId="510D3F1E">
          <v:rect id="_x0000_i1029" style="width:0;height:1.5pt" o:hralign="center" o:hrstd="t" o:hr="t" fillcolor="#a0a0a0" stroked="f"/>
        </w:pict>
      </w:r>
    </w:p>
    <w:p w14:paraId="039CF672" w14:textId="77777777" w:rsidR="00000000" w:rsidRDefault="000C49AD">
      <w:pPr>
        <w:divId w:val="890070278"/>
        <w:rPr>
          <w:rFonts w:eastAsia="Times New Roman"/>
        </w:rPr>
      </w:pPr>
    </w:p>
    <w:p w14:paraId="37A7205F" w14:textId="77777777" w:rsidR="00000000" w:rsidRDefault="000C49AD">
      <w:pPr>
        <w:jc w:val="both"/>
        <w:rPr>
          <w:rFonts w:eastAsia="Times New Roman"/>
        </w:rPr>
      </w:pPr>
      <w:r>
        <w:rPr>
          <w:rFonts w:eastAsia="Times New Roman"/>
          <w:color w:val="000000"/>
          <w:sz w:val="20"/>
          <w:szCs w:val="20"/>
        </w:rPr>
        <w:t xml:space="preserve">display other companies’ trademarks and trade </w:t>
      </w:r>
      <w:r>
        <w:rPr>
          <w:rFonts w:eastAsia="Times New Roman"/>
          <w:color w:val="000000"/>
          <w:sz w:val="20"/>
          <w:szCs w:val="20"/>
        </w:rPr>
        <w:t>names to imply a relationship with, or endorsement or sponsorship of us by, any other companies.</w:t>
      </w:r>
    </w:p>
    <w:p w14:paraId="2191B5C1" w14:textId="77777777" w:rsidR="00000000" w:rsidRDefault="000C49AD">
      <w:pPr>
        <w:jc w:val="both"/>
        <w:rPr>
          <w:rFonts w:eastAsia="Times New Roman"/>
        </w:rPr>
      </w:pPr>
    </w:p>
    <w:p w14:paraId="6DF66D66" w14:textId="77777777" w:rsidR="00000000" w:rsidRDefault="000C49AD">
      <w:pPr>
        <w:jc w:val="both"/>
        <w:rPr>
          <w:rFonts w:eastAsia="Times New Roman"/>
        </w:rPr>
      </w:pPr>
      <w:r>
        <w:rPr>
          <w:rFonts w:eastAsia="Times New Roman"/>
          <w:color w:val="000000"/>
          <w:sz w:val="20"/>
          <w:szCs w:val="20"/>
        </w:rPr>
        <w:t>From time to time, we may use our website, LinkedIn or our Twitter account (@AvadelPharma) to distribute material information. Our financial and other materi</w:t>
      </w:r>
      <w:r>
        <w:rPr>
          <w:rFonts w:eastAsia="Times New Roman"/>
          <w:color w:val="000000"/>
          <w:sz w:val="20"/>
          <w:szCs w:val="20"/>
        </w:rPr>
        <w:t>al information is routinely posted to and accessible on the Investors section of our website, available at www.avadel.com. Investors are encouraged to review the Investors section of our website because we may post material information on that site that is</w:t>
      </w:r>
      <w:r>
        <w:rPr>
          <w:rFonts w:eastAsia="Times New Roman"/>
          <w:color w:val="000000"/>
          <w:sz w:val="20"/>
          <w:szCs w:val="20"/>
        </w:rPr>
        <w:t xml:space="preserve"> not otherwise disseminated by us. Information that is contained in and can be accessed through our website or our Twitter posts are not incorporated into, and does not form a part of, this Annual Report.</w:t>
      </w:r>
    </w:p>
    <w:p w14:paraId="21CFDC6A" w14:textId="77777777" w:rsidR="00000000" w:rsidRDefault="000C49AD">
      <w:pPr>
        <w:jc w:val="both"/>
        <w:rPr>
          <w:rFonts w:eastAsia="Times New Roman"/>
        </w:rPr>
      </w:pPr>
    </w:p>
    <w:p w14:paraId="3E4799D0" w14:textId="77777777" w:rsidR="00000000" w:rsidRDefault="000C49AD">
      <w:pPr>
        <w:jc w:val="both"/>
        <w:rPr>
          <w:rFonts w:eastAsia="Times New Roman"/>
        </w:rPr>
      </w:pPr>
    </w:p>
    <w:p w14:paraId="5BE48917" w14:textId="77777777" w:rsidR="00000000" w:rsidRDefault="000C49AD">
      <w:pPr>
        <w:jc w:val="center"/>
        <w:divId w:val="1921939448"/>
        <w:rPr>
          <w:rFonts w:eastAsia="Times New Roman"/>
        </w:rPr>
      </w:pPr>
      <w:r>
        <w:rPr>
          <w:rFonts w:eastAsia="Times New Roman"/>
          <w:color w:val="000000"/>
          <w:sz w:val="20"/>
          <w:szCs w:val="20"/>
        </w:rPr>
        <w:t>-6-</w:t>
      </w:r>
    </w:p>
    <w:p w14:paraId="696C30F6" w14:textId="77777777" w:rsidR="00000000" w:rsidRDefault="000C49AD">
      <w:pPr>
        <w:rPr>
          <w:rFonts w:eastAsia="Times New Roman"/>
        </w:rPr>
      </w:pPr>
      <w:r>
        <w:rPr>
          <w:rFonts w:eastAsia="Times New Roman"/>
        </w:rPr>
        <w:pict w14:anchorId="043B4076">
          <v:rect id="_x0000_i1030" style="width:0;height:1.5pt" o:hralign="center" o:hrstd="t" o:hr="t" fillcolor="#a0a0a0" stroked="f"/>
        </w:pict>
      </w:r>
    </w:p>
    <w:p w14:paraId="769F4600" w14:textId="77777777" w:rsidR="00000000" w:rsidRDefault="000C49AD">
      <w:pPr>
        <w:divId w:val="189614651"/>
        <w:rPr>
          <w:rFonts w:eastAsia="Times New Roman"/>
        </w:rPr>
      </w:pPr>
    </w:p>
    <w:p w14:paraId="574D58C6" w14:textId="77777777" w:rsidR="00000000" w:rsidRDefault="000C49AD">
      <w:pPr>
        <w:divId w:val="1921477038"/>
        <w:rPr>
          <w:rFonts w:eastAsia="Times New Roman"/>
        </w:rPr>
      </w:pPr>
      <w:r>
        <w:rPr>
          <w:rFonts w:eastAsia="Times New Roman"/>
          <w:b/>
          <w:bCs/>
          <w:color w:val="000000"/>
          <w:sz w:val="20"/>
          <w:szCs w:val="20"/>
          <w:u w:val="single"/>
        </w:rPr>
        <w:t>PART</w:t>
      </w:r>
      <w:r>
        <w:rPr>
          <w:rFonts w:eastAsia="Times New Roman"/>
          <w:b/>
          <w:bCs/>
          <w:color w:val="000000"/>
          <w:sz w:val="20"/>
          <w:szCs w:val="20"/>
          <w:u w:val="single"/>
        </w:rPr>
        <w:t xml:space="preserve"> I</w:t>
      </w:r>
      <w:r>
        <w:rPr>
          <w:rFonts w:eastAsia="Times New Roman"/>
          <w:b/>
          <w:bCs/>
          <w:color w:val="000000"/>
          <w:sz w:val="20"/>
          <w:szCs w:val="20"/>
        </w:rPr>
        <w:t> </w:t>
      </w:r>
    </w:p>
    <w:p w14:paraId="4D5377A0" w14:textId="77777777" w:rsidR="00000000" w:rsidRDefault="000C49AD">
      <w:pPr>
        <w:jc w:val="both"/>
        <w:divId w:val="1771969022"/>
        <w:rPr>
          <w:rFonts w:eastAsia="Times New Roman"/>
        </w:rPr>
      </w:pPr>
      <w:r>
        <w:rPr>
          <w:rFonts w:eastAsia="Times New Roman"/>
          <w:b/>
          <w:bCs/>
          <w:color w:val="000000"/>
          <w:sz w:val="20"/>
          <w:szCs w:val="20"/>
        </w:rPr>
        <w:t>Item 1.        Business. </w:t>
      </w:r>
    </w:p>
    <w:p w14:paraId="16210AD9" w14:textId="77777777" w:rsidR="00000000" w:rsidRDefault="000C49AD">
      <w:pPr>
        <w:jc w:val="center"/>
        <w:divId w:val="910313922"/>
        <w:rPr>
          <w:rFonts w:eastAsia="Times New Roman"/>
        </w:rPr>
      </w:pPr>
      <w:r>
        <w:rPr>
          <w:rFonts w:eastAsia="Times New Roman"/>
          <w:i/>
          <w:iCs/>
          <w:color w:val="000000"/>
          <w:sz w:val="20"/>
          <w:szCs w:val="20"/>
        </w:rPr>
        <w:t>(Dollar amounts in thousands, except per-share amounts and as otherwise noted)</w:t>
      </w:r>
    </w:p>
    <w:p w14:paraId="0CA9D285" w14:textId="77777777" w:rsidR="00000000" w:rsidRDefault="000C49AD">
      <w:pPr>
        <w:jc w:val="both"/>
        <w:rPr>
          <w:rFonts w:eastAsia="Times New Roman"/>
        </w:rPr>
      </w:pPr>
      <w:r>
        <w:rPr>
          <w:rFonts w:eastAsia="Times New Roman"/>
          <w:b/>
          <w:bCs/>
          <w:color w:val="000000"/>
          <w:sz w:val="20"/>
          <w:szCs w:val="20"/>
        </w:rPr>
        <w:t>General Overview</w:t>
      </w:r>
    </w:p>
    <w:p w14:paraId="69FDE7D2" w14:textId="77777777" w:rsidR="00000000" w:rsidRDefault="000C49AD">
      <w:pPr>
        <w:jc w:val="both"/>
        <w:rPr>
          <w:rFonts w:eastAsia="Times New Roman"/>
        </w:rPr>
      </w:pPr>
    </w:p>
    <w:p w14:paraId="4CB34346" w14:textId="77777777" w:rsidR="00000000" w:rsidRDefault="000C49AD">
      <w:pPr>
        <w:jc w:val="both"/>
        <w:rPr>
          <w:rFonts w:eastAsia="Times New Roman"/>
        </w:rPr>
      </w:pPr>
      <w:r>
        <w:rPr>
          <w:rFonts w:eastAsia="Times New Roman"/>
          <w:color w:val="000000"/>
          <w:sz w:val="20"/>
          <w:szCs w:val="20"/>
        </w:rPr>
        <w:t>Avadel Pharmaceuticals plc (Nasdaq: AVDL) (“Avadel,” the “Company,” “we,” “our,” or “us”</w:t>
      </w:r>
      <w:r>
        <w:rPr>
          <w:rFonts w:eastAsia="Times New Roman"/>
          <w:color w:val="000000"/>
          <w:sz w:val="20"/>
          <w:szCs w:val="20"/>
        </w:rPr>
        <w:t>) is a biopharmaceutical company. Our lead product candidate, FT218, is an investigational once-nightly, extended-release formulation of sodium oxybate for the treatment of excessive daytime sleepiness (“EDS”) or cataplexy in adults with narcolepsy. We are</w:t>
      </w:r>
      <w:r>
        <w:rPr>
          <w:rFonts w:eastAsia="Times New Roman"/>
          <w:color w:val="000000"/>
          <w:sz w:val="20"/>
          <w:szCs w:val="20"/>
        </w:rPr>
        <w:t xml:space="preserve"> primarily focused on the development and potential United States (“U.S.”) Food and Drug Administration (“FDA”) approval of FT218. In December 2020, we submitted a New Drug Application (“NDA”) to the FDA for FT218 to treat excessive daytime sleepiness or c</w:t>
      </w:r>
      <w:r>
        <w:rPr>
          <w:rFonts w:eastAsia="Times New Roman"/>
          <w:color w:val="000000"/>
          <w:sz w:val="20"/>
          <w:szCs w:val="20"/>
        </w:rPr>
        <w:t>ataplexy in adults with narcolepsy. In February 2021, the NDA for FT218 was accepted by the FDA and was assigned a Prescription Drug User Fee Act (“PDUFA”) target action date of October 15, 2021. On October 15, 2021, we announced that the FDA informed us t</w:t>
      </w:r>
      <w:r>
        <w:rPr>
          <w:rFonts w:eastAsia="Times New Roman"/>
          <w:color w:val="000000"/>
          <w:sz w:val="20"/>
          <w:szCs w:val="20"/>
        </w:rPr>
        <w:t xml:space="preserve">hat the review of our NDA for FT218 was ongoing beyond its previously assigned target action date. As of the date of this Annual Report, the FDA’s review of our NDA for FT218 remains ongoing. </w:t>
      </w:r>
    </w:p>
    <w:p w14:paraId="1428A20F" w14:textId="77777777" w:rsidR="00000000" w:rsidRDefault="000C49AD">
      <w:pPr>
        <w:divId w:val="1002320164"/>
        <w:rPr>
          <w:rFonts w:eastAsia="Times New Roman"/>
        </w:rPr>
      </w:pPr>
    </w:p>
    <w:p w14:paraId="75DDD3D1" w14:textId="77777777" w:rsidR="00000000" w:rsidRDefault="000C49AD">
      <w:pPr>
        <w:jc w:val="both"/>
        <w:rPr>
          <w:rFonts w:eastAsia="Times New Roman"/>
        </w:rPr>
      </w:pPr>
      <w:r>
        <w:rPr>
          <w:rFonts w:eastAsia="Times New Roman"/>
          <w:color w:val="000000"/>
          <w:sz w:val="20"/>
          <w:szCs w:val="20"/>
        </w:rPr>
        <w:t>Outside of our lead product candidate, we continue to evaluat</w:t>
      </w:r>
      <w:r>
        <w:rPr>
          <w:rFonts w:eastAsia="Times New Roman"/>
          <w:color w:val="000000"/>
          <w:sz w:val="20"/>
          <w:szCs w:val="20"/>
        </w:rPr>
        <w:t>e opportunities to expand our product portfolio. As of the date of this Annual Report, we do not have any approved or commercialized products in our portfolio.</w:t>
      </w:r>
    </w:p>
    <w:p w14:paraId="5A13E5DF" w14:textId="77777777" w:rsidR="00000000" w:rsidRDefault="000C49AD">
      <w:pPr>
        <w:jc w:val="both"/>
        <w:rPr>
          <w:rFonts w:eastAsia="Times New Roman"/>
        </w:rPr>
      </w:pPr>
    </w:p>
    <w:p w14:paraId="48667A0C" w14:textId="77777777" w:rsidR="00000000" w:rsidRDefault="000C49AD">
      <w:pPr>
        <w:jc w:val="both"/>
        <w:rPr>
          <w:rFonts w:eastAsia="Times New Roman"/>
        </w:rPr>
      </w:pPr>
      <w:r>
        <w:rPr>
          <w:rFonts w:eastAsia="Times New Roman"/>
          <w:b/>
          <w:bCs/>
          <w:i/>
          <w:iCs/>
          <w:color w:val="000000"/>
          <w:sz w:val="20"/>
          <w:szCs w:val="20"/>
        </w:rPr>
        <w:t xml:space="preserve">FT218 </w:t>
      </w:r>
    </w:p>
    <w:p w14:paraId="1E64F6A1" w14:textId="77777777" w:rsidR="00000000" w:rsidRDefault="000C49AD">
      <w:pPr>
        <w:jc w:val="both"/>
        <w:rPr>
          <w:rFonts w:eastAsia="Times New Roman"/>
        </w:rPr>
      </w:pPr>
    </w:p>
    <w:p w14:paraId="225630EB" w14:textId="77777777" w:rsidR="00000000" w:rsidRDefault="000C49AD">
      <w:pPr>
        <w:jc w:val="both"/>
        <w:rPr>
          <w:rFonts w:eastAsia="Times New Roman"/>
        </w:rPr>
      </w:pPr>
      <w:r>
        <w:rPr>
          <w:rFonts w:eastAsia="Times New Roman"/>
          <w:color w:val="000000"/>
          <w:sz w:val="20"/>
          <w:szCs w:val="20"/>
        </w:rPr>
        <w:t>FT218 is a once-nightly formulation of sodium oxybate that uses our Micropump control</w:t>
      </w:r>
      <w:r>
        <w:rPr>
          <w:rFonts w:eastAsia="Times New Roman"/>
          <w:color w:val="000000"/>
          <w:sz w:val="20"/>
          <w:szCs w:val="20"/>
        </w:rPr>
        <w:t>led release drug-delivery technology for the treatment of EDS or cataplexy in adults suffering from narcolepsy. Sodium oxybate is the sodium salt of gamma hydroxybutyrate, an endogenous compound and metabolite of the neurotransmitter gamma-aminobutyric aci</w:t>
      </w:r>
      <w:r>
        <w:rPr>
          <w:rFonts w:eastAsia="Times New Roman"/>
          <w:color w:val="000000"/>
          <w:sz w:val="20"/>
          <w:szCs w:val="20"/>
        </w:rPr>
        <w:t>d. Immediate release sodium oxybate is approved in the U.S. for the treatment of EDS or cataplexy in patients with narcolepsy and is approved in Europe for the treatment of cataplexy in patients with narcolepsy. Since 2002, sodium oxybate has only been ava</w:t>
      </w:r>
      <w:r>
        <w:rPr>
          <w:rFonts w:eastAsia="Times New Roman"/>
          <w:color w:val="000000"/>
          <w:sz w:val="20"/>
          <w:szCs w:val="20"/>
        </w:rPr>
        <w:t xml:space="preserve">ilable as a formulation that must be taken twice nightly, first at bedtime, and then again 2.5 to 4 hours later. </w:t>
      </w:r>
    </w:p>
    <w:p w14:paraId="5F9F6436" w14:textId="77777777" w:rsidR="00000000" w:rsidRDefault="000C49AD">
      <w:pPr>
        <w:jc w:val="both"/>
        <w:rPr>
          <w:rFonts w:eastAsia="Times New Roman"/>
        </w:rPr>
      </w:pPr>
    </w:p>
    <w:p w14:paraId="00D45858" w14:textId="77777777" w:rsidR="00000000" w:rsidRDefault="000C49AD">
      <w:pPr>
        <w:jc w:val="both"/>
        <w:rPr>
          <w:rFonts w:eastAsia="Times New Roman"/>
        </w:rPr>
      </w:pPr>
      <w:r>
        <w:rPr>
          <w:rFonts w:eastAsia="Times New Roman"/>
          <w:color w:val="000000"/>
          <w:sz w:val="20"/>
          <w:szCs w:val="20"/>
        </w:rPr>
        <w:t>On December 16, 2020, we announced the submission of our NDA to the FDA for FT218. On February 26, 2021, the FDA notified us of formal accep</w:t>
      </w:r>
      <w:r>
        <w:rPr>
          <w:rFonts w:eastAsia="Times New Roman"/>
          <w:color w:val="000000"/>
          <w:sz w:val="20"/>
          <w:szCs w:val="20"/>
        </w:rPr>
        <w:t>tance of the NDA and assigned a PDUFA target action date of October 15, 2021. On October 15, 2021, we announced that the FDA informed us that the review of our NDA for FT218 was ongoing beyond its previously assigned target action date. As of the date of t</w:t>
      </w:r>
      <w:r>
        <w:rPr>
          <w:rFonts w:eastAsia="Times New Roman"/>
          <w:color w:val="000000"/>
          <w:sz w:val="20"/>
          <w:szCs w:val="20"/>
        </w:rPr>
        <w:t>his Annual Report, the FDA’s review of our NDA for FT218 remains ongoing.</w:t>
      </w:r>
    </w:p>
    <w:p w14:paraId="6D4DCA95" w14:textId="77777777" w:rsidR="00000000" w:rsidRDefault="000C49AD">
      <w:pPr>
        <w:jc w:val="both"/>
        <w:rPr>
          <w:rFonts w:eastAsia="Times New Roman"/>
        </w:rPr>
      </w:pPr>
    </w:p>
    <w:p w14:paraId="5C61B32F" w14:textId="77777777" w:rsidR="00000000" w:rsidRDefault="000C49AD">
      <w:pPr>
        <w:jc w:val="both"/>
        <w:rPr>
          <w:rFonts w:eastAsia="Times New Roman"/>
        </w:rPr>
      </w:pPr>
      <w:r>
        <w:rPr>
          <w:rFonts w:eastAsia="Times New Roman"/>
          <w:color w:val="000000"/>
          <w:sz w:val="20"/>
          <w:szCs w:val="20"/>
        </w:rPr>
        <w:t>We conducted a Phase 3 clinical trial of FT218, the REST-ON trial, which was a randomized, double-blind, placebo-controlled study that enrolled 212 patients who received at least o</w:t>
      </w:r>
      <w:r>
        <w:rPr>
          <w:rFonts w:eastAsia="Times New Roman"/>
          <w:color w:val="000000"/>
          <w:sz w:val="20"/>
          <w:szCs w:val="20"/>
        </w:rPr>
        <w:t>ne dose of FT218 or placebo, and was conducted in clinical sites in the U.S., Canada, Western Europe and Australia. The last patient, last visit was completed at the end of the first quarter of 2020, and positive top line data from the REST-ON trial was an</w:t>
      </w:r>
      <w:r>
        <w:rPr>
          <w:rFonts w:eastAsia="Times New Roman"/>
          <w:color w:val="000000"/>
          <w:sz w:val="20"/>
          <w:szCs w:val="20"/>
        </w:rPr>
        <w:t>nounced on April 27, 2020. Patients who received 9 g of once-nightly FT218, the highest dose administered in the trial, demonstrated statistically significant and clinically meaningful improvement compared to placebo across the three co-primary endpoints o</w:t>
      </w:r>
      <w:r>
        <w:rPr>
          <w:rFonts w:eastAsia="Times New Roman"/>
          <w:color w:val="000000"/>
          <w:sz w:val="20"/>
          <w:szCs w:val="20"/>
        </w:rPr>
        <w:t>f the trial: maintenance of wakefulness test (“MWT”), clinical global impression-improvement (“CGI-I”), and mean weekly cataplexy attacks. The lower doses assessed, 6 g and 7.5 g also demonstrated statistically significant and clinically meaningful improve</w:t>
      </w:r>
      <w:r>
        <w:rPr>
          <w:rFonts w:eastAsia="Times New Roman"/>
          <w:color w:val="000000"/>
          <w:sz w:val="20"/>
          <w:szCs w:val="20"/>
        </w:rPr>
        <w:t>ment on all three co-primary endpoints compared to placebo. We observed the 9 g dose of once-nightly FT218 to be generally well tolerated. Adverse reactions commonly associated with sodium oxybate were observed in a small number of patients (nausea 1.3%, v</w:t>
      </w:r>
      <w:r>
        <w:rPr>
          <w:rFonts w:eastAsia="Times New Roman"/>
          <w:color w:val="000000"/>
          <w:sz w:val="20"/>
          <w:szCs w:val="20"/>
        </w:rPr>
        <w:t>omiting 5.2%, decreased appetite 2.6%, dizziness 5.2%, somnolence 3.9%, tremor 1.3% and enuresis 9%), and 3.9% of the patients who received 9 g of FT218 discontinued the trial due to adverse reactions.</w:t>
      </w:r>
    </w:p>
    <w:p w14:paraId="2B23FD99" w14:textId="77777777" w:rsidR="00000000" w:rsidRDefault="000C49AD">
      <w:pPr>
        <w:jc w:val="both"/>
        <w:rPr>
          <w:rFonts w:eastAsia="Times New Roman"/>
        </w:rPr>
      </w:pPr>
    </w:p>
    <w:p w14:paraId="1EC4A329" w14:textId="77777777" w:rsidR="00000000" w:rsidRDefault="000C49AD">
      <w:pPr>
        <w:jc w:val="both"/>
        <w:rPr>
          <w:rFonts w:eastAsia="Times New Roman"/>
        </w:rPr>
      </w:pPr>
      <w:r>
        <w:rPr>
          <w:rFonts w:eastAsia="Times New Roman"/>
          <w:color w:val="000000"/>
          <w:sz w:val="20"/>
          <w:szCs w:val="20"/>
        </w:rPr>
        <w:t>In January 2018, the FDA granted FT218 orphan drug d</w:t>
      </w:r>
      <w:r>
        <w:rPr>
          <w:rFonts w:eastAsia="Times New Roman"/>
          <w:color w:val="000000"/>
          <w:sz w:val="20"/>
          <w:szCs w:val="20"/>
        </w:rPr>
        <w:t>esignation for the treatment of narcolepsy, which makes FT218 potentially eligible for certain development and commercial incentives, including potential U.S. market exclusivity for up to seven years. Additionally, several FT218-related U.S. patents have b</w:t>
      </w:r>
      <w:r>
        <w:rPr>
          <w:rFonts w:eastAsia="Times New Roman"/>
          <w:color w:val="000000"/>
          <w:sz w:val="20"/>
          <w:szCs w:val="20"/>
        </w:rPr>
        <w:t>een issued, and there are additional patent applications currently in development and/or pending at the U.S. Patent and Trademark Office (“USPTO”), as well as foreign patent offices.</w:t>
      </w:r>
    </w:p>
    <w:p w14:paraId="78B427CB" w14:textId="77777777" w:rsidR="00000000" w:rsidRDefault="000C49AD">
      <w:pPr>
        <w:jc w:val="both"/>
        <w:rPr>
          <w:rFonts w:eastAsia="Times New Roman"/>
        </w:rPr>
      </w:pPr>
    </w:p>
    <w:p w14:paraId="32679706" w14:textId="77777777" w:rsidR="00000000" w:rsidRDefault="000C49AD">
      <w:pPr>
        <w:jc w:val="both"/>
        <w:rPr>
          <w:rFonts w:eastAsia="Times New Roman"/>
        </w:rPr>
      </w:pPr>
      <w:r>
        <w:rPr>
          <w:rFonts w:eastAsia="Times New Roman"/>
          <w:color w:val="000000"/>
          <w:sz w:val="20"/>
          <w:szCs w:val="20"/>
        </w:rPr>
        <w:t>In July 2020, we announced that the first patient was dosed in our open</w:t>
      </w:r>
      <w:r>
        <w:rPr>
          <w:rFonts w:eastAsia="Times New Roman"/>
          <w:color w:val="000000"/>
          <w:sz w:val="20"/>
          <w:szCs w:val="20"/>
        </w:rPr>
        <w:t>-label extension (“OLE”)/switch study of FT218 as a potential treatment for EDS or cataplexy in patients with narcolepsy. The OLE/switch study is examining the long-term safety and maintenance of efficacy of FT218 in patients with narcolepsy who participat</w:t>
      </w:r>
      <w:r>
        <w:rPr>
          <w:rFonts w:eastAsia="Times New Roman"/>
          <w:color w:val="000000"/>
          <w:sz w:val="20"/>
          <w:szCs w:val="20"/>
        </w:rPr>
        <w:t>ed in the REST-ON study, as well as dosing and preference data for patients switching from twice-nightly sodium oxybate to once-nightly FT218, regardless of whether they participated in REST-ON. In May 2021, inclusion criteria were expanded to allow for ox</w:t>
      </w:r>
      <w:r>
        <w:rPr>
          <w:rFonts w:eastAsia="Times New Roman"/>
          <w:color w:val="000000"/>
          <w:sz w:val="20"/>
          <w:szCs w:val="20"/>
        </w:rPr>
        <w:t xml:space="preserve">ybate naïve patients to enter the study. </w:t>
      </w:r>
    </w:p>
    <w:p w14:paraId="4B1999D2" w14:textId="77777777" w:rsidR="00000000" w:rsidRDefault="000C49AD">
      <w:pPr>
        <w:jc w:val="both"/>
        <w:rPr>
          <w:rFonts w:eastAsia="Times New Roman"/>
        </w:rPr>
      </w:pPr>
    </w:p>
    <w:p w14:paraId="302EE28F" w14:textId="77777777" w:rsidR="00000000" w:rsidRDefault="000C49AD">
      <w:pPr>
        <w:jc w:val="center"/>
        <w:divId w:val="919024844"/>
        <w:rPr>
          <w:rFonts w:eastAsia="Times New Roman"/>
        </w:rPr>
      </w:pPr>
      <w:r>
        <w:rPr>
          <w:rFonts w:eastAsia="Times New Roman"/>
          <w:color w:val="000000"/>
          <w:sz w:val="20"/>
          <w:szCs w:val="20"/>
        </w:rPr>
        <w:t>-7-</w:t>
      </w:r>
    </w:p>
    <w:p w14:paraId="11B6568D" w14:textId="77777777" w:rsidR="00000000" w:rsidRDefault="000C49AD">
      <w:pPr>
        <w:rPr>
          <w:rFonts w:eastAsia="Times New Roman"/>
        </w:rPr>
      </w:pPr>
      <w:r>
        <w:rPr>
          <w:rFonts w:eastAsia="Times New Roman"/>
        </w:rPr>
        <w:pict w14:anchorId="7024AB2F">
          <v:rect id="_x0000_i1031" style="width:0;height:1.5pt" o:hralign="center" o:hrstd="t" o:hr="t" fillcolor="#a0a0a0" stroked="f"/>
        </w:pict>
      </w:r>
    </w:p>
    <w:p w14:paraId="1B232775" w14:textId="77777777" w:rsidR="00000000" w:rsidRDefault="000C49AD">
      <w:pPr>
        <w:divId w:val="1389845286"/>
        <w:rPr>
          <w:rFonts w:eastAsia="Times New Roman"/>
        </w:rPr>
      </w:pPr>
    </w:p>
    <w:p w14:paraId="2EAD6AE1" w14:textId="77777777" w:rsidR="00000000" w:rsidRDefault="000C49AD">
      <w:pPr>
        <w:jc w:val="both"/>
        <w:rPr>
          <w:rFonts w:eastAsia="Times New Roman"/>
        </w:rPr>
      </w:pPr>
      <w:r>
        <w:rPr>
          <w:rFonts w:eastAsia="Times New Roman"/>
          <w:color w:val="000000"/>
          <w:sz w:val="20"/>
          <w:szCs w:val="20"/>
        </w:rPr>
        <w:t>New secondary endpoints from the REST-ON trial were presented at the American Academy of Neurology, beginning April 17, 2021. The first poster described FT218 improvement</w:t>
      </w:r>
      <w:r>
        <w:rPr>
          <w:rFonts w:eastAsia="Times New Roman"/>
          <w:color w:val="000000"/>
          <w:sz w:val="20"/>
          <w:szCs w:val="20"/>
        </w:rPr>
        <w:t>s in disturbed nocturnal sleep (“DNS”), defined in REST-ON as the number of shifts from stages N1, N2, N3, and rapid eye movement (“REM”) sleep to wake and from stages N2, N3, and REM sleep to stage N1. FT218 also decreased the number of nocturnal arousals</w:t>
      </w:r>
      <w:r>
        <w:rPr>
          <w:rFonts w:eastAsia="Times New Roman"/>
          <w:color w:val="000000"/>
          <w:sz w:val="20"/>
          <w:szCs w:val="20"/>
        </w:rPr>
        <w:t xml:space="preserve"> as measured on polysomnography. Improvements in DNS were further supported by post-hoc analyses demonstrating increased time in deep sleep (N3, also known as slow wave sleep), and less time in N1. A second poster described the statistically significant im</w:t>
      </w:r>
      <w:r>
        <w:rPr>
          <w:rFonts w:eastAsia="Times New Roman"/>
          <w:color w:val="000000"/>
          <w:sz w:val="20"/>
          <w:szCs w:val="20"/>
        </w:rPr>
        <w:t>provements in the Epworth Sleepiness Scale, both the quality of sleep and the refreshing nature of sleep, and a decrease in sleep paralysis. These clinically relevant improvements were observed for all doses, beginning at week 3, for the lowest 6 g dose, c</w:t>
      </w:r>
      <w:r>
        <w:rPr>
          <w:rFonts w:eastAsia="Times New Roman"/>
          <w:color w:val="000000"/>
          <w:sz w:val="20"/>
          <w:szCs w:val="20"/>
        </w:rPr>
        <w:t>ompared to placebo. FT218 did not demonstrate significant improvement for hypnagogic hallucinations compared to placebo.</w:t>
      </w:r>
    </w:p>
    <w:p w14:paraId="4DE9F621" w14:textId="77777777" w:rsidR="00000000" w:rsidRDefault="000C49AD">
      <w:pPr>
        <w:jc w:val="both"/>
        <w:rPr>
          <w:rFonts w:eastAsia="Times New Roman"/>
        </w:rPr>
      </w:pPr>
    </w:p>
    <w:p w14:paraId="23943944" w14:textId="77777777" w:rsidR="00000000" w:rsidRDefault="000C49AD">
      <w:pPr>
        <w:jc w:val="both"/>
        <w:rPr>
          <w:rFonts w:eastAsia="Times New Roman"/>
        </w:rPr>
      </w:pPr>
      <w:r>
        <w:rPr>
          <w:rFonts w:eastAsia="Times New Roman"/>
          <w:color w:val="000000"/>
          <w:sz w:val="20"/>
          <w:szCs w:val="20"/>
        </w:rPr>
        <w:t>Additional data supportive of the efficacy findings in REST-ON were presented at the 35th Annual Meeting of the Associated Profession</w:t>
      </w:r>
      <w:r>
        <w:rPr>
          <w:rFonts w:eastAsia="Times New Roman"/>
          <w:color w:val="000000"/>
          <w:sz w:val="20"/>
          <w:szCs w:val="20"/>
        </w:rPr>
        <w:t>al Sleep Societies, a joint meeting of the American Academy of Sleep Medicine and the Sleep Research Society, also known as SLEEP 2021, beginning June 10, 2021. New data included post-hoc analyses demonstrating endpoints improvements, regardless of concomi</w:t>
      </w:r>
      <w:r>
        <w:rPr>
          <w:rFonts w:eastAsia="Times New Roman"/>
          <w:color w:val="000000"/>
          <w:sz w:val="20"/>
          <w:szCs w:val="20"/>
        </w:rPr>
        <w:t>tant stimulant use, in both narcolepsy Type 1 or Type 2. Additionally, a post-hoc analysis showed that FT218 was associated with decreased body mass index compared to placebo, which may be relevant as people with narcolepsy often have co-morbid obesity. In</w:t>
      </w:r>
      <w:r>
        <w:rPr>
          <w:rFonts w:eastAsia="Times New Roman"/>
          <w:color w:val="000000"/>
          <w:sz w:val="20"/>
          <w:szCs w:val="20"/>
        </w:rPr>
        <w:t xml:space="preserve"> August 2021, the primary results from the REST-ON trial were published by Kushida et al. in the journal SLEEP. New data was presented at the American College of Chest Physicians annual meeting, beginning October 17, 2021, including additional post-hoc ana</w:t>
      </w:r>
      <w:r>
        <w:rPr>
          <w:rFonts w:eastAsia="Times New Roman"/>
          <w:color w:val="000000"/>
          <w:sz w:val="20"/>
          <w:szCs w:val="20"/>
        </w:rPr>
        <w:t>lyses from the REST-ON trial, demonstrating a greater proportion of patients receiving FT218 experienced reductions in weekly cataplexy attacks and improvement in mean sleep latency compared to placebo, as well as the results of a discrete choice experimen</w:t>
      </w:r>
      <w:r>
        <w:rPr>
          <w:rFonts w:eastAsia="Times New Roman"/>
          <w:color w:val="000000"/>
          <w:sz w:val="20"/>
          <w:szCs w:val="20"/>
        </w:rPr>
        <w:t>t, indicating that the overall driver of patient preference between sodium oxybate treatments is a once-nightly, versus twice-nightly, formulation.</w:t>
      </w:r>
    </w:p>
    <w:p w14:paraId="0865A10D" w14:textId="77777777" w:rsidR="00000000" w:rsidRDefault="000C49AD">
      <w:pPr>
        <w:jc w:val="both"/>
        <w:rPr>
          <w:rFonts w:eastAsia="Times New Roman"/>
        </w:rPr>
      </w:pPr>
    </w:p>
    <w:p w14:paraId="3DE01DCE" w14:textId="77777777" w:rsidR="00000000" w:rsidRDefault="000C49AD">
      <w:pPr>
        <w:jc w:val="both"/>
        <w:rPr>
          <w:rFonts w:eastAsia="Times New Roman"/>
        </w:rPr>
      </w:pPr>
      <w:r>
        <w:rPr>
          <w:rFonts w:eastAsia="Times New Roman"/>
          <w:color w:val="000000"/>
          <w:sz w:val="20"/>
          <w:szCs w:val="20"/>
        </w:rPr>
        <w:t>We believe FT218 has the potential to demonstrate improved dosing compliance, safety and patient satisfaction over the current standards of care for EDS or cataplexy in patients with narcolepsy, which are twice-nightly oxybate formulations.</w:t>
      </w:r>
    </w:p>
    <w:p w14:paraId="59E43682" w14:textId="77777777" w:rsidR="00000000" w:rsidRDefault="000C49AD">
      <w:pPr>
        <w:divId w:val="1161310325"/>
        <w:rPr>
          <w:rFonts w:eastAsia="Times New Roman"/>
        </w:rPr>
      </w:pPr>
    </w:p>
    <w:p w14:paraId="230C0ECB" w14:textId="77777777" w:rsidR="00000000" w:rsidRDefault="000C49AD">
      <w:pPr>
        <w:divId w:val="111438343"/>
        <w:rPr>
          <w:rFonts w:eastAsia="Times New Roman"/>
        </w:rPr>
      </w:pPr>
      <w:r>
        <w:rPr>
          <w:rFonts w:eastAsia="Times New Roman"/>
          <w:b/>
          <w:bCs/>
          <w:i/>
          <w:iCs/>
          <w:color w:val="000000"/>
          <w:sz w:val="20"/>
          <w:szCs w:val="20"/>
        </w:rPr>
        <w:t>Micropump Dru</w:t>
      </w:r>
      <w:r>
        <w:rPr>
          <w:rFonts w:eastAsia="Times New Roman"/>
          <w:b/>
          <w:bCs/>
          <w:i/>
          <w:iCs/>
          <w:color w:val="000000"/>
          <w:sz w:val="20"/>
          <w:szCs w:val="20"/>
        </w:rPr>
        <w:t xml:space="preserve">g-Delivery Technology </w:t>
      </w:r>
    </w:p>
    <w:p w14:paraId="20A03500" w14:textId="77777777" w:rsidR="00000000" w:rsidRDefault="000C49AD">
      <w:pPr>
        <w:divId w:val="955597395"/>
        <w:rPr>
          <w:rFonts w:eastAsia="Times New Roman"/>
        </w:rPr>
      </w:pPr>
    </w:p>
    <w:p w14:paraId="3D1DFDC4" w14:textId="77777777" w:rsidR="00000000" w:rsidRDefault="000C49AD">
      <w:pPr>
        <w:jc w:val="both"/>
        <w:rPr>
          <w:rFonts w:eastAsia="Times New Roman"/>
        </w:rPr>
      </w:pPr>
      <w:r>
        <w:rPr>
          <w:rFonts w:eastAsia="Times New Roman"/>
          <w:color w:val="000000"/>
          <w:sz w:val="20"/>
          <w:szCs w:val="20"/>
        </w:rPr>
        <w:t>Our Micropump drug-delivery technology allows for the controlled delivery of small molecule drugs taken orally, which has the potential to improve dosing compliance, reduce toxicity and improve patient compliance. Beyond FT218, we believe there could be ot</w:t>
      </w:r>
      <w:r>
        <w:rPr>
          <w:rFonts w:eastAsia="Times New Roman"/>
          <w:color w:val="000000"/>
          <w:sz w:val="20"/>
          <w:szCs w:val="20"/>
        </w:rPr>
        <w:t>her product development opportunities for our Micropump drug-delivery technology, representing either life cycle opportunities, whereby additional intellectual property can be added to a pharmaceutical product to extend the commercial viability of a curren</w:t>
      </w:r>
      <w:r>
        <w:rPr>
          <w:rFonts w:eastAsia="Times New Roman"/>
          <w:color w:val="000000"/>
          <w:sz w:val="20"/>
          <w:szCs w:val="20"/>
        </w:rPr>
        <w:t xml:space="preserve">tly marketed product, or innovative formulation opportunities for new chemical entities. </w:t>
      </w:r>
    </w:p>
    <w:p w14:paraId="429D2DF5" w14:textId="77777777" w:rsidR="00000000" w:rsidRDefault="000C49AD">
      <w:pPr>
        <w:jc w:val="both"/>
        <w:rPr>
          <w:rFonts w:eastAsia="Times New Roman"/>
        </w:rPr>
      </w:pPr>
    </w:p>
    <w:p w14:paraId="22F8DD1B" w14:textId="77777777" w:rsidR="00000000" w:rsidRDefault="000C49AD">
      <w:pPr>
        <w:jc w:val="both"/>
        <w:rPr>
          <w:rFonts w:eastAsia="Times New Roman"/>
        </w:rPr>
      </w:pPr>
      <w:r>
        <w:rPr>
          <w:rFonts w:eastAsia="Times New Roman"/>
          <w:b/>
          <w:bCs/>
          <w:i/>
          <w:iCs/>
          <w:color w:val="000000"/>
          <w:sz w:val="20"/>
          <w:szCs w:val="20"/>
        </w:rPr>
        <w:t xml:space="preserve">Previously Approved FDA Products </w:t>
      </w:r>
    </w:p>
    <w:p w14:paraId="40472B20" w14:textId="77777777" w:rsidR="00000000" w:rsidRDefault="000C49AD">
      <w:pPr>
        <w:jc w:val="both"/>
        <w:rPr>
          <w:rFonts w:eastAsia="Times New Roman"/>
        </w:rPr>
      </w:pPr>
    </w:p>
    <w:p w14:paraId="054E4E0F" w14:textId="77777777" w:rsidR="00000000" w:rsidRDefault="000C49AD">
      <w:pPr>
        <w:jc w:val="both"/>
        <w:rPr>
          <w:rFonts w:eastAsia="Times New Roman"/>
        </w:rPr>
      </w:pPr>
      <w:r>
        <w:rPr>
          <w:rFonts w:eastAsia="Times New Roman"/>
          <w:color w:val="000000"/>
          <w:sz w:val="20"/>
          <w:szCs w:val="20"/>
        </w:rPr>
        <w:t>On June 30, 2020 (“Closing Date”), we announced the sale of our portfolio of sterile injectable drugs used in the hospital setti</w:t>
      </w:r>
      <w:r>
        <w:rPr>
          <w:rFonts w:eastAsia="Times New Roman"/>
          <w:color w:val="000000"/>
          <w:sz w:val="20"/>
          <w:szCs w:val="20"/>
        </w:rPr>
        <w:t xml:space="preserve">ng (the “Hospital Products”), including our three FDA-approved commercial products, Akovaz, Bloxiverz and Vazculep, as well as Nouress, to Exela Sterile Medicines LLC (“Exela Buyer”). </w:t>
      </w:r>
    </w:p>
    <w:p w14:paraId="28154A5A" w14:textId="77777777" w:rsidR="00000000" w:rsidRDefault="000C49AD">
      <w:pPr>
        <w:jc w:val="both"/>
        <w:rPr>
          <w:rFonts w:eastAsia="Times New Roman"/>
        </w:rPr>
      </w:pPr>
    </w:p>
    <w:p w14:paraId="53D21B50" w14:textId="77777777" w:rsidR="00000000" w:rsidRDefault="000C49AD">
      <w:pPr>
        <w:jc w:val="both"/>
        <w:rPr>
          <w:rFonts w:eastAsia="Times New Roman"/>
        </w:rPr>
      </w:pPr>
      <w:r>
        <w:rPr>
          <w:rFonts w:eastAsia="Times New Roman"/>
          <w:b/>
          <w:bCs/>
          <w:color w:val="000000"/>
          <w:sz w:val="20"/>
          <w:szCs w:val="20"/>
        </w:rPr>
        <w:t>Our Drug Delivery Technologies </w:t>
      </w:r>
    </w:p>
    <w:p w14:paraId="3E6EA3E1" w14:textId="77777777" w:rsidR="00000000" w:rsidRDefault="000C49AD">
      <w:pPr>
        <w:jc w:val="both"/>
        <w:rPr>
          <w:rFonts w:eastAsia="Times New Roman"/>
        </w:rPr>
      </w:pPr>
    </w:p>
    <w:p w14:paraId="3591C415" w14:textId="77777777" w:rsidR="00000000" w:rsidRDefault="000C49AD">
      <w:pPr>
        <w:jc w:val="both"/>
        <w:rPr>
          <w:rFonts w:eastAsia="Times New Roman"/>
        </w:rPr>
      </w:pPr>
      <w:r>
        <w:rPr>
          <w:rFonts w:eastAsia="Times New Roman"/>
          <w:color w:val="000000"/>
          <w:sz w:val="20"/>
          <w:szCs w:val="20"/>
        </w:rPr>
        <w:t>We own drug delivery technologies t</w:t>
      </w:r>
      <w:r>
        <w:rPr>
          <w:rFonts w:eastAsia="Times New Roman"/>
          <w:color w:val="000000"/>
          <w:sz w:val="20"/>
          <w:szCs w:val="20"/>
        </w:rPr>
        <w:t>hat address formulation challenges, potentially allowing the development of differentiated drug products for administration in various forms (e.g.</w:t>
      </w:r>
      <w:r>
        <w:rPr>
          <w:rFonts w:eastAsia="Times New Roman"/>
          <w:i/>
          <w:iCs/>
          <w:color w:val="000000"/>
          <w:sz w:val="20"/>
          <w:szCs w:val="20"/>
        </w:rPr>
        <w:t>,</w:t>
      </w:r>
      <w:r>
        <w:rPr>
          <w:rFonts w:eastAsia="Times New Roman"/>
          <w:color w:val="000000"/>
          <w:sz w:val="20"/>
          <w:szCs w:val="20"/>
        </w:rPr>
        <w:t> capsules, tablets, sachets or liquid suspensions for oral use; or injectables for subcutaneous administratio</w:t>
      </w:r>
      <w:r>
        <w:rPr>
          <w:rFonts w:eastAsia="Times New Roman"/>
          <w:color w:val="000000"/>
          <w:sz w:val="20"/>
          <w:szCs w:val="20"/>
        </w:rPr>
        <w:t>n) that could be applied to a broad range of drugs (novel, already-marketed, or off-patent).</w:t>
      </w:r>
    </w:p>
    <w:p w14:paraId="341C2F33" w14:textId="77777777" w:rsidR="00000000" w:rsidRDefault="000C49AD">
      <w:pPr>
        <w:jc w:val="both"/>
        <w:rPr>
          <w:rFonts w:eastAsia="Times New Roman"/>
        </w:rPr>
      </w:pPr>
    </w:p>
    <w:p w14:paraId="384B7BA3" w14:textId="77777777" w:rsidR="00000000" w:rsidRDefault="000C49AD">
      <w:pPr>
        <w:jc w:val="both"/>
        <w:rPr>
          <w:rFonts w:eastAsia="Times New Roman"/>
        </w:rPr>
      </w:pPr>
      <w:r>
        <w:rPr>
          <w:rFonts w:eastAsia="Times New Roman"/>
          <w:color w:val="000000"/>
          <w:sz w:val="20"/>
          <w:szCs w:val="20"/>
        </w:rPr>
        <w:t>A brief discussion of each of our drug delivery technologies is set forth below.</w:t>
      </w:r>
    </w:p>
    <w:p w14:paraId="42D2FA53" w14:textId="77777777" w:rsidR="00000000" w:rsidRDefault="000C49AD">
      <w:pPr>
        <w:jc w:val="both"/>
        <w:rPr>
          <w:rFonts w:eastAsia="Times New Roman"/>
        </w:rPr>
      </w:pPr>
      <w:r>
        <w:rPr>
          <w:rFonts w:eastAsia="Times New Roman"/>
          <w:color w:val="000000"/>
          <w:sz w:val="20"/>
          <w:szCs w:val="20"/>
        </w:rPr>
        <w:t> </w:t>
      </w:r>
    </w:p>
    <w:p w14:paraId="32DA2163" w14:textId="77777777" w:rsidR="00000000" w:rsidRDefault="000C49AD">
      <w:pPr>
        <w:ind w:hanging="360"/>
        <w:jc w:val="both"/>
        <w:rPr>
          <w:rFonts w:eastAsia="Times New Roman"/>
        </w:rPr>
      </w:pPr>
      <w:r>
        <w:rPr>
          <w:rFonts w:eastAsia="Times New Roman"/>
          <w:color w:val="000000"/>
          <w:sz w:val="20"/>
          <w:szCs w:val="20"/>
        </w:rPr>
        <w:t>•Micropump</w:t>
      </w:r>
      <w:r>
        <w:rPr>
          <w:rFonts w:eastAsia="Times New Roman"/>
          <w:i/>
          <w:iCs/>
          <w:color w:val="000000"/>
          <w:sz w:val="20"/>
          <w:szCs w:val="20"/>
        </w:rPr>
        <w:t xml:space="preserve">. </w:t>
      </w:r>
      <w:r>
        <w:rPr>
          <w:rFonts w:eastAsia="Times New Roman"/>
          <w:color w:val="000000"/>
          <w:sz w:val="20"/>
          <w:szCs w:val="20"/>
        </w:rPr>
        <w:t>Our</w:t>
      </w:r>
      <w:r>
        <w:rPr>
          <w:rFonts w:eastAsia="Times New Roman"/>
          <w:i/>
          <w:iCs/>
          <w:color w:val="000000"/>
          <w:sz w:val="20"/>
          <w:szCs w:val="20"/>
        </w:rPr>
        <w:t xml:space="preserve"> </w:t>
      </w:r>
      <w:r>
        <w:rPr>
          <w:rFonts w:eastAsia="Times New Roman"/>
          <w:color w:val="000000"/>
          <w:sz w:val="20"/>
          <w:szCs w:val="20"/>
        </w:rPr>
        <w:t>Micropump technology allows for the development of modified re</w:t>
      </w:r>
      <w:r>
        <w:rPr>
          <w:rFonts w:eastAsia="Times New Roman"/>
          <w:color w:val="000000"/>
          <w:sz w:val="20"/>
          <w:szCs w:val="20"/>
        </w:rPr>
        <w:t xml:space="preserve">lease solid, oral dosage formulations of drugs. Micropump-carvedilol and Micropump-aspirin formulations have been approved in the U.S. Further, Micropump technology is being employed in our investigational FT218 product. </w:t>
      </w:r>
    </w:p>
    <w:p w14:paraId="753FA7A2" w14:textId="77777777" w:rsidR="00000000" w:rsidRDefault="000C49AD">
      <w:pPr>
        <w:jc w:val="both"/>
        <w:rPr>
          <w:rFonts w:eastAsia="Times New Roman"/>
        </w:rPr>
      </w:pPr>
    </w:p>
    <w:p w14:paraId="260ED56F" w14:textId="77777777" w:rsidR="00000000" w:rsidRDefault="000C49AD">
      <w:pPr>
        <w:ind w:hanging="360"/>
        <w:jc w:val="both"/>
        <w:rPr>
          <w:rFonts w:eastAsia="Times New Roman"/>
        </w:rPr>
      </w:pPr>
      <w:r>
        <w:rPr>
          <w:rFonts w:eastAsia="Times New Roman"/>
          <w:color w:val="000000"/>
          <w:sz w:val="20"/>
          <w:szCs w:val="20"/>
        </w:rPr>
        <w:t>•LiquiTime</w:t>
      </w:r>
      <w:r>
        <w:rPr>
          <w:rFonts w:eastAsia="Times New Roman"/>
          <w:i/>
          <w:iCs/>
          <w:color w:val="000000"/>
          <w:sz w:val="20"/>
          <w:szCs w:val="20"/>
        </w:rPr>
        <w:t xml:space="preserve">. </w:t>
      </w:r>
      <w:r>
        <w:rPr>
          <w:rFonts w:eastAsia="Times New Roman"/>
          <w:color w:val="000000"/>
          <w:sz w:val="20"/>
          <w:szCs w:val="20"/>
        </w:rPr>
        <w:t>Our</w:t>
      </w:r>
      <w:r>
        <w:rPr>
          <w:rFonts w:eastAsia="Times New Roman"/>
          <w:i/>
          <w:iCs/>
          <w:color w:val="000000"/>
          <w:sz w:val="20"/>
          <w:szCs w:val="20"/>
        </w:rPr>
        <w:t xml:space="preserve"> </w:t>
      </w:r>
      <w:r>
        <w:rPr>
          <w:rFonts w:eastAsia="Times New Roman"/>
          <w:color w:val="000000"/>
          <w:sz w:val="20"/>
          <w:szCs w:val="20"/>
        </w:rPr>
        <w:t>LiquiTime techno</w:t>
      </w:r>
      <w:r>
        <w:rPr>
          <w:rFonts w:eastAsia="Times New Roman"/>
          <w:color w:val="000000"/>
          <w:sz w:val="20"/>
          <w:szCs w:val="20"/>
        </w:rPr>
        <w:t>logy allows for development of modified release oral products in a liquid suspension formulation, which may make such formulations particularly well suited for children and/or patients having issues swallowing tablets or capsules. Although we own this tech</w:t>
      </w:r>
      <w:r>
        <w:rPr>
          <w:rFonts w:eastAsia="Times New Roman"/>
          <w:color w:val="000000"/>
          <w:sz w:val="20"/>
          <w:szCs w:val="20"/>
        </w:rPr>
        <w:t>nology, we are currently not pursuing any commercial pharmaceutical drug development opportunities using it.</w:t>
      </w:r>
    </w:p>
    <w:p w14:paraId="221EC63D" w14:textId="77777777" w:rsidR="00000000" w:rsidRDefault="000C49AD">
      <w:pPr>
        <w:jc w:val="both"/>
        <w:rPr>
          <w:rFonts w:eastAsia="Times New Roman"/>
        </w:rPr>
      </w:pPr>
    </w:p>
    <w:p w14:paraId="11A7CD82" w14:textId="77777777" w:rsidR="00000000" w:rsidRDefault="000C49AD">
      <w:pPr>
        <w:jc w:val="center"/>
        <w:divId w:val="204023825"/>
        <w:rPr>
          <w:rFonts w:eastAsia="Times New Roman"/>
        </w:rPr>
      </w:pPr>
      <w:r>
        <w:rPr>
          <w:rFonts w:eastAsia="Times New Roman"/>
          <w:color w:val="000000"/>
          <w:sz w:val="20"/>
          <w:szCs w:val="20"/>
        </w:rPr>
        <w:t>-8-</w:t>
      </w:r>
    </w:p>
    <w:p w14:paraId="6D83A24E" w14:textId="77777777" w:rsidR="00000000" w:rsidRDefault="000C49AD">
      <w:pPr>
        <w:rPr>
          <w:rFonts w:eastAsia="Times New Roman"/>
        </w:rPr>
      </w:pPr>
      <w:r>
        <w:rPr>
          <w:rFonts w:eastAsia="Times New Roman"/>
        </w:rPr>
        <w:pict w14:anchorId="49C80C61">
          <v:rect id="_x0000_i1032" style="width:0;height:1.5pt" o:hralign="center" o:hrstd="t" o:hr="t" fillcolor="#a0a0a0" stroked="f"/>
        </w:pict>
      </w:r>
    </w:p>
    <w:p w14:paraId="6DF67F5F" w14:textId="77777777" w:rsidR="00000000" w:rsidRDefault="000C49AD">
      <w:pPr>
        <w:divId w:val="150869674"/>
        <w:rPr>
          <w:rFonts w:eastAsia="Times New Roman"/>
        </w:rPr>
      </w:pPr>
    </w:p>
    <w:p w14:paraId="2481553A" w14:textId="77777777" w:rsidR="00000000" w:rsidRDefault="000C49AD">
      <w:pPr>
        <w:ind w:hanging="360"/>
        <w:jc w:val="both"/>
        <w:rPr>
          <w:rFonts w:eastAsia="Times New Roman"/>
        </w:rPr>
      </w:pPr>
      <w:r>
        <w:rPr>
          <w:rFonts w:eastAsia="Times New Roman"/>
          <w:color w:val="000000"/>
          <w:sz w:val="20"/>
          <w:szCs w:val="20"/>
        </w:rPr>
        <w:t>•Medusa. Our Medusa technology allows for the development of modified-release injectable dosage formul</w:t>
      </w:r>
      <w:r>
        <w:rPr>
          <w:rFonts w:eastAsia="Times New Roman"/>
          <w:color w:val="000000"/>
          <w:sz w:val="20"/>
          <w:szCs w:val="20"/>
        </w:rPr>
        <w:t>ations of drugs (e.g., peptides, polypeptides, proteins, and small molecules). Although we own this technology, we are currently not pursuing any commercial pharmaceutical drug development opportunities using it.</w:t>
      </w:r>
    </w:p>
    <w:p w14:paraId="10AF5356" w14:textId="77777777" w:rsidR="00000000" w:rsidRDefault="000C49AD">
      <w:pPr>
        <w:jc w:val="both"/>
        <w:rPr>
          <w:rFonts w:eastAsia="Times New Roman"/>
        </w:rPr>
      </w:pPr>
    </w:p>
    <w:p w14:paraId="311CC5BD" w14:textId="77777777" w:rsidR="00000000" w:rsidRDefault="000C49AD">
      <w:pPr>
        <w:jc w:val="both"/>
        <w:rPr>
          <w:rFonts w:eastAsia="Times New Roman"/>
        </w:rPr>
      </w:pPr>
      <w:r>
        <w:rPr>
          <w:rFonts w:eastAsia="Times New Roman"/>
          <w:b/>
          <w:bCs/>
          <w:color w:val="000000"/>
          <w:sz w:val="20"/>
          <w:szCs w:val="20"/>
          <w:u w:val="single"/>
        </w:rPr>
        <w:t>Competition and Market Opportunities</w:t>
      </w:r>
      <w:r>
        <w:rPr>
          <w:rFonts w:eastAsia="Times New Roman"/>
          <w:b/>
          <w:bCs/>
          <w:color w:val="000000"/>
          <w:sz w:val="20"/>
          <w:szCs w:val="20"/>
        </w:rPr>
        <w:t> </w:t>
      </w:r>
    </w:p>
    <w:p w14:paraId="37DA9FAE" w14:textId="77777777" w:rsidR="00000000" w:rsidRDefault="000C49AD">
      <w:pPr>
        <w:jc w:val="both"/>
        <w:rPr>
          <w:rFonts w:eastAsia="Times New Roman"/>
        </w:rPr>
      </w:pPr>
    </w:p>
    <w:p w14:paraId="592C9CA4" w14:textId="77777777" w:rsidR="00000000" w:rsidRDefault="000C49AD">
      <w:pPr>
        <w:jc w:val="both"/>
        <w:rPr>
          <w:rFonts w:eastAsia="Times New Roman"/>
        </w:rPr>
      </w:pPr>
      <w:r>
        <w:rPr>
          <w:rFonts w:eastAsia="Times New Roman"/>
          <w:b/>
          <w:bCs/>
          <w:color w:val="000000"/>
          <w:sz w:val="20"/>
          <w:szCs w:val="20"/>
        </w:rPr>
        <w:t>C</w:t>
      </w:r>
      <w:r>
        <w:rPr>
          <w:rFonts w:eastAsia="Times New Roman"/>
          <w:b/>
          <w:bCs/>
          <w:color w:val="000000"/>
          <w:sz w:val="20"/>
          <w:szCs w:val="20"/>
        </w:rPr>
        <w:t>ompetition</w:t>
      </w:r>
      <w:r>
        <w:rPr>
          <w:rFonts w:eastAsia="Times New Roman"/>
          <w:color w:val="000000"/>
          <w:sz w:val="20"/>
          <w:szCs w:val="20"/>
        </w:rPr>
        <w:t> </w:t>
      </w:r>
    </w:p>
    <w:p w14:paraId="1F8235E4" w14:textId="77777777" w:rsidR="00000000" w:rsidRDefault="000C49AD">
      <w:pPr>
        <w:jc w:val="both"/>
        <w:rPr>
          <w:rFonts w:eastAsia="Times New Roman"/>
        </w:rPr>
      </w:pPr>
    </w:p>
    <w:p w14:paraId="615A3E66" w14:textId="77777777" w:rsidR="00000000" w:rsidRDefault="000C49AD">
      <w:pPr>
        <w:jc w:val="both"/>
        <w:rPr>
          <w:rFonts w:eastAsia="Times New Roman"/>
        </w:rPr>
      </w:pPr>
      <w:r>
        <w:rPr>
          <w:rFonts w:eastAsia="Times New Roman"/>
          <w:color w:val="000000"/>
          <w:sz w:val="20"/>
          <w:szCs w:val="20"/>
        </w:rPr>
        <w:t>Competition in the pharmaceutical and biotechnology industry is intense and is expected to increase. We compete with academic laboratories, research institutions, universities, joint ventures, and other pharmaceutical and biotechnology compan</w:t>
      </w:r>
      <w:r>
        <w:rPr>
          <w:rFonts w:eastAsia="Times New Roman"/>
          <w:color w:val="000000"/>
          <w:sz w:val="20"/>
          <w:szCs w:val="20"/>
        </w:rPr>
        <w:t>ies, including other companies developing brand or generic specialty pharmaceutical products or drug delivery platforms. Some of these competitors may also be our business partners. There can be no assurance that our competitors will not obtain patent prot</w:t>
      </w:r>
      <w:r>
        <w:rPr>
          <w:rFonts w:eastAsia="Times New Roman"/>
          <w:color w:val="000000"/>
          <w:sz w:val="20"/>
          <w:szCs w:val="20"/>
        </w:rPr>
        <w:t>ection or other intellectual property rights that would make it difficult or impossible for us to compete with their products. Furthermore, major technological changes can happen quickly in the pharmaceutical and biotechnology industries. Such rapid techno</w:t>
      </w:r>
      <w:r>
        <w:rPr>
          <w:rFonts w:eastAsia="Times New Roman"/>
          <w:color w:val="000000"/>
          <w:sz w:val="20"/>
          <w:szCs w:val="20"/>
        </w:rPr>
        <w:t>logical change, or the development by our competitors of technologically improved or differentiated products, could render our products, including our drug delivery technologies, obsolete or noncompetitive.</w:t>
      </w:r>
    </w:p>
    <w:p w14:paraId="5E18AF56" w14:textId="77777777" w:rsidR="00000000" w:rsidRDefault="000C49AD">
      <w:pPr>
        <w:jc w:val="both"/>
        <w:rPr>
          <w:rFonts w:eastAsia="Times New Roman"/>
        </w:rPr>
      </w:pPr>
      <w:r>
        <w:rPr>
          <w:rFonts w:eastAsia="Times New Roman"/>
          <w:color w:val="000000"/>
          <w:sz w:val="20"/>
          <w:szCs w:val="20"/>
        </w:rPr>
        <w:t> </w:t>
      </w:r>
    </w:p>
    <w:p w14:paraId="740B5FBD" w14:textId="77777777" w:rsidR="00000000" w:rsidRDefault="000C49AD">
      <w:pPr>
        <w:jc w:val="both"/>
        <w:rPr>
          <w:rFonts w:eastAsia="Times New Roman"/>
        </w:rPr>
      </w:pPr>
      <w:r>
        <w:rPr>
          <w:rFonts w:eastAsia="Times New Roman"/>
          <w:color w:val="000000"/>
          <w:sz w:val="20"/>
          <w:szCs w:val="20"/>
        </w:rPr>
        <w:t>The pharmaceutical industry has dramatically changed in recent years, largely as a function of the growing importance of generic drugs. The growth of generics (typically small molecules) and of large molecules (biosimilars) has been accelerated by the dema</w:t>
      </w:r>
      <w:r>
        <w:rPr>
          <w:rFonts w:eastAsia="Times New Roman"/>
          <w:color w:val="000000"/>
          <w:sz w:val="20"/>
          <w:szCs w:val="20"/>
        </w:rPr>
        <w:t>nd for less expensive pharmaceutical products. As a result, the pricing power of pharmaceutical companies will be more tightly controlled in the future.</w:t>
      </w:r>
    </w:p>
    <w:p w14:paraId="7364CC45" w14:textId="77777777" w:rsidR="00000000" w:rsidRDefault="000C49AD">
      <w:pPr>
        <w:jc w:val="both"/>
        <w:rPr>
          <w:rFonts w:eastAsia="Times New Roman"/>
        </w:rPr>
      </w:pPr>
    </w:p>
    <w:p w14:paraId="7CFD6195" w14:textId="77777777" w:rsidR="00000000" w:rsidRDefault="000C49AD">
      <w:pPr>
        <w:jc w:val="both"/>
        <w:rPr>
          <w:rFonts w:eastAsia="Times New Roman"/>
        </w:rPr>
      </w:pPr>
      <w:r>
        <w:rPr>
          <w:rFonts w:eastAsia="Times New Roman"/>
          <w:color w:val="000000"/>
          <w:sz w:val="20"/>
          <w:szCs w:val="20"/>
        </w:rPr>
        <w:t>In addition, consolidation has reduced our pool of potential partners and acquisition opportunities w</w:t>
      </w:r>
      <w:r>
        <w:rPr>
          <w:rFonts w:eastAsia="Times New Roman"/>
          <w:color w:val="000000"/>
          <w:sz w:val="20"/>
          <w:szCs w:val="20"/>
        </w:rPr>
        <w:t>ithin the biopharmaceutical space.</w:t>
      </w:r>
    </w:p>
    <w:p w14:paraId="1F958E56" w14:textId="77777777" w:rsidR="00000000" w:rsidRDefault="000C49AD">
      <w:pPr>
        <w:jc w:val="both"/>
        <w:rPr>
          <w:rFonts w:eastAsia="Times New Roman"/>
        </w:rPr>
      </w:pPr>
      <w:r>
        <w:rPr>
          <w:rFonts w:eastAsia="Times New Roman"/>
          <w:color w:val="000000"/>
          <w:sz w:val="20"/>
          <w:szCs w:val="20"/>
        </w:rPr>
        <w:t> </w:t>
      </w:r>
    </w:p>
    <w:p w14:paraId="478240CC" w14:textId="77777777" w:rsidR="00000000" w:rsidRDefault="000C49AD">
      <w:pPr>
        <w:jc w:val="both"/>
        <w:rPr>
          <w:rFonts w:eastAsia="Times New Roman"/>
        </w:rPr>
      </w:pPr>
      <w:r>
        <w:rPr>
          <w:rFonts w:eastAsia="Times New Roman"/>
          <w:i/>
          <w:iCs/>
          <w:color w:val="000000"/>
          <w:sz w:val="20"/>
          <w:szCs w:val="20"/>
        </w:rPr>
        <w:t>Potential competition for FT218</w:t>
      </w:r>
    </w:p>
    <w:p w14:paraId="6AFCBDDB" w14:textId="77777777" w:rsidR="00000000" w:rsidRDefault="000C49AD">
      <w:pPr>
        <w:jc w:val="both"/>
        <w:rPr>
          <w:rFonts w:eastAsia="Times New Roman"/>
        </w:rPr>
      </w:pPr>
    </w:p>
    <w:p w14:paraId="7D0C5C09" w14:textId="77777777" w:rsidR="00000000" w:rsidRDefault="000C49AD">
      <w:pPr>
        <w:jc w:val="both"/>
        <w:rPr>
          <w:rFonts w:eastAsia="Times New Roman"/>
        </w:rPr>
      </w:pPr>
      <w:r>
        <w:rPr>
          <w:rFonts w:eastAsia="Times New Roman"/>
          <w:color w:val="000000"/>
          <w:sz w:val="20"/>
          <w:szCs w:val="20"/>
        </w:rPr>
        <w:t>If FT218 receives FDA approval, it will compete with the currently approved twice-nightly oxybate formulations, as well as a number of daytime wake promoting agents including lisdexamfe</w:t>
      </w:r>
      <w:r>
        <w:rPr>
          <w:rFonts w:eastAsia="Times New Roman"/>
          <w:color w:val="000000"/>
          <w:sz w:val="20"/>
          <w:szCs w:val="20"/>
        </w:rPr>
        <w:t xml:space="preserve">tamine, detroamphetamine, methylphenidate, amphetamine, modafinil, and armodafinil, which are widely prescribed, as well as solriamfetol and pitolisant, all of which may be prescribed concomitantly with sodium oxybate. If approved, we anticipate FT218 may </w:t>
      </w:r>
      <w:r>
        <w:rPr>
          <w:rFonts w:eastAsia="Times New Roman"/>
          <w:color w:val="000000"/>
          <w:sz w:val="20"/>
          <w:szCs w:val="20"/>
        </w:rPr>
        <w:t>face competition from manufacturers of generic twice-nightly sodium oxybate formulations, who have reached settlement agreements with the current marketer, which allows for entry of an authorized generic in 2023. In addition, there are other products in de</w:t>
      </w:r>
      <w:r>
        <w:rPr>
          <w:rFonts w:eastAsia="Times New Roman"/>
          <w:color w:val="000000"/>
          <w:sz w:val="20"/>
          <w:szCs w:val="20"/>
        </w:rPr>
        <w:t>velopment that may be approved in the future that could have an impact on the narcolepsy treatment market, including, for example, reboxetine, orexin 2 receptor agonists, flecainide / modafinil combination, histamine H3 antagonists/inverse agonists, or GAB</w:t>
      </w:r>
      <w:r>
        <w:rPr>
          <w:rFonts w:eastAsia="Times New Roman"/>
          <w:color w:val="000000"/>
          <w:sz w:val="20"/>
          <w:szCs w:val="20"/>
        </w:rPr>
        <w:t>A</w:t>
      </w:r>
      <w:r>
        <w:rPr>
          <w:rFonts w:eastAsia="Times New Roman"/>
          <w:color w:val="000000"/>
          <w:sz w:val="16"/>
          <w:szCs w:val="16"/>
        </w:rPr>
        <w:t>B</w:t>
      </w:r>
      <w:r>
        <w:rPr>
          <w:rFonts w:eastAsia="Times New Roman"/>
          <w:color w:val="000000"/>
          <w:sz w:val="20"/>
          <w:szCs w:val="20"/>
        </w:rPr>
        <w:t xml:space="preserve"> agonists.</w:t>
      </w:r>
    </w:p>
    <w:p w14:paraId="5E33D19C" w14:textId="77777777" w:rsidR="00000000" w:rsidRDefault="000C49AD">
      <w:pPr>
        <w:jc w:val="both"/>
        <w:rPr>
          <w:rFonts w:eastAsia="Times New Roman"/>
        </w:rPr>
      </w:pPr>
    </w:p>
    <w:p w14:paraId="04FD2FC2" w14:textId="77777777" w:rsidR="00000000" w:rsidRDefault="000C49AD">
      <w:pPr>
        <w:jc w:val="both"/>
        <w:rPr>
          <w:rFonts w:eastAsia="Times New Roman"/>
        </w:rPr>
      </w:pPr>
      <w:r>
        <w:rPr>
          <w:rFonts w:eastAsia="Times New Roman"/>
          <w:b/>
          <w:bCs/>
          <w:color w:val="000000"/>
          <w:sz w:val="20"/>
          <w:szCs w:val="20"/>
        </w:rPr>
        <w:t>Corporate Information</w:t>
      </w:r>
      <w:r>
        <w:rPr>
          <w:rFonts w:eastAsia="Times New Roman"/>
          <w:color w:val="000000"/>
          <w:sz w:val="20"/>
          <w:szCs w:val="20"/>
        </w:rPr>
        <w:t> </w:t>
      </w:r>
    </w:p>
    <w:p w14:paraId="001DD00A" w14:textId="77777777" w:rsidR="00000000" w:rsidRDefault="000C49AD">
      <w:pPr>
        <w:jc w:val="both"/>
        <w:rPr>
          <w:rFonts w:eastAsia="Times New Roman"/>
        </w:rPr>
      </w:pPr>
    </w:p>
    <w:p w14:paraId="12C2C9B5" w14:textId="77777777" w:rsidR="00000000" w:rsidRDefault="000C49AD">
      <w:pPr>
        <w:jc w:val="both"/>
        <w:rPr>
          <w:rFonts w:eastAsia="Times New Roman"/>
        </w:rPr>
      </w:pPr>
      <w:r>
        <w:rPr>
          <w:rFonts w:eastAsia="Times New Roman"/>
          <w:color w:val="000000"/>
          <w:sz w:val="20"/>
          <w:szCs w:val="20"/>
        </w:rPr>
        <w:t>We are an Irish public limited company. Our registered address is at 10 Earlsfort Terrace, Dublin 2, Ireland and our phone number is +353-1-901-5201. We file annual, quarterly and current reports, proxy statements an</w:t>
      </w:r>
      <w:r>
        <w:rPr>
          <w:rFonts w:eastAsia="Times New Roman"/>
          <w:color w:val="000000"/>
          <w:sz w:val="20"/>
          <w:szCs w:val="20"/>
        </w:rPr>
        <w:t>d other documents with the SEC under the Securities Exchange Act of 1934, as amended (the “Exchange Act”). Our website is www.avadel.com, where we make available free of charge our reports (and any exhibits and amendments thereto) on Forms 10-K, 10-Q and 8</w:t>
      </w:r>
      <w:r>
        <w:rPr>
          <w:rFonts w:eastAsia="Times New Roman"/>
          <w:color w:val="000000"/>
          <w:sz w:val="20"/>
          <w:szCs w:val="20"/>
        </w:rPr>
        <w:t>-K as soon as reasonably practicable after they are electronically filed with or furnished to the SEC. These filings are also available to the public at www.sec.gov. We do not incorporate the information on or accessible through our website into this Annua</w:t>
      </w:r>
      <w:r>
        <w:rPr>
          <w:rFonts w:eastAsia="Times New Roman"/>
          <w:color w:val="000000"/>
          <w:sz w:val="20"/>
          <w:szCs w:val="20"/>
        </w:rPr>
        <w:t>l Report on Form 10-K.</w:t>
      </w:r>
    </w:p>
    <w:p w14:paraId="55C0CF77" w14:textId="77777777" w:rsidR="00000000" w:rsidRDefault="000C49AD">
      <w:pPr>
        <w:jc w:val="both"/>
        <w:rPr>
          <w:rFonts w:eastAsia="Times New Roman"/>
        </w:rPr>
      </w:pPr>
    </w:p>
    <w:p w14:paraId="60E3DE9A" w14:textId="77777777" w:rsidR="00000000" w:rsidRDefault="000C49AD">
      <w:pPr>
        <w:jc w:val="both"/>
        <w:rPr>
          <w:rFonts w:eastAsia="Times New Roman"/>
        </w:rPr>
      </w:pPr>
      <w:r>
        <w:rPr>
          <w:rFonts w:eastAsia="Times New Roman"/>
          <w:color w:val="000000"/>
          <w:sz w:val="20"/>
          <w:szCs w:val="20"/>
        </w:rPr>
        <w:t xml:space="preserve">We currently have five direct wholly-owned subsidiaries: (a) Avadel US Holdings, Inc., (b) Flamel Ireland Limited is an Irish limited company, which conducts business under the name Avadel Ireland, (c) Avadel Investment Company Limited, (d) Avadel Finance </w:t>
      </w:r>
      <w:r>
        <w:rPr>
          <w:rFonts w:eastAsia="Times New Roman"/>
          <w:color w:val="000000"/>
          <w:sz w:val="20"/>
          <w:szCs w:val="20"/>
        </w:rPr>
        <w:t>Ireland Designated Activity Company and (e) Avadel France Holding SAS. Avadel US Holdings, Inc., a Delaware corporation, is the holding entity of (i) Avadel Legacy Pharmaceuticals, LLC, (ii) Avadel Management Corporation, and (iii) Avadel CNS Pharmaceutica</w:t>
      </w:r>
      <w:r>
        <w:rPr>
          <w:rFonts w:eastAsia="Times New Roman"/>
          <w:color w:val="000000"/>
          <w:sz w:val="20"/>
          <w:szCs w:val="20"/>
        </w:rPr>
        <w:t>ls LLC. Avadel Finance Ireland Designated Activity Company is the holding entity of Avadel Finance Cayman Limited. Avadel France Holding SAS is the holding entity of Avadel Research SAS. A complete list of our subsidiaries can be found in Exhibit 21.1 to t</w:t>
      </w:r>
      <w:r>
        <w:rPr>
          <w:rFonts w:eastAsia="Times New Roman"/>
          <w:color w:val="000000"/>
          <w:sz w:val="20"/>
          <w:szCs w:val="20"/>
        </w:rPr>
        <w:t xml:space="preserve">his Annual Report on Form 10-K. </w:t>
      </w:r>
    </w:p>
    <w:p w14:paraId="20DFAC37" w14:textId="77777777" w:rsidR="00000000" w:rsidRDefault="000C49AD">
      <w:pPr>
        <w:jc w:val="center"/>
        <w:divId w:val="1638409054"/>
        <w:rPr>
          <w:rFonts w:eastAsia="Times New Roman"/>
        </w:rPr>
      </w:pPr>
      <w:r>
        <w:rPr>
          <w:rFonts w:eastAsia="Times New Roman"/>
          <w:color w:val="000000"/>
          <w:sz w:val="20"/>
          <w:szCs w:val="20"/>
        </w:rPr>
        <w:t>-9-</w:t>
      </w:r>
    </w:p>
    <w:p w14:paraId="3FDE6D88" w14:textId="77777777" w:rsidR="00000000" w:rsidRDefault="000C49AD">
      <w:pPr>
        <w:rPr>
          <w:rFonts w:eastAsia="Times New Roman"/>
        </w:rPr>
      </w:pPr>
      <w:r>
        <w:rPr>
          <w:rFonts w:eastAsia="Times New Roman"/>
        </w:rPr>
        <w:pict w14:anchorId="1A8FCB12">
          <v:rect id="_x0000_i1033" style="width:0;height:1.5pt" o:hralign="center" o:hrstd="t" o:hr="t" fillcolor="#a0a0a0" stroked="f"/>
        </w:pict>
      </w:r>
    </w:p>
    <w:p w14:paraId="531CD30C" w14:textId="77777777" w:rsidR="00000000" w:rsidRDefault="000C49AD">
      <w:pPr>
        <w:divId w:val="1412384260"/>
        <w:rPr>
          <w:rFonts w:eastAsia="Times New Roman"/>
        </w:rPr>
      </w:pPr>
    </w:p>
    <w:p w14:paraId="13D948A1" w14:textId="77777777" w:rsidR="00000000" w:rsidRDefault="000C49AD">
      <w:pPr>
        <w:jc w:val="both"/>
        <w:rPr>
          <w:rFonts w:eastAsia="Times New Roman"/>
        </w:rPr>
      </w:pPr>
      <w:r>
        <w:rPr>
          <w:rFonts w:eastAsia="Times New Roman"/>
          <w:b/>
          <w:bCs/>
          <w:color w:val="000000"/>
          <w:sz w:val="20"/>
          <w:szCs w:val="20"/>
        </w:rPr>
        <w:t>Intellectual Property</w:t>
      </w:r>
      <w:r>
        <w:rPr>
          <w:rFonts w:eastAsia="Times New Roman"/>
          <w:color w:val="000000"/>
          <w:sz w:val="20"/>
          <w:szCs w:val="20"/>
        </w:rPr>
        <w:t> </w:t>
      </w:r>
    </w:p>
    <w:p w14:paraId="11C41717" w14:textId="77777777" w:rsidR="00000000" w:rsidRDefault="000C49AD">
      <w:pPr>
        <w:jc w:val="both"/>
        <w:rPr>
          <w:rFonts w:eastAsia="Times New Roman"/>
        </w:rPr>
      </w:pPr>
    </w:p>
    <w:p w14:paraId="2AB69597" w14:textId="77777777" w:rsidR="00000000" w:rsidRDefault="000C49AD">
      <w:pPr>
        <w:jc w:val="both"/>
        <w:rPr>
          <w:rFonts w:eastAsia="Times New Roman"/>
        </w:rPr>
      </w:pPr>
      <w:r>
        <w:rPr>
          <w:rFonts w:eastAsia="Times New Roman"/>
          <w:color w:val="000000"/>
          <w:sz w:val="20"/>
          <w:szCs w:val="20"/>
        </w:rPr>
        <w:t>Parts of our product pipeline and strategic alliances utilize our drug delivery platforms and related products of which certain features are the subject of</w:t>
      </w:r>
      <w:r>
        <w:rPr>
          <w:rFonts w:eastAsia="Times New Roman"/>
          <w:color w:val="000000"/>
          <w:sz w:val="20"/>
          <w:szCs w:val="20"/>
        </w:rPr>
        <w:t xml:space="preserve"> patents or patent applications. As a matter of policy, we seek patent protection of our inventions and also rely upon trade secrets, know-how, continuing technological innovations and licensing opportunities to maintain and develop competitive positions.</w:t>
      </w:r>
    </w:p>
    <w:p w14:paraId="3995793A" w14:textId="77777777" w:rsidR="00000000" w:rsidRDefault="000C49AD">
      <w:pPr>
        <w:jc w:val="both"/>
        <w:rPr>
          <w:rFonts w:eastAsia="Times New Roman"/>
        </w:rPr>
      </w:pPr>
      <w:r>
        <w:rPr>
          <w:rFonts w:eastAsia="Times New Roman"/>
          <w:color w:val="000000"/>
          <w:sz w:val="20"/>
          <w:szCs w:val="20"/>
        </w:rPr>
        <w:t> </w:t>
      </w:r>
    </w:p>
    <w:p w14:paraId="365888D4" w14:textId="77777777" w:rsidR="00000000" w:rsidRDefault="000C49AD">
      <w:pPr>
        <w:ind w:hanging="360"/>
        <w:jc w:val="both"/>
        <w:rPr>
          <w:rFonts w:eastAsia="Times New Roman"/>
        </w:rPr>
      </w:pPr>
      <w:r>
        <w:rPr>
          <w:rFonts w:eastAsia="Times New Roman"/>
          <w:color w:val="000000"/>
          <w:sz w:val="20"/>
          <w:szCs w:val="20"/>
        </w:rPr>
        <w:t>•FT218 Patents. We have been awarded several FT218-related U.S. patents having expiry dates from mid-2037 to early-2040. We have a number of additional FT218-related patent applications pending at the USPTO as well as at non-U.S. patent offices.</w:t>
      </w:r>
    </w:p>
    <w:p w14:paraId="7D85EFEC" w14:textId="77777777" w:rsidR="00000000" w:rsidRDefault="000C49AD">
      <w:pPr>
        <w:jc w:val="both"/>
        <w:rPr>
          <w:rFonts w:eastAsia="Times New Roman"/>
        </w:rPr>
      </w:pPr>
    </w:p>
    <w:p w14:paraId="165238CF" w14:textId="77777777" w:rsidR="00000000" w:rsidRDefault="000C49AD">
      <w:pPr>
        <w:ind w:hanging="360"/>
        <w:jc w:val="both"/>
        <w:rPr>
          <w:rFonts w:eastAsia="Times New Roman"/>
        </w:rPr>
      </w:pPr>
      <w:r>
        <w:rPr>
          <w:rFonts w:eastAsia="Times New Roman"/>
          <w:color w:val="000000"/>
          <w:sz w:val="20"/>
          <w:szCs w:val="20"/>
        </w:rPr>
        <w:t xml:space="preserve">•Drug </w:t>
      </w:r>
      <w:r>
        <w:rPr>
          <w:rFonts w:eastAsia="Times New Roman"/>
          <w:color w:val="000000"/>
          <w:sz w:val="20"/>
          <w:szCs w:val="20"/>
        </w:rPr>
        <w:t>Delivery Technology Patents. Our drug delivery technologies are the subject of certain patents, including: (i) for Micropump, patents relating to coating technologies that provide for controlled release of an active ingredient (expiring in 2025 in the U.S.</w:t>
      </w:r>
      <w:r>
        <w:rPr>
          <w:rFonts w:eastAsia="Times New Roman"/>
          <w:color w:val="000000"/>
          <w:sz w:val="20"/>
          <w:szCs w:val="20"/>
        </w:rPr>
        <w:t xml:space="preserve"> and 2022 in non-U.S. jurisdictions); (ii) for LiquiTime, patents relating to film-coated microcapsules and a method comprising orally administering such microcapsules to a patient (expiring in 2023); and (iii) for Medusa, patents relating to an aqueous co</w:t>
      </w:r>
      <w:r>
        <w:rPr>
          <w:rFonts w:eastAsia="Times New Roman"/>
          <w:color w:val="000000"/>
          <w:sz w:val="20"/>
          <w:szCs w:val="20"/>
        </w:rPr>
        <w:t>lloidal suspension of low viscosity based on submicronic particles of water-soluble biodegradable polymer PO (polyolefin) carrying hydrophobic groups (expiring in 2023).</w:t>
      </w:r>
    </w:p>
    <w:p w14:paraId="6B5A0B47" w14:textId="77777777" w:rsidR="00000000" w:rsidRDefault="000C49AD">
      <w:pPr>
        <w:jc w:val="both"/>
        <w:rPr>
          <w:rFonts w:eastAsia="Times New Roman"/>
        </w:rPr>
      </w:pPr>
      <w:r>
        <w:rPr>
          <w:rFonts w:eastAsia="Times New Roman"/>
          <w:color w:val="000000"/>
          <w:sz w:val="20"/>
          <w:szCs w:val="20"/>
        </w:rPr>
        <w:t> </w:t>
      </w:r>
    </w:p>
    <w:p w14:paraId="786F97D4" w14:textId="77777777" w:rsidR="00000000" w:rsidRDefault="000C49AD">
      <w:pPr>
        <w:jc w:val="both"/>
        <w:rPr>
          <w:rFonts w:eastAsia="Times New Roman"/>
        </w:rPr>
      </w:pPr>
      <w:r>
        <w:rPr>
          <w:rFonts w:eastAsia="Times New Roman"/>
          <w:color w:val="000000"/>
          <w:sz w:val="20"/>
          <w:szCs w:val="20"/>
        </w:rPr>
        <w:t xml:space="preserve">The patent positions of biopharmaceutical companies like us are generally uncertain </w:t>
      </w:r>
      <w:r>
        <w:rPr>
          <w:rFonts w:eastAsia="Times New Roman"/>
          <w:color w:val="000000"/>
          <w:sz w:val="20"/>
          <w:szCs w:val="20"/>
        </w:rPr>
        <w:t>and involve complex legal, scientific and factual questions. In addition, the coverage claimed in a patent application can be significantly reduced before the patent is issued, and patent scope can be reinterpreted by the courts after issuance. Moreover, m</w:t>
      </w:r>
      <w:r>
        <w:rPr>
          <w:rFonts w:eastAsia="Times New Roman"/>
          <w:color w:val="000000"/>
          <w:sz w:val="20"/>
          <w:szCs w:val="20"/>
        </w:rPr>
        <w:t xml:space="preserve">any jurisdictions permit third parties to challenge issued patents in administrative proceedings, which may result in further narrowing or even cancellation of patent claims. We cannot predict whether the patent applications we are currently pursuing will </w:t>
      </w:r>
      <w:r>
        <w:rPr>
          <w:rFonts w:eastAsia="Times New Roman"/>
          <w:color w:val="000000"/>
          <w:sz w:val="20"/>
          <w:szCs w:val="20"/>
        </w:rPr>
        <w:t>issue as patents in any particular jurisdiction or whether the claims of any of our licensed or owned patents will provide sufficient protection from competitors. Any of our licensed or owned patents may be challenged, circumvented, or invalidated by third</w:t>
      </w:r>
      <w:r>
        <w:rPr>
          <w:rFonts w:eastAsia="Times New Roman"/>
          <w:color w:val="000000"/>
          <w:sz w:val="20"/>
          <w:szCs w:val="20"/>
        </w:rPr>
        <w:t xml:space="preserve"> parties. For more information, please see the information set forth under the caption “Risks Related to Our Intellectual Property – If we cannot adequately protect our intellectual property and proprietary information, we may be unable to effectively comp</w:t>
      </w:r>
      <w:r>
        <w:rPr>
          <w:rFonts w:eastAsia="Times New Roman"/>
          <w:color w:val="000000"/>
          <w:sz w:val="20"/>
          <w:szCs w:val="20"/>
        </w:rPr>
        <w:t>ete” in the “Risk Factors” included in Part I, Item 1A of this Annual Report on Form 10-K.</w:t>
      </w:r>
    </w:p>
    <w:p w14:paraId="6C2095BA" w14:textId="77777777" w:rsidR="00000000" w:rsidRDefault="000C49AD">
      <w:pPr>
        <w:jc w:val="both"/>
        <w:rPr>
          <w:rFonts w:eastAsia="Times New Roman"/>
        </w:rPr>
      </w:pPr>
    </w:p>
    <w:p w14:paraId="391CE832" w14:textId="77777777" w:rsidR="00000000" w:rsidRDefault="000C49AD">
      <w:pPr>
        <w:jc w:val="both"/>
        <w:rPr>
          <w:rFonts w:eastAsia="Times New Roman"/>
        </w:rPr>
      </w:pPr>
      <w:r>
        <w:rPr>
          <w:rFonts w:eastAsia="Times New Roman"/>
          <w:b/>
          <w:bCs/>
          <w:color w:val="000000"/>
          <w:sz w:val="20"/>
          <w:szCs w:val="20"/>
        </w:rPr>
        <w:t>Supplies and Manufacturing</w:t>
      </w:r>
      <w:r>
        <w:rPr>
          <w:rFonts w:eastAsia="Times New Roman"/>
          <w:color w:val="000000"/>
          <w:sz w:val="20"/>
          <w:szCs w:val="20"/>
        </w:rPr>
        <w:t> </w:t>
      </w:r>
    </w:p>
    <w:p w14:paraId="2504A819" w14:textId="77777777" w:rsidR="00000000" w:rsidRDefault="000C49AD">
      <w:pPr>
        <w:jc w:val="both"/>
        <w:rPr>
          <w:rFonts w:eastAsia="Times New Roman"/>
        </w:rPr>
      </w:pPr>
    </w:p>
    <w:p w14:paraId="3EB18A11" w14:textId="77777777" w:rsidR="00000000" w:rsidRDefault="000C49AD">
      <w:pPr>
        <w:jc w:val="both"/>
        <w:rPr>
          <w:rFonts w:eastAsia="Times New Roman"/>
        </w:rPr>
      </w:pPr>
      <w:r>
        <w:rPr>
          <w:rFonts w:eastAsia="Times New Roman"/>
          <w:color w:val="000000"/>
          <w:sz w:val="20"/>
          <w:szCs w:val="20"/>
        </w:rPr>
        <w:t>We attempt to maintain multiple suppliers in order to mitigate the risk of shortfall and inability to supply market demand. Nevertheless, for FT218, we currently rely on one supplier for sourcing active pharmaceutical ingredients (“APIs”).</w:t>
      </w:r>
    </w:p>
    <w:p w14:paraId="3C0A96DA" w14:textId="77777777" w:rsidR="00000000" w:rsidRDefault="000C49AD">
      <w:pPr>
        <w:jc w:val="both"/>
        <w:rPr>
          <w:rFonts w:eastAsia="Times New Roman"/>
        </w:rPr>
      </w:pPr>
    </w:p>
    <w:p w14:paraId="7D49F984" w14:textId="77777777" w:rsidR="00000000" w:rsidRDefault="000C49AD">
      <w:pPr>
        <w:jc w:val="both"/>
        <w:rPr>
          <w:rFonts w:eastAsia="Times New Roman"/>
        </w:rPr>
      </w:pPr>
      <w:r>
        <w:rPr>
          <w:rFonts w:eastAsia="Times New Roman"/>
          <w:color w:val="000000"/>
          <w:sz w:val="20"/>
          <w:szCs w:val="20"/>
        </w:rPr>
        <w:t>The API in FT2</w:t>
      </w:r>
      <w:r>
        <w:rPr>
          <w:rFonts w:eastAsia="Times New Roman"/>
          <w:color w:val="000000"/>
          <w:sz w:val="20"/>
          <w:szCs w:val="20"/>
        </w:rPr>
        <w:t>18, sodium oxybate, is a Schedule I controlled substance in the U.S., and FT218, if approved by the FDA, will be a Schedule III controlled substance in the U.S. As a result, FT218 is subject to regulation by the U.S. Drug Enforcement Administration (“DEA”)</w:t>
      </w:r>
      <w:r>
        <w:rPr>
          <w:rFonts w:eastAsia="Times New Roman"/>
          <w:color w:val="000000"/>
          <w:sz w:val="20"/>
          <w:szCs w:val="20"/>
        </w:rPr>
        <w:t xml:space="preserve"> under the Controlled Substances Act (“CSA”), and its manufacturing and distribution are highly restricted. Quotas from the DEA are required in order to manufacture and package sodium oxybate and FT218 in the U.S. Similar rules, restrictions and controls a</w:t>
      </w:r>
      <w:r>
        <w:rPr>
          <w:rFonts w:eastAsia="Times New Roman"/>
          <w:color w:val="000000"/>
          <w:sz w:val="20"/>
          <w:szCs w:val="20"/>
        </w:rPr>
        <w:t>pply to FT218 in relevant jurisdictions outside of the U.S.</w:t>
      </w:r>
    </w:p>
    <w:p w14:paraId="19F6325E" w14:textId="77777777" w:rsidR="00000000" w:rsidRDefault="000C49AD">
      <w:pPr>
        <w:divId w:val="1920433679"/>
        <w:rPr>
          <w:rFonts w:eastAsia="Times New Roman"/>
        </w:rPr>
      </w:pPr>
    </w:p>
    <w:p w14:paraId="14F70BE7" w14:textId="77777777" w:rsidR="00000000" w:rsidRDefault="000C49AD">
      <w:pPr>
        <w:jc w:val="both"/>
        <w:rPr>
          <w:rFonts w:eastAsia="Times New Roman"/>
        </w:rPr>
      </w:pPr>
      <w:r>
        <w:rPr>
          <w:rFonts w:eastAsia="Times New Roman"/>
          <w:color w:val="000000"/>
          <w:sz w:val="20"/>
          <w:szCs w:val="20"/>
        </w:rPr>
        <w:t>The API for FT218 is currently manufactured by a single source contract manufacturing organization (“CMO”) in the U.S. The drug product for commercial lots is manufactured outside of the U.S. by</w:t>
      </w:r>
      <w:r>
        <w:rPr>
          <w:rFonts w:eastAsia="Times New Roman"/>
          <w:color w:val="000000"/>
          <w:sz w:val="20"/>
          <w:szCs w:val="20"/>
        </w:rPr>
        <w:t xml:space="preserve"> a single source CMO. We will continue to outsource the production of FT218 to current good manufacturing practices (“cGMP”) -compliant, DEA and FDA-audited CMOs pursuant to supply agreements and have no present plans to acquire manufacturing facilities. W</w:t>
      </w:r>
      <w:r>
        <w:rPr>
          <w:rFonts w:eastAsia="Times New Roman"/>
          <w:color w:val="000000"/>
          <w:sz w:val="20"/>
          <w:szCs w:val="20"/>
        </w:rPr>
        <w:t>e are establishing, and may continue to establish, additional CMOs for the manufacture FT218, including drug product manufacturing in the U.S.</w:t>
      </w:r>
    </w:p>
    <w:p w14:paraId="649068E5" w14:textId="77777777" w:rsidR="00000000" w:rsidRDefault="000C49AD">
      <w:pPr>
        <w:jc w:val="both"/>
        <w:rPr>
          <w:rFonts w:eastAsia="Times New Roman"/>
        </w:rPr>
      </w:pPr>
    </w:p>
    <w:p w14:paraId="1314FA14" w14:textId="77777777" w:rsidR="00000000" w:rsidRDefault="000C49AD">
      <w:pPr>
        <w:jc w:val="both"/>
        <w:divId w:val="1000160342"/>
        <w:rPr>
          <w:rFonts w:eastAsia="Times New Roman"/>
        </w:rPr>
      </w:pPr>
      <w:r>
        <w:rPr>
          <w:rFonts w:eastAsia="Times New Roman"/>
          <w:b/>
          <w:bCs/>
          <w:color w:val="000000"/>
          <w:sz w:val="20"/>
          <w:szCs w:val="20"/>
        </w:rPr>
        <w:t>Government Regulation</w:t>
      </w:r>
      <w:r>
        <w:rPr>
          <w:rFonts w:eastAsia="Times New Roman"/>
          <w:color w:val="000000"/>
          <w:sz w:val="20"/>
          <w:szCs w:val="20"/>
        </w:rPr>
        <w:t> </w:t>
      </w:r>
    </w:p>
    <w:p w14:paraId="26CA7F6C" w14:textId="77777777" w:rsidR="00000000" w:rsidRDefault="000C49AD">
      <w:pPr>
        <w:jc w:val="both"/>
        <w:rPr>
          <w:rFonts w:eastAsia="Times New Roman"/>
        </w:rPr>
      </w:pPr>
      <w:r>
        <w:rPr>
          <w:rFonts w:eastAsia="Times New Roman"/>
          <w:color w:val="000000"/>
          <w:sz w:val="20"/>
          <w:szCs w:val="20"/>
        </w:rPr>
        <w:t>Government authorities in the U.S. at the federal, state, and local level and in other c</w:t>
      </w:r>
      <w:r>
        <w:rPr>
          <w:rFonts w:eastAsia="Times New Roman"/>
          <w:color w:val="000000"/>
          <w:sz w:val="20"/>
          <w:szCs w:val="20"/>
        </w:rPr>
        <w:t>ountries extensively regulate, among other things, the research and clinical development, testing, manufacture, quality control, approval, labeling, packaging, storage, record-keeping, promotion, advertising, distribution, post-approval monitoring and repo</w:t>
      </w:r>
      <w:r>
        <w:rPr>
          <w:rFonts w:eastAsia="Times New Roman"/>
          <w:color w:val="000000"/>
          <w:sz w:val="20"/>
          <w:szCs w:val="20"/>
        </w:rPr>
        <w:t>rting, marketing, pricing, and export and import of drug products, such as those we are developing. Generally, before a new drug can be marketed, considerable data demonstrating its quality, safety, and efficacy must be obtained, organized into a format sp</w:t>
      </w:r>
      <w:r>
        <w:rPr>
          <w:rFonts w:eastAsia="Times New Roman"/>
          <w:color w:val="000000"/>
          <w:sz w:val="20"/>
          <w:szCs w:val="20"/>
        </w:rPr>
        <w:t>ecific to each regulatory authority, submitted for review, and approved by the regulatory authority.</w:t>
      </w:r>
    </w:p>
    <w:p w14:paraId="418727E1" w14:textId="77777777" w:rsidR="00000000" w:rsidRDefault="000C49AD">
      <w:pPr>
        <w:jc w:val="both"/>
        <w:rPr>
          <w:rFonts w:eastAsia="Times New Roman"/>
        </w:rPr>
      </w:pPr>
    </w:p>
    <w:p w14:paraId="7911ADD0" w14:textId="77777777" w:rsidR="00000000" w:rsidRDefault="000C49AD">
      <w:pPr>
        <w:jc w:val="both"/>
        <w:rPr>
          <w:rFonts w:eastAsia="Times New Roman"/>
        </w:rPr>
      </w:pPr>
      <w:r>
        <w:rPr>
          <w:rFonts w:eastAsia="Times New Roman"/>
          <w:color w:val="000000"/>
          <w:sz w:val="20"/>
          <w:szCs w:val="20"/>
        </w:rPr>
        <w:t>Drugs are also subject to other federal, state, and local statutes and regulations. The process of obtaining regulatory approvals and the subsequent comp</w:t>
      </w:r>
      <w:r>
        <w:rPr>
          <w:rFonts w:eastAsia="Times New Roman"/>
          <w:color w:val="000000"/>
          <w:sz w:val="20"/>
          <w:szCs w:val="20"/>
        </w:rPr>
        <w:t>liance with appropriate federal, state, local, and foreign statutes and regulations require the expenditure of substantial time and financial resources. Failure to comply with the applicable regulatory requirements at any time during the product developmen</w:t>
      </w:r>
      <w:r>
        <w:rPr>
          <w:rFonts w:eastAsia="Times New Roman"/>
          <w:color w:val="000000"/>
          <w:sz w:val="20"/>
          <w:szCs w:val="20"/>
        </w:rPr>
        <w:t xml:space="preserve">t process, approval process, or after approval, may subject an applicant to administrative or judicial </w:t>
      </w:r>
    </w:p>
    <w:p w14:paraId="364604EA" w14:textId="77777777" w:rsidR="00000000" w:rsidRDefault="000C49AD">
      <w:pPr>
        <w:jc w:val="center"/>
        <w:divId w:val="946424305"/>
        <w:rPr>
          <w:rFonts w:eastAsia="Times New Roman"/>
        </w:rPr>
      </w:pPr>
      <w:r>
        <w:rPr>
          <w:rFonts w:eastAsia="Times New Roman"/>
          <w:color w:val="000000"/>
          <w:sz w:val="20"/>
          <w:szCs w:val="20"/>
        </w:rPr>
        <w:t>-10-</w:t>
      </w:r>
    </w:p>
    <w:p w14:paraId="373764B1" w14:textId="77777777" w:rsidR="00000000" w:rsidRDefault="000C49AD">
      <w:pPr>
        <w:rPr>
          <w:rFonts w:eastAsia="Times New Roman"/>
        </w:rPr>
      </w:pPr>
      <w:r>
        <w:rPr>
          <w:rFonts w:eastAsia="Times New Roman"/>
        </w:rPr>
        <w:pict w14:anchorId="196E1F3F">
          <v:rect id="_x0000_i1034" style="width:0;height:1.5pt" o:hralign="center" o:hrstd="t" o:hr="t" fillcolor="#a0a0a0" stroked="f"/>
        </w:pict>
      </w:r>
    </w:p>
    <w:p w14:paraId="631EB26A" w14:textId="77777777" w:rsidR="00000000" w:rsidRDefault="000C49AD">
      <w:pPr>
        <w:divId w:val="958609227"/>
        <w:rPr>
          <w:rFonts w:eastAsia="Times New Roman"/>
        </w:rPr>
      </w:pPr>
    </w:p>
    <w:p w14:paraId="2BAF7DBA" w14:textId="77777777" w:rsidR="00000000" w:rsidRDefault="000C49AD">
      <w:pPr>
        <w:jc w:val="both"/>
        <w:rPr>
          <w:rFonts w:eastAsia="Times New Roman"/>
        </w:rPr>
      </w:pPr>
      <w:r>
        <w:rPr>
          <w:rFonts w:eastAsia="Times New Roman"/>
          <w:color w:val="000000"/>
          <w:sz w:val="20"/>
          <w:szCs w:val="20"/>
        </w:rPr>
        <w:t>sanctions. These sanctions could include, among other actions, the regulatory authority's refusal to approve</w:t>
      </w:r>
      <w:r>
        <w:rPr>
          <w:rFonts w:eastAsia="Times New Roman"/>
          <w:color w:val="000000"/>
          <w:sz w:val="20"/>
          <w:szCs w:val="20"/>
        </w:rPr>
        <w:t xml:space="preserve"> pending applications, withdrawal of an approval, clinical holds, untitled or warning letters, voluntary product recalls or withdrawals from the market, product seizures, total or partial suspension of production or distribution, injunctions, debarment, fi</w:t>
      </w:r>
      <w:r>
        <w:rPr>
          <w:rFonts w:eastAsia="Times New Roman"/>
          <w:color w:val="000000"/>
          <w:sz w:val="20"/>
          <w:szCs w:val="20"/>
        </w:rPr>
        <w:t>nes, refusals of government contracts, restitution, disgorgement, or civil or criminal penalties. Any agency or judicial enforcement action could have a material adverse effect on us.</w:t>
      </w:r>
    </w:p>
    <w:p w14:paraId="06770DA8" w14:textId="77777777" w:rsidR="00000000" w:rsidRDefault="000C49AD">
      <w:pPr>
        <w:jc w:val="both"/>
        <w:rPr>
          <w:rFonts w:eastAsia="Times New Roman"/>
        </w:rPr>
      </w:pPr>
    </w:p>
    <w:p w14:paraId="2053ABA4" w14:textId="77777777" w:rsidR="00000000" w:rsidRDefault="000C49AD">
      <w:pPr>
        <w:jc w:val="both"/>
        <w:rPr>
          <w:rFonts w:eastAsia="Times New Roman"/>
        </w:rPr>
      </w:pPr>
      <w:r>
        <w:rPr>
          <w:rFonts w:eastAsia="Times New Roman"/>
          <w:b/>
          <w:bCs/>
          <w:i/>
          <w:iCs/>
          <w:color w:val="000000"/>
          <w:sz w:val="20"/>
          <w:szCs w:val="20"/>
        </w:rPr>
        <w:t>U.S. Drug Development</w:t>
      </w:r>
    </w:p>
    <w:p w14:paraId="44EC829A" w14:textId="77777777" w:rsidR="00000000" w:rsidRDefault="000C49AD">
      <w:pPr>
        <w:jc w:val="both"/>
        <w:rPr>
          <w:rFonts w:eastAsia="Times New Roman"/>
        </w:rPr>
      </w:pPr>
    </w:p>
    <w:p w14:paraId="405B277C" w14:textId="77777777" w:rsidR="00000000" w:rsidRDefault="000C49AD">
      <w:pPr>
        <w:jc w:val="both"/>
        <w:rPr>
          <w:rFonts w:eastAsia="Times New Roman"/>
        </w:rPr>
      </w:pPr>
      <w:r>
        <w:rPr>
          <w:rFonts w:eastAsia="Times New Roman"/>
          <w:color w:val="000000"/>
          <w:sz w:val="20"/>
          <w:szCs w:val="20"/>
        </w:rPr>
        <w:t>In the U.S., the FDA regulates drugs under the</w:t>
      </w:r>
      <w:r>
        <w:rPr>
          <w:rFonts w:eastAsia="Times New Roman"/>
          <w:color w:val="000000"/>
          <w:sz w:val="20"/>
          <w:szCs w:val="20"/>
        </w:rPr>
        <w:t xml:space="preserve"> Federal Food, Drug, and Cosmetic Act (“FDCA”) and its implementing regulations. Drugs are also subject to other federal, state, and local statutes and regulations. Our drug candidates must be approved by the FDA through the NDA process before they may be </w:t>
      </w:r>
      <w:r>
        <w:rPr>
          <w:rFonts w:eastAsia="Times New Roman"/>
          <w:color w:val="000000"/>
          <w:sz w:val="20"/>
          <w:szCs w:val="20"/>
        </w:rPr>
        <w:t>legally marketed in the U.S. The process required by the FDA before a drug may be marketed in the U.S. generally involves the following:</w:t>
      </w:r>
    </w:p>
    <w:p w14:paraId="04069C36" w14:textId="77777777" w:rsidR="00000000" w:rsidRDefault="000C49AD">
      <w:pPr>
        <w:jc w:val="both"/>
        <w:rPr>
          <w:rFonts w:eastAsia="Times New Roman"/>
        </w:rPr>
      </w:pPr>
    </w:p>
    <w:p w14:paraId="0CA38722" w14:textId="77777777" w:rsidR="00000000" w:rsidRDefault="000C49AD">
      <w:pPr>
        <w:ind w:hanging="360"/>
        <w:jc w:val="both"/>
        <w:rPr>
          <w:rFonts w:eastAsia="Times New Roman"/>
        </w:rPr>
      </w:pPr>
      <w:r>
        <w:rPr>
          <w:rFonts w:eastAsia="Times New Roman"/>
          <w:color w:val="000000"/>
          <w:sz w:val="20"/>
          <w:szCs w:val="20"/>
        </w:rPr>
        <w:t>•completion of extensive preclinical, sometimes referred to as nonclinical, laboratory tests, animal studies, and for</w:t>
      </w:r>
      <w:r>
        <w:rPr>
          <w:rFonts w:eastAsia="Times New Roman"/>
          <w:color w:val="000000"/>
          <w:sz w:val="20"/>
          <w:szCs w:val="20"/>
        </w:rPr>
        <w:t>mulation studies all performed in accordance with applicable regulations, including the FDA's good laboratory practice (“GLP”) regulations;</w:t>
      </w:r>
    </w:p>
    <w:p w14:paraId="7883C9B6" w14:textId="77777777" w:rsidR="00000000" w:rsidRDefault="000C49AD">
      <w:pPr>
        <w:jc w:val="both"/>
        <w:rPr>
          <w:rFonts w:eastAsia="Times New Roman"/>
        </w:rPr>
      </w:pPr>
    </w:p>
    <w:p w14:paraId="72DE4B51" w14:textId="77777777" w:rsidR="00000000" w:rsidRDefault="000C49AD">
      <w:pPr>
        <w:ind w:hanging="360"/>
        <w:jc w:val="both"/>
        <w:rPr>
          <w:rFonts w:eastAsia="Times New Roman"/>
        </w:rPr>
      </w:pPr>
      <w:r>
        <w:rPr>
          <w:rFonts w:eastAsia="Times New Roman"/>
          <w:color w:val="000000"/>
          <w:sz w:val="20"/>
          <w:szCs w:val="20"/>
        </w:rPr>
        <w:t>•submission to the FDA of an Investigational New Drug Application (“IND”), which must become effective before huma</w:t>
      </w:r>
      <w:r>
        <w:rPr>
          <w:rFonts w:eastAsia="Times New Roman"/>
          <w:color w:val="000000"/>
          <w:sz w:val="20"/>
          <w:szCs w:val="20"/>
        </w:rPr>
        <w:t>n clinical trials may begin and must be updated annually;</w:t>
      </w:r>
    </w:p>
    <w:p w14:paraId="54FC5A89" w14:textId="77777777" w:rsidR="00000000" w:rsidRDefault="000C49AD">
      <w:pPr>
        <w:jc w:val="both"/>
        <w:rPr>
          <w:rFonts w:eastAsia="Times New Roman"/>
        </w:rPr>
      </w:pPr>
    </w:p>
    <w:p w14:paraId="702A1A33" w14:textId="77777777" w:rsidR="00000000" w:rsidRDefault="000C49AD">
      <w:pPr>
        <w:ind w:hanging="360"/>
        <w:jc w:val="both"/>
        <w:rPr>
          <w:rFonts w:eastAsia="Times New Roman"/>
        </w:rPr>
      </w:pPr>
      <w:r>
        <w:rPr>
          <w:rFonts w:eastAsia="Times New Roman"/>
          <w:color w:val="000000"/>
          <w:sz w:val="20"/>
          <w:szCs w:val="20"/>
        </w:rPr>
        <w:t xml:space="preserve">•performance of adequate and well-controlled human clinical trials in accordance with applicable IND and other clinical trial-related regulations, sometimes referred to as good clinical practices </w:t>
      </w:r>
      <w:r>
        <w:rPr>
          <w:rFonts w:eastAsia="Times New Roman"/>
          <w:color w:val="000000"/>
          <w:sz w:val="20"/>
          <w:szCs w:val="20"/>
        </w:rPr>
        <w:t>(“GCPs”) to establish the safety and efficacy of the proposed drug for its proposed indication;</w:t>
      </w:r>
    </w:p>
    <w:p w14:paraId="1A3C0DF7" w14:textId="77777777" w:rsidR="00000000" w:rsidRDefault="000C49AD">
      <w:pPr>
        <w:jc w:val="both"/>
        <w:rPr>
          <w:rFonts w:eastAsia="Times New Roman"/>
        </w:rPr>
      </w:pPr>
    </w:p>
    <w:p w14:paraId="0CF084E4" w14:textId="77777777" w:rsidR="00000000" w:rsidRDefault="000C49AD">
      <w:pPr>
        <w:ind w:hanging="360"/>
        <w:jc w:val="both"/>
        <w:rPr>
          <w:rFonts w:eastAsia="Times New Roman"/>
        </w:rPr>
      </w:pPr>
      <w:r>
        <w:rPr>
          <w:rFonts w:eastAsia="Times New Roman"/>
          <w:color w:val="000000"/>
          <w:sz w:val="20"/>
          <w:szCs w:val="20"/>
        </w:rPr>
        <w:t>•submission to the FDA of a NDA for a new drug;</w:t>
      </w:r>
    </w:p>
    <w:p w14:paraId="0226CF3C" w14:textId="77777777" w:rsidR="00000000" w:rsidRDefault="000C49AD">
      <w:pPr>
        <w:jc w:val="both"/>
        <w:rPr>
          <w:rFonts w:eastAsia="Times New Roman"/>
        </w:rPr>
      </w:pPr>
    </w:p>
    <w:p w14:paraId="25E8F150"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a determination by the FDA within 60 days of its receipt of a NDA to file the NDA for review;</w:t>
      </w:r>
    </w:p>
    <w:p w14:paraId="747E4C99" w14:textId="77777777" w:rsidR="00000000" w:rsidRDefault="000C49AD">
      <w:pPr>
        <w:jc w:val="both"/>
        <w:rPr>
          <w:rFonts w:eastAsia="Times New Roman"/>
        </w:rPr>
      </w:pPr>
    </w:p>
    <w:p w14:paraId="2C4D85D1" w14:textId="77777777" w:rsidR="00000000" w:rsidRDefault="000C49AD">
      <w:pPr>
        <w:ind w:hanging="360"/>
        <w:jc w:val="both"/>
        <w:rPr>
          <w:rFonts w:eastAsia="Times New Roman"/>
        </w:rPr>
      </w:pPr>
      <w:r>
        <w:rPr>
          <w:rFonts w:eastAsia="Times New Roman"/>
          <w:color w:val="000000"/>
          <w:sz w:val="20"/>
          <w:szCs w:val="20"/>
        </w:rPr>
        <w:t>•satisfactory completion of an FDA pre-approval inspection of the manufacturing facility or facilities at which the active pharmaceutical ingredient (“API”) and</w:t>
      </w:r>
      <w:r>
        <w:rPr>
          <w:rFonts w:eastAsia="Times New Roman"/>
          <w:color w:val="000000"/>
          <w:sz w:val="20"/>
          <w:szCs w:val="20"/>
        </w:rPr>
        <w:t xml:space="preserve"> finished drug product are produced to assess compliance with the FDA's current good manufacturing practice requirements (“cGMPs”);</w:t>
      </w:r>
    </w:p>
    <w:p w14:paraId="35135CB2" w14:textId="77777777" w:rsidR="00000000" w:rsidRDefault="000C49AD">
      <w:pPr>
        <w:jc w:val="both"/>
        <w:rPr>
          <w:rFonts w:eastAsia="Times New Roman"/>
        </w:rPr>
      </w:pPr>
    </w:p>
    <w:p w14:paraId="42D7F43A" w14:textId="77777777" w:rsidR="00000000" w:rsidRDefault="000C49AD">
      <w:pPr>
        <w:ind w:hanging="360"/>
        <w:jc w:val="both"/>
        <w:rPr>
          <w:rFonts w:eastAsia="Times New Roman"/>
        </w:rPr>
      </w:pPr>
      <w:r>
        <w:rPr>
          <w:rFonts w:eastAsia="Times New Roman"/>
          <w:color w:val="000000"/>
          <w:sz w:val="20"/>
          <w:szCs w:val="20"/>
        </w:rPr>
        <w:t>•potential FDA audit of the clinical trial sites that generated the data in support of the NDA;</w:t>
      </w:r>
    </w:p>
    <w:p w14:paraId="71C12D8F" w14:textId="77777777" w:rsidR="00000000" w:rsidRDefault="000C49AD">
      <w:pPr>
        <w:jc w:val="both"/>
        <w:rPr>
          <w:rFonts w:eastAsia="Times New Roman"/>
        </w:rPr>
      </w:pPr>
    </w:p>
    <w:p w14:paraId="1AFDB4A6" w14:textId="77777777" w:rsidR="00000000" w:rsidRDefault="000C49AD">
      <w:pPr>
        <w:ind w:hanging="360"/>
        <w:jc w:val="both"/>
        <w:rPr>
          <w:rFonts w:eastAsia="Times New Roman"/>
        </w:rPr>
      </w:pPr>
      <w:r>
        <w:rPr>
          <w:rFonts w:eastAsia="Times New Roman"/>
          <w:color w:val="000000"/>
          <w:sz w:val="20"/>
          <w:szCs w:val="20"/>
        </w:rPr>
        <w:t>•payment of user fees fo</w:t>
      </w:r>
      <w:r>
        <w:rPr>
          <w:rFonts w:eastAsia="Times New Roman"/>
          <w:color w:val="000000"/>
          <w:sz w:val="20"/>
          <w:szCs w:val="20"/>
        </w:rPr>
        <w:t>r FDA review of the NDA; and</w:t>
      </w:r>
    </w:p>
    <w:p w14:paraId="1207F4C9" w14:textId="77777777" w:rsidR="00000000" w:rsidRDefault="000C49AD">
      <w:pPr>
        <w:jc w:val="both"/>
        <w:rPr>
          <w:rFonts w:eastAsia="Times New Roman"/>
        </w:rPr>
      </w:pPr>
    </w:p>
    <w:p w14:paraId="56468A80" w14:textId="77777777" w:rsidR="00000000" w:rsidRDefault="000C49AD">
      <w:pPr>
        <w:ind w:hanging="360"/>
        <w:jc w:val="both"/>
        <w:rPr>
          <w:rFonts w:eastAsia="Times New Roman"/>
        </w:rPr>
      </w:pPr>
      <w:r>
        <w:rPr>
          <w:rFonts w:eastAsia="Times New Roman"/>
          <w:color w:val="000000"/>
          <w:sz w:val="20"/>
          <w:szCs w:val="20"/>
        </w:rPr>
        <w:t>•FDA review and approval of the NDA prior to any commercial marketing or sale of the drug in the U.S.</w:t>
      </w:r>
    </w:p>
    <w:p w14:paraId="6B3C3547" w14:textId="77777777" w:rsidR="00000000" w:rsidRDefault="000C49AD">
      <w:pPr>
        <w:jc w:val="both"/>
        <w:rPr>
          <w:rFonts w:eastAsia="Times New Roman"/>
        </w:rPr>
      </w:pPr>
    </w:p>
    <w:p w14:paraId="7FD4CA64" w14:textId="77777777" w:rsidR="00000000" w:rsidRDefault="000C49AD">
      <w:pPr>
        <w:jc w:val="both"/>
        <w:rPr>
          <w:rFonts w:eastAsia="Times New Roman"/>
        </w:rPr>
      </w:pPr>
      <w:r>
        <w:rPr>
          <w:rFonts w:eastAsia="Times New Roman"/>
          <w:color w:val="000000"/>
          <w:sz w:val="20"/>
          <w:szCs w:val="20"/>
        </w:rPr>
        <w:t>The data required to support a NDA are generated in two distinct development stages: preclinical and clinical. The precli</w:t>
      </w:r>
      <w:r>
        <w:rPr>
          <w:rFonts w:eastAsia="Times New Roman"/>
          <w:color w:val="000000"/>
          <w:sz w:val="20"/>
          <w:szCs w:val="20"/>
        </w:rPr>
        <w:t xml:space="preserve">nical development stage generally involves synthesizing the active component, developing the formulation, and determining the manufacturing process, as well as carrying out non-human toxicology, pharmacology, and drug metabolism studies in the laboratory, </w:t>
      </w:r>
      <w:r>
        <w:rPr>
          <w:rFonts w:eastAsia="Times New Roman"/>
          <w:color w:val="000000"/>
          <w:sz w:val="20"/>
          <w:szCs w:val="20"/>
        </w:rPr>
        <w:t>which support subsequent clinical testing. The conduct of the preclinical tests must comply with federal regulations, including GLPs. The sponsor must submit the results of the preclinical tests, together with manufacturing information, analytical data, an</w:t>
      </w:r>
      <w:r>
        <w:rPr>
          <w:rFonts w:eastAsia="Times New Roman"/>
          <w:color w:val="000000"/>
          <w:sz w:val="20"/>
          <w:szCs w:val="20"/>
        </w:rPr>
        <w:t xml:space="preserve">y available clinical data or literature, and a proposed clinical protocol, to the FDA as part of the IND. An IND is a request for authorization from the FDA to administer an investigational drug product to humans. The central focus of an IND submission is </w:t>
      </w:r>
      <w:r>
        <w:rPr>
          <w:rFonts w:eastAsia="Times New Roman"/>
          <w:color w:val="000000"/>
          <w:sz w:val="20"/>
          <w:szCs w:val="20"/>
        </w:rPr>
        <w:t>on patient safety and the general investigational plan and the protocol(s) for human trials. The IND automatically becomes effective 30 days after receipt by the FDA, unless the FDA raises concerns or questions regarding the proposed clinical trials and pl</w:t>
      </w:r>
      <w:r>
        <w:rPr>
          <w:rFonts w:eastAsia="Times New Roman"/>
          <w:color w:val="000000"/>
          <w:sz w:val="20"/>
          <w:szCs w:val="20"/>
        </w:rPr>
        <w:t>aces the IND on clinical hold within that 30-day time period. In such a case, the IND sponsor and the FDA must resolve any outstanding concerns or questions before the clinical trial can begin. The FDA also may impose a partial clinical hold that would lim</w:t>
      </w:r>
      <w:r>
        <w:rPr>
          <w:rFonts w:eastAsia="Times New Roman"/>
          <w:color w:val="000000"/>
          <w:sz w:val="20"/>
          <w:szCs w:val="20"/>
        </w:rPr>
        <w:t xml:space="preserve">it a trial, for example, to certain doses or for a certain length of time or to a certain number of subjects. The FDA may also impose clinical holds on a drug candidate at any time before or during clinical trials due to safety concerns or non-compliance. </w:t>
      </w:r>
      <w:r>
        <w:rPr>
          <w:rFonts w:eastAsia="Times New Roman"/>
          <w:color w:val="000000"/>
          <w:sz w:val="20"/>
          <w:szCs w:val="20"/>
        </w:rPr>
        <w:t>Accordingly, we cannot be sure that submission of an IND will result in the FDA allowing clinical trials to begin, or that, once begun, issues will not arise that could cause the trial to be suspended or terminated.</w:t>
      </w:r>
    </w:p>
    <w:p w14:paraId="21656A39" w14:textId="77777777" w:rsidR="00000000" w:rsidRDefault="000C49AD">
      <w:pPr>
        <w:jc w:val="both"/>
        <w:rPr>
          <w:rFonts w:eastAsia="Times New Roman"/>
        </w:rPr>
      </w:pPr>
    </w:p>
    <w:p w14:paraId="4AA8C4FA" w14:textId="77777777" w:rsidR="00000000" w:rsidRDefault="000C49AD">
      <w:pPr>
        <w:jc w:val="both"/>
        <w:rPr>
          <w:rFonts w:eastAsia="Times New Roman"/>
        </w:rPr>
      </w:pPr>
      <w:r>
        <w:rPr>
          <w:rFonts w:eastAsia="Times New Roman"/>
          <w:color w:val="000000"/>
          <w:sz w:val="20"/>
          <w:szCs w:val="20"/>
        </w:rPr>
        <w:t>The clinical-stage of development invo</w:t>
      </w:r>
      <w:r>
        <w:rPr>
          <w:rFonts w:eastAsia="Times New Roman"/>
          <w:color w:val="000000"/>
          <w:sz w:val="20"/>
          <w:szCs w:val="20"/>
        </w:rPr>
        <w:t>lves the administration of the drug candidate to human subjects under the supervision of qualified investigators, generally physicians not employed by or under the trial sponsor's control, in accordance with GCPs, which include the requirement that all res</w:t>
      </w:r>
      <w:r>
        <w:rPr>
          <w:rFonts w:eastAsia="Times New Roman"/>
          <w:color w:val="000000"/>
          <w:sz w:val="20"/>
          <w:szCs w:val="20"/>
        </w:rPr>
        <w:t>earch subjects provide their informed consent for their participation in any clinical trial. Clinical trials are conducted under protocols detailing, among other things, the objectives of the clinical trial, dosing procedures, subject selection, and exclus</w:t>
      </w:r>
      <w:r>
        <w:rPr>
          <w:rFonts w:eastAsia="Times New Roman"/>
          <w:color w:val="000000"/>
          <w:sz w:val="20"/>
          <w:szCs w:val="20"/>
        </w:rPr>
        <w:t xml:space="preserve">ion criteria, and the parameters to be used to monitor subject safety and assess efficacy. </w:t>
      </w:r>
    </w:p>
    <w:p w14:paraId="47999478" w14:textId="77777777" w:rsidR="00000000" w:rsidRDefault="000C49AD">
      <w:pPr>
        <w:jc w:val="center"/>
        <w:divId w:val="19480225"/>
        <w:rPr>
          <w:rFonts w:eastAsia="Times New Roman"/>
        </w:rPr>
      </w:pPr>
      <w:r>
        <w:rPr>
          <w:rFonts w:eastAsia="Times New Roman"/>
          <w:color w:val="000000"/>
          <w:sz w:val="20"/>
          <w:szCs w:val="20"/>
        </w:rPr>
        <w:t>-11-</w:t>
      </w:r>
    </w:p>
    <w:p w14:paraId="69E19DC7" w14:textId="77777777" w:rsidR="00000000" w:rsidRDefault="000C49AD">
      <w:pPr>
        <w:rPr>
          <w:rFonts w:eastAsia="Times New Roman"/>
        </w:rPr>
      </w:pPr>
      <w:r>
        <w:rPr>
          <w:rFonts w:eastAsia="Times New Roman"/>
        </w:rPr>
        <w:pict w14:anchorId="30B18616">
          <v:rect id="_x0000_i1035" style="width:0;height:1.5pt" o:hralign="center" o:hrstd="t" o:hr="t" fillcolor="#a0a0a0" stroked="f"/>
        </w:pict>
      </w:r>
    </w:p>
    <w:p w14:paraId="0F6EC180" w14:textId="77777777" w:rsidR="00000000" w:rsidRDefault="000C49AD">
      <w:pPr>
        <w:divId w:val="1030031386"/>
        <w:rPr>
          <w:rFonts w:eastAsia="Times New Roman"/>
        </w:rPr>
      </w:pPr>
    </w:p>
    <w:p w14:paraId="2701F5B0" w14:textId="77777777" w:rsidR="00000000" w:rsidRDefault="000C49AD">
      <w:pPr>
        <w:jc w:val="both"/>
        <w:rPr>
          <w:rFonts w:eastAsia="Times New Roman"/>
        </w:rPr>
      </w:pPr>
      <w:r>
        <w:rPr>
          <w:rFonts w:eastAsia="Times New Roman"/>
          <w:color w:val="000000"/>
          <w:sz w:val="20"/>
          <w:szCs w:val="20"/>
        </w:rPr>
        <w:t xml:space="preserve">Each protocol, and any subsequent amendments to the protocol, must be submitted to the FDA as part of the IND. Further, each clinical trial must be reviewed and approved by an independent institutional review board (“IRB”) at or servicing each institution </w:t>
      </w:r>
      <w:r>
        <w:rPr>
          <w:rFonts w:eastAsia="Times New Roman"/>
          <w:color w:val="000000"/>
          <w:sz w:val="20"/>
          <w:szCs w:val="20"/>
        </w:rPr>
        <w:t>at which the clinical trial will be conducted. An IRB is charged with protecting the welfare and rights of trial participants and considers such items as whether the risks to individuals participating in the clinical trials are minimized and are reasonable</w:t>
      </w:r>
      <w:r>
        <w:rPr>
          <w:rFonts w:eastAsia="Times New Roman"/>
          <w:color w:val="000000"/>
          <w:sz w:val="20"/>
          <w:szCs w:val="20"/>
        </w:rPr>
        <w:t xml:space="preserve"> in relation to anticipated benefits. The IRB also approves the informed consent form that must be provided to each clinical trial subject or his or her legal representative and must monitor the clinical trial until completed. There are also requirements g</w:t>
      </w:r>
      <w:r>
        <w:rPr>
          <w:rFonts w:eastAsia="Times New Roman"/>
          <w:color w:val="000000"/>
          <w:sz w:val="20"/>
          <w:szCs w:val="20"/>
        </w:rPr>
        <w:t>overning the reporting of ongoing clinical trials and completed clinical trial results to public registries.</w:t>
      </w:r>
    </w:p>
    <w:p w14:paraId="113B1E88" w14:textId="77777777" w:rsidR="00000000" w:rsidRDefault="000C49AD">
      <w:pPr>
        <w:jc w:val="both"/>
        <w:rPr>
          <w:rFonts w:eastAsia="Times New Roman"/>
        </w:rPr>
      </w:pPr>
    </w:p>
    <w:p w14:paraId="240F06B9" w14:textId="77777777" w:rsidR="00000000" w:rsidRDefault="000C49AD">
      <w:pPr>
        <w:jc w:val="both"/>
        <w:rPr>
          <w:rFonts w:eastAsia="Times New Roman"/>
        </w:rPr>
      </w:pPr>
      <w:r>
        <w:rPr>
          <w:rFonts w:eastAsia="Times New Roman"/>
          <w:color w:val="000000"/>
          <w:sz w:val="20"/>
          <w:szCs w:val="20"/>
        </w:rPr>
        <w:t>Clinical trials are generally conducted in three sequential phases that may overlap or be combined, known as Phase 1, Phase 2, and Phase 3 trials</w:t>
      </w:r>
      <w:r>
        <w:rPr>
          <w:rFonts w:eastAsia="Times New Roman"/>
          <w:color w:val="000000"/>
          <w:sz w:val="20"/>
          <w:szCs w:val="20"/>
        </w:rPr>
        <w:t>. Phase 1 trials generally involve a small number of healthy volunteers who are initially exposed to a single dose and then multiple doses of the drug candidate. The primary purpose of these clinical trials is to assess the metabolism, pharmacologic action</w:t>
      </w:r>
      <w:r>
        <w:rPr>
          <w:rFonts w:eastAsia="Times New Roman"/>
          <w:color w:val="000000"/>
          <w:sz w:val="20"/>
          <w:szCs w:val="20"/>
        </w:rPr>
        <w:t>, side effects, tolerability, and safety of the drug. Phase 2 clinical trials typically involve studies in disease-affected patients to determine the dose required to produce the desired benefits. At the same time, safety and further pharmacokinetics (“PK”</w:t>
      </w:r>
      <w:r>
        <w:rPr>
          <w:rFonts w:eastAsia="Times New Roman"/>
          <w:color w:val="000000"/>
          <w:sz w:val="20"/>
          <w:szCs w:val="20"/>
        </w:rPr>
        <w:t>) and pharmacodynamics (“PD”) information is collected, as well as identification of possible adverse effects and safety risks and preliminary evaluation of efficacy. Phase 3 trials generally involve large numbers of patients at multiple sites (from severa</w:t>
      </w:r>
      <w:r>
        <w:rPr>
          <w:rFonts w:eastAsia="Times New Roman"/>
          <w:color w:val="000000"/>
          <w:sz w:val="20"/>
          <w:szCs w:val="20"/>
        </w:rPr>
        <w:t>l hundred to several thousand subjects) and are designed to provide the data necessary to demonstrate the efficacy of the drug for its intended use, its safety in use, and to establish the overall benefit/risk relationship of the drug and provide an adequa</w:t>
      </w:r>
      <w:r>
        <w:rPr>
          <w:rFonts w:eastAsia="Times New Roman"/>
          <w:color w:val="000000"/>
          <w:sz w:val="20"/>
          <w:szCs w:val="20"/>
        </w:rPr>
        <w:t>te basis for physician labeling. The duration of treatment is often extended to mimic the actual use of a drug during marketing. Generally, two adequate and well-controlled Phase 3 trials are required by the FDA for approval of a NDA. Post-approval trials,</w:t>
      </w:r>
      <w:r>
        <w:rPr>
          <w:rFonts w:eastAsia="Times New Roman"/>
          <w:color w:val="000000"/>
          <w:sz w:val="20"/>
          <w:szCs w:val="20"/>
        </w:rPr>
        <w:t xml:space="preserve"> sometimes referred to as Phase 4 clinical trials, may be conducted after initial marketing approval. These trials are used to gain additional experience from the treatment of patients in the intended therapeutic indication. In certain instances, the FDA m</w:t>
      </w:r>
      <w:r>
        <w:rPr>
          <w:rFonts w:eastAsia="Times New Roman"/>
          <w:color w:val="000000"/>
          <w:sz w:val="20"/>
          <w:szCs w:val="20"/>
        </w:rPr>
        <w:t>ay mandate the performance of Phase 4 clinical trials.</w:t>
      </w:r>
    </w:p>
    <w:p w14:paraId="6F81AD56" w14:textId="77777777" w:rsidR="00000000" w:rsidRDefault="000C49AD">
      <w:pPr>
        <w:jc w:val="both"/>
        <w:rPr>
          <w:rFonts w:eastAsia="Times New Roman"/>
        </w:rPr>
      </w:pPr>
    </w:p>
    <w:p w14:paraId="5CE3BD0B" w14:textId="77777777" w:rsidR="00000000" w:rsidRDefault="000C49AD">
      <w:pPr>
        <w:jc w:val="both"/>
        <w:rPr>
          <w:rFonts w:eastAsia="Times New Roman"/>
        </w:rPr>
      </w:pPr>
      <w:r>
        <w:rPr>
          <w:rFonts w:eastAsia="Times New Roman"/>
          <w:color w:val="000000"/>
          <w:sz w:val="20"/>
          <w:szCs w:val="20"/>
        </w:rPr>
        <w:t>Progress reports detailing the results of the clinical trials must be submitted at least annually to the FDA and written IND safety reports must be submitted to the FDA and the investigators for seri</w:t>
      </w:r>
      <w:r>
        <w:rPr>
          <w:rFonts w:eastAsia="Times New Roman"/>
          <w:color w:val="000000"/>
          <w:sz w:val="20"/>
          <w:szCs w:val="20"/>
        </w:rPr>
        <w:t xml:space="preserve">ous and unexpected adverse reactions, any finding from other clinical studies, tests in laboratory animals, or </w:t>
      </w:r>
      <w:r>
        <w:rPr>
          <w:rFonts w:eastAsia="Times New Roman"/>
          <w:i/>
          <w:iCs/>
          <w:color w:val="000000"/>
          <w:sz w:val="20"/>
          <w:szCs w:val="20"/>
        </w:rPr>
        <w:t>in vitro</w:t>
      </w:r>
      <w:r>
        <w:rPr>
          <w:rFonts w:eastAsia="Times New Roman"/>
          <w:color w:val="000000"/>
          <w:sz w:val="20"/>
          <w:szCs w:val="20"/>
        </w:rPr>
        <w:t xml:space="preserve"> testing that suggests a significant risk for human subjects, or any clinically important increase in the rate of a serious suspected adv</w:t>
      </w:r>
      <w:r>
        <w:rPr>
          <w:rFonts w:eastAsia="Times New Roman"/>
          <w:color w:val="000000"/>
          <w:sz w:val="20"/>
          <w:szCs w:val="20"/>
        </w:rPr>
        <w:t>erse reaction over that listed in the protocol or investigator brochure. The sponsor must submit an IND safety report within 15 calendar days after the sponsor determines that the information qualifies for reporting. The sponsor also must notify the FDA of</w:t>
      </w:r>
      <w:r>
        <w:rPr>
          <w:rFonts w:eastAsia="Times New Roman"/>
          <w:color w:val="000000"/>
          <w:sz w:val="20"/>
          <w:szCs w:val="20"/>
        </w:rPr>
        <w:t xml:space="preserve"> any unexpected fatal or life-threatening suspected adverse reaction within seven calendar days after the sponsor's initial receipt of the information. Phase 1, Phase 2, and Phase 3 trials may not be completed successfully within any specified period, if a</w:t>
      </w:r>
      <w:r>
        <w:rPr>
          <w:rFonts w:eastAsia="Times New Roman"/>
          <w:color w:val="000000"/>
          <w:sz w:val="20"/>
          <w:szCs w:val="20"/>
        </w:rPr>
        <w:t>t all.</w:t>
      </w:r>
      <w:r>
        <w:rPr>
          <w:rFonts w:eastAsia="Times New Roman"/>
          <w:color w:val="000000"/>
        </w:rPr>
        <w:t xml:space="preserve"> </w:t>
      </w:r>
      <w:r>
        <w:rPr>
          <w:rFonts w:eastAsia="Times New Roman"/>
          <w:color w:val="000000"/>
          <w:sz w:val="20"/>
          <w:szCs w:val="20"/>
        </w:rPr>
        <w:t xml:space="preserve">There also are requirements governing the reporting of ongoing clinical trials and completed clinical trial results to public registries. Information about certain clinical trials, including clinical trial results, must be submitted within specific </w:t>
      </w:r>
      <w:r>
        <w:rPr>
          <w:rFonts w:eastAsia="Times New Roman"/>
          <w:color w:val="000000"/>
          <w:sz w:val="20"/>
          <w:szCs w:val="20"/>
        </w:rPr>
        <w:t>timeframes for publication on the www.clinicaltrials.gov website.</w:t>
      </w:r>
    </w:p>
    <w:p w14:paraId="27D83221" w14:textId="77777777" w:rsidR="00000000" w:rsidRDefault="000C49AD">
      <w:pPr>
        <w:jc w:val="both"/>
        <w:rPr>
          <w:rFonts w:eastAsia="Times New Roman"/>
        </w:rPr>
      </w:pPr>
    </w:p>
    <w:p w14:paraId="2C07DB61" w14:textId="77777777" w:rsidR="00000000" w:rsidRDefault="000C49AD">
      <w:pPr>
        <w:jc w:val="both"/>
        <w:rPr>
          <w:rFonts w:eastAsia="Times New Roman"/>
        </w:rPr>
      </w:pPr>
      <w:r>
        <w:rPr>
          <w:rFonts w:eastAsia="Times New Roman"/>
          <w:color w:val="000000"/>
          <w:sz w:val="20"/>
          <w:szCs w:val="20"/>
        </w:rPr>
        <w:t>The FDA, the IRB, or the clinical trial sponsor may suspend or terminate a clinical trial at any time on various grounds, including a finding that the research subjects or patients are bei</w:t>
      </w:r>
      <w:r>
        <w:rPr>
          <w:rFonts w:eastAsia="Times New Roman"/>
          <w:color w:val="000000"/>
          <w:sz w:val="20"/>
          <w:szCs w:val="20"/>
        </w:rPr>
        <w:t xml:space="preserve">ng exposed to an unacceptable health risk. Similarly, an IRB can suspend or terminate approval of a clinical trial at its institution if the clinical trial is not being conducted in accordance with the IRB's requirements or if the drug has been associated </w:t>
      </w:r>
      <w:r>
        <w:rPr>
          <w:rFonts w:eastAsia="Times New Roman"/>
          <w:color w:val="000000"/>
          <w:sz w:val="20"/>
          <w:szCs w:val="20"/>
        </w:rPr>
        <w:t>with unexpected serious harm to patients. Additionally, some clinical trials are overseen by an independent group of qualified experts organized by the clinical trial sponsor, known as a data safety monitoring board or committee. This group provides author</w:t>
      </w:r>
      <w:r>
        <w:rPr>
          <w:rFonts w:eastAsia="Times New Roman"/>
          <w:color w:val="000000"/>
          <w:sz w:val="20"/>
          <w:szCs w:val="20"/>
        </w:rPr>
        <w:t>ization for whether or not a trial may move forward at designated check points based on access to certain data from the trial. We may also suspend or terminate a clinical trial based on evolving business objectives and/or competitive climate. Concurrent wi</w:t>
      </w:r>
      <w:r>
        <w:rPr>
          <w:rFonts w:eastAsia="Times New Roman"/>
          <w:color w:val="000000"/>
          <w:sz w:val="20"/>
          <w:szCs w:val="20"/>
        </w:rPr>
        <w:t>th clinical trials, companies usually complete additional animal studies and must also develop additional information about the chemistry and physical characteristics of the drug as well as finalize a process for manufacturing the drug in commercial quanti</w:t>
      </w:r>
      <w:r>
        <w:rPr>
          <w:rFonts w:eastAsia="Times New Roman"/>
          <w:color w:val="000000"/>
          <w:sz w:val="20"/>
          <w:szCs w:val="20"/>
        </w:rPr>
        <w:t xml:space="preserve">ties in accordance with cGMP requirements. The manufacturing process must be capable of consistently producing quality batches of the drug candidate and, among other things, cGMPs impose extensive procedural, substantive, and recordkeeping requirements to </w:t>
      </w:r>
      <w:r>
        <w:rPr>
          <w:rFonts w:eastAsia="Times New Roman"/>
          <w:color w:val="000000"/>
          <w:sz w:val="20"/>
          <w:szCs w:val="20"/>
        </w:rPr>
        <w:t>ensure and preserve the long-term stability and quality of the final drug product. Additionally, appropriate packaging must be selected and tested, and stability studies must be conducted to demonstrate that the drug candidate does not undergo unacceptable</w:t>
      </w:r>
      <w:r>
        <w:rPr>
          <w:rFonts w:eastAsia="Times New Roman"/>
          <w:color w:val="000000"/>
          <w:sz w:val="20"/>
          <w:szCs w:val="20"/>
        </w:rPr>
        <w:t xml:space="preserve"> deterioration over its shelf life.</w:t>
      </w:r>
    </w:p>
    <w:p w14:paraId="4477E557" w14:textId="77777777" w:rsidR="00000000" w:rsidRDefault="000C49AD">
      <w:pPr>
        <w:jc w:val="both"/>
        <w:rPr>
          <w:rFonts w:eastAsia="Times New Roman"/>
        </w:rPr>
      </w:pPr>
    </w:p>
    <w:p w14:paraId="46A610EC" w14:textId="77777777" w:rsidR="00000000" w:rsidRDefault="000C49AD">
      <w:pPr>
        <w:jc w:val="both"/>
        <w:rPr>
          <w:rFonts w:eastAsia="Times New Roman"/>
        </w:rPr>
      </w:pPr>
      <w:r>
        <w:rPr>
          <w:rFonts w:eastAsia="Times New Roman"/>
          <w:b/>
          <w:bCs/>
          <w:i/>
          <w:iCs/>
          <w:color w:val="000000"/>
          <w:sz w:val="20"/>
          <w:szCs w:val="20"/>
        </w:rPr>
        <w:t>NDA and the FDA Review Process</w:t>
      </w:r>
    </w:p>
    <w:p w14:paraId="6BE41129" w14:textId="77777777" w:rsidR="00000000" w:rsidRDefault="000C49AD">
      <w:pPr>
        <w:jc w:val="both"/>
        <w:rPr>
          <w:rFonts w:eastAsia="Times New Roman"/>
        </w:rPr>
      </w:pPr>
    </w:p>
    <w:p w14:paraId="27735386" w14:textId="77777777" w:rsidR="00000000" w:rsidRDefault="000C49AD">
      <w:pPr>
        <w:jc w:val="both"/>
        <w:rPr>
          <w:rFonts w:eastAsia="Times New Roman"/>
        </w:rPr>
      </w:pPr>
      <w:r>
        <w:rPr>
          <w:rFonts w:eastAsia="Times New Roman"/>
          <w:color w:val="000000"/>
          <w:sz w:val="20"/>
          <w:szCs w:val="20"/>
        </w:rPr>
        <w:t>Following trial completion, trial data are analyzed to assess safety and efficacy. The results of preclinical studies and clinical trials are then submitted to the FDA as part of a NDA, along with proposed labeling for the drug and information about the ma</w:t>
      </w:r>
      <w:r>
        <w:rPr>
          <w:rFonts w:eastAsia="Times New Roman"/>
          <w:color w:val="000000"/>
          <w:sz w:val="20"/>
          <w:szCs w:val="20"/>
        </w:rPr>
        <w:t>nufacturing process and facilities that will be used to ensure drug quality, results of analytical testing conducted on the chemistry of the drug, and other relevant information. The NDA is a request for approval to market the drug and must contain adequat</w:t>
      </w:r>
      <w:r>
        <w:rPr>
          <w:rFonts w:eastAsia="Times New Roman"/>
          <w:color w:val="000000"/>
          <w:sz w:val="20"/>
          <w:szCs w:val="20"/>
        </w:rPr>
        <w:t xml:space="preserve">e evidence of safety and efficacy, which is demonstrated by extensive preclinical and clinical testing. Data may come from company-sponsored clinical trials intended to test the safety and efficacy of a use of a drug, or from a number of </w:t>
      </w:r>
    </w:p>
    <w:p w14:paraId="0E57F873" w14:textId="77777777" w:rsidR="00000000" w:rsidRDefault="000C49AD">
      <w:pPr>
        <w:jc w:val="center"/>
        <w:divId w:val="1961762893"/>
        <w:rPr>
          <w:rFonts w:eastAsia="Times New Roman"/>
        </w:rPr>
      </w:pPr>
      <w:r>
        <w:rPr>
          <w:rFonts w:eastAsia="Times New Roman"/>
          <w:color w:val="000000"/>
          <w:sz w:val="20"/>
          <w:szCs w:val="20"/>
        </w:rPr>
        <w:t>-12-</w:t>
      </w:r>
    </w:p>
    <w:p w14:paraId="5FE3132A" w14:textId="77777777" w:rsidR="00000000" w:rsidRDefault="000C49AD">
      <w:pPr>
        <w:rPr>
          <w:rFonts w:eastAsia="Times New Roman"/>
        </w:rPr>
      </w:pPr>
      <w:r>
        <w:rPr>
          <w:rFonts w:eastAsia="Times New Roman"/>
        </w:rPr>
        <w:pict w14:anchorId="2571B76F">
          <v:rect id="_x0000_i1036" style="width:0;height:1.5pt" o:hralign="center" o:hrstd="t" o:hr="t" fillcolor="#a0a0a0" stroked="f"/>
        </w:pict>
      </w:r>
    </w:p>
    <w:p w14:paraId="256325B9" w14:textId="77777777" w:rsidR="00000000" w:rsidRDefault="000C49AD">
      <w:pPr>
        <w:divId w:val="76679949"/>
        <w:rPr>
          <w:rFonts w:eastAsia="Times New Roman"/>
        </w:rPr>
      </w:pPr>
    </w:p>
    <w:p w14:paraId="67AB0086" w14:textId="77777777" w:rsidR="00000000" w:rsidRDefault="000C49AD">
      <w:pPr>
        <w:jc w:val="both"/>
        <w:rPr>
          <w:rFonts w:eastAsia="Times New Roman"/>
        </w:rPr>
      </w:pPr>
      <w:r>
        <w:rPr>
          <w:rFonts w:eastAsia="Times New Roman"/>
          <w:color w:val="000000"/>
          <w:sz w:val="20"/>
          <w:szCs w:val="20"/>
        </w:rPr>
        <w:t>alternative sources, including studies initiated by investigators. To support marketing approval, the data submitted must be sufficient in quality and quantity to establish the safety and efficacy of the investigational drug produ</w:t>
      </w:r>
      <w:r>
        <w:rPr>
          <w:rFonts w:eastAsia="Times New Roman"/>
          <w:color w:val="000000"/>
          <w:sz w:val="20"/>
          <w:szCs w:val="20"/>
        </w:rPr>
        <w:t>ct for a particular indication or indications to the satisfaction of the FDA. FDA approval of a NDA must be obtained before a drug may be offered for sale in the U.S.</w:t>
      </w:r>
    </w:p>
    <w:p w14:paraId="263FF81D" w14:textId="77777777" w:rsidR="00000000" w:rsidRDefault="000C49AD">
      <w:pPr>
        <w:jc w:val="both"/>
        <w:rPr>
          <w:rFonts w:eastAsia="Times New Roman"/>
        </w:rPr>
      </w:pPr>
    </w:p>
    <w:p w14:paraId="7F1E256E" w14:textId="77777777" w:rsidR="00000000" w:rsidRDefault="000C49AD">
      <w:pPr>
        <w:jc w:val="both"/>
        <w:rPr>
          <w:rFonts w:eastAsia="Times New Roman"/>
        </w:rPr>
      </w:pPr>
      <w:r>
        <w:rPr>
          <w:rFonts w:eastAsia="Times New Roman"/>
          <w:color w:val="000000"/>
          <w:sz w:val="20"/>
          <w:szCs w:val="20"/>
        </w:rPr>
        <w:t>Under the PDUFA, as amended, each NDA must be accompanied by a user fee. The FDA adjust</w:t>
      </w:r>
      <w:r>
        <w:rPr>
          <w:rFonts w:eastAsia="Times New Roman"/>
          <w:color w:val="000000"/>
          <w:sz w:val="20"/>
          <w:szCs w:val="20"/>
        </w:rPr>
        <w:t>s the PDUFA user fees on an annual basis. PDUFA also imposes an annual prescription drug product program fee for human drugs. Fee waivers or reductions are available in certain circumstances, including a waiver of the application fee for the first applicat</w:t>
      </w:r>
      <w:r>
        <w:rPr>
          <w:rFonts w:eastAsia="Times New Roman"/>
          <w:color w:val="000000"/>
          <w:sz w:val="20"/>
          <w:szCs w:val="20"/>
        </w:rPr>
        <w:t>ion filed by a small business. Additionally, no user fees are assessed on NDAs for products designated as orphan drugs, unless the product also includes a non-orphan indication.</w:t>
      </w:r>
    </w:p>
    <w:p w14:paraId="428EF64E" w14:textId="77777777" w:rsidR="00000000" w:rsidRDefault="000C49AD">
      <w:pPr>
        <w:jc w:val="both"/>
        <w:rPr>
          <w:rFonts w:eastAsia="Times New Roman"/>
        </w:rPr>
      </w:pPr>
    </w:p>
    <w:p w14:paraId="018BE63B" w14:textId="77777777" w:rsidR="00000000" w:rsidRDefault="000C49AD">
      <w:pPr>
        <w:jc w:val="both"/>
        <w:rPr>
          <w:rFonts w:eastAsia="Times New Roman"/>
        </w:rPr>
      </w:pPr>
      <w:r>
        <w:rPr>
          <w:rFonts w:eastAsia="Times New Roman"/>
          <w:color w:val="000000"/>
          <w:sz w:val="20"/>
          <w:szCs w:val="20"/>
        </w:rPr>
        <w:t xml:space="preserve">Within 60 days following submission of an original NDA, the FDA reviews the </w:t>
      </w:r>
      <w:r>
        <w:rPr>
          <w:rFonts w:eastAsia="Times New Roman"/>
          <w:color w:val="000000"/>
          <w:sz w:val="20"/>
          <w:szCs w:val="20"/>
        </w:rPr>
        <w:t xml:space="preserve">application to determine if it is substantially complete before the agency accepts it for filing. The FDA may refuse to file any NDA that it deems incomplete or not properly reviewable at the time of submission, including for failure to pay required fees, </w:t>
      </w:r>
      <w:r>
        <w:rPr>
          <w:rFonts w:eastAsia="Times New Roman"/>
          <w:color w:val="000000"/>
          <w:sz w:val="20"/>
          <w:szCs w:val="20"/>
        </w:rPr>
        <w:t>and may request additional information. In this event, the application must be resubmitted with the additional information. The resubmitted application also is subject to review before the FDA accepts it for filing. The FDA typically makes a decision on wh</w:t>
      </w:r>
      <w:r>
        <w:rPr>
          <w:rFonts w:eastAsia="Times New Roman"/>
          <w:color w:val="000000"/>
          <w:sz w:val="20"/>
          <w:szCs w:val="20"/>
        </w:rPr>
        <w:t xml:space="preserve">ether to accept a NDA for filing within 60 days of receipt. Once the submission is accepted for filing, the FDA begins an in-depth, substantive review of the NDA. Under the performance goals established under the PDUFA, the FDA has agreed to review 90% of </w:t>
      </w:r>
      <w:r>
        <w:rPr>
          <w:rFonts w:eastAsia="Times New Roman"/>
          <w:color w:val="000000"/>
          <w:sz w:val="20"/>
          <w:szCs w:val="20"/>
        </w:rPr>
        <w:t>standard NDAs for new molecular entities (“NMEs”) in ten months from the filing date and 90% of priority NME NDAs in six months from the filing date. The goals for reviewing standard and priority non-NME NDAs are ten months and six months, respectively, me</w:t>
      </w:r>
      <w:r>
        <w:rPr>
          <w:rFonts w:eastAsia="Times New Roman"/>
          <w:color w:val="000000"/>
          <w:sz w:val="20"/>
          <w:szCs w:val="20"/>
        </w:rPr>
        <w:t>asured from the receipt date of the application. The FDA does not always meet its PDUFA goal dates for standard and priority NDAs, and the review process is often significantly extended by FDA requests for additional information or clarification.</w:t>
      </w:r>
    </w:p>
    <w:p w14:paraId="6F0C1B61" w14:textId="77777777" w:rsidR="00000000" w:rsidRDefault="000C49AD">
      <w:pPr>
        <w:jc w:val="both"/>
        <w:rPr>
          <w:rFonts w:eastAsia="Times New Roman"/>
        </w:rPr>
      </w:pPr>
    </w:p>
    <w:p w14:paraId="3E83500D" w14:textId="77777777" w:rsidR="00000000" w:rsidRDefault="000C49AD">
      <w:pPr>
        <w:jc w:val="both"/>
        <w:rPr>
          <w:rFonts w:eastAsia="Times New Roman"/>
        </w:rPr>
      </w:pPr>
      <w:r>
        <w:rPr>
          <w:rFonts w:eastAsia="Times New Roman"/>
          <w:color w:val="000000"/>
          <w:sz w:val="20"/>
          <w:szCs w:val="20"/>
        </w:rPr>
        <w:t>After t</w:t>
      </w:r>
      <w:r>
        <w:rPr>
          <w:rFonts w:eastAsia="Times New Roman"/>
          <w:color w:val="000000"/>
          <w:sz w:val="20"/>
          <w:szCs w:val="20"/>
        </w:rPr>
        <w:t>he NDA submission is accepted for filing, the FDA reviews the NDA to determine, among other things, whether the proposed drug is safe and effective for its intended use, and whether the drug is being manufactured in accordance with cGMP to assure and prese</w:t>
      </w:r>
      <w:r>
        <w:rPr>
          <w:rFonts w:eastAsia="Times New Roman"/>
          <w:color w:val="000000"/>
          <w:sz w:val="20"/>
          <w:szCs w:val="20"/>
        </w:rPr>
        <w:t xml:space="preserve">rve the drug's identity, strength, quality, and purity. The FDA may refer applications for novel drugs or drug candidates that present difficult questions of safety or efficacy to an advisory committee, typically a panel that includes clinicians and other </w:t>
      </w:r>
      <w:r>
        <w:rPr>
          <w:rFonts w:eastAsia="Times New Roman"/>
          <w:color w:val="000000"/>
          <w:sz w:val="20"/>
          <w:szCs w:val="20"/>
        </w:rPr>
        <w:t>experts, for review, evaluation, and a recommendation as to whether the application should be approved and under what conditions. The FDA is not bound by the recommendations of an advisory committee, but it considers such recommendations carefully when mak</w:t>
      </w:r>
      <w:r>
        <w:rPr>
          <w:rFonts w:eastAsia="Times New Roman"/>
          <w:color w:val="000000"/>
          <w:sz w:val="20"/>
          <w:szCs w:val="20"/>
        </w:rPr>
        <w:t xml:space="preserve">ing decisions. In the course of its review, the FDA may re-analyze the clinical trial data, which could result in extensive discussions between the FDA and the applicant during the review process. The review and evaluation of a NDA by the FDA is extensive </w:t>
      </w:r>
      <w:r>
        <w:rPr>
          <w:rFonts w:eastAsia="Times New Roman"/>
          <w:color w:val="000000"/>
          <w:sz w:val="20"/>
          <w:szCs w:val="20"/>
        </w:rPr>
        <w:t>and time consuming and may take longer than originally planned to complete, and we may not receive a timely approval, if at all.</w:t>
      </w:r>
    </w:p>
    <w:p w14:paraId="4EA2D2D2" w14:textId="77777777" w:rsidR="00000000" w:rsidRDefault="000C49AD">
      <w:pPr>
        <w:jc w:val="both"/>
        <w:rPr>
          <w:rFonts w:eastAsia="Times New Roman"/>
        </w:rPr>
      </w:pPr>
    </w:p>
    <w:p w14:paraId="577EA2CC" w14:textId="77777777" w:rsidR="00000000" w:rsidRDefault="000C49AD">
      <w:pPr>
        <w:jc w:val="both"/>
        <w:rPr>
          <w:rFonts w:eastAsia="Times New Roman"/>
        </w:rPr>
      </w:pPr>
      <w:r>
        <w:rPr>
          <w:rFonts w:eastAsia="Times New Roman"/>
          <w:color w:val="000000"/>
          <w:sz w:val="20"/>
          <w:szCs w:val="20"/>
        </w:rPr>
        <w:t>Before approving a NDA, the FDA typically conducts a pre-approval inspection of the manufacturing facilities for the new drug</w:t>
      </w:r>
      <w:r>
        <w:rPr>
          <w:rFonts w:eastAsia="Times New Roman"/>
          <w:color w:val="000000"/>
          <w:sz w:val="20"/>
          <w:szCs w:val="20"/>
        </w:rPr>
        <w:t xml:space="preserve"> to determine whether they comply with cGMPs. The FDA will not approve the drug unless it determines that the manufacturing processes and facilities are in compliance with cGMP requirements and adequate to assure consistent production of the drug within re</w:t>
      </w:r>
      <w:r>
        <w:rPr>
          <w:rFonts w:eastAsia="Times New Roman"/>
          <w:color w:val="000000"/>
          <w:sz w:val="20"/>
          <w:szCs w:val="20"/>
        </w:rPr>
        <w:t xml:space="preserve">quired specifications. In addition, before approving a NDA, the FDA may also audit data from clinical trials to ensure compliance with GCP requirements. After the FDA evaluates the application, manufacturing process, and manufacturing facilities where the </w:t>
      </w:r>
      <w:r>
        <w:rPr>
          <w:rFonts w:eastAsia="Times New Roman"/>
          <w:color w:val="000000"/>
          <w:sz w:val="20"/>
          <w:szCs w:val="20"/>
        </w:rPr>
        <w:t xml:space="preserve">drug product and/or its API will be produced, it may issue an approval letter or a Complete Response Letter. An approval letter authorizes commercial marketing of the drug with specific prescribing information for specific indications. A Complete Response </w:t>
      </w:r>
      <w:r>
        <w:rPr>
          <w:rFonts w:eastAsia="Times New Roman"/>
          <w:color w:val="000000"/>
          <w:sz w:val="20"/>
          <w:szCs w:val="20"/>
        </w:rPr>
        <w:t>Letter indicates that the review cycle of the application is complete and the application is not ready for approval. A Complete Response Letter usually describes all of the specific deficiencies in the NDA identified by the FDA. The Complete Response Lette</w:t>
      </w:r>
      <w:r>
        <w:rPr>
          <w:rFonts w:eastAsia="Times New Roman"/>
          <w:color w:val="000000"/>
          <w:sz w:val="20"/>
          <w:szCs w:val="20"/>
        </w:rPr>
        <w:t>r may require additional clinical data and/or an additional pivotal clinical trial(s), and/or other significant, expensive and time-consuming requirements related to clinical trials, preclinical studies, or manufacturing. If a Complete Response Letter is i</w:t>
      </w:r>
      <w:r>
        <w:rPr>
          <w:rFonts w:eastAsia="Times New Roman"/>
          <w:color w:val="000000"/>
          <w:sz w:val="20"/>
          <w:szCs w:val="20"/>
        </w:rPr>
        <w:t>ssued, the applicant may either resubmit the NDA, addressing all of the deficiencies identified in the letter, challenge the determination set forth in the letter by requesting a hearing, or withdraw the application. Even if such data and information are s</w:t>
      </w:r>
      <w:r>
        <w:rPr>
          <w:rFonts w:eastAsia="Times New Roman"/>
          <w:color w:val="000000"/>
          <w:sz w:val="20"/>
          <w:szCs w:val="20"/>
        </w:rPr>
        <w:t>ubmitted, the FDA may ultimately decide that the NDA does not satisfy the criteria for approval. Data obtained from clinical trials are not always conclusive and the FDA may interpret data differently than we interpret the same data.</w:t>
      </w:r>
    </w:p>
    <w:p w14:paraId="30384427" w14:textId="77777777" w:rsidR="00000000" w:rsidRDefault="000C49AD">
      <w:pPr>
        <w:jc w:val="both"/>
        <w:rPr>
          <w:rFonts w:eastAsia="Times New Roman"/>
        </w:rPr>
      </w:pPr>
    </w:p>
    <w:p w14:paraId="799B500D" w14:textId="77777777" w:rsidR="00000000" w:rsidRDefault="000C49AD">
      <w:pPr>
        <w:jc w:val="both"/>
        <w:rPr>
          <w:rFonts w:eastAsia="Times New Roman"/>
        </w:rPr>
      </w:pPr>
      <w:r>
        <w:rPr>
          <w:rFonts w:eastAsia="Times New Roman"/>
          <w:color w:val="000000"/>
          <w:sz w:val="20"/>
          <w:szCs w:val="20"/>
        </w:rPr>
        <w:t>There is no assuranc</w:t>
      </w:r>
      <w:r>
        <w:rPr>
          <w:rFonts w:eastAsia="Times New Roman"/>
          <w:color w:val="000000"/>
          <w:sz w:val="20"/>
          <w:szCs w:val="20"/>
        </w:rPr>
        <w:t>e that the FDA will ultimately approve a drug product for marketing in the U.S. If a drug receives marketing approval, the approval may be significantly limited to specific diseases, dosages, or patient subgroups, or the indications for use may otherwise b</w:t>
      </w:r>
      <w:r>
        <w:rPr>
          <w:rFonts w:eastAsia="Times New Roman"/>
          <w:color w:val="000000"/>
          <w:sz w:val="20"/>
          <w:szCs w:val="20"/>
        </w:rPr>
        <w:t>e limited, which could restrict the commercial value of the drug. Further, the FDA may require that certain contraindications, warnings, precautions, or adverse events be included in the drug labeling or may condition the approval of the NDA on other chang</w:t>
      </w:r>
      <w:r>
        <w:rPr>
          <w:rFonts w:eastAsia="Times New Roman"/>
          <w:color w:val="000000"/>
          <w:sz w:val="20"/>
          <w:szCs w:val="20"/>
        </w:rPr>
        <w:t>es to the proposed labeling, development of adequate controls and specifications, or a commitment to conduct post-marketing testing or clinical trials, and surveillance to monitor the effects of approved drugs. For example, the FDA may require Phase 4 test</w:t>
      </w:r>
      <w:r>
        <w:rPr>
          <w:rFonts w:eastAsia="Times New Roman"/>
          <w:color w:val="000000"/>
          <w:sz w:val="20"/>
          <w:szCs w:val="20"/>
        </w:rPr>
        <w:t xml:space="preserve">ing which involves clinical trials designed to further assess a drug's safety and may require testing and surveillance programs to monitor the safety of approved drugs that have been </w:t>
      </w:r>
    </w:p>
    <w:p w14:paraId="565AF24A" w14:textId="77777777" w:rsidR="00000000" w:rsidRDefault="000C49AD">
      <w:pPr>
        <w:jc w:val="center"/>
        <w:divId w:val="1969778471"/>
        <w:rPr>
          <w:rFonts w:eastAsia="Times New Roman"/>
        </w:rPr>
      </w:pPr>
      <w:r>
        <w:rPr>
          <w:rFonts w:eastAsia="Times New Roman"/>
          <w:color w:val="000000"/>
          <w:sz w:val="20"/>
          <w:szCs w:val="20"/>
        </w:rPr>
        <w:t>-13-</w:t>
      </w:r>
    </w:p>
    <w:p w14:paraId="7A0DEC8D" w14:textId="77777777" w:rsidR="00000000" w:rsidRDefault="000C49AD">
      <w:pPr>
        <w:rPr>
          <w:rFonts w:eastAsia="Times New Roman"/>
        </w:rPr>
      </w:pPr>
      <w:r>
        <w:rPr>
          <w:rFonts w:eastAsia="Times New Roman"/>
        </w:rPr>
        <w:pict w14:anchorId="1696F511">
          <v:rect id="_x0000_i1037" style="width:0;height:1.5pt" o:hralign="center" o:hrstd="t" o:hr="t" fillcolor="#a0a0a0" stroked="f"/>
        </w:pict>
      </w:r>
    </w:p>
    <w:p w14:paraId="0338DE1A" w14:textId="77777777" w:rsidR="00000000" w:rsidRDefault="000C49AD">
      <w:pPr>
        <w:divId w:val="1356883224"/>
        <w:rPr>
          <w:rFonts w:eastAsia="Times New Roman"/>
        </w:rPr>
      </w:pPr>
    </w:p>
    <w:p w14:paraId="37AD4F1B" w14:textId="77777777" w:rsidR="00000000" w:rsidRDefault="000C49AD">
      <w:pPr>
        <w:jc w:val="both"/>
        <w:rPr>
          <w:rFonts w:eastAsia="Times New Roman"/>
        </w:rPr>
      </w:pPr>
      <w:r>
        <w:rPr>
          <w:rFonts w:eastAsia="Times New Roman"/>
          <w:color w:val="000000"/>
          <w:sz w:val="20"/>
          <w:szCs w:val="20"/>
        </w:rPr>
        <w:t xml:space="preserve">commercialized. The FDA may </w:t>
      </w:r>
      <w:r>
        <w:rPr>
          <w:rFonts w:eastAsia="Times New Roman"/>
          <w:color w:val="000000"/>
          <w:sz w:val="20"/>
          <w:szCs w:val="20"/>
        </w:rPr>
        <w:t>also place other conditions on approvals including the requirement for a Risk Evaluation and Mitigation Strategy (“REMS”) to assure the safe use of the drug. If the FDA concludes a REMS is needed, the sponsor of the NDA must submit a proposed REMS. The FDA</w:t>
      </w:r>
      <w:r>
        <w:rPr>
          <w:rFonts w:eastAsia="Times New Roman"/>
          <w:color w:val="000000"/>
          <w:sz w:val="20"/>
          <w:szCs w:val="20"/>
        </w:rPr>
        <w:t xml:space="preserve"> will not approve the NDA without an approved REMS, if required. A REMS could include medication guides, physician communication plans, or elements to assure safe use, such as restricted distribution methods, patient registries, and other risk minimization</w:t>
      </w:r>
      <w:r>
        <w:rPr>
          <w:rFonts w:eastAsia="Times New Roman"/>
          <w:color w:val="000000"/>
          <w:sz w:val="20"/>
          <w:szCs w:val="20"/>
        </w:rPr>
        <w:t xml:space="preserve"> tools. Any of these limitations on approval or marketing could restrict the commercial promotion, distribution, prescription, or dispensing of drugs. Drug approvals may be withdrawn for non-compliance with regulatory standards or if problems occur followi</w:t>
      </w:r>
      <w:r>
        <w:rPr>
          <w:rFonts w:eastAsia="Times New Roman"/>
          <w:color w:val="000000"/>
          <w:sz w:val="20"/>
          <w:szCs w:val="20"/>
        </w:rPr>
        <w:t>ng initial marketing.</w:t>
      </w:r>
    </w:p>
    <w:p w14:paraId="0EC0997A" w14:textId="77777777" w:rsidR="00000000" w:rsidRDefault="000C49AD">
      <w:pPr>
        <w:jc w:val="both"/>
        <w:rPr>
          <w:rFonts w:eastAsia="Times New Roman"/>
        </w:rPr>
      </w:pPr>
    </w:p>
    <w:p w14:paraId="0DCC9F8F" w14:textId="77777777" w:rsidR="00000000" w:rsidRDefault="000C49AD">
      <w:pPr>
        <w:jc w:val="both"/>
        <w:rPr>
          <w:rFonts w:eastAsia="Times New Roman"/>
        </w:rPr>
      </w:pPr>
      <w:r>
        <w:rPr>
          <w:rFonts w:eastAsia="Times New Roman"/>
          <w:b/>
          <w:bCs/>
          <w:i/>
          <w:iCs/>
          <w:color w:val="000000"/>
          <w:sz w:val="20"/>
          <w:szCs w:val="20"/>
        </w:rPr>
        <w:t>Pediatric Information and Exclusivity</w:t>
      </w:r>
    </w:p>
    <w:p w14:paraId="7E11FA4D" w14:textId="77777777" w:rsidR="00000000" w:rsidRDefault="000C49AD">
      <w:pPr>
        <w:jc w:val="both"/>
        <w:rPr>
          <w:rFonts w:eastAsia="Times New Roman"/>
        </w:rPr>
      </w:pPr>
    </w:p>
    <w:p w14:paraId="12BC5582" w14:textId="77777777" w:rsidR="00000000" w:rsidRDefault="000C49AD">
      <w:pPr>
        <w:jc w:val="both"/>
        <w:rPr>
          <w:rFonts w:eastAsia="Times New Roman"/>
        </w:rPr>
      </w:pPr>
      <w:r>
        <w:rPr>
          <w:rFonts w:eastAsia="Times New Roman"/>
          <w:color w:val="000000"/>
          <w:sz w:val="20"/>
          <w:szCs w:val="20"/>
        </w:rPr>
        <w:t>Under the Pediatric Research Equity Act (“PREA”), as amended, a NDA or supplement to a NDA for a drug that includes a new active ingredient, new indication, new dosage form, new dosing regimen</w:t>
      </w:r>
      <w:r>
        <w:rPr>
          <w:rFonts w:eastAsia="Times New Roman"/>
          <w:color w:val="000000"/>
          <w:sz w:val="20"/>
          <w:szCs w:val="20"/>
        </w:rPr>
        <w:t>, or new route of administration must contain data to assess the safety and efficacy of the drug for the claimed indications in all relevant pediatric subpopulations and to support dosing and administration for each pediatric subpopulation for which the dr</w:t>
      </w:r>
      <w:r>
        <w:rPr>
          <w:rFonts w:eastAsia="Times New Roman"/>
          <w:color w:val="000000"/>
          <w:sz w:val="20"/>
          <w:szCs w:val="20"/>
        </w:rPr>
        <w:t>ug is safe and effective. The FDA may grant deferrals for submission of data or full or partial waivers.</w:t>
      </w:r>
    </w:p>
    <w:p w14:paraId="5E2927AE" w14:textId="77777777" w:rsidR="00000000" w:rsidRDefault="000C49AD">
      <w:pPr>
        <w:jc w:val="both"/>
        <w:rPr>
          <w:rFonts w:eastAsia="Times New Roman"/>
        </w:rPr>
      </w:pPr>
    </w:p>
    <w:p w14:paraId="6BE414AD" w14:textId="77777777" w:rsidR="00000000" w:rsidRDefault="000C49AD">
      <w:pPr>
        <w:jc w:val="both"/>
        <w:rPr>
          <w:rFonts w:eastAsia="Times New Roman"/>
        </w:rPr>
      </w:pPr>
      <w:r>
        <w:rPr>
          <w:rFonts w:eastAsia="Times New Roman"/>
          <w:color w:val="000000"/>
          <w:sz w:val="20"/>
          <w:szCs w:val="20"/>
        </w:rPr>
        <w:t xml:space="preserve">A sponsor who is planning to submit a marketing application for a drug subject to PREA must submit an initial Pediatric Study Plan (“PSP”) within 60 </w:t>
      </w:r>
      <w:r>
        <w:rPr>
          <w:rFonts w:eastAsia="Times New Roman"/>
          <w:color w:val="000000"/>
          <w:sz w:val="20"/>
          <w:szCs w:val="20"/>
        </w:rPr>
        <w:t xml:space="preserve">days of an end-of-Phase 2 meeting or as may be agreed between the sponsor and the FDA. The initial PSP must include an outline of the pediatric study or studies that the sponsor plans to conduct, including study objectives and design, age groups, relevant </w:t>
      </w:r>
      <w:r>
        <w:rPr>
          <w:rFonts w:eastAsia="Times New Roman"/>
          <w:color w:val="000000"/>
          <w:sz w:val="20"/>
          <w:szCs w:val="20"/>
        </w:rPr>
        <w:t>endpoints, and statistical approach, or a justification for not including such detailed information, and any request for a deferral of pediatric assessments or a full or partial waiver of the requirement to provide data from pediatric studies along with su</w:t>
      </w:r>
      <w:r>
        <w:rPr>
          <w:rFonts w:eastAsia="Times New Roman"/>
          <w:color w:val="000000"/>
          <w:sz w:val="20"/>
          <w:szCs w:val="20"/>
        </w:rPr>
        <w:t>pporting information. The FDA and the sponsor must reach agreement on the PSP. A sponsor can submit amendments to an agreed-upon initial PSP at any time if changes to the pediatric plan need to be considered based on data collected from preclinical studies</w:t>
      </w:r>
      <w:r>
        <w:rPr>
          <w:rFonts w:eastAsia="Times New Roman"/>
          <w:color w:val="000000"/>
          <w:sz w:val="20"/>
          <w:szCs w:val="20"/>
        </w:rPr>
        <w:t>, early phase clinical trials, and/or other clinical development programs.</w:t>
      </w:r>
    </w:p>
    <w:p w14:paraId="27FA2237" w14:textId="77777777" w:rsidR="00000000" w:rsidRDefault="000C49AD">
      <w:pPr>
        <w:jc w:val="both"/>
        <w:rPr>
          <w:rFonts w:eastAsia="Times New Roman"/>
        </w:rPr>
      </w:pPr>
    </w:p>
    <w:p w14:paraId="41FF6B13" w14:textId="77777777" w:rsidR="00000000" w:rsidRDefault="000C49AD">
      <w:pPr>
        <w:jc w:val="both"/>
        <w:rPr>
          <w:rFonts w:eastAsia="Times New Roman"/>
        </w:rPr>
      </w:pPr>
      <w:r>
        <w:rPr>
          <w:rFonts w:eastAsia="Times New Roman"/>
          <w:color w:val="000000"/>
          <w:sz w:val="20"/>
          <w:szCs w:val="20"/>
        </w:rPr>
        <w:t>A drug product can also obtain pediatric exclusivity in the U.S. is another type of regulatory market exclusivity in the U.S. Pediatric exclusivity, if granted, adds six months to</w:t>
      </w:r>
      <w:r>
        <w:rPr>
          <w:rFonts w:eastAsia="Times New Roman"/>
          <w:color w:val="000000"/>
          <w:sz w:val="20"/>
          <w:szCs w:val="20"/>
        </w:rPr>
        <w:t xml:space="preserve"> existing exclusivity periods and patent terms. This six-month exclusivity, which runs from the end of other exclusivity protection or patent term, may be granted based on the voluntary completion of a pediatric trial in accordance with a FDA-issued "Writt</w:t>
      </w:r>
      <w:r>
        <w:rPr>
          <w:rFonts w:eastAsia="Times New Roman"/>
          <w:color w:val="000000"/>
          <w:sz w:val="20"/>
          <w:szCs w:val="20"/>
        </w:rPr>
        <w:t>en Request" for such a trial.</w:t>
      </w:r>
    </w:p>
    <w:p w14:paraId="7EBBA299" w14:textId="77777777" w:rsidR="00000000" w:rsidRDefault="000C49AD">
      <w:pPr>
        <w:jc w:val="both"/>
        <w:rPr>
          <w:rFonts w:eastAsia="Times New Roman"/>
        </w:rPr>
      </w:pPr>
    </w:p>
    <w:p w14:paraId="7F59BA98" w14:textId="77777777" w:rsidR="00000000" w:rsidRDefault="000C49AD">
      <w:pPr>
        <w:jc w:val="both"/>
        <w:rPr>
          <w:rFonts w:eastAsia="Times New Roman"/>
        </w:rPr>
      </w:pPr>
      <w:r>
        <w:rPr>
          <w:rFonts w:eastAsia="Times New Roman"/>
          <w:b/>
          <w:bCs/>
          <w:i/>
          <w:iCs/>
          <w:color w:val="000000"/>
          <w:sz w:val="20"/>
          <w:szCs w:val="20"/>
        </w:rPr>
        <w:t>Orphan Drug Designation</w:t>
      </w:r>
    </w:p>
    <w:p w14:paraId="30585287" w14:textId="77777777" w:rsidR="00000000" w:rsidRDefault="000C49AD">
      <w:pPr>
        <w:jc w:val="both"/>
        <w:rPr>
          <w:rFonts w:eastAsia="Times New Roman"/>
        </w:rPr>
      </w:pPr>
    </w:p>
    <w:p w14:paraId="4762E1E1" w14:textId="77777777" w:rsidR="00000000" w:rsidRDefault="000C49AD">
      <w:pPr>
        <w:jc w:val="both"/>
        <w:rPr>
          <w:rFonts w:eastAsia="Times New Roman"/>
        </w:rPr>
      </w:pPr>
      <w:r>
        <w:rPr>
          <w:rFonts w:eastAsia="Times New Roman"/>
          <w:color w:val="000000"/>
          <w:sz w:val="20"/>
          <w:szCs w:val="20"/>
        </w:rPr>
        <w:t xml:space="preserve">The FDA may grant orphan drug designation to drugs intended to treat a rare disease or condition that affects fewer than 200,000 individuals in the U.S., or if it affects 200,000 or more individuals in the U.S., there is no reasonable expectation that the </w:t>
      </w:r>
      <w:r>
        <w:rPr>
          <w:rFonts w:eastAsia="Times New Roman"/>
          <w:color w:val="000000"/>
          <w:sz w:val="20"/>
          <w:szCs w:val="20"/>
        </w:rPr>
        <w:t>cost of developing and marketing the drug for this type of disease or condition will be recovered from sales in the U.S. Orphan drug designation entitles a party to potential financial incentives such as opportunities for grant funding towards clinical tri</w:t>
      </w:r>
      <w:r>
        <w:rPr>
          <w:rFonts w:eastAsia="Times New Roman"/>
          <w:color w:val="000000"/>
          <w:sz w:val="20"/>
          <w:szCs w:val="20"/>
        </w:rPr>
        <w:t>al costs, tax advantages, and user-fee waivers. In addition, if a product receives the first FDA approval for the indication for which it has orphan designation, the product is entitled to orphan drug exclusivity, which means the FDA may not approve any ot</w:t>
      </w:r>
      <w:r>
        <w:rPr>
          <w:rFonts w:eastAsia="Times New Roman"/>
          <w:color w:val="000000"/>
          <w:sz w:val="20"/>
          <w:szCs w:val="20"/>
        </w:rPr>
        <w:t>her application to market the same drug for the same indication for a period of seven years, except in limited circumstances, such as a showing of clinical superiority over the product with orphan exclusivity.</w:t>
      </w:r>
    </w:p>
    <w:p w14:paraId="3780509A" w14:textId="77777777" w:rsidR="00000000" w:rsidRDefault="000C49AD">
      <w:pPr>
        <w:jc w:val="both"/>
        <w:rPr>
          <w:rFonts w:eastAsia="Times New Roman"/>
        </w:rPr>
      </w:pPr>
    </w:p>
    <w:p w14:paraId="50A0F1F2" w14:textId="77777777" w:rsidR="00000000" w:rsidRDefault="000C49AD">
      <w:pPr>
        <w:jc w:val="both"/>
        <w:rPr>
          <w:rFonts w:eastAsia="Times New Roman"/>
        </w:rPr>
      </w:pPr>
      <w:r>
        <w:rPr>
          <w:rFonts w:eastAsia="Times New Roman"/>
          <w:color w:val="000000"/>
          <w:sz w:val="20"/>
          <w:szCs w:val="20"/>
        </w:rPr>
        <w:t>Orphan drug exclusivity may be lost if the F</w:t>
      </w:r>
      <w:r>
        <w:rPr>
          <w:rFonts w:eastAsia="Times New Roman"/>
          <w:color w:val="000000"/>
          <w:sz w:val="20"/>
          <w:szCs w:val="20"/>
        </w:rPr>
        <w:t>DA determines that the request for designation was materially defective or if the manufacturer is unable to assure sufficient quantity of the drug to meet the needs of patients with the rare disease or condition. Orphan drug designation must be requested b</w:t>
      </w:r>
      <w:r>
        <w:rPr>
          <w:rFonts w:eastAsia="Times New Roman"/>
          <w:color w:val="000000"/>
          <w:sz w:val="20"/>
          <w:szCs w:val="20"/>
        </w:rPr>
        <w:t>efore submitting an application for marketing approval. Orphan drug designation does not convey any advantage in, or shorten the duration of, the regulatory review and approval process.</w:t>
      </w:r>
    </w:p>
    <w:p w14:paraId="496EAE20" w14:textId="77777777" w:rsidR="00000000" w:rsidRDefault="000C49AD">
      <w:pPr>
        <w:jc w:val="both"/>
        <w:rPr>
          <w:rFonts w:eastAsia="Times New Roman"/>
        </w:rPr>
      </w:pPr>
    </w:p>
    <w:p w14:paraId="361AD9F7" w14:textId="77777777" w:rsidR="00000000" w:rsidRDefault="000C49AD">
      <w:pPr>
        <w:jc w:val="both"/>
        <w:rPr>
          <w:rFonts w:eastAsia="Times New Roman"/>
        </w:rPr>
      </w:pPr>
      <w:r>
        <w:rPr>
          <w:rFonts w:eastAsia="Times New Roman"/>
          <w:b/>
          <w:bCs/>
          <w:i/>
          <w:iCs/>
          <w:color w:val="000000"/>
          <w:sz w:val="20"/>
          <w:szCs w:val="20"/>
        </w:rPr>
        <w:t>505(b)(2) New Drug Applications</w:t>
      </w:r>
    </w:p>
    <w:p w14:paraId="3F28B87D" w14:textId="77777777" w:rsidR="00000000" w:rsidRDefault="000C49AD">
      <w:pPr>
        <w:jc w:val="both"/>
        <w:rPr>
          <w:rFonts w:eastAsia="Times New Roman"/>
        </w:rPr>
      </w:pPr>
    </w:p>
    <w:p w14:paraId="183A727F" w14:textId="77777777" w:rsidR="00000000" w:rsidRDefault="000C49AD">
      <w:pPr>
        <w:jc w:val="both"/>
        <w:rPr>
          <w:rFonts w:eastAsia="Times New Roman"/>
        </w:rPr>
      </w:pPr>
      <w:r>
        <w:rPr>
          <w:rFonts w:eastAsia="Times New Roman"/>
          <w:color w:val="000000"/>
          <w:sz w:val="20"/>
          <w:szCs w:val="20"/>
        </w:rPr>
        <w:t>As an alternative path to FDA appr</w:t>
      </w:r>
      <w:r>
        <w:rPr>
          <w:rFonts w:eastAsia="Times New Roman"/>
          <w:color w:val="000000"/>
          <w:sz w:val="20"/>
          <w:szCs w:val="20"/>
        </w:rPr>
        <w:t>oval for modifications to formulations or uses of products previously approved by the FDA pursuant to an NDA, an applicant may submit an NDA under Section 505(b)(2) of the FDCA. Section 505(b)(2) was enacted as part of the Hatch-Waxman Amendments and permi</w:t>
      </w:r>
      <w:r>
        <w:rPr>
          <w:rFonts w:eastAsia="Times New Roman"/>
          <w:color w:val="000000"/>
          <w:sz w:val="20"/>
          <w:szCs w:val="20"/>
        </w:rPr>
        <w:t xml:space="preserve">ts the filing of an NDA where at least some of the information required for approval comes from studies not conducted by, or for, the applicant, and for which the applicant has not obtained a right of reference. In addition, if the 505(b)(2) applicant can </w:t>
      </w:r>
      <w:r>
        <w:rPr>
          <w:rFonts w:eastAsia="Times New Roman"/>
          <w:color w:val="000000"/>
          <w:sz w:val="20"/>
          <w:szCs w:val="20"/>
        </w:rPr>
        <w:t>establish that reliance on the FDA’s previous findings of safety and effectiveness is scientifically and legally appropriate, it may eliminate the need to conduct certain preclinical studies or clinical trials of the new product. The FDA may also require c</w:t>
      </w:r>
      <w:r>
        <w:rPr>
          <w:rFonts w:eastAsia="Times New Roman"/>
          <w:color w:val="000000"/>
          <w:sz w:val="20"/>
          <w:szCs w:val="20"/>
        </w:rPr>
        <w:t>ompanies to perform additional bridging studies or measurements, including clinical trials, to support the change from the previously approved reference drug. The FDA may then approve the new drug candidate for all, or some, of the label indications for wh</w:t>
      </w:r>
      <w:r>
        <w:rPr>
          <w:rFonts w:eastAsia="Times New Roman"/>
          <w:color w:val="000000"/>
          <w:sz w:val="20"/>
          <w:szCs w:val="20"/>
        </w:rPr>
        <w:t xml:space="preserve">ich the reference drug has been approved, as well as for any new indication sought by the 505(b)(2) applicant. </w:t>
      </w:r>
    </w:p>
    <w:p w14:paraId="154738DF" w14:textId="77777777" w:rsidR="00000000" w:rsidRDefault="000C49AD">
      <w:pPr>
        <w:jc w:val="both"/>
        <w:rPr>
          <w:rFonts w:eastAsia="Times New Roman"/>
        </w:rPr>
      </w:pPr>
    </w:p>
    <w:p w14:paraId="685D8878" w14:textId="77777777" w:rsidR="00000000" w:rsidRDefault="000C49AD">
      <w:pPr>
        <w:jc w:val="center"/>
        <w:divId w:val="1195538554"/>
        <w:rPr>
          <w:rFonts w:eastAsia="Times New Roman"/>
        </w:rPr>
      </w:pPr>
      <w:r>
        <w:rPr>
          <w:rFonts w:eastAsia="Times New Roman"/>
          <w:color w:val="000000"/>
          <w:sz w:val="20"/>
          <w:szCs w:val="20"/>
        </w:rPr>
        <w:t>-14-</w:t>
      </w:r>
    </w:p>
    <w:p w14:paraId="67494C0B" w14:textId="77777777" w:rsidR="00000000" w:rsidRDefault="000C49AD">
      <w:pPr>
        <w:rPr>
          <w:rFonts w:eastAsia="Times New Roman"/>
        </w:rPr>
      </w:pPr>
      <w:r>
        <w:rPr>
          <w:rFonts w:eastAsia="Times New Roman"/>
        </w:rPr>
        <w:pict w14:anchorId="38445B8D">
          <v:rect id="_x0000_i1038" style="width:0;height:1.5pt" o:hralign="center" o:hrstd="t" o:hr="t" fillcolor="#a0a0a0" stroked="f"/>
        </w:pict>
      </w:r>
    </w:p>
    <w:p w14:paraId="01F723C8" w14:textId="77777777" w:rsidR="00000000" w:rsidRDefault="000C49AD">
      <w:pPr>
        <w:divId w:val="898512044"/>
        <w:rPr>
          <w:rFonts w:eastAsia="Times New Roman"/>
        </w:rPr>
      </w:pPr>
    </w:p>
    <w:p w14:paraId="012464B6" w14:textId="77777777" w:rsidR="00000000" w:rsidRDefault="000C49AD">
      <w:pPr>
        <w:jc w:val="both"/>
        <w:rPr>
          <w:rFonts w:eastAsia="Times New Roman"/>
        </w:rPr>
      </w:pPr>
      <w:r>
        <w:rPr>
          <w:rFonts w:eastAsia="Times New Roman"/>
          <w:b/>
          <w:bCs/>
          <w:i/>
          <w:iCs/>
          <w:color w:val="000000"/>
          <w:sz w:val="20"/>
          <w:szCs w:val="20"/>
        </w:rPr>
        <w:t>Post-Marketing Requirements</w:t>
      </w:r>
    </w:p>
    <w:p w14:paraId="6C383E4F" w14:textId="77777777" w:rsidR="00000000" w:rsidRDefault="000C49AD">
      <w:pPr>
        <w:jc w:val="both"/>
        <w:rPr>
          <w:rFonts w:eastAsia="Times New Roman"/>
        </w:rPr>
      </w:pPr>
    </w:p>
    <w:p w14:paraId="44BB4345" w14:textId="77777777" w:rsidR="00000000" w:rsidRDefault="000C49AD">
      <w:pPr>
        <w:jc w:val="both"/>
        <w:rPr>
          <w:rFonts w:eastAsia="Times New Roman"/>
        </w:rPr>
      </w:pPr>
      <w:r>
        <w:rPr>
          <w:rFonts w:eastAsia="Times New Roman"/>
          <w:color w:val="000000"/>
          <w:sz w:val="20"/>
          <w:szCs w:val="20"/>
        </w:rPr>
        <w:t>Following approval of a new drug, a pharmaceutical company and the a</w:t>
      </w:r>
      <w:r>
        <w:rPr>
          <w:rFonts w:eastAsia="Times New Roman"/>
          <w:color w:val="000000"/>
          <w:sz w:val="20"/>
          <w:szCs w:val="20"/>
        </w:rPr>
        <w:t>pproved drug are subject to continuing regulation by the FDA, including, among other things, establishment registration and drug listing, monitoring and recordkeeping activities, reporting to the applicable regulatory authorities of adverse experiences wit</w:t>
      </w:r>
      <w:r>
        <w:rPr>
          <w:rFonts w:eastAsia="Times New Roman"/>
          <w:color w:val="000000"/>
          <w:sz w:val="20"/>
          <w:szCs w:val="20"/>
        </w:rPr>
        <w:t>h the drug, providing the regulatory authorities with updated safety and efficacy information, drug sampling and distribution requirements, and complying with promotion and advertising requirements, which include, among others, standards for direct-to-cons</w:t>
      </w:r>
      <w:r>
        <w:rPr>
          <w:rFonts w:eastAsia="Times New Roman"/>
          <w:color w:val="000000"/>
          <w:sz w:val="20"/>
          <w:szCs w:val="20"/>
        </w:rPr>
        <w:t>umer advertising, restrictions on promoting drugs for uses or in patient populations that are not described in the drug's approved labeling (known as off-label promotion), limitations on industry-sponsored scientific and educational activities, and require</w:t>
      </w:r>
      <w:r>
        <w:rPr>
          <w:rFonts w:eastAsia="Times New Roman"/>
          <w:color w:val="000000"/>
          <w:sz w:val="20"/>
          <w:szCs w:val="20"/>
        </w:rPr>
        <w:t>ments for promotional activities involving the internet. Although physicians may prescribe legally available drugs for off-label uses, the FDA takes the position that manufacturers may not market or promote such off-label uses. Modifications or enhancement</w:t>
      </w:r>
      <w:r>
        <w:rPr>
          <w:rFonts w:eastAsia="Times New Roman"/>
          <w:color w:val="000000"/>
          <w:sz w:val="20"/>
          <w:szCs w:val="20"/>
        </w:rPr>
        <w:t>s to the drug or its labeling or changes of the site or process of manufacture are often subject to the approval of the FDA and other regulators, which may or may not be received or may result in a lengthy review process.</w:t>
      </w:r>
    </w:p>
    <w:p w14:paraId="5F108E59" w14:textId="77777777" w:rsidR="00000000" w:rsidRDefault="000C49AD">
      <w:pPr>
        <w:jc w:val="both"/>
        <w:rPr>
          <w:rFonts w:eastAsia="Times New Roman"/>
        </w:rPr>
      </w:pPr>
    </w:p>
    <w:p w14:paraId="1931D5D5" w14:textId="77777777" w:rsidR="00000000" w:rsidRDefault="000C49AD">
      <w:pPr>
        <w:jc w:val="both"/>
        <w:rPr>
          <w:rFonts w:eastAsia="Times New Roman"/>
        </w:rPr>
      </w:pPr>
      <w:r>
        <w:rPr>
          <w:rFonts w:eastAsia="Times New Roman"/>
          <w:color w:val="000000"/>
          <w:sz w:val="20"/>
          <w:szCs w:val="20"/>
        </w:rPr>
        <w:t>Prescription drug advertising is</w:t>
      </w:r>
      <w:r>
        <w:rPr>
          <w:rFonts w:eastAsia="Times New Roman"/>
          <w:color w:val="000000"/>
          <w:sz w:val="20"/>
          <w:szCs w:val="20"/>
        </w:rPr>
        <w:t xml:space="preserve"> subject to federal, state, and foreign regulations. In the U.S., the FDA regulates prescription drug promotion, including direct-to-consumer advertising. Prescription drug promotional materials must be submitted to the FDA in conjunction with their first </w:t>
      </w:r>
      <w:r>
        <w:rPr>
          <w:rFonts w:eastAsia="Times New Roman"/>
          <w:color w:val="000000"/>
          <w:sz w:val="20"/>
          <w:szCs w:val="20"/>
        </w:rPr>
        <w:t>use. Any distribution of prescription drugs and pharmaceutical samples must comply with the U.S. Prescription Drug Marketing Act, a part of the FDCA. The Drug Supply Chain Security Act (“DSCSA”) was enacted in 2013 with the aim of building an electronic sy</w:t>
      </w:r>
      <w:r>
        <w:rPr>
          <w:rFonts w:eastAsia="Times New Roman"/>
          <w:color w:val="000000"/>
          <w:sz w:val="20"/>
          <w:szCs w:val="20"/>
        </w:rPr>
        <w:t>stem to identify and trace certain prescription drugs distributed in the U.S. The DSCSA mandates phased-in and resource-intensive obligations for pharmaceutical manufacturers, wholesale distributors, and dispensers over a 10-year period that is expected to</w:t>
      </w:r>
      <w:r>
        <w:rPr>
          <w:rFonts w:eastAsia="Times New Roman"/>
          <w:color w:val="000000"/>
          <w:sz w:val="20"/>
          <w:szCs w:val="20"/>
        </w:rPr>
        <w:t xml:space="preserve"> culminate in November 2023. The law’s requirements include the quarantine and prompt investigation of a suspect product to determine if it is illegitimate, and notifying trading partners and the FDA of any illegitimate product. Drug manufacturers and othe</w:t>
      </w:r>
      <w:r>
        <w:rPr>
          <w:rFonts w:eastAsia="Times New Roman"/>
          <w:color w:val="000000"/>
          <w:sz w:val="20"/>
          <w:szCs w:val="20"/>
        </w:rPr>
        <w:t>r parties involved in the supply chain for prescription drug products must also comply with product tracking and tracking requirements, such as placing a unique product identifier on prescription drug packages. This identifier consists of the National Drug</w:t>
      </w:r>
      <w:r>
        <w:rPr>
          <w:rFonts w:eastAsia="Times New Roman"/>
          <w:color w:val="000000"/>
          <w:sz w:val="20"/>
          <w:szCs w:val="20"/>
        </w:rPr>
        <w:t xml:space="preserve"> Code, serial number, lot number, and expiration date, in the form of a 2-dimensional data matrix barcode that can be read by humans and machines.</w:t>
      </w:r>
    </w:p>
    <w:p w14:paraId="27E51CA1" w14:textId="77777777" w:rsidR="00000000" w:rsidRDefault="000C49AD">
      <w:pPr>
        <w:divId w:val="604464119"/>
        <w:rPr>
          <w:rFonts w:eastAsia="Times New Roman"/>
        </w:rPr>
      </w:pPr>
    </w:p>
    <w:p w14:paraId="1B881492" w14:textId="77777777" w:rsidR="00000000" w:rsidRDefault="000C49AD">
      <w:pPr>
        <w:jc w:val="both"/>
        <w:rPr>
          <w:rFonts w:eastAsia="Times New Roman"/>
        </w:rPr>
      </w:pPr>
      <w:r>
        <w:rPr>
          <w:rFonts w:eastAsia="Times New Roman"/>
          <w:color w:val="000000"/>
          <w:sz w:val="20"/>
          <w:szCs w:val="20"/>
        </w:rPr>
        <w:t>In the U.S., once a drug is approved, its manufacture is subject to comprehensive and continuing regulation</w:t>
      </w:r>
      <w:r>
        <w:rPr>
          <w:rFonts w:eastAsia="Times New Roman"/>
          <w:color w:val="000000"/>
          <w:sz w:val="20"/>
          <w:szCs w:val="20"/>
        </w:rPr>
        <w:t xml:space="preserve"> by the FDA. FDA regulations require that drugs be manufactured in specific facilities per the NDA approval and in accordance with cGMP. We rely, and expect to continue to rely, on third parties for the production of clinical and commercial quantities of o</w:t>
      </w:r>
      <w:r>
        <w:rPr>
          <w:rFonts w:eastAsia="Times New Roman"/>
          <w:color w:val="000000"/>
          <w:sz w:val="20"/>
          <w:szCs w:val="20"/>
        </w:rPr>
        <w:t>ur approved drug and drug candidates in accordance with cGMP regulations. cGMP regulations require among other things, quality control and quality assurance as well as the corresponding maintenance of records and documentation and the obligation to investi</w:t>
      </w:r>
      <w:r>
        <w:rPr>
          <w:rFonts w:eastAsia="Times New Roman"/>
          <w:color w:val="000000"/>
          <w:sz w:val="20"/>
          <w:szCs w:val="20"/>
        </w:rPr>
        <w:t>gate and correct any deviations from cGMP. Drug manufacturers and other entities involved in the manufacture and distribution of approved drugs are required to register their establishments with the FDA and certain state agencies and are subject to periodi</w:t>
      </w:r>
      <w:r>
        <w:rPr>
          <w:rFonts w:eastAsia="Times New Roman"/>
          <w:color w:val="000000"/>
          <w:sz w:val="20"/>
          <w:szCs w:val="20"/>
        </w:rPr>
        <w:t>c unannounced inspections by the FDA and certain state agencies for compliance with cGMP and other laws. Accordingly, manufacturers must continue to expend time, money, and effort in the area of production and quality control to maintain cGMP compliance. T</w:t>
      </w:r>
      <w:r>
        <w:rPr>
          <w:rFonts w:eastAsia="Times New Roman"/>
          <w:color w:val="000000"/>
          <w:sz w:val="20"/>
          <w:szCs w:val="20"/>
        </w:rPr>
        <w:t>hese regulations also impose certain organizational, procedural, and documentation requirements with respect to manufacturing and quality assurance activities. NDA holders using contract manufacturers, laboratories, or packagers are responsible for the sel</w:t>
      </w:r>
      <w:r>
        <w:rPr>
          <w:rFonts w:eastAsia="Times New Roman"/>
          <w:color w:val="000000"/>
          <w:sz w:val="20"/>
          <w:szCs w:val="20"/>
        </w:rPr>
        <w:t>ection and monitoring of qualified firms, and, in certain circumstances, qualified suppliers to these firms. These firms and, where applicable, their suppliers are subject to inspections by the FDA at any time, and the discovery of violative conditions, in</w:t>
      </w:r>
      <w:r>
        <w:rPr>
          <w:rFonts w:eastAsia="Times New Roman"/>
          <w:color w:val="000000"/>
          <w:sz w:val="20"/>
          <w:szCs w:val="20"/>
        </w:rPr>
        <w:t xml:space="preserve">cluding failure to conform to cGMP, could result in enforcement actions that interrupt the operation of any such facilities or the ability to distribute drugs manufactured, processed, or tested by them. </w:t>
      </w:r>
    </w:p>
    <w:p w14:paraId="4E89F4D6" w14:textId="77777777" w:rsidR="00000000" w:rsidRDefault="000C49AD">
      <w:pPr>
        <w:divId w:val="641228571"/>
        <w:rPr>
          <w:rFonts w:eastAsia="Times New Roman"/>
        </w:rPr>
      </w:pPr>
    </w:p>
    <w:p w14:paraId="1D82A0BE" w14:textId="77777777" w:rsidR="00000000" w:rsidRDefault="000C49AD">
      <w:pPr>
        <w:jc w:val="both"/>
        <w:rPr>
          <w:rFonts w:eastAsia="Times New Roman"/>
        </w:rPr>
      </w:pPr>
      <w:r>
        <w:rPr>
          <w:rFonts w:eastAsia="Times New Roman"/>
          <w:color w:val="000000"/>
          <w:sz w:val="20"/>
          <w:szCs w:val="20"/>
        </w:rPr>
        <w:t>The FDA also may require post-approval testing, so</w:t>
      </w:r>
      <w:r>
        <w:rPr>
          <w:rFonts w:eastAsia="Times New Roman"/>
          <w:color w:val="000000"/>
          <w:sz w:val="20"/>
          <w:szCs w:val="20"/>
        </w:rPr>
        <w:t xml:space="preserve">metimes referred to as Phase 4 testing, risk minimization action plans, and post-marketing surveillance to monitor the effects of an approved drug or place conditions on an approval that could restrict the distribution or use of the drug. </w:t>
      </w:r>
    </w:p>
    <w:p w14:paraId="375D5B30" w14:textId="77777777" w:rsidR="00000000" w:rsidRDefault="000C49AD">
      <w:pPr>
        <w:divId w:val="832723228"/>
        <w:rPr>
          <w:rFonts w:eastAsia="Times New Roman"/>
        </w:rPr>
      </w:pPr>
    </w:p>
    <w:p w14:paraId="138002D4" w14:textId="77777777" w:rsidR="00000000" w:rsidRDefault="000C49AD">
      <w:pPr>
        <w:jc w:val="both"/>
        <w:rPr>
          <w:rFonts w:eastAsia="Times New Roman"/>
        </w:rPr>
      </w:pPr>
      <w:r>
        <w:rPr>
          <w:rFonts w:eastAsia="Times New Roman"/>
          <w:color w:val="000000"/>
          <w:sz w:val="20"/>
          <w:szCs w:val="20"/>
        </w:rPr>
        <w:t>The FDA may is</w:t>
      </w:r>
      <w:r>
        <w:rPr>
          <w:rFonts w:eastAsia="Times New Roman"/>
          <w:color w:val="000000"/>
          <w:sz w:val="20"/>
          <w:szCs w:val="20"/>
        </w:rPr>
        <w:t>sue enforcement letters or withdraw the approval of the product if compliance with regulatory requirements and standards is not maintained or if problems occur after the drug or biologic reaches the market. Corrective action could delay drug or biologic di</w:t>
      </w:r>
      <w:r>
        <w:rPr>
          <w:rFonts w:eastAsia="Times New Roman"/>
          <w:color w:val="000000"/>
          <w:sz w:val="20"/>
          <w:szCs w:val="20"/>
        </w:rPr>
        <w:t>stribution and require significant time and financial expenditures. Later discovery of previously unknown problems with a drug or biologic, including AEs of unanticipated severity or frequency, or with manufacturing processes, or failure to comply with reg</w:t>
      </w:r>
      <w:r>
        <w:rPr>
          <w:rFonts w:eastAsia="Times New Roman"/>
          <w:color w:val="000000"/>
          <w:sz w:val="20"/>
          <w:szCs w:val="20"/>
        </w:rPr>
        <w:t xml:space="preserve">ulatory requirements, may require revisions to the approved labeling to add new safety information, including the addition of new warning and contraindications; imposition of post-market studies or clinical trials to assess new safety risks; or imposition </w:t>
      </w:r>
      <w:r>
        <w:rPr>
          <w:rFonts w:eastAsia="Times New Roman"/>
          <w:color w:val="000000"/>
          <w:sz w:val="20"/>
          <w:szCs w:val="20"/>
        </w:rPr>
        <w:t>of distribution or other restrictions under a REMS program. Other potential consequences include, among other things:</w:t>
      </w:r>
    </w:p>
    <w:p w14:paraId="30F92FF2" w14:textId="77777777" w:rsidR="00000000" w:rsidRDefault="000C49AD">
      <w:pPr>
        <w:jc w:val="both"/>
        <w:rPr>
          <w:rFonts w:eastAsia="Times New Roman"/>
        </w:rPr>
      </w:pPr>
    </w:p>
    <w:p w14:paraId="62B121D7" w14:textId="77777777" w:rsidR="00000000" w:rsidRDefault="000C49AD">
      <w:pPr>
        <w:ind w:hanging="360"/>
        <w:jc w:val="both"/>
        <w:rPr>
          <w:rFonts w:eastAsia="Times New Roman"/>
        </w:rPr>
      </w:pPr>
      <w:r>
        <w:rPr>
          <w:rFonts w:eastAsia="Times New Roman"/>
          <w:color w:val="000000"/>
          <w:sz w:val="20"/>
          <w:szCs w:val="20"/>
        </w:rPr>
        <w:t>•mandated corrective advertising or communications with doctors;</w:t>
      </w:r>
    </w:p>
    <w:p w14:paraId="406C2785" w14:textId="77777777" w:rsidR="00000000" w:rsidRDefault="000C49AD">
      <w:pPr>
        <w:jc w:val="both"/>
        <w:rPr>
          <w:rFonts w:eastAsia="Times New Roman"/>
        </w:rPr>
      </w:pPr>
    </w:p>
    <w:p w14:paraId="1035012C" w14:textId="77777777" w:rsidR="00000000" w:rsidRDefault="000C49AD">
      <w:pPr>
        <w:jc w:val="center"/>
        <w:divId w:val="643782478"/>
        <w:rPr>
          <w:rFonts w:eastAsia="Times New Roman"/>
        </w:rPr>
      </w:pPr>
      <w:r>
        <w:rPr>
          <w:rFonts w:eastAsia="Times New Roman"/>
          <w:color w:val="000000"/>
          <w:sz w:val="20"/>
          <w:szCs w:val="20"/>
        </w:rPr>
        <w:t>-15-</w:t>
      </w:r>
    </w:p>
    <w:p w14:paraId="5C7A9F05" w14:textId="77777777" w:rsidR="00000000" w:rsidRDefault="000C49AD">
      <w:pPr>
        <w:rPr>
          <w:rFonts w:eastAsia="Times New Roman"/>
        </w:rPr>
      </w:pPr>
      <w:r>
        <w:rPr>
          <w:rFonts w:eastAsia="Times New Roman"/>
        </w:rPr>
        <w:pict w14:anchorId="317909EA">
          <v:rect id="_x0000_i1039" style="width:0;height:1.5pt" o:hralign="center" o:hrstd="t" o:hr="t" fillcolor="#a0a0a0" stroked="f"/>
        </w:pict>
      </w:r>
    </w:p>
    <w:p w14:paraId="673358D5" w14:textId="77777777" w:rsidR="00000000" w:rsidRDefault="000C49AD">
      <w:pPr>
        <w:divId w:val="10383083"/>
        <w:rPr>
          <w:rFonts w:eastAsia="Times New Roman"/>
        </w:rPr>
      </w:pPr>
    </w:p>
    <w:p w14:paraId="37E3D14D" w14:textId="77777777" w:rsidR="00000000" w:rsidRDefault="000C49AD">
      <w:pPr>
        <w:ind w:hanging="360"/>
        <w:jc w:val="both"/>
        <w:rPr>
          <w:rFonts w:eastAsia="Times New Roman"/>
        </w:rPr>
      </w:pPr>
      <w:r>
        <w:rPr>
          <w:rFonts w:eastAsia="Times New Roman"/>
          <w:color w:val="000000"/>
          <w:sz w:val="20"/>
          <w:szCs w:val="20"/>
        </w:rPr>
        <w:t>•restrictions on the marketing or manufacturing of the drug or biologic, suspension of the approval, complete withdrawal of the drug from the market or product recalls;</w:t>
      </w:r>
    </w:p>
    <w:p w14:paraId="39E13C5B" w14:textId="77777777" w:rsidR="00000000" w:rsidRDefault="000C49AD">
      <w:pPr>
        <w:jc w:val="both"/>
        <w:rPr>
          <w:rFonts w:eastAsia="Times New Roman"/>
        </w:rPr>
      </w:pPr>
    </w:p>
    <w:p w14:paraId="10D5508B" w14:textId="77777777" w:rsidR="00000000" w:rsidRDefault="000C49AD">
      <w:pPr>
        <w:ind w:hanging="360"/>
        <w:jc w:val="both"/>
        <w:rPr>
          <w:rFonts w:eastAsia="Times New Roman"/>
        </w:rPr>
      </w:pPr>
      <w:r>
        <w:rPr>
          <w:rFonts w:eastAsia="Times New Roman"/>
          <w:color w:val="000000"/>
          <w:sz w:val="20"/>
          <w:szCs w:val="20"/>
        </w:rPr>
        <w:t>•fines, warning letters or holds on post-approv</w:t>
      </w:r>
      <w:r>
        <w:rPr>
          <w:rFonts w:eastAsia="Times New Roman"/>
          <w:color w:val="000000"/>
          <w:sz w:val="20"/>
          <w:szCs w:val="20"/>
        </w:rPr>
        <w:t>al clinical trials;</w:t>
      </w:r>
    </w:p>
    <w:p w14:paraId="627FA409" w14:textId="77777777" w:rsidR="00000000" w:rsidRDefault="000C49AD">
      <w:pPr>
        <w:jc w:val="both"/>
        <w:rPr>
          <w:rFonts w:eastAsia="Times New Roman"/>
        </w:rPr>
      </w:pPr>
    </w:p>
    <w:p w14:paraId="55C4C84E" w14:textId="77777777" w:rsidR="00000000" w:rsidRDefault="000C49AD">
      <w:pPr>
        <w:ind w:hanging="360"/>
        <w:jc w:val="both"/>
        <w:rPr>
          <w:rFonts w:eastAsia="Times New Roman"/>
        </w:rPr>
      </w:pPr>
      <w:r>
        <w:rPr>
          <w:rFonts w:eastAsia="Times New Roman"/>
          <w:color w:val="000000"/>
          <w:sz w:val="20"/>
          <w:szCs w:val="20"/>
        </w:rPr>
        <w:t>•refusal of the FDA to approve applications or supplements to approved applications, or suspension or revocation of drug or biologic approvals;</w:t>
      </w:r>
    </w:p>
    <w:p w14:paraId="79454CC5" w14:textId="77777777" w:rsidR="00000000" w:rsidRDefault="000C49AD">
      <w:pPr>
        <w:jc w:val="both"/>
        <w:rPr>
          <w:rFonts w:eastAsia="Times New Roman"/>
        </w:rPr>
      </w:pPr>
    </w:p>
    <w:p w14:paraId="729F2C1B" w14:textId="77777777" w:rsidR="00000000" w:rsidRDefault="000C49AD">
      <w:pPr>
        <w:ind w:hanging="360"/>
        <w:jc w:val="both"/>
        <w:rPr>
          <w:rFonts w:eastAsia="Times New Roman"/>
        </w:rPr>
      </w:pPr>
      <w:r>
        <w:rPr>
          <w:rFonts w:eastAsia="Times New Roman"/>
          <w:color w:val="000000"/>
          <w:sz w:val="20"/>
          <w:szCs w:val="20"/>
        </w:rPr>
        <w:t>•drug or biologic seizure or detention, or refusal to permit the import or export of dru</w:t>
      </w:r>
      <w:r>
        <w:rPr>
          <w:rFonts w:eastAsia="Times New Roman"/>
          <w:color w:val="000000"/>
          <w:sz w:val="20"/>
          <w:szCs w:val="20"/>
        </w:rPr>
        <w:t>gs; or</w:t>
      </w:r>
    </w:p>
    <w:p w14:paraId="5F6C0277" w14:textId="77777777" w:rsidR="00000000" w:rsidRDefault="000C49AD">
      <w:pPr>
        <w:jc w:val="both"/>
        <w:rPr>
          <w:rFonts w:eastAsia="Times New Roman"/>
        </w:rPr>
      </w:pPr>
    </w:p>
    <w:p w14:paraId="4DA77668" w14:textId="77777777" w:rsidR="00000000" w:rsidRDefault="000C49AD">
      <w:pPr>
        <w:ind w:hanging="360"/>
        <w:jc w:val="both"/>
        <w:rPr>
          <w:rFonts w:eastAsia="Times New Roman"/>
        </w:rPr>
      </w:pPr>
      <w:r>
        <w:rPr>
          <w:rFonts w:eastAsia="Times New Roman"/>
          <w:color w:val="000000"/>
          <w:sz w:val="20"/>
          <w:szCs w:val="20"/>
        </w:rPr>
        <w:t>•injunctions or the imposition of civil or criminal penalties.</w:t>
      </w:r>
    </w:p>
    <w:p w14:paraId="2C765231" w14:textId="77777777" w:rsidR="00000000" w:rsidRDefault="000C49AD">
      <w:pPr>
        <w:jc w:val="both"/>
        <w:rPr>
          <w:rFonts w:eastAsia="Times New Roman"/>
        </w:rPr>
      </w:pPr>
    </w:p>
    <w:p w14:paraId="523BF68B" w14:textId="77777777" w:rsidR="00000000" w:rsidRDefault="000C49AD">
      <w:pPr>
        <w:jc w:val="both"/>
        <w:rPr>
          <w:rFonts w:eastAsia="Times New Roman"/>
        </w:rPr>
      </w:pPr>
      <w:r>
        <w:rPr>
          <w:rFonts w:eastAsia="Times New Roman"/>
          <w:b/>
          <w:bCs/>
          <w:i/>
          <w:iCs/>
          <w:color w:val="000000"/>
          <w:sz w:val="20"/>
          <w:szCs w:val="20"/>
        </w:rPr>
        <w:t>U.S. Marketing Exclusivity</w:t>
      </w:r>
    </w:p>
    <w:p w14:paraId="616E1D0B" w14:textId="77777777" w:rsidR="00000000" w:rsidRDefault="000C49AD">
      <w:pPr>
        <w:jc w:val="both"/>
        <w:rPr>
          <w:rFonts w:eastAsia="Times New Roman"/>
        </w:rPr>
      </w:pPr>
    </w:p>
    <w:p w14:paraId="585D1413" w14:textId="77777777" w:rsidR="00000000" w:rsidRDefault="000C49AD">
      <w:pPr>
        <w:jc w:val="both"/>
        <w:rPr>
          <w:rFonts w:eastAsia="Times New Roman"/>
        </w:rPr>
      </w:pPr>
      <w:r>
        <w:rPr>
          <w:rFonts w:eastAsia="Times New Roman"/>
          <w:color w:val="000000"/>
          <w:sz w:val="20"/>
          <w:szCs w:val="20"/>
        </w:rPr>
        <w:t>Marketing exclusivity provisions under the FDCA can delay the submission or the approval of certain marketing applications for competing products. The FD</w:t>
      </w:r>
      <w:r>
        <w:rPr>
          <w:rFonts w:eastAsia="Times New Roman"/>
          <w:color w:val="000000"/>
          <w:sz w:val="20"/>
          <w:szCs w:val="20"/>
        </w:rPr>
        <w:t>CA provides a five-year period of non-patent marketing exclusivity within the U.S. to the first applicant to obtain approval of a NDA for a new chemical entity. A drug is a new chemical entity if the FDA has not previously approved any other new drug conta</w:t>
      </w:r>
      <w:r>
        <w:rPr>
          <w:rFonts w:eastAsia="Times New Roman"/>
          <w:color w:val="000000"/>
          <w:sz w:val="20"/>
          <w:szCs w:val="20"/>
        </w:rPr>
        <w:t>ining the same active moiety, which is the molecule or ion responsible for the action of the drug substance. During the exclusivity period, the FDA may not accept for review an abbreviated new drug application (“ANDA”) or a 505(b)(2) NDA submitted by anoth</w:t>
      </w:r>
      <w:r>
        <w:rPr>
          <w:rFonts w:eastAsia="Times New Roman"/>
          <w:color w:val="000000"/>
          <w:sz w:val="20"/>
          <w:szCs w:val="20"/>
        </w:rPr>
        <w:t>er company for another drug based on the same active moiety, regardless of whether the drug is intended for the same indication as the original innovator drug or for another indication. However, an application may be submitted after four years if it contai</w:t>
      </w:r>
      <w:r>
        <w:rPr>
          <w:rFonts w:eastAsia="Times New Roman"/>
          <w:color w:val="000000"/>
          <w:sz w:val="20"/>
          <w:szCs w:val="20"/>
        </w:rPr>
        <w:t>ns a certification of patent invalidity or non-infringement to one of the patents listed with the FDA by the innovator NDA holder. The FDCA also provides three years of marketing exclusivity for a NDA, or supplement to an existing NDA, if new clinical inve</w:t>
      </w:r>
      <w:r>
        <w:rPr>
          <w:rFonts w:eastAsia="Times New Roman"/>
          <w:color w:val="000000"/>
          <w:sz w:val="20"/>
          <w:szCs w:val="20"/>
        </w:rPr>
        <w:t>stigations, other than bioavailability studies, that were conducted or sponsored by the applicant are deemed by the FDA to be essential to the approval of the application, for example new indications, dosages, or strengths of an existing drug. This three-y</w:t>
      </w:r>
      <w:r>
        <w:rPr>
          <w:rFonts w:eastAsia="Times New Roman"/>
          <w:color w:val="000000"/>
          <w:sz w:val="20"/>
          <w:szCs w:val="20"/>
        </w:rPr>
        <w:t>ear exclusivity covers only the modification for which the drug received approval on the basis of the new clinical investigations and does not prohibit the FDA from approving ANDAs or 505(b)(2) applications for drugs containing the active agent for the ori</w:t>
      </w:r>
      <w:r>
        <w:rPr>
          <w:rFonts w:eastAsia="Times New Roman"/>
          <w:color w:val="000000"/>
          <w:sz w:val="20"/>
          <w:szCs w:val="20"/>
        </w:rPr>
        <w:t>ginal indication or condition of use. Five-year and three-year exclusivity will not delay the submission or approval of a full NDA. However, an applicant submitting a full NDA would be required to conduct or obtain a right of reference to all of the precli</w:t>
      </w:r>
      <w:r>
        <w:rPr>
          <w:rFonts w:eastAsia="Times New Roman"/>
          <w:color w:val="000000"/>
          <w:sz w:val="20"/>
          <w:szCs w:val="20"/>
        </w:rPr>
        <w:t xml:space="preserve">nical studies and adequate and well-controlled clinical trials necessary to demonstrate safety and effectiveness. </w:t>
      </w:r>
    </w:p>
    <w:p w14:paraId="05D7F805" w14:textId="77777777" w:rsidR="00000000" w:rsidRDefault="000C49AD">
      <w:pPr>
        <w:jc w:val="both"/>
        <w:rPr>
          <w:rFonts w:eastAsia="Times New Roman"/>
        </w:rPr>
      </w:pPr>
    </w:p>
    <w:p w14:paraId="4952867F" w14:textId="77777777" w:rsidR="00000000" w:rsidRDefault="000C49AD">
      <w:pPr>
        <w:jc w:val="both"/>
        <w:rPr>
          <w:rFonts w:eastAsia="Times New Roman"/>
        </w:rPr>
      </w:pPr>
      <w:r>
        <w:rPr>
          <w:rFonts w:eastAsia="Times New Roman"/>
          <w:b/>
          <w:bCs/>
          <w:i/>
          <w:iCs/>
          <w:color w:val="000000"/>
          <w:sz w:val="20"/>
          <w:szCs w:val="20"/>
        </w:rPr>
        <w:t>Other Regulatory Matters</w:t>
      </w:r>
    </w:p>
    <w:p w14:paraId="7DFE9631" w14:textId="77777777" w:rsidR="00000000" w:rsidRDefault="000C49AD">
      <w:pPr>
        <w:jc w:val="both"/>
        <w:rPr>
          <w:rFonts w:eastAsia="Times New Roman"/>
        </w:rPr>
      </w:pPr>
    </w:p>
    <w:p w14:paraId="2AD4D0C2" w14:textId="77777777" w:rsidR="00000000" w:rsidRDefault="000C49AD">
      <w:pPr>
        <w:jc w:val="both"/>
        <w:rPr>
          <w:rFonts w:eastAsia="Times New Roman"/>
        </w:rPr>
      </w:pPr>
      <w:r>
        <w:rPr>
          <w:rFonts w:eastAsia="Times New Roman"/>
          <w:color w:val="000000"/>
          <w:sz w:val="20"/>
          <w:szCs w:val="20"/>
        </w:rPr>
        <w:t xml:space="preserve">Manufacturing, sales, promotion, and other activities following drug approval are also subject to regulation by </w:t>
      </w:r>
      <w:r>
        <w:rPr>
          <w:rFonts w:eastAsia="Times New Roman"/>
          <w:color w:val="000000"/>
          <w:sz w:val="20"/>
          <w:szCs w:val="20"/>
        </w:rPr>
        <w:t>numerous regulatory authorities in addition to the FDA, including, in the U.S., the Centers for Medicare &amp; Medicaid Services (“CMS”), other divisions of the U.S. Department of Health and Human Services (“HHS”), the Drug Enforcement Administration for contr</w:t>
      </w:r>
      <w:r>
        <w:rPr>
          <w:rFonts w:eastAsia="Times New Roman"/>
          <w:color w:val="000000"/>
          <w:sz w:val="20"/>
          <w:szCs w:val="20"/>
        </w:rPr>
        <w:t>olled substances, the Consumer Product Safety Commission, the Federal Trade Commission, the Occupational Safety &amp; Health Administration, the Environmental Protection Agency, and state and local governments. In the U.S., sales, marketing, and scientific/edu</w:t>
      </w:r>
      <w:r>
        <w:rPr>
          <w:rFonts w:eastAsia="Times New Roman"/>
          <w:color w:val="000000"/>
          <w:sz w:val="20"/>
          <w:szCs w:val="20"/>
        </w:rPr>
        <w:t xml:space="preserve">cational programs must also comply with state and federal fraud and abuse laws. Pricing and rebate programs must comply with the Medicaid rebate requirements of the U.S. Omnibus Budget Reconciliation Act of 1990 and more recent requirements in the Patient </w:t>
      </w:r>
      <w:r>
        <w:rPr>
          <w:rFonts w:eastAsia="Times New Roman"/>
          <w:color w:val="000000"/>
          <w:sz w:val="20"/>
          <w:szCs w:val="20"/>
        </w:rPr>
        <w:t>Protection and Affordable Care Act as amended by the Health Care and Education Reconciliation Act of 2010 (or collectively, the ACA). If drugs are made available to authorized users of the Federal Supply Schedule of the General Services Administration, add</w:t>
      </w:r>
      <w:r>
        <w:rPr>
          <w:rFonts w:eastAsia="Times New Roman"/>
          <w:color w:val="000000"/>
          <w:sz w:val="20"/>
          <w:szCs w:val="20"/>
        </w:rPr>
        <w:t xml:space="preserve">itional laws and requirements apply. The handling of any controlled substances must comply with the U.S. Controlled Substances Act and Controlled Substances Import and Export Act. Drugs must meet applicable child-resistant packaging requirements under the </w:t>
      </w:r>
      <w:r>
        <w:rPr>
          <w:rFonts w:eastAsia="Times New Roman"/>
          <w:color w:val="000000"/>
          <w:sz w:val="20"/>
          <w:szCs w:val="20"/>
        </w:rPr>
        <w:t>U.S. Poison Prevention Packaging Act. Manufacturing, sales, promotion, and other activities are also potentially subject to federal and state consumer protection and unfair competition laws.</w:t>
      </w:r>
    </w:p>
    <w:p w14:paraId="41597F2A" w14:textId="77777777" w:rsidR="00000000" w:rsidRDefault="000C49AD">
      <w:pPr>
        <w:jc w:val="both"/>
        <w:rPr>
          <w:rFonts w:eastAsia="Times New Roman"/>
        </w:rPr>
      </w:pPr>
    </w:p>
    <w:p w14:paraId="21703C2F" w14:textId="77777777" w:rsidR="00000000" w:rsidRDefault="000C49AD">
      <w:pPr>
        <w:jc w:val="both"/>
        <w:rPr>
          <w:rFonts w:eastAsia="Times New Roman"/>
        </w:rPr>
      </w:pPr>
      <w:r>
        <w:rPr>
          <w:rFonts w:eastAsia="Times New Roman"/>
          <w:color w:val="000000"/>
          <w:sz w:val="20"/>
          <w:szCs w:val="20"/>
        </w:rPr>
        <w:t>We are subject to numerous foreign, federal, state, and local e</w:t>
      </w:r>
      <w:r>
        <w:rPr>
          <w:rFonts w:eastAsia="Times New Roman"/>
          <w:color w:val="000000"/>
          <w:sz w:val="20"/>
          <w:szCs w:val="20"/>
        </w:rPr>
        <w:t>nvironmental, health, and safety laws and regulations, including those governing laboratory procedures and the handling, use, storage, treatment, and disposal of hazardous materials and wastes. In addition, our leasing and operation of real property may su</w:t>
      </w:r>
      <w:r>
        <w:rPr>
          <w:rFonts w:eastAsia="Times New Roman"/>
          <w:color w:val="000000"/>
          <w:sz w:val="20"/>
          <w:szCs w:val="20"/>
        </w:rPr>
        <w:t>bject us to liability pursuant to certain U.S. environmental laws and regulations, under which current or previous owners or operators of real property and entities that disposed or arranged for the disposal of hazardous substances may be held strictly, jo</w:t>
      </w:r>
      <w:r>
        <w:rPr>
          <w:rFonts w:eastAsia="Times New Roman"/>
          <w:color w:val="000000"/>
          <w:sz w:val="20"/>
          <w:szCs w:val="20"/>
        </w:rPr>
        <w:t>intly, and severally liable for the cost of investigating or remediating contamination caused by hazardous substance releases, even if they did not know of and were not responsible for the releases.</w:t>
      </w:r>
    </w:p>
    <w:p w14:paraId="69C1AD51" w14:textId="77777777" w:rsidR="00000000" w:rsidRDefault="000C49AD">
      <w:pPr>
        <w:jc w:val="both"/>
        <w:rPr>
          <w:rFonts w:eastAsia="Times New Roman"/>
        </w:rPr>
      </w:pPr>
    </w:p>
    <w:p w14:paraId="4622D8E3" w14:textId="77777777" w:rsidR="00000000" w:rsidRDefault="000C49AD">
      <w:pPr>
        <w:jc w:val="both"/>
        <w:rPr>
          <w:rFonts w:eastAsia="Times New Roman"/>
        </w:rPr>
      </w:pPr>
      <w:r>
        <w:rPr>
          <w:rFonts w:eastAsia="Times New Roman"/>
          <w:color w:val="000000"/>
          <w:sz w:val="20"/>
          <w:szCs w:val="20"/>
        </w:rPr>
        <w:t xml:space="preserve">The distribution of pharmaceutical drugs is subject to </w:t>
      </w:r>
      <w:r>
        <w:rPr>
          <w:rFonts w:eastAsia="Times New Roman"/>
          <w:color w:val="000000"/>
          <w:sz w:val="20"/>
          <w:szCs w:val="20"/>
        </w:rPr>
        <w:t>additional requirements and regulations, including extensive record-keeping, licensing, storage, and security requirements intended to prevent the unauthorized sale of pharmaceutical drugs.</w:t>
      </w:r>
    </w:p>
    <w:p w14:paraId="41E75BD9" w14:textId="77777777" w:rsidR="00000000" w:rsidRDefault="000C49AD">
      <w:pPr>
        <w:jc w:val="both"/>
        <w:rPr>
          <w:rFonts w:eastAsia="Times New Roman"/>
        </w:rPr>
      </w:pPr>
    </w:p>
    <w:p w14:paraId="63BB7670" w14:textId="77777777" w:rsidR="00000000" w:rsidRDefault="000C49AD">
      <w:pPr>
        <w:jc w:val="center"/>
        <w:divId w:val="1713923075"/>
        <w:rPr>
          <w:rFonts w:eastAsia="Times New Roman"/>
        </w:rPr>
      </w:pPr>
      <w:r>
        <w:rPr>
          <w:rFonts w:eastAsia="Times New Roman"/>
          <w:color w:val="000000"/>
          <w:sz w:val="20"/>
          <w:szCs w:val="20"/>
        </w:rPr>
        <w:t>-16-</w:t>
      </w:r>
    </w:p>
    <w:p w14:paraId="29BB8207" w14:textId="77777777" w:rsidR="00000000" w:rsidRDefault="000C49AD">
      <w:pPr>
        <w:rPr>
          <w:rFonts w:eastAsia="Times New Roman"/>
        </w:rPr>
      </w:pPr>
      <w:r>
        <w:rPr>
          <w:rFonts w:eastAsia="Times New Roman"/>
        </w:rPr>
        <w:pict w14:anchorId="0B7E19BF">
          <v:rect id="_x0000_i1040" style="width:0;height:1.5pt" o:hralign="center" o:hrstd="t" o:hr="t" fillcolor="#a0a0a0" stroked="f"/>
        </w:pict>
      </w:r>
    </w:p>
    <w:p w14:paraId="19780A22" w14:textId="77777777" w:rsidR="00000000" w:rsidRDefault="000C49AD">
      <w:pPr>
        <w:divId w:val="1558593644"/>
        <w:rPr>
          <w:rFonts w:eastAsia="Times New Roman"/>
        </w:rPr>
      </w:pPr>
    </w:p>
    <w:p w14:paraId="2D2967AF" w14:textId="77777777" w:rsidR="00000000" w:rsidRDefault="000C49AD">
      <w:pPr>
        <w:jc w:val="both"/>
        <w:rPr>
          <w:rFonts w:eastAsia="Times New Roman"/>
        </w:rPr>
      </w:pPr>
      <w:r>
        <w:rPr>
          <w:rFonts w:eastAsia="Times New Roman"/>
          <w:color w:val="000000"/>
          <w:sz w:val="20"/>
          <w:szCs w:val="20"/>
        </w:rPr>
        <w:t>The failure to comply with regulatory requirements subjects firms to possible legal or regulatory action. Depending on the circumstances, failure to meet applicable regulatory requirements can result in criminal prosecution, fines, or other penalties, inju</w:t>
      </w:r>
      <w:r>
        <w:rPr>
          <w:rFonts w:eastAsia="Times New Roman"/>
          <w:color w:val="000000"/>
          <w:sz w:val="20"/>
          <w:szCs w:val="20"/>
        </w:rPr>
        <w:t>nctions, voluntary recall or seizure of drugs, total or partial suspension of production, denial or withdrawal of product approvals, or refusal to allow a firm to enter into supply contracts, including government contracts. In addition, even if a firm comp</w:t>
      </w:r>
      <w:r>
        <w:rPr>
          <w:rFonts w:eastAsia="Times New Roman"/>
          <w:color w:val="000000"/>
          <w:sz w:val="20"/>
          <w:szCs w:val="20"/>
        </w:rPr>
        <w:t>lies with FDA and other requirements, new information regarding the safety or efficacy of a product could lead the FDA to modify or withdraw product approval. Prohibitions or restrictions on sales or withdrawal of our approved drug or any future products m</w:t>
      </w:r>
      <w:r>
        <w:rPr>
          <w:rFonts w:eastAsia="Times New Roman"/>
          <w:color w:val="000000"/>
          <w:sz w:val="20"/>
          <w:szCs w:val="20"/>
        </w:rPr>
        <w:t>arketed by us could materially affect our business in an adverse way.</w:t>
      </w:r>
    </w:p>
    <w:p w14:paraId="287B7A4B" w14:textId="77777777" w:rsidR="00000000" w:rsidRDefault="000C49AD">
      <w:pPr>
        <w:jc w:val="both"/>
        <w:rPr>
          <w:rFonts w:eastAsia="Times New Roman"/>
        </w:rPr>
      </w:pPr>
    </w:p>
    <w:p w14:paraId="240F614B" w14:textId="77777777" w:rsidR="00000000" w:rsidRDefault="000C49AD">
      <w:pPr>
        <w:jc w:val="both"/>
        <w:rPr>
          <w:rFonts w:eastAsia="Times New Roman"/>
        </w:rPr>
      </w:pPr>
      <w:r>
        <w:rPr>
          <w:rFonts w:eastAsia="Times New Roman"/>
          <w:color w:val="000000"/>
          <w:sz w:val="20"/>
          <w:szCs w:val="20"/>
        </w:rPr>
        <w:t>Changes in regulations, statutes, or the interpretation of existing regulations could impact our business in the future by requiring, for example: (i) changes to our manufacturing arra</w:t>
      </w:r>
      <w:r>
        <w:rPr>
          <w:rFonts w:eastAsia="Times New Roman"/>
          <w:color w:val="000000"/>
          <w:sz w:val="20"/>
          <w:szCs w:val="20"/>
        </w:rPr>
        <w:t>ngements; (ii) additions or modifications to product labeling; (iii) the recall or discontinuation of our product; or (iv) additional record-keeping requirements. If any such changes were to be imposed, they could adversely affect the operation of our busi</w:t>
      </w:r>
      <w:r>
        <w:rPr>
          <w:rFonts w:eastAsia="Times New Roman"/>
          <w:color w:val="000000"/>
          <w:sz w:val="20"/>
          <w:szCs w:val="20"/>
        </w:rPr>
        <w:t>ness.</w:t>
      </w:r>
    </w:p>
    <w:p w14:paraId="7D14501C" w14:textId="77777777" w:rsidR="00000000" w:rsidRDefault="000C49AD">
      <w:pPr>
        <w:jc w:val="both"/>
        <w:rPr>
          <w:rFonts w:eastAsia="Times New Roman"/>
        </w:rPr>
      </w:pPr>
      <w:r>
        <w:rPr>
          <w:rFonts w:eastAsia="Times New Roman"/>
          <w:color w:val="000000"/>
          <w:sz w:val="20"/>
          <w:szCs w:val="20"/>
        </w:rPr>
        <w:t> </w:t>
      </w:r>
    </w:p>
    <w:p w14:paraId="0F524886" w14:textId="77777777" w:rsidR="00000000" w:rsidRDefault="000C49AD">
      <w:pPr>
        <w:jc w:val="both"/>
        <w:rPr>
          <w:rFonts w:eastAsia="Times New Roman"/>
        </w:rPr>
      </w:pPr>
      <w:r>
        <w:rPr>
          <w:rFonts w:eastAsia="Times New Roman"/>
          <w:b/>
          <w:bCs/>
          <w:i/>
          <w:iCs/>
          <w:color w:val="000000"/>
          <w:sz w:val="20"/>
          <w:szCs w:val="20"/>
        </w:rPr>
        <w:t>Other Regulation</w:t>
      </w:r>
    </w:p>
    <w:p w14:paraId="62B4E404" w14:textId="77777777" w:rsidR="00000000" w:rsidRDefault="000C49AD">
      <w:pPr>
        <w:jc w:val="both"/>
        <w:rPr>
          <w:rFonts w:eastAsia="Times New Roman"/>
        </w:rPr>
      </w:pPr>
    </w:p>
    <w:p w14:paraId="509C5527" w14:textId="77777777" w:rsidR="00000000" w:rsidRDefault="000C49AD">
      <w:pPr>
        <w:jc w:val="both"/>
        <w:rPr>
          <w:rFonts w:eastAsia="Times New Roman"/>
        </w:rPr>
      </w:pPr>
      <w:r>
        <w:rPr>
          <w:rFonts w:eastAsia="Times New Roman"/>
          <w:i/>
          <w:iCs/>
          <w:color w:val="000000"/>
          <w:sz w:val="20"/>
          <w:szCs w:val="20"/>
        </w:rPr>
        <w:t>Controlled Substances Regulations</w:t>
      </w:r>
    </w:p>
    <w:p w14:paraId="187BA1FF" w14:textId="77777777" w:rsidR="00000000" w:rsidRDefault="000C49AD">
      <w:pPr>
        <w:jc w:val="both"/>
        <w:rPr>
          <w:rFonts w:eastAsia="Times New Roman"/>
        </w:rPr>
      </w:pPr>
    </w:p>
    <w:p w14:paraId="5A026B88" w14:textId="77777777" w:rsidR="00000000" w:rsidRDefault="000C49AD">
      <w:pPr>
        <w:jc w:val="both"/>
        <w:rPr>
          <w:rFonts w:eastAsia="Times New Roman"/>
        </w:rPr>
      </w:pPr>
      <w:r>
        <w:rPr>
          <w:rFonts w:eastAsia="Times New Roman"/>
          <w:color w:val="000000"/>
          <w:sz w:val="20"/>
          <w:szCs w:val="20"/>
        </w:rPr>
        <w:t>Narcotics and other APIs, such as sodium oxybate, are “controlled substances” under the U.S. federal</w:t>
      </w:r>
      <w:r>
        <w:rPr>
          <w:rFonts w:eastAsia="Times New Roman"/>
          <w:color w:val="000000"/>
        </w:rPr>
        <w:t xml:space="preserve"> </w:t>
      </w:r>
      <w:r>
        <w:rPr>
          <w:rFonts w:eastAsia="Times New Roman"/>
          <w:color w:val="000000"/>
          <w:sz w:val="20"/>
          <w:szCs w:val="20"/>
        </w:rPr>
        <w:t>Controlled Substances Act (“CSA”). The CSA Title II of the Comprehensive Drug Abuse Preventi</w:t>
      </w:r>
      <w:r>
        <w:rPr>
          <w:rFonts w:eastAsia="Times New Roman"/>
          <w:color w:val="000000"/>
          <w:sz w:val="20"/>
          <w:szCs w:val="20"/>
        </w:rPr>
        <w:t>on and Control Act of 1970, regulates the manufacture and distribution of narcotics and other controlled substances, including stimulants, depressants and hallucinogens in the U.S. The CSA is administered by the Drug Enforcement Administration (“DEA”), a d</w:t>
      </w:r>
      <w:r>
        <w:rPr>
          <w:rFonts w:eastAsia="Times New Roman"/>
          <w:color w:val="000000"/>
          <w:sz w:val="20"/>
          <w:szCs w:val="20"/>
        </w:rPr>
        <w:t xml:space="preserve">ivision of the U.S. Department of Justice, and is intended to prevent the abuse or diversion of controlled substances into illicit channels of commerce. The DEA classifies controlled substances into five schedules. Schedule I substances by definition have </w:t>
      </w:r>
      <w:r>
        <w:rPr>
          <w:rFonts w:eastAsia="Times New Roman"/>
          <w:color w:val="000000"/>
          <w:sz w:val="20"/>
          <w:szCs w:val="20"/>
        </w:rPr>
        <w:t>a high potential for abuse, have no currently “accepted medical use” in the U.S., lack accepted safety for use under medical supervision, and may not be prescribed, marketed or sold in the U.S. Pharmaceutical products approved for use in the U.S. may be li</w:t>
      </w:r>
      <w:r>
        <w:rPr>
          <w:rFonts w:eastAsia="Times New Roman"/>
          <w:color w:val="000000"/>
          <w:sz w:val="20"/>
          <w:szCs w:val="20"/>
        </w:rPr>
        <w:t>sted as Schedule II, III, IV or V, with Schedule II substances considered to present the highest potential for abuse or dependence and Schedule V substances the lowest relative risk of abuse. The API in FT218, sodium oxybate, is a Schedule I controlled sub</w:t>
      </w:r>
      <w:r>
        <w:rPr>
          <w:rFonts w:eastAsia="Times New Roman"/>
          <w:color w:val="000000"/>
          <w:sz w:val="20"/>
          <w:szCs w:val="20"/>
        </w:rPr>
        <w:t>stance in the U.S., and FT218, if approved by the FDA, will be a Schedule III controlled substance in the U.S</w:t>
      </w:r>
    </w:p>
    <w:p w14:paraId="29E42D94" w14:textId="77777777" w:rsidR="00000000" w:rsidRDefault="000C49AD">
      <w:pPr>
        <w:jc w:val="both"/>
        <w:rPr>
          <w:rFonts w:eastAsia="Times New Roman"/>
        </w:rPr>
      </w:pPr>
    </w:p>
    <w:p w14:paraId="31B55332" w14:textId="77777777" w:rsidR="00000000" w:rsidRDefault="000C49AD">
      <w:pPr>
        <w:jc w:val="both"/>
        <w:rPr>
          <w:rFonts w:eastAsia="Times New Roman"/>
        </w:rPr>
      </w:pPr>
      <w:r>
        <w:rPr>
          <w:rFonts w:eastAsia="Times New Roman"/>
          <w:color w:val="000000"/>
          <w:sz w:val="20"/>
          <w:szCs w:val="20"/>
        </w:rPr>
        <w:t xml:space="preserve">For drugs manufactured in the U.S., the DEA establishes annually an aggregate quota for the amount of substances within Schedules I and II that </w:t>
      </w:r>
      <w:r>
        <w:rPr>
          <w:rFonts w:eastAsia="Times New Roman"/>
          <w:color w:val="000000"/>
          <w:sz w:val="20"/>
          <w:szCs w:val="20"/>
        </w:rPr>
        <w:t xml:space="preserve">may be manufactured or produced in the U.S. based on the DEA’s estimate of the quantity needed to meet legitimate medical, scientific, research and industrial needs. The quotas apply equally to the manufacturing of the active pharmaceutical ingredient and </w:t>
      </w:r>
      <w:r>
        <w:rPr>
          <w:rFonts w:eastAsia="Times New Roman"/>
          <w:color w:val="000000"/>
          <w:sz w:val="20"/>
          <w:szCs w:val="20"/>
        </w:rPr>
        <w:t>production of dosage forms. The DEA may adjust aggregate production quotas a few times per year, and individual manufacturing or procurement quotas from time to time during the year, although the DEA has substantial discretion in whether or not to make suc</w:t>
      </w:r>
      <w:r>
        <w:rPr>
          <w:rFonts w:eastAsia="Times New Roman"/>
          <w:color w:val="000000"/>
          <w:sz w:val="20"/>
          <w:szCs w:val="20"/>
        </w:rPr>
        <w:t>h adjustments for individual companies.</w:t>
      </w:r>
    </w:p>
    <w:p w14:paraId="14456322" w14:textId="77777777" w:rsidR="00000000" w:rsidRDefault="000C49AD">
      <w:pPr>
        <w:divId w:val="43868451"/>
        <w:rPr>
          <w:rFonts w:eastAsia="Times New Roman"/>
        </w:rPr>
      </w:pPr>
    </w:p>
    <w:p w14:paraId="44F8CB25" w14:textId="77777777" w:rsidR="00000000" w:rsidRDefault="000C49AD">
      <w:pPr>
        <w:jc w:val="both"/>
        <w:rPr>
          <w:rFonts w:eastAsia="Times New Roman"/>
        </w:rPr>
      </w:pPr>
      <w:r>
        <w:rPr>
          <w:rFonts w:eastAsia="Times New Roman"/>
          <w:color w:val="000000"/>
          <w:sz w:val="20"/>
          <w:szCs w:val="20"/>
        </w:rPr>
        <w:t xml:space="preserve">The DEA limits the quantity of certain Schedule I controlled substances that may be manufactured and procured in the U.S. in any given calendar year through a quota system and, as a result, quotas from the DEA are </w:t>
      </w:r>
      <w:r>
        <w:rPr>
          <w:rFonts w:eastAsia="Times New Roman"/>
          <w:color w:val="000000"/>
          <w:sz w:val="20"/>
          <w:szCs w:val="20"/>
        </w:rPr>
        <w:t>required in order to manufacture sodium oxybate and FT218 in the U.S. Accordingly, we require DEA quotas for sodium oxybate and FT218, until approved, if ever, by the FDA.</w:t>
      </w:r>
    </w:p>
    <w:p w14:paraId="17962256" w14:textId="77777777" w:rsidR="00000000" w:rsidRDefault="000C49AD">
      <w:pPr>
        <w:divId w:val="612782935"/>
        <w:rPr>
          <w:rFonts w:eastAsia="Times New Roman"/>
        </w:rPr>
      </w:pPr>
    </w:p>
    <w:p w14:paraId="75AFF330" w14:textId="77777777" w:rsidR="00000000" w:rsidRDefault="000C49AD">
      <w:pPr>
        <w:jc w:val="both"/>
        <w:rPr>
          <w:rFonts w:eastAsia="Times New Roman"/>
        </w:rPr>
      </w:pPr>
      <w:r>
        <w:rPr>
          <w:rFonts w:eastAsia="Times New Roman"/>
          <w:color w:val="000000"/>
          <w:sz w:val="20"/>
          <w:szCs w:val="20"/>
        </w:rPr>
        <w:t>If approved by the FDA, FT218 will be a Schedule III controlled substance and subj</w:t>
      </w:r>
      <w:r>
        <w:rPr>
          <w:rFonts w:eastAsia="Times New Roman"/>
          <w:color w:val="000000"/>
          <w:sz w:val="20"/>
          <w:szCs w:val="20"/>
        </w:rPr>
        <w:t>ect to DEA import volume limits and state regulations relating to manufacturing, storage, distribution and physician prescription procedures, including limitations on prescription refills. In addition, the third parties who perform our clinical and commerc</w:t>
      </w:r>
      <w:r>
        <w:rPr>
          <w:rFonts w:eastAsia="Times New Roman"/>
          <w:color w:val="000000"/>
          <w:sz w:val="20"/>
          <w:szCs w:val="20"/>
        </w:rPr>
        <w:t>ial manufacturing, distribution, dispensing and clinical studies for FT218 are required to maintain necessary DEA registrations and state licenses. The DEA periodically inspects facilities for compliance with its rules and regulations.</w:t>
      </w:r>
    </w:p>
    <w:p w14:paraId="7A11703F" w14:textId="77777777" w:rsidR="00000000" w:rsidRDefault="000C49AD">
      <w:pPr>
        <w:jc w:val="both"/>
        <w:rPr>
          <w:rFonts w:eastAsia="Times New Roman"/>
        </w:rPr>
      </w:pPr>
    </w:p>
    <w:p w14:paraId="0A0C0BD0" w14:textId="77777777" w:rsidR="00000000" w:rsidRDefault="000C49AD">
      <w:pPr>
        <w:jc w:val="both"/>
        <w:rPr>
          <w:rFonts w:eastAsia="Times New Roman"/>
        </w:rPr>
      </w:pPr>
      <w:r>
        <w:rPr>
          <w:rFonts w:eastAsia="Times New Roman"/>
          <w:color w:val="000000"/>
          <w:sz w:val="20"/>
          <w:szCs w:val="20"/>
        </w:rPr>
        <w:t>Any person or firm</w:t>
      </w:r>
      <w:r>
        <w:rPr>
          <w:rFonts w:eastAsia="Times New Roman"/>
          <w:color w:val="000000"/>
          <w:sz w:val="20"/>
          <w:szCs w:val="20"/>
        </w:rPr>
        <w:t xml:space="preserve"> that manufactures, distributes, dispenses, imports, or exports any controlled substance (or proposes to do so) must register with the DEA. The applicant must register for a specific business activity related to controlled substances, including manufacturi</w:t>
      </w:r>
      <w:r>
        <w:rPr>
          <w:rFonts w:eastAsia="Times New Roman"/>
          <w:color w:val="000000"/>
          <w:sz w:val="20"/>
          <w:szCs w:val="20"/>
        </w:rPr>
        <w:t>ng or distributing, and may engage in only the activity or activities for which it is registered. The DEA conducts periodic inspections of registered establishments that handle controlled substances. Failure to comply with relevant DEA regulations, particu</w:t>
      </w:r>
      <w:r>
        <w:rPr>
          <w:rFonts w:eastAsia="Times New Roman"/>
          <w:color w:val="000000"/>
          <w:sz w:val="20"/>
          <w:szCs w:val="20"/>
        </w:rPr>
        <w:t>larly as manifested in the loss or diversion of controlled substances, can result in regulatory action including civil penalties, refusal to renew necessary registrations, or proceedings to revoke those registrations. In certain circumstances, violations c</w:t>
      </w:r>
      <w:r>
        <w:rPr>
          <w:rFonts w:eastAsia="Times New Roman"/>
          <w:color w:val="000000"/>
          <w:sz w:val="20"/>
          <w:szCs w:val="20"/>
        </w:rPr>
        <w:t>an lead to criminal prosecution. In addition to these federal statutory and regulatory obligations, there may be state and local laws and regulations relevant to the handling of controlled substances or listed chemicals. Governments outside of the U.S. hav</w:t>
      </w:r>
      <w:r>
        <w:rPr>
          <w:rFonts w:eastAsia="Times New Roman"/>
          <w:color w:val="000000"/>
          <w:sz w:val="20"/>
          <w:szCs w:val="20"/>
        </w:rPr>
        <w:t>e similar controlled substance laws, regulations and requirements in their respective jurisdictions.</w:t>
      </w:r>
    </w:p>
    <w:p w14:paraId="0B2DE5D6" w14:textId="77777777" w:rsidR="00000000" w:rsidRDefault="000C49AD">
      <w:pPr>
        <w:jc w:val="both"/>
        <w:rPr>
          <w:rFonts w:eastAsia="Times New Roman"/>
        </w:rPr>
      </w:pPr>
    </w:p>
    <w:p w14:paraId="7AD6E9DA" w14:textId="77777777" w:rsidR="00000000" w:rsidRDefault="000C49AD">
      <w:pPr>
        <w:jc w:val="center"/>
        <w:divId w:val="1459033945"/>
        <w:rPr>
          <w:rFonts w:eastAsia="Times New Roman"/>
        </w:rPr>
      </w:pPr>
      <w:r>
        <w:rPr>
          <w:rFonts w:eastAsia="Times New Roman"/>
          <w:color w:val="000000"/>
          <w:sz w:val="20"/>
          <w:szCs w:val="20"/>
        </w:rPr>
        <w:t>-17-</w:t>
      </w:r>
    </w:p>
    <w:p w14:paraId="21D6495B" w14:textId="77777777" w:rsidR="00000000" w:rsidRDefault="000C49AD">
      <w:pPr>
        <w:rPr>
          <w:rFonts w:eastAsia="Times New Roman"/>
        </w:rPr>
      </w:pPr>
      <w:r>
        <w:rPr>
          <w:rFonts w:eastAsia="Times New Roman"/>
        </w:rPr>
        <w:pict w14:anchorId="7FAE6FA7">
          <v:rect id="_x0000_i1041" style="width:0;height:1.5pt" o:hralign="center" o:hrstd="t" o:hr="t" fillcolor="#a0a0a0" stroked="f"/>
        </w:pict>
      </w:r>
    </w:p>
    <w:p w14:paraId="34C8F6F6" w14:textId="77777777" w:rsidR="00000000" w:rsidRDefault="000C49AD">
      <w:pPr>
        <w:divId w:val="843207699"/>
        <w:rPr>
          <w:rFonts w:eastAsia="Times New Roman"/>
        </w:rPr>
      </w:pPr>
    </w:p>
    <w:p w14:paraId="1CB6F91C" w14:textId="77777777" w:rsidR="00000000" w:rsidRDefault="000C49AD">
      <w:pPr>
        <w:jc w:val="both"/>
        <w:rPr>
          <w:rFonts w:eastAsia="Times New Roman"/>
        </w:rPr>
      </w:pPr>
      <w:r>
        <w:rPr>
          <w:rFonts w:eastAsia="Times New Roman"/>
          <w:b/>
          <w:bCs/>
          <w:i/>
          <w:iCs/>
          <w:color w:val="000000"/>
          <w:sz w:val="20"/>
          <w:szCs w:val="20"/>
        </w:rPr>
        <w:t>Healthcare Laws</w:t>
      </w:r>
    </w:p>
    <w:p w14:paraId="327F746D" w14:textId="77777777" w:rsidR="00000000" w:rsidRDefault="000C49AD">
      <w:pPr>
        <w:jc w:val="both"/>
        <w:rPr>
          <w:rFonts w:eastAsia="Times New Roman"/>
        </w:rPr>
      </w:pPr>
      <w:r>
        <w:rPr>
          <w:rFonts w:eastAsia="Times New Roman"/>
          <w:color w:val="000000"/>
          <w:sz w:val="20"/>
          <w:szCs w:val="20"/>
        </w:rPr>
        <w:t> </w:t>
      </w:r>
    </w:p>
    <w:p w14:paraId="5EA2377D" w14:textId="77777777" w:rsidR="00000000" w:rsidRDefault="000C49AD">
      <w:pPr>
        <w:jc w:val="both"/>
        <w:rPr>
          <w:rFonts w:eastAsia="Times New Roman"/>
        </w:rPr>
      </w:pPr>
      <w:r>
        <w:rPr>
          <w:rFonts w:eastAsia="Times New Roman"/>
          <w:color w:val="000000"/>
          <w:sz w:val="20"/>
          <w:szCs w:val="20"/>
        </w:rPr>
        <w:t>Healthcare providers and third-party payors in the United States and elsewhere play a primar</w:t>
      </w:r>
      <w:r>
        <w:rPr>
          <w:rFonts w:eastAsia="Times New Roman"/>
          <w:color w:val="000000"/>
          <w:sz w:val="20"/>
          <w:szCs w:val="20"/>
        </w:rPr>
        <w:t xml:space="preserve">y role in the recommendation and prescription of pharmaceutical products. Arrangements with third-party payors and customers can expose pharmaceutical manufactures to broadly applicable fraud and abuse and other healthcare laws and regulations, including, </w:t>
      </w:r>
      <w:r>
        <w:rPr>
          <w:rFonts w:eastAsia="Times New Roman"/>
          <w:color w:val="000000"/>
          <w:sz w:val="20"/>
          <w:szCs w:val="20"/>
        </w:rPr>
        <w:t>without limitation, the federal Anti-Kickback Statute and the federal False Claims Act (“FCA”), which may constrain the business or financial arrangements and relationships through which companies research, sell, market and distribute pharmaceutical produc</w:t>
      </w:r>
      <w:r>
        <w:rPr>
          <w:rFonts w:eastAsia="Times New Roman"/>
          <w:color w:val="000000"/>
          <w:sz w:val="20"/>
          <w:szCs w:val="20"/>
        </w:rPr>
        <w:t xml:space="preserve">ts. In addition, transparency laws and patient privacy laws can apply to the activities of pharmaceutical manufactures. The applicable federal, state and foreign healthcare laws and regulations that can affect a pharmaceutical company’s operations include </w:t>
      </w:r>
      <w:r>
        <w:rPr>
          <w:rFonts w:eastAsia="Times New Roman"/>
          <w:color w:val="000000"/>
          <w:sz w:val="20"/>
          <w:szCs w:val="20"/>
        </w:rPr>
        <w:t>without limitation:</w:t>
      </w:r>
    </w:p>
    <w:p w14:paraId="1037919A" w14:textId="77777777" w:rsidR="00000000" w:rsidRDefault="000C49AD">
      <w:pPr>
        <w:jc w:val="both"/>
        <w:rPr>
          <w:rFonts w:eastAsia="Times New Roman"/>
        </w:rPr>
      </w:pPr>
    </w:p>
    <w:p w14:paraId="3ED97698" w14:textId="77777777" w:rsidR="00000000" w:rsidRDefault="000C49AD">
      <w:pPr>
        <w:ind w:hanging="360"/>
        <w:jc w:val="both"/>
        <w:rPr>
          <w:rFonts w:eastAsia="Times New Roman"/>
        </w:rPr>
      </w:pPr>
      <w:r>
        <w:rPr>
          <w:rFonts w:eastAsia="Times New Roman"/>
          <w:color w:val="000000"/>
          <w:sz w:val="20"/>
          <w:szCs w:val="20"/>
        </w:rPr>
        <w:t>•The federal Anti-Kickback Statute, which prohibits, among other things, knowingly and willfully soliciting, receiving, offering or paying any remuneration (including any kickback, bribe, or rebate), directly or indirectly, overtly or</w:t>
      </w:r>
      <w:r>
        <w:rPr>
          <w:rFonts w:eastAsia="Times New Roman"/>
          <w:color w:val="000000"/>
          <w:sz w:val="20"/>
          <w:szCs w:val="20"/>
        </w:rPr>
        <w:t xml:space="preserve"> covertly, in cash or in kind, to induce, or in return for, either the referral of an individual, or the purchase, lease, order or recommendation of any good, facility, item or service for which payment may be made, in whole or in part, under the Medicare </w:t>
      </w:r>
      <w:r>
        <w:rPr>
          <w:rFonts w:eastAsia="Times New Roman"/>
          <w:color w:val="000000"/>
          <w:sz w:val="20"/>
          <w:szCs w:val="20"/>
        </w:rPr>
        <w:t>and Medicaid programs, or other federal healthcare programs. A person or entity can be found guilty of violating the statute without actual knowledge of the statute or specific intent to violate it. In addition, the government may assert that a claim inclu</w:t>
      </w:r>
      <w:r>
        <w:rPr>
          <w:rFonts w:eastAsia="Times New Roman"/>
          <w:color w:val="000000"/>
          <w:sz w:val="20"/>
          <w:szCs w:val="20"/>
        </w:rPr>
        <w:t>ding items or services resulting from a violation of the federal Anti-Kickback Statute constitutes a false or fraudulent claim for purposes of the FCA. The Anti-Kickback Statute has been interpreted to apply to arrangements between pharmaceutical manufactu</w:t>
      </w:r>
      <w:r>
        <w:rPr>
          <w:rFonts w:eastAsia="Times New Roman"/>
          <w:color w:val="000000"/>
          <w:sz w:val="20"/>
          <w:szCs w:val="20"/>
        </w:rPr>
        <w:t>rers on the one hand and prescribers, purchasers, and formulary managers on the other. There are a number of statutory exceptions and regulatory safe harbors protecting some common activities from prosecution, but such exceptions and safe harbors are drawn</w:t>
      </w:r>
      <w:r>
        <w:rPr>
          <w:rFonts w:eastAsia="Times New Roman"/>
          <w:color w:val="000000"/>
          <w:sz w:val="20"/>
          <w:szCs w:val="20"/>
        </w:rPr>
        <w:t xml:space="preserve"> narrowly and require strict compliance in order to offer protection;</w:t>
      </w:r>
    </w:p>
    <w:p w14:paraId="37A78128" w14:textId="77777777" w:rsidR="00000000" w:rsidRDefault="000C49AD">
      <w:pPr>
        <w:jc w:val="both"/>
        <w:rPr>
          <w:rFonts w:eastAsia="Times New Roman"/>
        </w:rPr>
      </w:pPr>
    </w:p>
    <w:p w14:paraId="3012B080"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The federal civil and criminal false claims laws, including the FCA, and civil monetary penalty laws, which prohibit any person or entity from, among other things, knowingly presenting, or causing to be presented, a false, fictitious or fraudulent claim fo</w:t>
      </w:r>
      <w:r>
        <w:rPr>
          <w:rFonts w:eastAsia="Times New Roman"/>
          <w:color w:val="000000"/>
          <w:sz w:val="20"/>
          <w:szCs w:val="20"/>
        </w:rPr>
        <w:t xml:space="preserve">r payment to, or approval by, the federal government or knowingly making, using or causing to be made or used a false record or statement, including providing inaccurate billing or coding information to customers or promoting a product off-label, material </w:t>
      </w:r>
      <w:r>
        <w:rPr>
          <w:rFonts w:eastAsia="Times New Roman"/>
          <w:color w:val="000000"/>
          <w:sz w:val="20"/>
          <w:szCs w:val="20"/>
        </w:rPr>
        <w:t>to a false or fraudulent claim to the federal government. As a result of a modification made by the Fraud Enforcement and Recovery Act of 2009, a claim includes “any request or demand” for money or property presented to the federal government. In addition,</w:t>
      </w:r>
      <w:r>
        <w:rPr>
          <w:rFonts w:eastAsia="Times New Roman"/>
          <w:color w:val="000000"/>
          <w:sz w:val="20"/>
          <w:szCs w:val="20"/>
        </w:rPr>
        <w:t xml:space="preserve"> manufacturers can be held liable under the FCA even when they do not submit claims directly to government payors if they are deemed to “cause” the submission of false or fraudulent claims. The FCA also permits a private individual acting as a “whistleblow</w:t>
      </w:r>
      <w:r>
        <w:rPr>
          <w:rFonts w:eastAsia="Times New Roman"/>
          <w:color w:val="000000"/>
          <w:sz w:val="20"/>
          <w:szCs w:val="20"/>
        </w:rPr>
        <w:t>er” to bring actions on behalf of the federal government alleging violations of the FCA and to share in any monetary recovery;</w:t>
      </w:r>
    </w:p>
    <w:p w14:paraId="5809F797" w14:textId="77777777" w:rsidR="00000000" w:rsidRDefault="000C49AD">
      <w:pPr>
        <w:jc w:val="both"/>
        <w:rPr>
          <w:rFonts w:eastAsia="Times New Roman"/>
        </w:rPr>
      </w:pPr>
    </w:p>
    <w:p w14:paraId="116C3493" w14:textId="77777777" w:rsidR="00000000" w:rsidRDefault="000C49AD">
      <w:pPr>
        <w:ind w:hanging="360"/>
        <w:jc w:val="both"/>
        <w:rPr>
          <w:rFonts w:eastAsia="Times New Roman"/>
        </w:rPr>
      </w:pPr>
      <w:r>
        <w:rPr>
          <w:rFonts w:eastAsia="Times New Roman"/>
          <w:color w:val="000000"/>
          <w:sz w:val="20"/>
          <w:szCs w:val="20"/>
        </w:rPr>
        <w:t xml:space="preserve">•The federal Health Insurance Portability and Accountability Act of 1996 (HIPAA), which created federal criminal statutes that </w:t>
      </w:r>
      <w:r>
        <w:rPr>
          <w:rFonts w:eastAsia="Times New Roman"/>
          <w:color w:val="000000"/>
          <w:sz w:val="20"/>
          <w:szCs w:val="20"/>
        </w:rPr>
        <w:t>prohibit, among other things, knowingly and willfully executing, or attempting to execute, a scheme to defraud any healthcare benefit program or obtain, by means of false or fraudulent pretenses, representations, or promises, any of the money or property o</w:t>
      </w:r>
      <w:r>
        <w:rPr>
          <w:rFonts w:eastAsia="Times New Roman"/>
          <w:color w:val="000000"/>
          <w:sz w:val="20"/>
          <w:szCs w:val="20"/>
        </w:rPr>
        <w:t>wned by, or under the custody or control of, any healthcare benefit program, regardless of the payor (e.g., public or private) and knowingly and willfully falsifying, concealing or covering up by any trick or device a material fact or making any materially</w:t>
      </w:r>
      <w:r>
        <w:rPr>
          <w:rFonts w:eastAsia="Times New Roman"/>
          <w:color w:val="000000"/>
          <w:sz w:val="20"/>
          <w:szCs w:val="20"/>
        </w:rPr>
        <w:t xml:space="preserve"> false statements in connection with the delivery of, or payment for, healthcare benefits, items or services relating to healthcare matters. Similar to the federal Anti-Kickback Statute, a person or entity can be found guilty of violating HIPAA without act</w:t>
      </w:r>
      <w:r>
        <w:rPr>
          <w:rFonts w:eastAsia="Times New Roman"/>
          <w:color w:val="000000"/>
          <w:sz w:val="20"/>
          <w:szCs w:val="20"/>
        </w:rPr>
        <w:t>ual knowledge of the statute or specific intent to violate it;</w:t>
      </w:r>
    </w:p>
    <w:p w14:paraId="7F29A146" w14:textId="77777777" w:rsidR="00000000" w:rsidRDefault="000C49AD">
      <w:pPr>
        <w:jc w:val="both"/>
        <w:rPr>
          <w:rFonts w:eastAsia="Times New Roman"/>
        </w:rPr>
      </w:pPr>
    </w:p>
    <w:p w14:paraId="7B1CEB45" w14:textId="77777777" w:rsidR="00000000" w:rsidRDefault="000C49AD">
      <w:pPr>
        <w:ind w:hanging="360"/>
        <w:jc w:val="both"/>
        <w:rPr>
          <w:rFonts w:eastAsia="Times New Roman"/>
        </w:rPr>
      </w:pPr>
      <w:r>
        <w:rPr>
          <w:rFonts w:eastAsia="Times New Roman"/>
          <w:color w:val="000000"/>
          <w:sz w:val="20"/>
          <w:szCs w:val="20"/>
        </w:rPr>
        <w:t>•HIPAA, as amended by the Health Information Technology for Economic and Clinical Health Act of 2009 (HITECH), and their respective implementing regulations, which impose, among other things,</w:t>
      </w:r>
      <w:r>
        <w:rPr>
          <w:rFonts w:eastAsia="Times New Roman"/>
          <w:color w:val="000000"/>
          <w:sz w:val="20"/>
          <w:szCs w:val="20"/>
        </w:rPr>
        <w:t xml:space="preserve"> specified requirements relating to the privacy, security and transmission of individually identifiable health information held by covered entities and their business associates as well as their covered subcontractors. HITECH also created new tiers of civi</w:t>
      </w:r>
      <w:r>
        <w:rPr>
          <w:rFonts w:eastAsia="Times New Roman"/>
          <w:color w:val="000000"/>
          <w:sz w:val="20"/>
          <w:szCs w:val="20"/>
        </w:rPr>
        <w:t>l monetary penalties, amended HIPAA to make civil and criminal penalties directly applicable to business associates, and gave state attorneys general new authority to file civil actions for damages or injunctions in federal courts to enforce the federal HI</w:t>
      </w:r>
      <w:r>
        <w:rPr>
          <w:rFonts w:eastAsia="Times New Roman"/>
          <w:color w:val="000000"/>
          <w:sz w:val="20"/>
          <w:szCs w:val="20"/>
        </w:rPr>
        <w:t>PAA laws and seek attorneys’ fees and costs associated with pursuing federal civil actions;</w:t>
      </w:r>
    </w:p>
    <w:p w14:paraId="1F7AA530" w14:textId="77777777" w:rsidR="00000000" w:rsidRDefault="000C49AD">
      <w:pPr>
        <w:jc w:val="both"/>
        <w:rPr>
          <w:rFonts w:eastAsia="Times New Roman"/>
        </w:rPr>
      </w:pPr>
    </w:p>
    <w:p w14:paraId="3F1FE44D"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The federal legislation commonly referred to as the Physician Payments Sunshine Act, created under the ACA, and its implementing regulations, which requires certain manufacturers of drugs, devices, biologics and medical supplies for which payment is availa</w:t>
      </w:r>
      <w:r>
        <w:rPr>
          <w:rFonts w:eastAsia="Times New Roman"/>
          <w:color w:val="000000"/>
          <w:sz w:val="20"/>
          <w:szCs w:val="20"/>
        </w:rPr>
        <w:t>ble under Medicare, Medicaid or the Children’s Health Insurance Program (with certain exceptions) to report annually to CMS, information related to payments or other transfers of value made to physicians (defined to include doctors, dentists, optometrists,</w:t>
      </w:r>
      <w:r>
        <w:rPr>
          <w:rFonts w:eastAsia="Times New Roman"/>
          <w:color w:val="000000"/>
          <w:sz w:val="20"/>
          <w:szCs w:val="20"/>
        </w:rPr>
        <w:t xml:space="preserve"> podiatrists and chiropractors) and teaching hospitals, as well as ownership and investment interests held by physicians and their immediate family members. Effective January 1, </w:t>
      </w:r>
    </w:p>
    <w:p w14:paraId="45862AD9" w14:textId="77777777" w:rsidR="00000000" w:rsidRDefault="000C49AD">
      <w:pPr>
        <w:jc w:val="center"/>
        <w:divId w:val="234628332"/>
        <w:rPr>
          <w:rFonts w:eastAsia="Times New Roman"/>
        </w:rPr>
      </w:pPr>
      <w:r>
        <w:rPr>
          <w:rFonts w:eastAsia="Times New Roman"/>
          <w:color w:val="000000"/>
          <w:sz w:val="20"/>
          <w:szCs w:val="20"/>
        </w:rPr>
        <w:t>-18-</w:t>
      </w:r>
    </w:p>
    <w:p w14:paraId="4726AE9C" w14:textId="77777777" w:rsidR="00000000" w:rsidRDefault="000C49AD">
      <w:pPr>
        <w:rPr>
          <w:rFonts w:eastAsia="Times New Roman"/>
        </w:rPr>
      </w:pPr>
      <w:r>
        <w:rPr>
          <w:rFonts w:eastAsia="Times New Roman"/>
        </w:rPr>
        <w:pict w14:anchorId="61FE4D81">
          <v:rect id="_x0000_i1042" style="width:0;height:1.5pt" o:hralign="center" o:hrstd="t" o:hr="t" fillcolor="#a0a0a0" stroked="f"/>
        </w:pict>
      </w:r>
    </w:p>
    <w:p w14:paraId="3205601A" w14:textId="77777777" w:rsidR="00000000" w:rsidRDefault="000C49AD">
      <w:pPr>
        <w:divId w:val="910626409"/>
        <w:rPr>
          <w:rFonts w:eastAsia="Times New Roman"/>
        </w:rPr>
      </w:pPr>
    </w:p>
    <w:p w14:paraId="13449F96" w14:textId="77777777" w:rsidR="00000000" w:rsidRDefault="000C49AD">
      <w:pPr>
        <w:jc w:val="both"/>
        <w:rPr>
          <w:rFonts w:eastAsia="Times New Roman"/>
        </w:rPr>
      </w:pPr>
      <w:r>
        <w:rPr>
          <w:rFonts w:eastAsia="Times New Roman"/>
          <w:color w:val="000000"/>
          <w:sz w:val="20"/>
          <w:szCs w:val="20"/>
        </w:rPr>
        <w:t>2022, covered manufacturers also a</w:t>
      </w:r>
      <w:r>
        <w:rPr>
          <w:rFonts w:eastAsia="Times New Roman"/>
          <w:color w:val="000000"/>
          <w:sz w:val="20"/>
          <w:szCs w:val="20"/>
        </w:rPr>
        <w:t>re required to report information regarding their payments and other transfers of value to physician assistants, and nurse practitioners, clinical nurse specialists, anesthesiologist assistants, certified registered nurse anesthetists and certified nurse m</w:t>
      </w:r>
      <w:r>
        <w:rPr>
          <w:rFonts w:eastAsia="Times New Roman"/>
          <w:color w:val="000000"/>
          <w:sz w:val="20"/>
          <w:szCs w:val="20"/>
        </w:rPr>
        <w:t>idwives during the previous year;</w:t>
      </w:r>
    </w:p>
    <w:p w14:paraId="4AAB04AC" w14:textId="77777777" w:rsidR="00000000" w:rsidRDefault="000C49AD">
      <w:pPr>
        <w:jc w:val="both"/>
        <w:rPr>
          <w:rFonts w:eastAsia="Times New Roman"/>
        </w:rPr>
      </w:pPr>
    </w:p>
    <w:p w14:paraId="1DDF29C1" w14:textId="77777777" w:rsidR="00000000" w:rsidRDefault="000C49AD">
      <w:pPr>
        <w:ind w:hanging="360"/>
        <w:jc w:val="both"/>
        <w:rPr>
          <w:rFonts w:eastAsia="Times New Roman"/>
        </w:rPr>
      </w:pPr>
      <w:r>
        <w:rPr>
          <w:rFonts w:eastAsia="Times New Roman"/>
          <w:color w:val="000000"/>
          <w:sz w:val="20"/>
          <w:szCs w:val="20"/>
        </w:rPr>
        <w:t>•Federal government price reporting laws, which require us to calculate and report complex pricing metrics in an accurate and timely manner to government programs;</w:t>
      </w:r>
    </w:p>
    <w:p w14:paraId="1551A0D7" w14:textId="77777777" w:rsidR="00000000" w:rsidRDefault="000C49AD">
      <w:pPr>
        <w:jc w:val="both"/>
        <w:rPr>
          <w:rFonts w:eastAsia="Times New Roman"/>
        </w:rPr>
      </w:pPr>
    </w:p>
    <w:p w14:paraId="779415C5" w14:textId="77777777" w:rsidR="00000000" w:rsidRDefault="000C49AD">
      <w:pPr>
        <w:ind w:hanging="360"/>
        <w:jc w:val="both"/>
        <w:rPr>
          <w:rFonts w:eastAsia="Times New Roman"/>
        </w:rPr>
      </w:pPr>
      <w:r>
        <w:rPr>
          <w:rFonts w:eastAsia="Times New Roman"/>
          <w:color w:val="000000"/>
          <w:sz w:val="20"/>
          <w:szCs w:val="20"/>
        </w:rPr>
        <w:t>•Federal consumer protection and unfair competition la</w:t>
      </w:r>
      <w:r>
        <w:rPr>
          <w:rFonts w:eastAsia="Times New Roman"/>
          <w:color w:val="000000"/>
          <w:sz w:val="20"/>
          <w:szCs w:val="20"/>
        </w:rPr>
        <w:t>ws, which broadly regulate marketplace activities and activities that potentially harm consumers; and</w:t>
      </w:r>
    </w:p>
    <w:p w14:paraId="07141337" w14:textId="77777777" w:rsidR="00000000" w:rsidRDefault="000C49AD">
      <w:pPr>
        <w:jc w:val="both"/>
        <w:rPr>
          <w:rFonts w:eastAsia="Times New Roman"/>
        </w:rPr>
      </w:pPr>
    </w:p>
    <w:p w14:paraId="2831E725" w14:textId="77777777" w:rsidR="00000000" w:rsidRDefault="000C49AD">
      <w:pPr>
        <w:ind w:hanging="360"/>
        <w:jc w:val="both"/>
        <w:rPr>
          <w:rFonts w:eastAsia="Times New Roman"/>
        </w:rPr>
      </w:pPr>
      <w:r>
        <w:rPr>
          <w:rFonts w:eastAsia="Times New Roman"/>
          <w:color w:val="000000"/>
          <w:sz w:val="20"/>
          <w:szCs w:val="20"/>
        </w:rPr>
        <w:t>•Analogous state laws and regulations, including: state anti-kickback and false claims laws, which may apply to our business practices, including, but n</w:t>
      </w:r>
      <w:r>
        <w:rPr>
          <w:rFonts w:eastAsia="Times New Roman"/>
          <w:color w:val="000000"/>
          <w:sz w:val="20"/>
          <w:szCs w:val="20"/>
        </w:rPr>
        <w:t>ot limited to, research, distribution, sales and marketing arrangements and claims involving healthcare items or services reimbursed by any third-party payor, including private insurers; state laws that require pharmaceutical companies to comply with the p</w:t>
      </w:r>
      <w:r>
        <w:rPr>
          <w:rFonts w:eastAsia="Times New Roman"/>
          <w:color w:val="000000"/>
          <w:sz w:val="20"/>
          <w:szCs w:val="20"/>
        </w:rPr>
        <w:t>harmaceutical industry’s voluntary compliance guidelines and the relevant compliance guidance promulgated by the U.S. federal government, or otherwise restrict payments that may be made to healthcare providers and other potential referral sources; state an</w:t>
      </w:r>
      <w:r>
        <w:rPr>
          <w:rFonts w:eastAsia="Times New Roman"/>
          <w:color w:val="000000"/>
          <w:sz w:val="20"/>
          <w:szCs w:val="20"/>
        </w:rPr>
        <w:t>d local laws that require drug manufacturers to report information related to payments and other transfers of value to physicians and other healthcare providers or marketing expenditures; state laws that require the reporting of information related to drug</w:t>
      </w:r>
      <w:r>
        <w:rPr>
          <w:rFonts w:eastAsia="Times New Roman"/>
          <w:color w:val="000000"/>
          <w:sz w:val="20"/>
          <w:szCs w:val="20"/>
        </w:rPr>
        <w:t xml:space="preserve"> pricing; state and local laws requiring the registration of pharmaceutical sales representatives; and state laws governing the privacy and security of health information in some circumstances, many of which differ from each other in significant ways and o</w:t>
      </w:r>
      <w:r>
        <w:rPr>
          <w:rFonts w:eastAsia="Times New Roman"/>
          <w:color w:val="000000"/>
          <w:sz w:val="20"/>
          <w:szCs w:val="20"/>
        </w:rPr>
        <w:t xml:space="preserve">ften are not preempted by HIPAA, thus complicating compliance efforts. </w:t>
      </w:r>
    </w:p>
    <w:p w14:paraId="1D7D38D5" w14:textId="77777777" w:rsidR="00000000" w:rsidRDefault="000C49AD">
      <w:pPr>
        <w:jc w:val="both"/>
        <w:rPr>
          <w:rFonts w:eastAsia="Times New Roman"/>
        </w:rPr>
      </w:pPr>
    </w:p>
    <w:p w14:paraId="67F9F44E" w14:textId="77777777" w:rsidR="00000000" w:rsidRDefault="000C49AD">
      <w:pPr>
        <w:jc w:val="both"/>
        <w:rPr>
          <w:rFonts w:eastAsia="Times New Roman"/>
        </w:rPr>
      </w:pPr>
      <w:r>
        <w:rPr>
          <w:rFonts w:eastAsia="Times New Roman"/>
          <w:color w:val="000000"/>
          <w:sz w:val="20"/>
          <w:szCs w:val="20"/>
        </w:rPr>
        <w:t>The distribution of pharmaceutical products is subject to additional requirements and regulations, including extensive record-keeping, licensing, storage and security requirements in</w:t>
      </w:r>
      <w:r>
        <w:rPr>
          <w:rFonts w:eastAsia="Times New Roman"/>
          <w:color w:val="000000"/>
          <w:sz w:val="20"/>
          <w:szCs w:val="20"/>
        </w:rPr>
        <w:t>tended to prevent the unauthorized sale of pharmaceutical products.</w:t>
      </w:r>
    </w:p>
    <w:p w14:paraId="7B1E45A0" w14:textId="77777777" w:rsidR="00000000" w:rsidRDefault="000C49AD">
      <w:pPr>
        <w:jc w:val="both"/>
        <w:rPr>
          <w:rFonts w:eastAsia="Times New Roman"/>
        </w:rPr>
      </w:pPr>
    </w:p>
    <w:p w14:paraId="5361FD8A" w14:textId="77777777" w:rsidR="00000000" w:rsidRDefault="000C49AD">
      <w:pPr>
        <w:jc w:val="both"/>
        <w:rPr>
          <w:rFonts w:eastAsia="Times New Roman"/>
        </w:rPr>
      </w:pPr>
      <w:r>
        <w:rPr>
          <w:rFonts w:eastAsia="Times New Roman"/>
          <w:b/>
          <w:bCs/>
          <w:i/>
          <w:iCs/>
          <w:color w:val="000000"/>
          <w:sz w:val="20"/>
          <w:szCs w:val="20"/>
        </w:rPr>
        <w:t>Coverage and Reimbursement</w:t>
      </w:r>
      <w:r>
        <w:rPr>
          <w:rFonts w:eastAsia="Times New Roman"/>
          <w:color w:val="000000"/>
          <w:sz w:val="20"/>
          <w:szCs w:val="20"/>
        </w:rPr>
        <w:t xml:space="preserve"> </w:t>
      </w:r>
    </w:p>
    <w:p w14:paraId="71487F0E" w14:textId="77777777" w:rsidR="00000000" w:rsidRDefault="000C49AD">
      <w:pPr>
        <w:jc w:val="both"/>
        <w:rPr>
          <w:rFonts w:eastAsia="Times New Roman"/>
        </w:rPr>
      </w:pPr>
    </w:p>
    <w:p w14:paraId="053F39D2" w14:textId="77777777" w:rsidR="00000000" w:rsidRDefault="000C49AD">
      <w:pPr>
        <w:jc w:val="both"/>
        <w:rPr>
          <w:rFonts w:eastAsia="Times New Roman"/>
        </w:rPr>
      </w:pPr>
      <w:r>
        <w:rPr>
          <w:rFonts w:eastAsia="Times New Roman"/>
          <w:color w:val="000000"/>
          <w:sz w:val="20"/>
          <w:szCs w:val="20"/>
        </w:rPr>
        <w:t>Sales of any product depend, in part, on the extent to which such product will be covered by third-party payors, such as federal, state, and foreign governm</w:t>
      </w:r>
      <w:r>
        <w:rPr>
          <w:rFonts w:eastAsia="Times New Roman"/>
          <w:color w:val="000000"/>
          <w:sz w:val="20"/>
          <w:szCs w:val="20"/>
        </w:rPr>
        <w:t>ent healthcare programs, commercial insurance and managed healthcare organizations, and the level of reimbursement for such product by third-party payors. Decisions regarding the extent of coverage and amount of reimbursement to be provided are made on a p</w:t>
      </w:r>
      <w:r>
        <w:rPr>
          <w:rFonts w:eastAsia="Times New Roman"/>
          <w:color w:val="000000"/>
          <w:sz w:val="20"/>
          <w:szCs w:val="20"/>
        </w:rPr>
        <w:t xml:space="preserve">lan-by-plan basis. These third-party payors are increasingly reducing coverage and reimbursement for medical products, drugs and services. For products administered under the supervision of a physician, obtaining coverage and adequate reimbursement may be </w:t>
      </w:r>
      <w:r>
        <w:rPr>
          <w:rFonts w:eastAsia="Times New Roman"/>
          <w:color w:val="000000"/>
          <w:sz w:val="20"/>
          <w:szCs w:val="20"/>
        </w:rPr>
        <w:t>particularly difficult because of the higher prices often associated with such drugs. Additionally, separate reimbursement for the product itself or the treatment or procedure in which the product is used may not be available, which may impact physician ut</w:t>
      </w:r>
      <w:r>
        <w:rPr>
          <w:rFonts w:eastAsia="Times New Roman"/>
          <w:color w:val="000000"/>
          <w:sz w:val="20"/>
          <w:szCs w:val="20"/>
        </w:rPr>
        <w:t>ilization.</w:t>
      </w:r>
    </w:p>
    <w:p w14:paraId="6599D8F8" w14:textId="77777777" w:rsidR="00000000" w:rsidRDefault="000C49AD">
      <w:pPr>
        <w:divId w:val="1410158083"/>
        <w:rPr>
          <w:rFonts w:eastAsia="Times New Roman"/>
        </w:rPr>
      </w:pPr>
    </w:p>
    <w:p w14:paraId="5A259E53" w14:textId="77777777" w:rsidR="00000000" w:rsidRDefault="000C49AD">
      <w:pPr>
        <w:jc w:val="both"/>
        <w:rPr>
          <w:rFonts w:eastAsia="Times New Roman"/>
        </w:rPr>
      </w:pPr>
      <w:r>
        <w:rPr>
          <w:rFonts w:eastAsia="Times New Roman"/>
          <w:color w:val="000000"/>
          <w:sz w:val="20"/>
          <w:szCs w:val="20"/>
        </w:rPr>
        <w:t>In order to secure coverage and reimbursement for any product that might be approved for sale, a company may need to conduct expensive pharmacoeconomic studies in order to demonstrate the medical necessity and cost-effectiveness of the product</w:t>
      </w:r>
      <w:r>
        <w:rPr>
          <w:rFonts w:eastAsia="Times New Roman"/>
          <w:color w:val="000000"/>
          <w:sz w:val="20"/>
          <w:szCs w:val="20"/>
        </w:rPr>
        <w:t>, in addition to the costs required to obtain FDA or other comparable regulatory approvals. Additionally, companies may also need to provide discounts to purchasers, private health plans or government healthcare programs. Nonetheless, product candidates ma</w:t>
      </w:r>
      <w:r>
        <w:rPr>
          <w:rFonts w:eastAsia="Times New Roman"/>
          <w:color w:val="000000"/>
          <w:sz w:val="20"/>
          <w:szCs w:val="20"/>
        </w:rPr>
        <w:t>y not be considered medically necessary or cost effective. A decision by a third-party payor not to cover a product could reduce physician utilization once the product is approved and have a material adverse effect on sales, our operations and financial co</w:t>
      </w:r>
      <w:r>
        <w:rPr>
          <w:rFonts w:eastAsia="Times New Roman"/>
          <w:color w:val="000000"/>
          <w:sz w:val="20"/>
          <w:szCs w:val="20"/>
        </w:rPr>
        <w:t>ndition. Factors that payors consider in determining reimbursement are based on whether the product is (i) a covered benefit under its health plan; (ii) safe, effective, and medically necessary; (iii) appropriate for the specific patient; (iv) cost-effecti</w:t>
      </w:r>
      <w:r>
        <w:rPr>
          <w:rFonts w:eastAsia="Times New Roman"/>
          <w:color w:val="000000"/>
          <w:sz w:val="20"/>
          <w:szCs w:val="20"/>
        </w:rPr>
        <w:t>ve; and (v) neither experimental nor investigational. Additionally, a third-party payor’s decision to provide coverage for a product does not imply that an adequate reimbursement rate will be approved. Further, one payor’s determination to provide coverage</w:t>
      </w:r>
      <w:r>
        <w:rPr>
          <w:rFonts w:eastAsia="Times New Roman"/>
          <w:color w:val="000000"/>
          <w:sz w:val="20"/>
          <w:szCs w:val="20"/>
        </w:rPr>
        <w:t xml:space="preserve"> for a product does not assure that other payors will also provide coverage and reimbursement for the product and the level of coverage and reimbursement can differ significantly from payor to payor.</w:t>
      </w:r>
    </w:p>
    <w:p w14:paraId="7037B622" w14:textId="77777777" w:rsidR="00000000" w:rsidRDefault="000C49AD">
      <w:pPr>
        <w:jc w:val="both"/>
        <w:rPr>
          <w:rFonts w:eastAsia="Times New Roman"/>
        </w:rPr>
      </w:pPr>
    </w:p>
    <w:p w14:paraId="24532A58" w14:textId="77777777" w:rsidR="00000000" w:rsidRDefault="000C49AD">
      <w:pPr>
        <w:jc w:val="both"/>
        <w:rPr>
          <w:rFonts w:eastAsia="Times New Roman"/>
        </w:rPr>
      </w:pPr>
      <w:r>
        <w:rPr>
          <w:rFonts w:eastAsia="Times New Roman"/>
          <w:color w:val="000000"/>
          <w:sz w:val="20"/>
          <w:szCs w:val="20"/>
        </w:rPr>
        <w:t>The containment of healthcare costs has become a priority of federal, state and foreign governments and the prices of products have been a focus in this effort. Governments have shown significant interest in implementing cost-containment programs, includin</w:t>
      </w:r>
      <w:r>
        <w:rPr>
          <w:rFonts w:eastAsia="Times New Roman"/>
          <w:color w:val="000000"/>
          <w:sz w:val="20"/>
          <w:szCs w:val="20"/>
        </w:rPr>
        <w:t xml:space="preserve">g price controls, restrictions on reimbursement and requirements for substitution of generic products. Adoption of price controls and cost-containment measures and adoption of more restrictive policies in jurisdictions with existing controls and measures, </w:t>
      </w:r>
      <w:r>
        <w:rPr>
          <w:rFonts w:eastAsia="Times New Roman"/>
          <w:color w:val="000000"/>
          <w:sz w:val="20"/>
          <w:szCs w:val="20"/>
        </w:rPr>
        <w:t>could further limit a company’s revenue generated from the sale of any approved products. Coverage policies and third-party payor reimbursement rates may change at any time. Even if favorable coverage and reimbursement status is attained for one or more pr</w:t>
      </w:r>
      <w:r>
        <w:rPr>
          <w:rFonts w:eastAsia="Times New Roman"/>
          <w:color w:val="000000"/>
          <w:sz w:val="20"/>
          <w:szCs w:val="20"/>
        </w:rPr>
        <w:t xml:space="preserve">oducts for which a company or its collaborators receive regulatory approval, less favorable coverage policies and reimbursement rates may be implemented in the future. Decreases in third-party reimbursement for any product or a </w:t>
      </w:r>
    </w:p>
    <w:p w14:paraId="258C2C57" w14:textId="77777777" w:rsidR="00000000" w:rsidRDefault="000C49AD">
      <w:pPr>
        <w:jc w:val="center"/>
        <w:divId w:val="1783186124"/>
        <w:rPr>
          <w:rFonts w:eastAsia="Times New Roman"/>
        </w:rPr>
      </w:pPr>
      <w:r>
        <w:rPr>
          <w:rFonts w:eastAsia="Times New Roman"/>
          <w:color w:val="000000"/>
          <w:sz w:val="20"/>
          <w:szCs w:val="20"/>
        </w:rPr>
        <w:t>-19-</w:t>
      </w:r>
    </w:p>
    <w:p w14:paraId="0D8DCC31" w14:textId="77777777" w:rsidR="00000000" w:rsidRDefault="000C49AD">
      <w:pPr>
        <w:rPr>
          <w:rFonts w:eastAsia="Times New Roman"/>
        </w:rPr>
      </w:pPr>
      <w:r>
        <w:rPr>
          <w:rFonts w:eastAsia="Times New Roman"/>
        </w:rPr>
        <w:pict w14:anchorId="73F0472B">
          <v:rect id="_x0000_i1043" style="width:0;height:1.5pt" o:hralign="center" o:hrstd="t" o:hr="t" fillcolor="#a0a0a0" stroked="f"/>
        </w:pict>
      </w:r>
    </w:p>
    <w:p w14:paraId="13DF2B53" w14:textId="77777777" w:rsidR="00000000" w:rsidRDefault="000C49AD">
      <w:pPr>
        <w:divId w:val="1502547187"/>
        <w:rPr>
          <w:rFonts w:eastAsia="Times New Roman"/>
        </w:rPr>
      </w:pPr>
    </w:p>
    <w:p w14:paraId="738DD97A" w14:textId="77777777" w:rsidR="00000000" w:rsidRDefault="000C49AD">
      <w:pPr>
        <w:jc w:val="both"/>
        <w:rPr>
          <w:rFonts w:eastAsia="Times New Roman"/>
        </w:rPr>
      </w:pPr>
      <w:r>
        <w:rPr>
          <w:rFonts w:eastAsia="Times New Roman"/>
          <w:color w:val="000000"/>
          <w:sz w:val="20"/>
          <w:szCs w:val="20"/>
        </w:rPr>
        <w:t>decision by a third-party payor not to cover a product could reduce physician usage and patient demand for the product and also have a material adverse effect on sales.</w:t>
      </w:r>
    </w:p>
    <w:p w14:paraId="23DD24B8" w14:textId="77777777" w:rsidR="00000000" w:rsidRDefault="000C49AD">
      <w:pPr>
        <w:jc w:val="both"/>
        <w:rPr>
          <w:rFonts w:eastAsia="Times New Roman"/>
        </w:rPr>
      </w:pPr>
    </w:p>
    <w:p w14:paraId="75D66302" w14:textId="77777777" w:rsidR="00000000" w:rsidRDefault="000C49AD">
      <w:pPr>
        <w:jc w:val="both"/>
        <w:rPr>
          <w:rFonts w:eastAsia="Times New Roman"/>
        </w:rPr>
      </w:pPr>
      <w:r>
        <w:rPr>
          <w:rFonts w:eastAsia="Times New Roman"/>
          <w:b/>
          <w:bCs/>
          <w:i/>
          <w:iCs/>
          <w:color w:val="000000"/>
          <w:sz w:val="20"/>
          <w:szCs w:val="20"/>
        </w:rPr>
        <w:t>Healthcare Reform</w:t>
      </w:r>
    </w:p>
    <w:p w14:paraId="3CA13E76" w14:textId="77777777" w:rsidR="00000000" w:rsidRDefault="000C49AD">
      <w:pPr>
        <w:divId w:val="1817331487"/>
        <w:rPr>
          <w:rFonts w:eastAsia="Times New Roman"/>
        </w:rPr>
      </w:pPr>
    </w:p>
    <w:p w14:paraId="10E5FCBA" w14:textId="77777777" w:rsidR="00000000" w:rsidRDefault="000C49AD">
      <w:pPr>
        <w:jc w:val="both"/>
        <w:rPr>
          <w:rFonts w:eastAsia="Times New Roman"/>
        </w:rPr>
      </w:pPr>
      <w:r>
        <w:rPr>
          <w:rFonts w:eastAsia="Times New Roman"/>
          <w:color w:val="000000"/>
          <w:sz w:val="20"/>
          <w:szCs w:val="20"/>
        </w:rPr>
        <w:t>In both the United States and certain foreign jur</w:t>
      </w:r>
      <w:r>
        <w:rPr>
          <w:rFonts w:eastAsia="Times New Roman"/>
          <w:color w:val="000000"/>
          <w:sz w:val="20"/>
          <w:szCs w:val="20"/>
        </w:rPr>
        <w:t>isdictions, there have been, and continue to be, a number of legislative and regulatory changes to the health care system. Among policy makers and payors in the United States and elsewhere, there is significant interest in promoting changes in healthcare s</w:t>
      </w:r>
      <w:r>
        <w:rPr>
          <w:rFonts w:eastAsia="Times New Roman"/>
          <w:color w:val="000000"/>
          <w:sz w:val="20"/>
          <w:szCs w:val="20"/>
        </w:rPr>
        <w:t xml:space="preserve">ystems with the stated goals of containing healthcare costs, improving quality and/or expanding access. In the United States, the pharmaceutical industry has been a particular focus of these efforts and has been significantly affected by major legislative </w:t>
      </w:r>
      <w:r>
        <w:rPr>
          <w:rFonts w:eastAsia="Times New Roman"/>
          <w:color w:val="000000"/>
          <w:sz w:val="20"/>
          <w:szCs w:val="20"/>
        </w:rPr>
        <w:t>initiatives. In particular, in 2010, the ACA was enacted, which, among other things, increased the minimum Medicaid rebates owed by most manufacturers under the Medicaid Drug Rebate Program, extended the Medicaid Drug Rebate Program to utilization of presc</w:t>
      </w:r>
      <w:r>
        <w:rPr>
          <w:rFonts w:eastAsia="Times New Roman"/>
          <w:color w:val="000000"/>
          <w:sz w:val="20"/>
          <w:szCs w:val="20"/>
        </w:rPr>
        <w:t>riptions of individuals enrolled in Medicaid managed care organizations, subjected manufacturers to new annual fees and taxes for certain branded prescription drugs, and provided incentives to programs that increase the federal government’s comparative eff</w:t>
      </w:r>
      <w:r>
        <w:rPr>
          <w:rFonts w:eastAsia="Times New Roman"/>
          <w:color w:val="000000"/>
          <w:sz w:val="20"/>
          <w:szCs w:val="20"/>
        </w:rPr>
        <w:t>ectiveness research.</w:t>
      </w:r>
    </w:p>
    <w:p w14:paraId="621D2676" w14:textId="77777777" w:rsidR="00000000" w:rsidRDefault="000C49AD">
      <w:pPr>
        <w:divId w:val="226763052"/>
        <w:rPr>
          <w:rFonts w:eastAsia="Times New Roman"/>
        </w:rPr>
      </w:pPr>
    </w:p>
    <w:p w14:paraId="1359743B" w14:textId="77777777" w:rsidR="00000000" w:rsidRDefault="000C49AD">
      <w:pPr>
        <w:jc w:val="both"/>
        <w:rPr>
          <w:rFonts w:eastAsia="Times New Roman"/>
        </w:rPr>
      </w:pPr>
      <w:r>
        <w:rPr>
          <w:rFonts w:eastAsia="Times New Roman"/>
          <w:color w:val="000000"/>
          <w:sz w:val="20"/>
          <w:szCs w:val="20"/>
        </w:rPr>
        <w:t>Since its enactment, there have been numerous judicial, administrative, executive, and</w:t>
      </w:r>
      <w:r>
        <w:rPr>
          <w:rFonts w:eastAsia="Times New Roman"/>
          <w:color w:val="000000"/>
        </w:rPr>
        <w:t xml:space="preserve"> </w:t>
      </w:r>
      <w:r>
        <w:rPr>
          <w:rFonts w:eastAsia="Times New Roman"/>
          <w:color w:val="000000"/>
          <w:sz w:val="20"/>
          <w:szCs w:val="20"/>
        </w:rPr>
        <w:t>legislative efforts to expand, repeal, replace or modify the ACA, some of which have been successful, in part, in modifying the law, as well as co</w:t>
      </w:r>
      <w:r>
        <w:rPr>
          <w:rFonts w:eastAsia="Times New Roman"/>
          <w:color w:val="000000"/>
          <w:sz w:val="20"/>
          <w:szCs w:val="20"/>
        </w:rPr>
        <w:t>urt challenges to the constitutionality of the law. On June 17, 2021, the U.S. Supreme Court dismissed the most recent judicial challenge to the ACA brought by several states without specifically ruling on the constitutionality of the ACA. Prior to the Sup</w:t>
      </w:r>
      <w:r>
        <w:rPr>
          <w:rFonts w:eastAsia="Times New Roman"/>
          <w:color w:val="000000"/>
          <w:sz w:val="20"/>
          <w:szCs w:val="20"/>
        </w:rPr>
        <w:t>reme Court’s decision, President Biden issued an executive order to initiate a special enrollment period from February 15, 2021 through August 15, 2021 for purposes of obtaining health insurance coverage through the ACA marketplace. The executive order als</w:t>
      </w:r>
      <w:r>
        <w:rPr>
          <w:rFonts w:eastAsia="Times New Roman"/>
          <w:color w:val="000000"/>
          <w:sz w:val="20"/>
          <w:szCs w:val="20"/>
        </w:rPr>
        <w:t>o instructed certain governmental agencies to review and reconsider their existing policies and rules that limit access to healthcare, including among others, reexamining Medicaid demonstration projects and waiver programs that include work requirements, a</w:t>
      </w:r>
      <w:r>
        <w:rPr>
          <w:rFonts w:eastAsia="Times New Roman"/>
          <w:color w:val="000000"/>
          <w:sz w:val="20"/>
          <w:szCs w:val="20"/>
        </w:rPr>
        <w:t>nd policies that create unnecessary barriers to obtaining access to health insurance coverage through Medicaid or the ACA. It is unclear how other healthcare reform measures of the Biden administration or other efforts, if any, to challenge, repeal or repl</w:t>
      </w:r>
      <w:r>
        <w:rPr>
          <w:rFonts w:eastAsia="Times New Roman"/>
          <w:color w:val="000000"/>
          <w:sz w:val="20"/>
          <w:szCs w:val="20"/>
        </w:rPr>
        <w:t>ace the ACA will impact our business.</w:t>
      </w:r>
    </w:p>
    <w:p w14:paraId="69CCBC78" w14:textId="77777777" w:rsidR="00000000" w:rsidRDefault="000C49AD">
      <w:pPr>
        <w:divId w:val="432045911"/>
        <w:rPr>
          <w:rFonts w:eastAsia="Times New Roman"/>
        </w:rPr>
      </w:pPr>
    </w:p>
    <w:p w14:paraId="6E673AE8" w14:textId="77777777" w:rsidR="00000000" w:rsidRDefault="000C49AD">
      <w:pPr>
        <w:jc w:val="both"/>
        <w:rPr>
          <w:rFonts w:eastAsia="Times New Roman"/>
        </w:rPr>
      </w:pPr>
      <w:r>
        <w:rPr>
          <w:rFonts w:eastAsia="Times New Roman"/>
          <w:color w:val="000000"/>
          <w:sz w:val="20"/>
          <w:szCs w:val="20"/>
        </w:rPr>
        <w:t>Prior to the Biden administration, on October 13, 2017, former President Trump signed an Executive Order terminating the cost-sharing subsidies that reimburse insurers under the ACA. The former Trump administration c</w:t>
      </w:r>
      <w:r>
        <w:rPr>
          <w:rFonts w:eastAsia="Times New Roman"/>
          <w:color w:val="000000"/>
          <w:sz w:val="20"/>
          <w:szCs w:val="20"/>
        </w:rPr>
        <w:t xml:space="preserve">oncluded that cost-sharing reduction (“ CSR”), payments to insurance companies required under the ACA have not received necessary appropriations from Congress and announced that it will discontinue these payments immediately until those appropriations are </w:t>
      </w:r>
      <w:r>
        <w:rPr>
          <w:rFonts w:eastAsia="Times New Roman"/>
          <w:color w:val="000000"/>
          <w:sz w:val="20"/>
          <w:szCs w:val="20"/>
        </w:rPr>
        <w:t>made. Several state attorneys general filed suit to stop the administration from terminating the subsidies, but their request for a restraining order was denied by a federal judge in California on October 25, 2017. On August 14, 2020, the U.S. Court of App</w:t>
      </w:r>
      <w:r>
        <w:rPr>
          <w:rFonts w:eastAsia="Times New Roman"/>
          <w:color w:val="000000"/>
          <w:sz w:val="20"/>
          <w:szCs w:val="20"/>
        </w:rPr>
        <w:t>eals for the Federal Circuit ruled in two separate cases that the federal government is liable for the full amount of unpaid CSRs for the years preceding and including 2017. For CSR claims made by health insurance companies for years 2018 and later, furthe</w:t>
      </w:r>
      <w:r>
        <w:rPr>
          <w:rFonts w:eastAsia="Times New Roman"/>
          <w:color w:val="000000"/>
          <w:sz w:val="20"/>
          <w:szCs w:val="20"/>
        </w:rPr>
        <w:t>r litigation will be required to determine the amounts due, if any. Further, on June 14, 2018, the U.S. Court of Appeals for the Federal Circuit ruled that the federal government was not required to pay more than $12 billion in ACA risk corridor payments t</w:t>
      </w:r>
      <w:r>
        <w:rPr>
          <w:rFonts w:eastAsia="Times New Roman"/>
          <w:color w:val="000000"/>
          <w:sz w:val="20"/>
          <w:szCs w:val="20"/>
        </w:rPr>
        <w:t>o third-party payors who argued the payments were owed to them. On April 27, 2020, the United States Supreme Court reversed the U.S. Court of Appeals for the Federal Circuit's decision and remanded the case to the U.S. Court of Federal Claims, concluding t</w:t>
      </w:r>
      <w:r>
        <w:rPr>
          <w:rFonts w:eastAsia="Times New Roman"/>
          <w:color w:val="000000"/>
          <w:sz w:val="20"/>
          <w:szCs w:val="20"/>
        </w:rPr>
        <w:t>he government has an obligation to pay these risk corridor payments under the relevant formula. It is unclear what impact these rulings will have on our business.</w:t>
      </w:r>
    </w:p>
    <w:p w14:paraId="094BC507" w14:textId="77777777" w:rsidR="00000000" w:rsidRDefault="000C49AD">
      <w:pPr>
        <w:divId w:val="1354650124"/>
        <w:rPr>
          <w:rFonts w:eastAsia="Times New Roman"/>
        </w:rPr>
      </w:pPr>
    </w:p>
    <w:p w14:paraId="3AD26301" w14:textId="77777777" w:rsidR="00000000" w:rsidRDefault="000C49AD">
      <w:pPr>
        <w:jc w:val="both"/>
        <w:rPr>
          <w:rFonts w:eastAsia="Times New Roman"/>
        </w:rPr>
      </w:pPr>
      <w:r>
        <w:rPr>
          <w:rFonts w:eastAsia="Times New Roman"/>
          <w:color w:val="000000"/>
          <w:sz w:val="20"/>
          <w:szCs w:val="20"/>
        </w:rPr>
        <w:t>In addition, other legislative and regulatory changes have been proposed and adopted in the</w:t>
      </w:r>
      <w:r>
        <w:rPr>
          <w:rFonts w:eastAsia="Times New Roman"/>
          <w:color w:val="000000"/>
          <w:sz w:val="20"/>
          <w:szCs w:val="20"/>
        </w:rPr>
        <w:t xml:space="preserve"> United States since the ACA was enacted:</w:t>
      </w:r>
    </w:p>
    <w:p w14:paraId="342CDF73" w14:textId="77777777" w:rsidR="00000000" w:rsidRDefault="000C49AD">
      <w:pPr>
        <w:divId w:val="751512650"/>
        <w:rPr>
          <w:rFonts w:eastAsia="Times New Roman"/>
        </w:rPr>
      </w:pPr>
    </w:p>
    <w:p w14:paraId="3885208F" w14:textId="77777777" w:rsidR="00000000" w:rsidRDefault="000C49AD">
      <w:pPr>
        <w:ind w:hanging="360"/>
        <w:jc w:val="both"/>
        <w:rPr>
          <w:rFonts w:eastAsia="Times New Roman"/>
        </w:rPr>
      </w:pPr>
      <w:r>
        <w:rPr>
          <w:rFonts w:eastAsia="Times New Roman"/>
          <w:color w:val="000000"/>
          <w:sz w:val="20"/>
          <w:szCs w:val="20"/>
        </w:rPr>
        <w:t>•On August 2, 2011, the U.S. Budget Control Act of 2011, among other things, included aggregate reductions of Medicare payments to providers of 2% per fiscal year. These reductions went into effect on April 1, 20</w:t>
      </w:r>
      <w:r>
        <w:rPr>
          <w:rFonts w:eastAsia="Times New Roman"/>
          <w:color w:val="000000"/>
          <w:sz w:val="20"/>
          <w:szCs w:val="20"/>
        </w:rPr>
        <w:t>13 and, due to subsequent legislative amendments to the statute, will remain in effect through 2030, with the exception of a temporary suspension from May 1, 2020 through March 31, 2022 due to the COVID-19 pandemic. Following the temporary suspension, a 1%</w:t>
      </w:r>
      <w:r>
        <w:rPr>
          <w:rFonts w:eastAsia="Times New Roman"/>
          <w:color w:val="000000"/>
          <w:sz w:val="20"/>
          <w:szCs w:val="20"/>
        </w:rPr>
        <w:t xml:space="preserve"> payment reduction will occur beginning April 1, 2022 through June 30, 2022, and the 2% payment reduction will resume on July 1, 2022.</w:t>
      </w:r>
    </w:p>
    <w:p w14:paraId="663EE95C" w14:textId="77777777" w:rsidR="00000000" w:rsidRDefault="000C49AD">
      <w:pPr>
        <w:jc w:val="both"/>
        <w:rPr>
          <w:rFonts w:eastAsia="Times New Roman"/>
        </w:rPr>
      </w:pPr>
    </w:p>
    <w:p w14:paraId="168B5F57" w14:textId="77777777" w:rsidR="00000000" w:rsidRDefault="000C49AD">
      <w:pPr>
        <w:ind w:hanging="360"/>
        <w:jc w:val="both"/>
        <w:rPr>
          <w:rFonts w:eastAsia="Times New Roman"/>
        </w:rPr>
      </w:pPr>
      <w:r>
        <w:rPr>
          <w:rFonts w:eastAsia="Times New Roman"/>
          <w:color w:val="000000"/>
          <w:sz w:val="20"/>
          <w:szCs w:val="20"/>
        </w:rPr>
        <w:t>•On January 2, 2013, the U.S. American Taxpayer Relief Act of 2012 was signed into law, which, among other things, furt</w:t>
      </w:r>
      <w:r>
        <w:rPr>
          <w:rFonts w:eastAsia="Times New Roman"/>
          <w:color w:val="000000"/>
          <w:sz w:val="20"/>
          <w:szCs w:val="20"/>
        </w:rPr>
        <w:t>her reduced Medicare payments to several types of providers.</w:t>
      </w:r>
    </w:p>
    <w:p w14:paraId="7BD55C2D" w14:textId="77777777" w:rsidR="00000000" w:rsidRDefault="000C49AD">
      <w:pPr>
        <w:jc w:val="both"/>
        <w:rPr>
          <w:rFonts w:eastAsia="Times New Roman"/>
        </w:rPr>
      </w:pPr>
    </w:p>
    <w:p w14:paraId="433E26CE" w14:textId="77777777" w:rsidR="00000000" w:rsidRDefault="000C49AD">
      <w:pPr>
        <w:ind w:hanging="360"/>
        <w:jc w:val="both"/>
        <w:rPr>
          <w:rFonts w:eastAsia="Times New Roman"/>
        </w:rPr>
      </w:pPr>
      <w:r>
        <w:rPr>
          <w:rFonts w:eastAsia="Times New Roman"/>
          <w:color w:val="000000"/>
          <w:sz w:val="20"/>
          <w:szCs w:val="20"/>
        </w:rPr>
        <w:t>•On April 13, 2017, CMS published a final rule that gives states greater flexibility in setting benchmarks for insurers in the individual and small group marketplaces, which may have the effect</w:t>
      </w:r>
      <w:r>
        <w:rPr>
          <w:rFonts w:eastAsia="Times New Roman"/>
          <w:color w:val="000000"/>
          <w:sz w:val="20"/>
          <w:szCs w:val="20"/>
        </w:rPr>
        <w:t xml:space="preserve"> of relaxing the essential health benefits required under the ACA for plans sold through such marketplaces.</w:t>
      </w:r>
    </w:p>
    <w:p w14:paraId="42637B70" w14:textId="77777777" w:rsidR="00000000" w:rsidRDefault="000C49AD">
      <w:pPr>
        <w:jc w:val="center"/>
        <w:divId w:val="769014114"/>
        <w:rPr>
          <w:rFonts w:eastAsia="Times New Roman"/>
        </w:rPr>
      </w:pPr>
      <w:r>
        <w:rPr>
          <w:rFonts w:eastAsia="Times New Roman"/>
          <w:color w:val="000000"/>
          <w:sz w:val="20"/>
          <w:szCs w:val="20"/>
        </w:rPr>
        <w:t>-20-</w:t>
      </w:r>
    </w:p>
    <w:p w14:paraId="7D833FEA" w14:textId="77777777" w:rsidR="00000000" w:rsidRDefault="000C49AD">
      <w:pPr>
        <w:rPr>
          <w:rFonts w:eastAsia="Times New Roman"/>
        </w:rPr>
      </w:pPr>
      <w:r>
        <w:rPr>
          <w:rFonts w:eastAsia="Times New Roman"/>
        </w:rPr>
        <w:pict w14:anchorId="63E73FBE">
          <v:rect id="_x0000_i1044" style="width:0;height:1.5pt" o:hralign="center" o:hrstd="t" o:hr="t" fillcolor="#a0a0a0" stroked="f"/>
        </w:pict>
      </w:r>
    </w:p>
    <w:p w14:paraId="2F37F81C" w14:textId="77777777" w:rsidR="00000000" w:rsidRDefault="000C49AD">
      <w:pPr>
        <w:divId w:val="604776880"/>
        <w:rPr>
          <w:rFonts w:eastAsia="Times New Roman"/>
        </w:rPr>
      </w:pPr>
    </w:p>
    <w:p w14:paraId="113606A4" w14:textId="77777777" w:rsidR="00000000" w:rsidRDefault="000C49AD">
      <w:pPr>
        <w:jc w:val="both"/>
        <w:rPr>
          <w:rFonts w:eastAsia="Times New Roman"/>
        </w:rPr>
      </w:pPr>
    </w:p>
    <w:p w14:paraId="60A98B75" w14:textId="77777777" w:rsidR="00000000" w:rsidRDefault="000C49AD">
      <w:pPr>
        <w:ind w:hanging="360"/>
        <w:jc w:val="both"/>
        <w:rPr>
          <w:rFonts w:eastAsia="Times New Roman"/>
        </w:rPr>
      </w:pPr>
      <w:r>
        <w:rPr>
          <w:rFonts w:eastAsia="Times New Roman"/>
          <w:color w:val="000000"/>
          <w:sz w:val="20"/>
          <w:szCs w:val="20"/>
        </w:rPr>
        <w:t>•On May 30, 2018, the Right to Try Act, was signed into law. The law, among other things, provides a f</w:t>
      </w:r>
      <w:r>
        <w:rPr>
          <w:rFonts w:eastAsia="Times New Roman"/>
          <w:color w:val="000000"/>
          <w:sz w:val="20"/>
          <w:szCs w:val="20"/>
        </w:rPr>
        <w:t>ederal framework for certain patients to access certain investigational new drug products that have completed a Phase 1 clinical trial and that are undergoing investigation for FDA approval. Under certain circumstances, eligible patients can seek treatment</w:t>
      </w:r>
      <w:r>
        <w:rPr>
          <w:rFonts w:eastAsia="Times New Roman"/>
          <w:color w:val="000000"/>
          <w:sz w:val="20"/>
          <w:szCs w:val="20"/>
        </w:rPr>
        <w:t xml:space="preserve"> without enrolling in clinical trials and without obtaining FDA permission under the FDA expanded access program. There is no obligation for a pharmaceutical manufacturer to make its drug products available to eligible patients as a result of the Right to </w:t>
      </w:r>
      <w:r>
        <w:rPr>
          <w:rFonts w:eastAsia="Times New Roman"/>
          <w:color w:val="000000"/>
          <w:sz w:val="20"/>
          <w:szCs w:val="20"/>
        </w:rPr>
        <w:t xml:space="preserve">Try Act. </w:t>
      </w:r>
    </w:p>
    <w:p w14:paraId="6357E516" w14:textId="77777777" w:rsidR="00000000" w:rsidRDefault="000C49AD">
      <w:pPr>
        <w:jc w:val="both"/>
        <w:rPr>
          <w:rFonts w:eastAsia="Times New Roman"/>
        </w:rPr>
      </w:pPr>
    </w:p>
    <w:p w14:paraId="3DFC782D" w14:textId="77777777" w:rsidR="00000000" w:rsidRDefault="000C49AD">
      <w:pPr>
        <w:ind w:hanging="360"/>
        <w:jc w:val="both"/>
        <w:rPr>
          <w:rFonts w:eastAsia="Times New Roman"/>
        </w:rPr>
      </w:pPr>
      <w:r>
        <w:rPr>
          <w:rFonts w:eastAsia="Times New Roman"/>
          <w:color w:val="000000"/>
          <w:sz w:val="20"/>
          <w:szCs w:val="20"/>
        </w:rPr>
        <w:t>•On</w:t>
      </w:r>
      <w:r>
        <w:rPr>
          <w:rFonts w:eastAsia="Times New Roman"/>
          <w:color w:val="000000"/>
          <w:sz w:val="20"/>
          <w:szCs w:val="20"/>
        </w:rPr>
        <w:t> </w:t>
      </w:r>
      <w:r>
        <w:rPr>
          <w:rFonts w:eastAsia="Times New Roman"/>
          <w:color w:val="000000"/>
          <w:sz w:val="20"/>
          <w:szCs w:val="20"/>
        </w:rPr>
        <w:t>May 23, 2019, CMS published a final rule to allow Medicare Advantage Plans the option of using step therapy for Part B drugs beginning January 1, 2020.</w:t>
      </w:r>
    </w:p>
    <w:p w14:paraId="199B2181" w14:textId="77777777" w:rsidR="00000000" w:rsidRDefault="000C49AD">
      <w:pPr>
        <w:jc w:val="both"/>
        <w:rPr>
          <w:rFonts w:eastAsia="Times New Roman"/>
        </w:rPr>
      </w:pPr>
    </w:p>
    <w:p w14:paraId="6F610C74" w14:textId="77777777" w:rsidR="00000000" w:rsidRDefault="000C49AD">
      <w:pPr>
        <w:ind w:hanging="360"/>
        <w:jc w:val="both"/>
        <w:rPr>
          <w:rFonts w:eastAsia="Times New Roman"/>
        </w:rPr>
      </w:pPr>
      <w:r>
        <w:rPr>
          <w:rFonts w:eastAsia="Times New Roman"/>
          <w:color w:val="000000"/>
          <w:sz w:val="20"/>
          <w:szCs w:val="20"/>
        </w:rPr>
        <w:t xml:space="preserve">•On December 20, 2019, former President Trump signed into law the Further Consolidated Appropriations </w:t>
      </w:r>
      <w:r>
        <w:rPr>
          <w:rFonts w:eastAsia="Times New Roman"/>
          <w:color w:val="000000"/>
          <w:sz w:val="20"/>
          <w:szCs w:val="20"/>
        </w:rPr>
        <w:t>Act (H.R. 1865), which repealed the Cadillac tax, the health insurance provider tax, and the medical device excise tax. It is impossible to determine whether similar taxes could be instated in the future.</w:t>
      </w:r>
    </w:p>
    <w:p w14:paraId="7927BFFD" w14:textId="77777777" w:rsidR="00000000" w:rsidRDefault="000C49AD">
      <w:pPr>
        <w:jc w:val="both"/>
        <w:rPr>
          <w:rFonts w:eastAsia="Times New Roman"/>
        </w:rPr>
      </w:pPr>
    </w:p>
    <w:p w14:paraId="04FD44E0" w14:textId="77777777" w:rsidR="00000000" w:rsidRDefault="000C49AD">
      <w:pPr>
        <w:jc w:val="both"/>
        <w:rPr>
          <w:rFonts w:eastAsia="Times New Roman"/>
        </w:rPr>
      </w:pPr>
      <w:r>
        <w:rPr>
          <w:rFonts w:eastAsia="Times New Roman"/>
          <w:color w:val="000000"/>
          <w:sz w:val="20"/>
          <w:szCs w:val="20"/>
        </w:rPr>
        <w:t>There has been heightened governmental scrutiny i</w:t>
      </w:r>
      <w:r>
        <w:rPr>
          <w:rFonts w:eastAsia="Times New Roman"/>
          <w:color w:val="000000"/>
          <w:sz w:val="20"/>
          <w:szCs w:val="20"/>
        </w:rPr>
        <w:t>n the United States of pharmaceutical pricing practices in light of the rising cost of prescription drugs and biologics. At a federal level, President Biden signed an Executive Order on July 9, 2021 affirming the administration’s policy to (i) support legi</w:t>
      </w:r>
      <w:r>
        <w:rPr>
          <w:rFonts w:eastAsia="Times New Roman"/>
          <w:color w:val="000000"/>
          <w:sz w:val="20"/>
          <w:szCs w:val="20"/>
        </w:rPr>
        <w:t>slative reforms that would lower the prices of prescription drug and biologics, including by allowing Medicare to negotiate drug prices, by imposing inflation caps, and, by supporting the development and market entry of lower-cost generic drugs and biosimi</w:t>
      </w:r>
      <w:r>
        <w:rPr>
          <w:rFonts w:eastAsia="Times New Roman"/>
          <w:color w:val="000000"/>
          <w:sz w:val="20"/>
          <w:szCs w:val="20"/>
        </w:rPr>
        <w:t>lars; and (ii) support the enactment of a public health insurance option. Among other things, the Executive Order also directs HHS to provide a report on actions to combat excessive pricing of prescription drugs, enhance the domestic drug supply chain, red</w:t>
      </w:r>
      <w:r>
        <w:rPr>
          <w:rFonts w:eastAsia="Times New Roman"/>
          <w:color w:val="000000"/>
          <w:sz w:val="20"/>
          <w:szCs w:val="20"/>
        </w:rPr>
        <w:t>uce the price that the Federal government pays for drugs, and address price gouging in the industry; and directs the FDA to work with states and Indian Tribes that propose to develop section 804 Importation Programs in accordance with the Medicare Prescrip</w:t>
      </w:r>
      <w:r>
        <w:rPr>
          <w:rFonts w:eastAsia="Times New Roman"/>
          <w:color w:val="000000"/>
          <w:sz w:val="20"/>
          <w:szCs w:val="20"/>
        </w:rPr>
        <w:t xml:space="preserve">tion Drug, Improvement, and Modernization Act of 2003, and the FDA’s implementing regulations. FDA released such implementing regulations on September 24, 2020, which went into effect on November 30, 2020, providing guidance for states to build and submit </w:t>
      </w:r>
      <w:r>
        <w:rPr>
          <w:rFonts w:eastAsia="Times New Roman"/>
          <w:color w:val="000000"/>
          <w:sz w:val="20"/>
          <w:szCs w:val="20"/>
        </w:rPr>
        <w:t>importation plans for drugs from Canada. On September 25, 2020, CMS stated drugs imported by states under this rule will not be eligible for federal rebates under Section 1927 of the Social Security Act and manufacturers would not report these drugs for “b</w:t>
      </w:r>
      <w:r>
        <w:rPr>
          <w:rFonts w:eastAsia="Times New Roman"/>
          <w:color w:val="000000"/>
          <w:sz w:val="20"/>
          <w:szCs w:val="20"/>
        </w:rPr>
        <w:t>est price” or Average Manufacturer Price purposes. Since these drugs are not considered covered outpatient drugs, CMS further stated it will not publish a National Average Drug Acquisition Cost for these drugs. If implemented, importation of drugs from Can</w:t>
      </w:r>
      <w:r>
        <w:rPr>
          <w:rFonts w:eastAsia="Times New Roman"/>
          <w:color w:val="000000"/>
          <w:sz w:val="20"/>
          <w:szCs w:val="20"/>
        </w:rPr>
        <w:t>ada may materially and adversely affect the price we receive for any of our product candidates. Further, on November 20, 2020 CMS issued an Interim Final Rule implementing the Most Favored Nation (“MFN”) Model under which Medicare Part B reimbursement rate</w:t>
      </w:r>
      <w:r>
        <w:rPr>
          <w:rFonts w:eastAsia="Times New Roman"/>
          <w:color w:val="000000"/>
          <w:sz w:val="20"/>
          <w:szCs w:val="20"/>
        </w:rPr>
        <w:t>s would have been be calculated for certain drugs and biologicals based on the lowest price drug manufacturers receive in Organization for Economic Cooperation and Development countries with a similar gross domestic product per capita.</w:t>
      </w:r>
      <w:r>
        <w:rPr>
          <w:rFonts w:eastAsia="Times New Roman"/>
          <w:color w:val="000000"/>
        </w:rPr>
        <w:t xml:space="preserve"> </w:t>
      </w:r>
      <w:r>
        <w:rPr>
          <w:rFonts w:eastAsia="Times New Roman"/>
          <w:color w:val="000000"/>
          <w:sz w:val="20"/>
          <w:szCs w:val="20"/>
        </w:rPr>
        <w:t>However, on December</w:t>
      </w:r>
      <w:r>
        <w:rPr>
          <w:rFonts w:eastAsia="Times New Roman"/>
          <w:color w:val="000000"/>
          <w:sz w:val="20"/>
          <w:szCs w:val="20"/>
        </w:rPr>
        <w:t xml:space="preserve"> 29, 2021 CMS rescinded the Most Favored Nations rule. Additionally, on November 30, 2020, HHS published a regulation removing safe harbor protection for price reductions from pharmaceutical manufacturers to plan sponsors under Part D, either directly or t</w:t>
      </w:r>
      <w:r>
        <w:rPr>
          <w:rFonts w:eastAsia="Times New Roman"/>
          <w:color w:val="000000"/>
          <w:sz w:val="20"/>
          <w:szCs w:val="20"/>
        </w:rPr>
        <w:t>hrough pharmacy benefit managers, unless the price reduction is required by law. The rule also creates a new safe harbor for price reductions reflected at the point-of-sale, as well as a safe harbor for certain fixed fee arrangements between pharmacy benef</w:t>
      </w:r>
      <w:r>
        <w:rPr>
          <w:rFonts w:eastAsia="Times New Roman"/>
          <w:color w:val="000000"/>
          <w:sz w:val="20"/>
          <w:szCs w:val="20"/>
        </w:rPr>
        <w:t>it managers and manufacturers. Pursuant to court order, the removal and addition of the aforementioned safe harbors were delayed and recent legislation imposed a moratorium on implementation of the rule until January 1, 2026. Although a number of these and</w:t>
      </w:r>
      <w:r>
        <w:rPr>
          <w:rFonts w:eastAsia="Times New Roman"/>
          <w:color w:val="000000"/>
          <w:sz w:val="20"/>
          <w:szCs w:val="20"/>
        </w:rPr>
        <w:t xml:space="preserve"> other proposed measures may require authorization through additional legislation to become effective, and the Biden administration may reverse or otherwise change these measures, both the Biden administration and Congress have indicated that they will con</w:t>
      </w:r>
      <w:r>
        <w:rPr>
          <w:rFonts w:eastAsia="Times New Roman"/>
          <w:color w:val="000000"/>
          <w:sz w:val="20"/>
          <w:szCs w:val="20"/>
        </w:rPr>
        <w:t>tinue to seek new legislative measures to control drug costs.</w:t>
      </w:r>
    </w:p>
    <w:p w14:paraId="0347F183" w14:textId="77777777" w:rsidR="00000000" w:rsidRDefault="000C49AD">
      <w:pPr>
        <w:jc w:val="both"/>
        <w:rPr>
          <w:rFonts w:eastAsia="Times New Roman"/>
        </w:rPr>
      </w:pPr>
    </w:p>
    <w:p w14:paraId="7A08E18A" w14:textId="77777777" w:rsidR="00000000" w:rsidRDefault="000C49AD">
      <w:pPr>
        <w:jc w:val="both"/>
        <w:rPr>
          <w:rFonts w:eastAsia="Times New Roman"/>
        </w:rPr>
      </w:pPr>
      <w:r>
        <w:rPr>
          <w:rFonts w:eastAsia="Times New Roman"/>
          <w:color w:val="000000"/>
          <w:sz w:val="20"/>
          <w:szCs w:val="20"/>
        </w:rPr>
        <w:t>There have been several changes to the 340B drug pricing program, which imposes ceilings on prices that drug manufacturers can charge for medications sold to certain health care facilities. On</w:t>
      </w:r>
      <w:r>
        <w:rPr>
          <w:rFonts w:eastAsia="Times New Roman"/>
          <w:color w:val="000000"/>
          <w:sz w:val="20"/>
          <w:szCs w:val="20"/>
        </w:rPr>
        <w:t xml:space="preserve"> December 27, 2018, the District Court for the District of Columbia invalidated a reimbursement formula change under the 340B drug pricing program, and CMS subsequently altered the FYs 2019 and 2018 reimbursement formula on specified covered outpatient dru</w:t>
      </w:r>
      <w:r>
        <w:rPr>
          <w:rFonts w:eastAsia="Times New Roman"/>
          <w:color w:val="000000"/>
          <w:sz w:val="20"/>
          <w:szCs w:val="20"/>
        </w:rPr>
        <w:t xml:space="preserve">gs (“SCODs”). The court ruled this change was not an “adjustment” which was within the secretary of HHS’s discretion to make but was instead a fundamental change in the reimbursement calculation. However, most recently, on July 31, 2020, the U.S. Court of </w:t>
      </w:r>
      <w:r>
        <w:rPr>
          <w:rFonts w:eastAsia="Times New Roman"/>
          <w:color w:val="000000"/>
          <w:sz w:val="20"/>
          <w:szCs w:val="20"/>
        </w:rPr>
        <w:t>Appeals for the District of Columbia Circuit overturned the district court’s decision and found that the changes were within the Secretary’s authority. On September 14, 2020, the plaintiffs-appellees filed a Petition for Rehearing En Banc (i.e., before the</w:t>
      </w:r>
      <w:r>
        <w:rPr>
          <w:rFonts w:eastAsia="Times New Roman"/>
          <w:color w:val="000000"/>
          <w:sz w:val="20"/>
          <w:szCs w:val="20"/>
        </w:rPr>
        <w:t xml:space="preserve"> full court), but was denied on October 16, 2020. Plaintiffs-appellees filed a petition for a writ of certiorari at the Supreme Court on February 10, 2021. On Friday July 2, 2021, the Supreme Court granted the petition. It is unclear how these developments</w:t>
      </w:r>
      <w:r>
        <w:rPr>
          <w:rFonts w:eastAsia="Times New Roman"/>
          <w:color w:val="000000"/>
          <w:sz w:val="20"/>
          <w:szCs w:val="20"/>
        </w:rPr>
        <w:t xml:space="preserve"> could affect covered hospitals who might purchase our future products and affect the rates we may charge such facilities for our approved products in the future, if any.</w:t>
      </w:r>
    </w:p>
    <w:p w14:paraId="41C158C1" w14:textId="77777777" w:rsidR="00000000" w:rsidRDefault="000C49AD">
      <w:pPr>
        <w:jc w:val="both"/>
        <w:rPr>
          <w:rFonts w:eastAsia="Times New Roman"/>
        </w:rPr>
      </w:pPr>
    </w:p>
    <w:p w14:paraId="3176CAFE" w14:textId="77777777" w:rsidR="00000000" w:rsidRDefault="000C49AD">
      <w:pPr>
        <w:jc w:val="center"/>
        <w:divId w:val="510536308"/>
        <w:rPr>
          <w:rFonts w:eastAsia="Times New Roman"/>
        </w:rPr>
      </w:pPr>
      <w:r>
        <w:rPr>
          <w:rFonts w:eastAsia="Times New Roman"/>
          <w:color w:val="000000"/>
          <w:sz w:val="20"/>
          <w:szCs w:val="20"/>
        </w:rPr>
        <w:t>-21-</w:t>
      </w:r>
    </w:p>
    <w:p w14:paraId="355634D0" w14:textId="77777777" w:rsidR="00000000" w:rsidRDefault="000C49AD">
      <w:pPr>
        <w:rPr>
          <w:rFonts w:eastAsia="Times New Roman"/>
        </w:rPr>
      </w:pPr>
      <w:r>
        <w:rPr>
          <w:rFonts w:eastAsia="Times New Roman"/>
        </w:rPr>
        <w:pict w14:anchorId="3985576E">
          <v:rect id="_x0000_i1045" style="width:0;height:1.5pt" o:hralign="center" o:hrstd="t" o:hr="t" fillcolor="#a0a0a0" stroked="f"/>
        </w:pict>
      </w:r>
    </w:p>
    <w:p w14:paraId="4734CE6D" w14:textId="77777777" w:rsidR="00000000" w:rsidRDefault="000C49AD">
      <w:pPr>
        <w:divId w:val="1113399360"/>
        <w:rPr>
          <w:rFonts w:eastAsia="Times New Roman"/>
        </w:rPr>
      </w:pPr>
    </w:p>
    <w:p w14:paraId="4FE014A5" w14:textId="77777777" w:rsidR="00000000" w:rsidRDefault="000C49AD">
      <w:pPr>
        <w:jc w:val="both"/>
        <w:rPr>
          <w:rFonts w:eastAsia="Times New Roman"/>
        </w:rPr>
      </w:pPr>
      <w:r>
        <w:rPr>
          <w:rFonts w:eastAsia="Times New Roman"/>
          <w:color w:val="000000"/>
          <w:sz w:val="20"/>
          <w:szCs w:val="20"/>
        </w:rPr>
        <w:t>Individual states in the United States h</w:t>
      </w:r>
      <w:r>
        <w:rPr>
          <w:rFonts w:eastAsia="Times New Roman"/>
          <w:color w:val="000000"/>
          <w:sz w:val="20"/>
          <w:szCs w:val="20"/>
        </w:rPr>
        <w:t>ave also increasingly passed legislation and implemented regulations designed to control pharmaceutical product pricing, including price or patient reimbursement constraints, discounts, restrictions on certain product access and marketing cost disclosure a</w:t>
      </w:r>
      <w:r>
        <w:rPr>
          <w:rFonts w:eastAsia="Times New Roman"/>
          <w:color w:val="000000"/>
          <w:sz w:val="20"/>
          <w:szCs w:val="20"/>
        </w:rPr>
        <w:t>nd transparency measures, and, in some cases, designed to encourage importation from other countries and bulk purchasing.</w:t>
      </w:r>
    </w:p>
    <w:p w14:paraId="6284F11B" w14:textId="77777777" w:rsidR="00000000" w:rsidRDefault="000C49AD">
      <w:pPr>
        <w:jc w:val="both"/>
        <w:rPr>
          <w:rFonts w:eastAsia="Times New Roman"/>
        </w:rPr>
      </w:pPr>
    </w:p>
    <w:p w14:paraId="2122799E" w14:textId="77777777" w:rsidR="00000000" w:rsidRDefault="000C49AD">
      <w:pPr>
        <w:jc w:val="both"/>
        <w:rPr>
          <w:rFonts w:eastAsia="Times New Roman"/>
        </w:rPr>
      </w:pPr>
      <w:r>
        <w:rPr>
          <w:rFonts w:eastAsia="Times New Roman"/>
          <w:b/>
          <w:bCs/>
          <w:color w:val="000000"/>
          <w:sz w:val="20"/>
          <w:szCs w:val="20"/>
        </w:rPr>
        <w:t xml:space="preserve">Human Capital Resources </w:t>
      </w:r>
    </w:p>
    <w:p w14:paraId="42A06FF3" w14:textId="77777777" w:rsidR="00000000" w:rsidRDefault="000C49AD">
      <w:pPr>
        <w:jc w:val="both"/>
        <w:rPr>
          <w:rFonts w:eastAsia="Times New Roman"/>
        </w:rPr>
      </w:pPr>
    </w:p>
    <w:p w14:paraId="1FF3970B" w14:textId="77777777" w:rsidR="00000000" w:rsidRDefault="000C49AD">
      <w:pPr>
        <w:jc w:val="both"/>
        <w:rPr>
          <w:rFonts w:eastAsia="Times New Roman"/>
        </w:rPr>
      </w:pPr>
      <w:r>
        <w:rPr>
          <w:rFonts w:eastAsia="Times New Roman"/>
          <w:color w:val="000000"/>
          <w:sz w:val="20"/>
          <w:szCs w:val="20"/>
        </w:rPr>
        <w:t>At Avadel, the way we work is as important as the results we achieve. Our global organization fosters an entrepreneurial environment, where purpose, innovation, integrity, and collaboration come together to transform medicines to transform lives. Our organ</w:t>
      </w:r>
      <w:r>
        <w:rPr>
          <w:rFonts w:eastAsia="Times New Roman"/>
          <w:color w:val="000000"/>
          <w:sz w:val="20"/>
          <w:szCs w:val="20"/>
        </w:rPr>
        <w:t>ization fosters our culture based on being relentless for patients, having confidence with humility, being courageous, taking insight to action and togetherness (the “Avadel Values”). In everything we do, we live the Avadel Values so we can be the best for</w:t>
      </w:r>
      <w:r>
        <w:rPr>
          <w:rFonts w:eastAsia="Times New Roman"/>
          <w:color w:val="000000"/>
          <w:sz w:val="20"/>
          <w:szCs w:val="20"/>
        </w:rPr>
        <w:t xml:space="preserve"> our patients, our community, and each other. Success for us is defined through how we improve the lives of patients and how we achieve our objectives as one team. </w:t>
      </w:r>
    </w:p>
    <w:p w14:paraId="5EF64BB3" w14:textId="77777777" w:rsidR="00000000" w:rsidRDefault="000C49AD">
      <w:pPr>
        <w:jc w:val="both"/>
        <w:rPr>
          <w:rFonts w:eastAsia="Times New Roman"/>
        </w:rPr>
      </w:pPr>
    </w:p>
    <w:p w14:paraId="29C2EF8A" w14:textId="77777777" w:rsidR="00000000" w:rsidRDefault="000C49AD">
      <w:pPr>
        <w:jc w:val="both"/>
        <w:rPr>
          <w:rFonts w:eastAsia="Times New Roman"/>
        </w:rPr>
      </w:pPr>
      <w:r>
        <w:rPr>
          <w:rFonts w:eastAsia="Times New Roman"/>
          <w:color w:val="000000"/>
          <w:sz w:val="20"/>
          <w:szCs w:val="20"/>
        </w:rPr>
        <w:t>We are committed to offering employees a rewarding and entrepreneurial work experience wh</w:t>
      </w:r>
      <w:r>
        <w:rPr>
          <w:rFonts w:eastAsia="Times New Roman"/>
          <w:color w:val="000000"/>
          <w:sz w:val="20"/>
          <w:szCs w:val="20"/>
        </w:rPr>
        <w:t>ere patients are at the center of everything we do. Our people are our greatest competitive advantage, and our values serve as the foundation of our culture. We consider our relations with our employees to be good and are focused on maintaining a highly en</w:t>
      </w:r>
      <w:r>
        <w:rPr>
          <w:rFonts w:eastAsia="Times New Roman"/>
          <w:color w:val="000000"/>
          <w:sz w:val="20"/>
          <w:szCs w:val="20"/>
        </w:rPr>
        <w:t>gaged and motivated workforce.</w:t>
      </w:r>
    </w:p>
    <w:p w14:paraId="366C4EFC" w14:textId="77777777" w:rsidR="00000000" w:rsidRDefault="000C49AD">
      <w:pPr>
        <w:jc w:val="both"/>
        <w:rPr>
          <w:rFonts w:eastAsia="Times New Roman"/>
        </w:rPr>
      </w:pPr>
    </w:p>
    <w:p w14:paraId="741EE8D1" w14:textId="77777777" w:rsidR="00000000" w:rsidRDefault="000C49AD">
      <w:pPr>
        <w:jc w:val="both"/>
        <w:rPr>
          <w:rFonts w:eastAsia="Times New Roman"/>
        </w:rPr>
      </w:pPr>
      <w:r>
        <w:rPr>
          <w:rFonts w:eastAsia="Times New Roman"/>
          <w:i/>
          <w:iCs/>
          <w:color w:val="000000"/>
          <w:sz w:val="20"/>
          <w:szCs w:val="20"/>
        </w:rPr>
        <w:t>Employee Demographics</w:t>
      </w:r>
    </w:p>
    <w:p w14:paraId="60D6A0DF" w14:textId="77777777" w:rsidR="00000000" w:rsidRDefault="000C49AD">
      <w:pPr>
        <w:jc w:val="both"/>
        <w:rPr>
          <w:rFonts w:eastAsia="Times New Roman"/>
        </w:rPr>
      </w:pPr>
    </w:p>
    <w:p w14:paraId="24E66A19" w14:textId="77777777" w:rsidR="00000000" w:rsidRDefault="000C49AD">
      <w:pPr>
        <w:jc w:val="both"/>
        <w:rPr>
          <w:rFonts w:eastAsia="Times New Roman"/>
        </w:rPr>
      </w:pPr>
      <w:r>
        <w:rPr>
          <w:rFonts w:eastAsia="Times New Roman"/>
          <w:color w:val="000000"/>
          <w:sz w:val="20"/>
          <w:szCs w:val="20"/>
        </w:rPr>
        <w:t>As of December 31, 2021, we had approximately 66 employees, all of which were full-time. None of our employees are subject to a union or other collective bargaining agreement. In addition to our empl</w:t>
      </w:r>
      <w:r>
        <w:rPr>
          <w:rFonts w:eastAsia="Times New Roman"/>
          <w:color w:val="000000"/>
          <w:sz w:val="20"/>
          <w:szCs w:val="20"/>
        </w:rPr>
        <w:t xml:space="preserve">oyees, we contract with third parties in certain areas of the business such as clinical, regulatory, and manufacturing. We expect to continue to build and grow our organizational capabilities with a focus on talent attraction, development, engagement, and </w:t>
      </w:r>
      <w:r>
        <w:rPr>
          <w:rFonts w:eastAsia="Times New Roman"/>
          <w:color w:val="000000"/>
          <w:sz w:val="20"/>
          <w:szCs w:val="20"/>
        </w:rPr>
        <w:t>retention.</w:t>
      </w:r>
    </w:p>
    <w:p w14:paraId="368107D1" w14:textId="77777777" w:rsidR="00000000" w:rsidRDefault="000C49AD">
      <w:pPr>
        <w:jc w:val="both"/>
        <w:rPr>
          <w:rFonts w:eastAsia="Times New Roman"/>
        </w:rPr>
      </w:pPr>
    </w:p>
    <w:p w14:paraId="0F15A263" w14:textId="77777777" w:rsidR="00000000" w:rsidRDefault="000C49AD">
      <w:pPr>
        <w:divId w:val="933898417"/>
        <w:rPr>
          <w:rFonts w:eastAsia="Times New Roman"/>
        </w:rPr>
      </w:pPr>
      <w:r>
        <w:rPr>
          <w:rFonts w:eastAsia="Times New Roman"/>
          <w:i/>
          <w:iCs/>
          <w:color w:val="000000"/>
          <w:sz w:val="20"/>
          <w:szCs w:val="20"/>
        </w:rPr>
        <w:t>Diversity, Equity, and Inclusion</w:t>
      </w:r>
    </w:p>
    <w:p w14:paraId="4C03720D" w14:textId="77777777" w:rsidR="00000000" w:rsidRDefault="000C49AD">
      <w:pPr>
        <w:divId w:val="406345173"/>
        <w:rPr>
          <w:rFonts w:eastAsia="Times New Roman"/>
        </w:rPr>
      </w:pPr>
    </w:p>
    <w:p w14:paraId="3B3B3E81" w14:textId="77777777" w:rsidR="00000000" w:rsidRDefault="000C49AD">
      <w:pPr>
        <w:jc w:val="both"/>
        <w:rPr>
          <w:rFonts w:eastAsia="Times New Roman"/>
        </w:rPr>
      </w:pPr>
      <w:r>
        <w:rPr>
          <w:rFonts w:eastAsia="Times New Roman"/>
          <w:color w:val="000000"/>
          <w:sz w:val="20"/>
          <w:szCs w:val="20"/>
        </w:rPr>
        <w:t xml:space="preserve">Avadel is committed to fostering a diverse workforce and a culture of inclusion. Avadel pursues fair employment practices in every aspect of its business and is committed to a productive work environment for </w:t>
      </w:r>
      <w:r>
        <w:rPr>
          <w:rFonts w:eastAsia="Times New Roman"/>
          <w:color w:val="000000"/>
          <w:sz w:val="20"/>
          <w:szCs w:val="20"/>
        </w:rPr>
        <w:t>its employees. We strive to create a level of connectivity that goes beyond working together. Rooted in the trust we earn every day, our team is inclusive, valuing diverse perspectives and work every day to lift each other up in pursuit of improving the li</w:t>
      </w:r>
      <w:r>
        <w:rPr>
          <w:rFonts w:eastAsia="Times New Roman"/>
          <w:color w:val="000000"/>
          <w:sz w:val="20"/>
          <w:szCs w:val="20"/>
        </w:rPr>
        <w:t>ves of the patients we serve.</w:t>
      </w:r>
    </w:p>
    <w:p w14:paraId="6AD9B646" w14:textId="77777777" w:rsidR="00000000" w:rsidRDefault="000C49AD">
      <w:pPr>
        <w:jc w:val="both"/>
        <w:rPr>
          <w:rFonts w:eastAsia="Times New Roman"/>
        </w:rPr>
      </w:pPr>
    </w:p>
    <w:p w14:paraId="3D328C59" w14:textId="77777777" w:rsidR="00000000" w:rsidRDefault="000C49AD">
      <w:pPr>
        <w:jc w:val="both"/>
        <w:rPr>
          <w:rFonts w:eastAsia="Times New Roman"/>
        </w:rPr>
      </w:pPr>
      <w:r>
        <w:rPr>
          <w:rFonts w:eastAsia="Times New Roman"/>
          <w:i/>
          <w:iCs/>
          <w:color w:val="000000"/>
          <w:sz w:val="20"/>
          <w:szCs w:val="20"/>
        </w:rPr>
        <w:t xml:space="preserve">Compensation and Benefits </w:t>
      </w:r>
    </w:p>
    <w:p w14:paraId="573F01FB" w14:textId="77777777" w:rsidR="00000000" w:rsidRDefault="000C49AD">
      <w:pPr>
        <w:jc w:val="both"/>
        <w:rPr>
          <w:rFonts w:eastAsia="Times New Roman"/>
        </w:rPr>
      </w:pPr>
    </w:p>
    <w:p w14:paraId="273BD73F" w14:textId="77777777" w:rsidR="00000000" w:rsidRDefault="000C49AD">
      <w:pPr>
        <w:jc w:val="both"/>
        <w:rPr>
          <w:rFonts w:eastAsia="Times New Roman"/>
        </w:rPr>
      </w:pPr>
      <w:r>
        <w:rPr>
          <w:rFonts w:eastAsia="Times New Roman"/>
          <w:color w:val="000000"/>
          <w:sz w:val="20"/>
          <w:szCs w:val="20"/>
        </w:rPr>
        <w:t xml:space="preserve">At Avadel, we prioritize the well-being of our employees by offering a comprehensive benefits package. We know that benefits play an important role in helping to ensure the health and financial security of our employees. </w:t>
      </w:r>
    </w:p>
    <w:p w14:paraId="3DBD564A" w14:textId="77777777" w:rsidR="00000000" w:rsidRDefault="000C49AD">
      <w:pPr>
        <w:jc w:val="both"/>
        <w:rPr>
          <w:rFonts w:eastAsia="Times New Roman"/>
        </w:rPr>
      </w:pPr>
    </w:p>
    <w:p w14:paraId="23A43CE3" w14:textId="77777777" w:rsidR="00000000" w:rsidRDefault="000C49AD">
      <w:pPr>
        <w:jc w:val="both"/>
        <w:rPr>
          <w:rFonts w:eastAsia="Times New Roman"/>
        </w:rPr>
      </w:pPr>
      <w:r>
        <w:rPr>
          <w:rFonts w:eastAsia="Times New Roman"/>
          <w:color w:val="000000"/>
          <w:sz w:val="20"/>
          <w:szCs w:val="20"/>
        </w:rPr>
        <w:t xml:space="preserve">Our commitment to our employees </w:t>
      </w:r>
      <w:r>
        <w:rPr>
          <w:rFonts w:eastAsia="Times New Roman"/>
          <w:color w:val="000000"/>
          <w:sz w:val="20"/>
          <w:szCs w:val="20"/>
        </w:rPr>
        <w:t>includes benefit and compensation programs that value the contributions our employees make. We strive to provide pay, benefits, and services that are competitive and create incentives to attract and retain employees. In addition to competitive pay, we offe</w:t>
      </w:r>
      <w:r>
        <w:rPr>
          <w:rFonts w:eastAsia="Times New Roman"/>
          <w:color w:val="000000"/>
          <w:sz w:val="20"/>
          <w:szCs w:val="20"/>
        </w:rPr>
        <w:t>r bonus and share-based compensation packages for all levels of employees within the organization as well as a company match for employee retirement programs.</w:t>
      </w:r>
    </w:p>
    <w:p w14:paraId="6EC0886F" w14:textId="77777777" w:rsidR="00000000" w:rsidRDefault="000C49AD">
      <w:pPr>
        <w:jc w:val="both"/>
        <w:rPr>
          <w:rFonts w:eastAsia="Times New Roman"/>
        </w:rPr>
      </w:pPr>
    </w:p>
    <w:p w14:paraId="6B3EFE76" w14:textId="77777777" w:rsidR="00000000" w:rsidRDefault="000C49AD">
      <w:pPr>
        <w:jc w:val="both"/>
        <w:rPr>
          <w:rFonts w:eastAsia="Times New Roman"/>
        </w:rPr>
      </w:pPr>
      <w:r>
        <w:rPr>
          <w:rFonts w:eastAsia="Times New Roman"/>
          <w:i/>
          <w:iCs/>
          <w:color w:val="000000"/>
          <w:sz w:val="20"/>
          <w:szCs w:val="20"/>
        </w:rPr>
        <w:t>Health and Wellness</w:t>
      </w:r>
    </w:p>
    <w:p w14:paraId="6AB4E3AF" w14:textId="77777777" w:rsidR="00000000" w:rsidRDefault="000C49AD">
      <w:pPr>
        <w:jc w:val="both"/>
        <w:rPr>
          <w:rFonts w:eastAsia="Times New Roman"/>
        </w:rPr>
      </w:pPr>
    </w:p>
    <w:p w14:paraId="388FA34A" w14:textId="77777777" w:rsidR="00000000" w:rsidRDefault="000C49AD">
      <w:pPr>
        <w:jc w:val="both"/>
        <w:rPr>
          <w:rFonts w:eastAsia="Times New Roman"/>
        </w:rPr>
      </w:pPr>
      <w:r>
        <w:rPr>
          <w:rFonts w:eastAsia="Times New Roman"/>
          <w:color w:val="000000"/>
          <w:sz w:val="20"/>
          <w:szCs w:val="20"/>
        </w:rPr>
        <w:t>Our healthcare plans allow employees to choose what works best for them a</w:t>
      </w:r>
      <w:r>
        <w:rPr>
          <w:rFonts w:eastAsia="Times New Roman"/>
          <w:color w:val="000000"/>
          <w:sz w:val="20"/>
          <w:szCs w:val="20"/>
        </w:rPr>
        <w:t>nd their families. We offer competitive health, dental, vision and life insurance for all employees as well as competitive vacation packages along with time off for holidays and other forms of leave for all employees. Further, we offer a variety of tools a</w:t>
      </w:r>
      <w:r>
        <w:rPr>
          <w:rFonts w:eastAsia="Times New Roman"/>
          <w:color w:val="000000"/>
          <w:sz w:val="20"/>
          <w:szCs w:val="20"/>
        </w:rPr>
        <w:t>llowing employees to prioritize wellness, including retirement planning, employee stock purchase program, legal services, employee assistance programs, and more.</w:t>
      </w:r>
    </w:p>
    <w:p w14:paraId="79782B3E" w14:textId="77777777" w:rsidR="00000000" w:rsidRDefault="000C49AD">
      <w:pPr>
        <w:jc w:val="both"/>
        <w:rPr>
          <w:rFonts w:eastAsia="Times New Roman"/>
        </w:rPr>
      </w:pPr>
    </w:p>
    <w:p w14:paraId="121FCFCE" w14:textId="77777777" w:rsidR="00000000" w:rsidRDefault="000C49AD">
      <w:pPr>
        <w:jc w:val="both"/>
        <w:rPr>
          <w:rFonts w:eastAsia="Times New Roman"/>
        </w:rPr>
      </w:pPr>
      <w:r>
        <w:rPr>
          <w:rFonts w:eastAsia="Times New Roman"/>
          <w:i/>
          <w:iCs/>
          <w:color w:val="000000"/>
          <w:sz w:val="20"/>
          <w:szCs w:val="20"/>
        </w:rPr>
        <w:t>Career Growth and Development</w:t>
      </w:r>
    </w:p>
    <w:p w14:paraId="6973C310" w14:textId="77777777" w:rsidR="00000000" w:rsidRDefault="000C49AD">
      <w:pPr>
        <w:jc w:val="both"/>
        <w:rPr>
          <w:rFonts w:eastAsia="Times New Roman"/>
        </w:rPr>
      </w:pPr>
    </w:p>
    <w:p w14:paraId="190F239E" w14:textId="77777777" w:rsidR="00000000" w:rsidRDefault="000C49AD">
      <w:pPr>
        <w:jc w:val="both"/>
        <w:rPr>
          <w:rFonts w:eastAsia="Times New Roman"/>
        </w:rPr>
      </w:pPr>
      <w:r>
        <w:rPr>
          <w:rFonts w:eastAsia="Times New Roman"/>
          <w:color w:val="000000"/>
          <w:sz w:val="20"/>
          <w:szCs w:val="20"/>
        </w:rPr>
        <w:t>We are invested in the development of each of our employees.</w:t>
      </w:r>
      <w:r>
        <w:rPr>
          <w:rFonts w:eastAsia="Times New Roman"/>
          <w:color w:val="000000"/>
          <w:sz w:val="20"/>
          <w:szCs w:val="20"/>
        </w:rPr>
        <w:t xml:space="preserve"> We provide opportunities to lead and participate in cross-functional teams, coaching, leadership development, and more. We provide reimbursement to our employees for seminars, conferences and educational and professional training. In alignment with our bu</w:t>
      </w:r>
      <w:r>
        <w:rPr>
          <w:rFonts w:eastAsia="Times New Roman"/>
          <w:color w:val="000000"/>
          <w:sz w:val="20"/>
          <w:szCs w:val="20"/>
        </w:rPr>
        <w:t>siness strategy, it is our goal to empower all employees to take full advantage of their professional growth opportunities, to lead them to long-term job satisfaction and organizational success. Through professional development, our employees can broaden t</w:t>
      </w:r>
      <w:r>
        <w:rPr>
          <w:rFonts w:eastAsia="Times New Roman"/>
          <w:color w:val="000000"/>
          <w:sz w:val="20"/>
          <w:szCs w:val="20"/>
        </w:rPr>
        <w:t>heir skills for their current and future roles.</w:t>
      </w:r>
    </w:p>
    <w:p w14:paraId="74D61FF7" w14:textId="77777777" w:rsidR="00000000" w:rsidRDefault="000C49AD">
      <w:pPr>
        <w:jc w:val="center"/>
        <w:divId w:val="1789200238"/>
        <w:rPr>
          <w:rFonts w:eastAsia="Times New Roman"/>
        </w:rPr>
      </w:pPr>
      <w:r>
        <w:rPr>
          <w:rFonts w:eastAsia="Times New Roman"/>
          <w:color w:val="000000"/>
          <w:sz w:val="20"/>
          <w:szCs w:val="20"/>
        </w:rPr>
        <w:t>-22-</w:t>
      </w:r>
    </w:p>
    <w:p w14:paraId="55953014" w14:textId="77777777" w:rsidR="00000000" w:rsidRDefault="000C49AD">
      <w:pPr>
        <w:rPr>
          <w:rFonts w:eastAsia="Times New Roman"/>
        </w:rPr>
      </w:pPr>
      <w:r>
        <w:rPr>
          <w:rFonts w:eastAsia="Times New Roman"/>
        </w:rPr>
        <w:pict w14:anchorId="4B77F705">
          <v:rect id="_x0000_i1046" style="width:0;height:1.5pt" o:hralign="center" o:hrstd="t" o:hr="t" fillcolor="#a0a0a0" stroked="f"/>
        </w:pict>
      </w:r>
    </w:p>
    <w:p w14:paraId="57625817" w14:textId="77777777" w:rsidR="00000000" w:rsidRDefault="000C49AD">
      <w:pPr>
        <w:divId w:val="1955214766"/>
        <w:rPr>
          <w:rFonts w:eastAsia="Times New Roman"/>
        </w:rPr>
      </w:pPr>
    </w:p>
    <w:p w14:paraId="72DA489D" w14:textId="77777777" w:rsidR="00000000" w:rsidRDefault="000C49AD">
      <w:pPr>
        <w:jc w:val="both"/>
        <w:divId w:val="1067873560"/>
        <w:rPr>
          <w:rFonts w:eastAsia="Times New Roman"/>
        </w:rPr>
      </w:pPr>
      <w:r>
        <w:rPr>
          <w:rFonts w:eastAsia="Times New Roman"/>
          <w:b/>
          <w:bCs/>
          <w:color w:val="000000"/>
          <w:sz w:val="20"/>
          <w:szCs w:val="20"/>
        </w:rPr>
        <w:t>Item 1A.    Risk Factors.</w:t>
      </w:r>
    </w:p>
    <w:p w14:paraId="3B209C35" w14:textId="77777777" w:rsidR="00000000" w:rsidRDefault="000C49AD">
      <w:pPr>
        <w:jc w:val="both"/>
        <w:divId w:val="925963172"/>
        <w:rPr>
          <w:rFonts w:eastAsia="Times New Roman"/>
        </w:rPr>
      </w:pPr>
      <w:r>
        <w:rPr>
          <w:rFonts w:eastAsia="Times New Roman"/>
          <w:i/>
          <w:iCs/>
          <w:color w:val="000000"/>
          <w:sz w:val="20"/>
          <w:szCs w:val="20"/>
        </w:rPr>
        <w:t>An investment in Avadel involves a high degree of risk. You should carefully consider the risks described below, as well as the other info</w:t>
      </w:r>
      <w:r>
        <w:rPr>
          <w:rFonts w:eastAsia="Times New Roman"/>
          <w:i/>
          <w:iCs/>
          <w:color w:val="000000"/>
          <w:sz w:val="20"/>
          <w:szCs w:val="20"/>
        </w:rPr>
        <w:t>rmation included or incorporated by reference in this Annual Report on Form 10-K, before making an investment decision. Avadel’s business, financial condition, results of operations and cash flows could be materially adversely affected by any of these risk</w:t>
      </w:r>
      <w:r>
        <w:rPr>
          <w:rFonts w:eastAsia="Times New Roman"/>
          <w:i/>
          <w:iCs/>
          <w:color w:val="000000"/>
          <w:sz w:val="20"/>
          <w:szCs w:val="20"/>
        </w:rPr>
        <w:t>s. The market or trading price of Avadel’s securities could decline due to any of these risks. In addition, please read “Cautionary Disclosure Regarding Forward-Looking Statements” in this Annual Report on Form 10-K, where we describe additional uncertaint</w:t>
      </w:r>
      <w:r>
        <w:rPr>
          <w:rFonts w:eastAsia="Times New Roman"/>
          <w:i/>
          <w:iCs/>
          <w:color w:val="000000"/>
          <w:sz w:val="20"/>
          <w:szCs w:val="20"/>
        </w:rPr>
        <w:t>ies associated with Avadel’s business and with the forward-looking statements included or incorporated by reference in this Annual Report on Form 10-K. Please note that additional risks not presently known to us or that we currently deem immaterial may als</w:t>
      </w:r>
      <w:r>
        <w:rPr>
          <w:rFonts w:eastAsia="Times New Roman"/>
          <w:i/>
          <w:iCs/>
          <w:color w:val="000000"/>
          <w:sz w:val="20"/>
          <w:szCs w:val="20"/>
        </w:rPr>
        <w:t>o impair Avadel’s business and operations.</w:t>
      </w:r>
    </w:p>
    <w:p w14:paraId="6D1569C1" w14:textId="77777777" w:rsidR="00000000" w:rsidRDefault="000C49AD">
      <w:pPr>
        <w:jc w:val="both"/>
        <w:rPr>
          <w:rFonts w:eastAsia="Times New Roman"/>
        </w:rPr>
      </w:pPr>
      <w:r>
        <w:rPr>
          <w:rFonts w:eastAsia="Times New Roman"/>
          <w:b/>
          <w:bCs/>
          <w:color w:val="000000"/>
          <w:sz w:val="20"/>
          <w:szCs w:val="20"/>
        </w:rPr>
        <w:t>Risks Related to Our Lead Product Candidate, Future Product Candidates Clinical Development and Commercialization</w:t>
      </w:r>
    </w:p>
    <w:p w14:paraId="6986FC69" w14:textId="77777777" w:rsidR="00000000" w:rsidRDefault="000C49AD">
      <w:pPr>
        <w:jc w:val="both"/>
        <w:rPr>
          <w:rFonts w:eastAsia="Times New Roman"/>
        </w:rPr>
      </w:pPr>
    </w:p>
    <w:p w14:paraId="7A8E262D" w14:textId="77777777" w:rsidR="00000000" w:rsidRDefault="000C49AD">
      <w:pPr>
        <w:jc w:val="both"/>
        <w:rPr>
          <w:rFonts w:eastAsia="Times New Roman"/>
        </w:rPr>
      </w:pPr>
      <w:r>
        <w:rPr>
          <w:rFonts w:eastAsia="Times New Roman"/>
          <w:b/>
          <w:bCs/>
          <w:i/>
          <w:iCs/>
          <w:color w:val="000000"/>
          <w:sz w:val="20"/>
          <w:szCs w:val="20"/>
        </w:rPr>
        <w:t>We cannot be certain that our lead product candidate or future product candidates will receive ma</w:t>
      </w:r>
      <w:r>
        <w:rPr>
          <w:rFonts w:eastAsia="Times New Roman"/>
          <w:b/>
          <w:bCs/>
          <w:i/>
          <w:iCs/>
          <w:color w:val="000000"/>
          <w:sz w:val="20"/>
          <w:szCs w:val="20"/>
        </w:rPr>
        <w:t>rketing approval. Without marketing approval, we will not be able to commercialize our lead product candidate or future product candidates.</w:t>
      </w:r>
    </w:p>
    <w:p w14:paraId="3A5B8AFA" w14:textId="77777777" w:rsidR="00000000" w:rsidRDefault="000C49AD">
      <w:pPr>
        <w:jc w:val="both"/>
        <w:rPr>
          <w:rFonts w:eastAsia="Times New Roman"/>
        </w:rPr>
      </w:pPr>
    </w:p>
    <w:p w14:paraId="64EF71C2" w14:textId="77777777" w:rsidR="00000000" w:rsidRDefault="000C49AD">
      <w:pPr>
        <w:jc w:val="both"/>
        <w:rPr>
          <w:rFonts w:eastAsia="Times New Roman"/>
        </w:rPr>
      </w:pPr>
      <w:r>
        <w:rPr>
          <w:rFonts w:eastAsia="Times New Roman"/>
          <w:color w:val="000000"/>
          <w:sz w:val="20"/>
          <w:szCs w:val="20"/>
        </w:rPr>
        <w:t>We have devoted significant financial resources and business efforts to the development of our lead product candid</w:t>
      </w:r>
      <w:r>
        <w:rPr>
          <w:rFonts w:eastAsia="Times New Roman"/>
          <w:color w:val="000000"/>
          <w:sz w:val="20"/>
          <w:szCs w:val="20"/>
        </w:rPr>
        <w:t>ate. We cannot be certain that our lead product candidate or future product candidates will receive marketing approval.</w:t>
      </w:r>
    </w:p>
    <w:p w14:paraId="50EC109E" w14:textId="77777777" w:rsidR="00000000" w:rsidRDefault="000C49AD">
      <w:pPr>
        <w:jc w:val="both"/>
        <w:rPr>
          <w:rFonts w:eastAsia="Times New Roman"/>
        </w:rPr>
      </w:pPr>
    </w:p>
    <w:p w14:paraId="0B4661E1" w14:textId="77777777" w:rsidR="00000000" w:rsidRDefault="000C49AD">
      <w:pPr>
        <w:jc w:val="both"/>
        <w:rPr>
          <w:rFonts w:eastAsia="Times New Roman"/>
        </w:rPr>
      </w:pPr>
      <w:r>
        <w:rPr>
          <w:rFonts w:eastAsia="Times New Roman"/>
          <w:color w:val="000000"/>
          <w:sz w:val="20"/>
          <w:szCs w:val="20"/>
        </w:rPr>
        <w:t>The development of a product candidate and issues relating to its approval and marketing are subject to extensive regulation by the FD</w:t>
      </w:r>
      <w:r>
        <w:rPr>
          <w:rFonts w:eastAsia="Times New Roman"/>
          <w:color w:val="000000"/>
          <w:sz w:val="20"/>
          <w:szCs w:val="20"/>
        </w:rPr>
        <w:t>A in the U.S. and by comparable regulatory authorities in other countries. We are not permitted to market our lead product candidate or future product candidates in the U.S. until we receive approval of a NDA by the FDA. The time required to obtain approva</w:t>
      </w:r>
      <w:r>
        <w:rPr>
          <w:rFonts w:eastAsia="Times New Roman"/>
          <w:color w:val="000000"/>
          <w:sz w:val="20"/>
          <w:szCs w:val="20"/>
        </w:rPr>
        <w:t>l by the FDA and comparable foreign authorities is unpredictable but typically takes many years following the commencement of clinical trials and depends upon numerous factors, including the substantial discretion of regulatory authorities. In addition, ap</w:t>
      </w:r>
      <w:r>
        <w:rPr>
          <w:rFonts w:eastAsia="Times New Roman"/>
          <w:color w:val="000000"/>
          <w:sz w:val="20"/>
          <w:szCs w:val="20"/>
        </w:rPr>
        <w:t>proval policies, regulations, or the type and amount of clinical data necessary to gain approval may change during the course of a product candidate’s clinical development and may vary among jurisdictions.</w:t>
      </w:r>
    </w:p>
    <w:p w14:paraId="2625BE78" w14:textId="77777777" w:rsidR="00000000" w:rsidRDefault="000C49AD">
      <w:pPr>
        <w:jc w:val="both"/>
        <w:rPr>
          <w:rFonts w:eastAsia="Times New Roman"/>
        </w:rPr>
      </w:pPr>
    </w:p>
    <w:p w14:paraId="1108D13F" w14:textId="77777777" w:rsidR="00000000" w:rsidRDefault="000C49AD">
      <w:pPr>
        <w:jc w:val="both"/>
        <w:rPr>
          <w:rFonts w:eastAsia="Times New Roman"/>
        </w:rPr>
      </w:pPr>
      <w:r>
        <w:rPr>
          <w:rFonts w:eastAsia="Times New Roman"/>
          <w:color w:val="000000"/>
          <w:sz w:val="20"/>
          <w:szCs w:val="20"/>
        </w:rPr>
        <w:t>An NDA must include extensive preclinical and cl</w:t>
      </w:r>
      <w:r>
        <w:rPr>
          <w:rFonts w:eastAsia="Times New Roman"/>
          <w:color w:val="000000"/>
          <w:sz w:val="20"/>
          <w:szCs w:val="20"/>
        </w:rPr>
        <w:t>inical data and supporting information to establish the product candidate’s safety and effectiveness for each desired indication. An NDA must also include significant information regarding the chemistry, manufacturing and controls for the product. Obtainin</w:t>
      </w:r>
      <w:r>
        <w:rPr>
          <w:rFonts w:eastAsia="Times New Roman"/>
          <w:color w:val="000000"/>
          <w:sz w:val="20"/>
          <w:szCs w:val="20"/>
        </w:rPr>
        <w:t>g approval of an NDA is a lengthy, expensive and uncertain process, and we may not be successful in obtaining approval. For example, we submitted an NDA to the FDA for FT218 for the treatment of EDS or cataplexy in adults with narcolepsy to the FDA in Dece</w:t>
      </w:r>
      <w:r>
        <w:rPr>
          <w:rFonts w:eastAsia="Times New Roman"/>
          <w:color w:val="000000"/>
          <w:sz w:val="20"/>
          <w:szCs w:val="20"/>
        </w:rPr>
        <w:t>mber 2020 through the Section 505(b)(2) regulatory pathway. In February 2021, the FDA assigned FT218 a PDFUA target action date of October 15, 2021. In October, the FDA notified us that its review was still ongoing and action would not be taken by the PDUD</w:t>
      </w:r>
      <w:r>
        <w:rPr>
          <w:rFonts w:eastAsia="Times New Roman"/>
          <w:color w:val="000000"/>
          <w:sz w:val="20"/>
          <w:szCs w:val="20"/>
        </w:rPr>
        <w:t>FA date. Any delay or setback in the regulatory approval or commercialization of our lead product candidate will adversely affect our business.</w:t>
      </w:r>
    </w:p>
    <w:p w14:paraId="1A501496" w14:textId="77777777" w:rsidR="00000000" w:rsidRDefault="000C49AD">
      <w:pPr>
        <w:jc w:val="both"/>
        <w:rPr>
          <w:rFonts w:eastAsia="Times New Roman"/>
        </w:rPr>
      </w:pPr>
    </w:p>
    <w:p w14:paraId="0D3288E6" w14:textId="77777777" w:rsidR="00000000" w:rsidRDefault="000C49AD">
      <w:pPr>
        <w:jc w:val="both"/>
        <w:rPr>
          <w:rFonts w:eastAsia="Times New Roman"/>
        </w:rPr>
      </w:pPr>
      <w:r>
        <w:rPr>
          <w:rFonts w:eastAsia="Times New Roman"/>
          <w:color w:val="000000"/>
          <w:sz w:val="20"/>
          <w:szCs w:val="20"/>
        </w:rPr>
        <w:t>The FDA has substantial discretion in the drug approval process, including the ability to delay, limit or deny approval of a product candidate for many reasons. For example, the FDA:</w:t>
      </w:r>
    </w:p>
    <w:p w14:paraId="66BAA131" w14:textId="77777777" w:rsidR="00000000" w:rsidRDefault="000C49AD">
      <w:pPr>
        <w:jc w:val="both"/>
        <w:rPr>
          <w:rFonts w:eastAsia="Times New Roman"/>
        </w:rPr>
      </w:pPr>
    </w:p>
    <w:p w14:paraId="20C6B323"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could determine that we cannot rely on the Section 505(b)(2) regulator</w:t>
      </w:r>
      <w:r>
        <w:rPr>
          <w:rFonts w:eastAsia="Times New Roman"/>
          <w:color w:val="000000"/>
          <w:sz w:val="20"/>
          <w:szCs w:val="20"/>
        </w:rPr>
        <w:t>y pathway or other pathways we have selected, as applicable, for our lead product candidate;</w:t>
      </w:r>
    </w:p>
    <w:p w14:paraId="01D3137F"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could determine that the information provided by us was inadequate, contained clinical deficiencies or otherwise failed to demonstrate the safety and effectivenes</w:t>
      </w:r>
      <w:r>
        <w:rPr>
          <w:rFonts w:eastAsia="Times New Roman"/>
          <w:color w:val="000000"/>
          <w:sz w:val="20"/>
          <w:szCs w:val="20"/>
        </w:rPr>
        <w:t>s of our product candidate for any indication;</w:t>
      </w:r>
    </w:p>
    <w:p w14:paraId="199F9115"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not find the data from bioequivalence studies and/or clinical trials sufficient to support the submission of an NDA or to obtain marketing approval in the U.S., including any findings that the clinical an</w:t>
      </w:r>
      <w:r>
        <w:rPr>
          <w:rFonts w:eastAsia="Times New Roman"/>
          <w:color w:val="000000"/>
          <w:sz w:val="20"/>
          <w:szCs w:val="20"/>
        </w:rPr>
        <w:t>d other benefits of our product candidate outweigh their safety risks;</w:t>
      </w:r>
    </w:p>
    <w:p w14:paraId="198D90F9"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disagree with our trial design or our interpretation of data from preclinical studies, bioequivalence studies and/or clinical trials, or may change the requirements for approval ev</w:t>
      </w:r>
      <w:r>
        <w:rPr>
          <w:rFonts w:eastAsia="Times New Roman"/>
          <w:color w:val="000000"/>
          <w:sz w:val="20"/>
          <w:szCs w:val="20"/>
        </w:rPr>
        <w:t>en after it has reviewed and commented on the design for our trials;</w:t>
      </w:r>
    </w:p>
    <w:p w14:paraId="66FF6FBB"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determine that we have identified the wrong listed drug or drugs or that approval of our Section 505(b)(2) application for our product candidate is blocked by patent or non-patent ex</w:t>
      </w:r>
      <w:r>
        <w:rPr>
          <w:rFonts w:eastAsia="Times New Roman"/>
          <w:color w:val="000000"/>
          <w:sz w:val="20"/>
          <w:szCs w:val="20"/>
        </w:rPr>
        <w:t>clusivity of the listed drug or drugs or of other previously approved drugs with the same conditions of approval as our product candidate, as applicable;</w:t>
      </w:r>
    </w:p>
    <w:p w14:paraId="706E3983"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identify deficiencies in the manufacturing processes or facilities of third-party manufacturers w</w:t>
      </w:r>
      <w:r>
        <w:rPr>
          <w:rFonts w:eastAsia="Times New Roman"/>
          <w:color w:val="000000"/>
          <w:sz w:val="20"/>
          <w:szCs w:val="20"/>
        </w:rPr>
        <w:t>ith which we enter into agreements for the manufacturing of our product candidate;</w:t>
      </w:r>
    </w:p>
    <w:p w14:paraId="4FA15BF6" w14:textId="77777777" w:rsidR="00000000" w:rsidRDefault="000C49AD">
      <w:pPr>
        <w:jc w:val="center"/>
        <w:divId w:val="312176997"/>
        <w:rPr>
          <w:rFonts w:eastAsia="Times New Roman"/>
        </w:rPr>
      </w:pPr>
      <w:r>
        <w:rPr>
          <w:rFonts w:eastAsia="Times New Roman"/>
          <w:color w:val="000000"/>
          <w:sz w:val="20"/>
          <w:szCs w:val="20"/>
        </w:rPr>
        <w:t>-23-</w:t>
      </w:r>
    </w:p>
    <w:p w14:paraId="7C51D27E" w14:textId="77777777" w:rsidR="00000000" w:rsidRDefault="000C49AD">
      <w:pPr>
        <w:rPr>
          <w:rFonts w:eastAsia="Times New Roman"/>
        </w:rPr>
      </w:pPr>
      <w:r>
        <w:rPr>
          <w:rFonts w:eastAsia="Times New Roman"/>
        </w:rPr>
        <w:pict w14:anchorId="544C4F69">
          <v:rect id="_x0000_i1047" style="width:0;height:1.5pt" o:hralign="center" o:hrstd="t" o:hr="t" fillcolor="#a0a0a0" stroked="f"/>
        </w:pict>
      </w:r>
    </w:p>
    <w:p w14:paraId="6A051BB7" w14:textId="77777777" w:rsidR="00000000" w:rsidRDefault="000C49AD">
      <w:pPr>
        <w:divId w:val="857699389"/>
        <w:rPr>
          <w:rFonts w:eastAsia="Times New Roman"/>
        </w:rPr>
      </w:pPr>
    </w:p>
    <w:p w14:paraId="610523B4"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audit some or all of our clinical research study sites to determine the integrity of our data and may reject any or all of such data;</w:t>
      </w:r>
    </w:p>
    <w:p w14:paraId="1D37A3A2"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approve our lead product candidate for fewer or more limited indications than we request, or may grant approval c</w:t>
      </w:r>
      <w:r>
        <w:rPr>
          <w:rFonts w:eastAsia="Times New Roman"/>
          <w:color w:val="000000"/>
          <w:sz w:val="20"/>
          <w:szCs w:val="20"/>
        </w:rPr>
        <w:t>ontingent on the performance of costly post-approval clinical trials;</w:t>
      </w:r>
    </w:p>
    <w:p w14:paraId="7A8D3F43"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change its approval policies or adopt new regulations; or</w:t>
      </w:r>
    </w:p>
    <w:p w14:paraId="17C0DD23"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may not approve the labeling claims that we believe are necessary or desirable for the successful commercialization of our</w:t>
      </w:r>
      <w:r>
        <w:rPr>
          <w:rFonts w:eastAsia="Times New Roman"/>
          <w:color w:val="000000"/>
          <w:sz w:val="20"/>
          <w:szCs w:val="20"/>
        </w:rPr>
        <w:t xml:space="preserve"> lead product candidate. </w:t>
      </w:r>
    </w:p>
    <w:p w14:paraId="5CF03B7D" w14:textId="77777777" w:rsidR="00000000" w:rsidRDefault="000C49AD">
      <w:pPr>
        <w:jc w:val="both"/>
        <w:rPr>
          <w:rFonts w:eastAsia="Times New Roman"/>
        </w:rPr>
      </w:pPr>
    </w:p>
    <w:p w14:paraId="072717F6" w14:textId="77777777" w:rsidR="00000000" w:rsidRDefault="000C49AD">
      <w:pPr>
        <w:jc w:val="both"/>
        <w:rPr>
          <w:rFonts w:eastAsia="Times New Roman"/>
        </w:rPr>
      </w:pPr>
      <w:r>
        <w:rPr>
          <w:rFonts w:eastAsia="Times New Roman"/>
          <w:color w:val="000000"/>
          <w:sz w:val="20"/>
          <w:szCs w:val="20"/>
        </w:rPr>
        <w:t xml:space="preserve">Even if a product is approved, the FDA may limit the indications for which the product may be marketed, require extensive warnings on the product labeling or require expensive and time-consuming clinical trials and/or reporting </w:t>
      </w:r>
      <w:r>
        <w:rPr>
          <w:rFonts w:eastAsia="Times New Roman"/>
          <w:color w:val="000000"/>
          <w:sz w:val="20"/>
          <w:szCs w:val="20"/>
        </w:rPr>
        <w:t>as conditions of approval. Regulators of other countries and jurisdictions have their own procedures for the approval of product candidates with which we must comply prior to marketing in those countries or jurisdictions.</w:t>
      </w:r>
    </w:p>
    <w:p w14:paraId="01CEDAEA" w14:textId="77777777" w:rsidR="00000000" w:rsidRDefault="000C49AD">
      <w:pPr>
        <w:jc w:val="both"/>
        <w:rPr>
          <w:rFonts w:eastAsia="Times New Roman"/>
        </w:rPr>
      </w:pPr>
    </w:p>
    <w:p w14:paraId="77B0EC5D" w14:textId="77777777" w:rsidR="00000000" w:rsidRDefault="000C49AD">
      <w:pPr>
        <w:jc w:val="both"/>
        <w:rPr>
          <w:rFonts w:eastAsia="Times New Roman"/>
        </w:rPr>
      </w:pPr>
      <w:r>
        <w:rPr>
          <w:rFonts w:eastAsia="Times New Roman"/>
          <w:color w:val="000000"/>
          <w:sz w:val="20"/>
          <w:szCs w:val="20"/>
        </w:rPr>
        <w:t>We have submitted a NDA for FT21</w:t>
      </w:r>
      <w:r>
        <w:rPr>
          <w:rFonts w:eastAsia="Times New Roman"/>
          <w:color w:val="000000"/>
          <w:sz w:val="20"/>
          <w:szCs w:val="20"/>
        </w:rPr>
        <w:t>8 in the U.S. and will evaluate filing potentially elsewhere. We have determined, following FDA consultation, that the 505(b)(2) approval pathway, which permits an NDA applicant to rely on the FDA’s previous findings of safety or effectiveness and data fro</w:t>
      </w:r>
      <w:r>
        <w:rPr>
          <w:rFonts w:eastAsia="Times New Roman"/>
          <w:color w:val="000000"/>
          <w:sz w:val="20"/>
          <w:szCs w:val="20"/>
        </w:rPr>
        <w:t>m studies that were not conducted by or for the applicant and for which the applicant has not obtained a right of reference, is the appropriate pathway for a FT218 NDA. There can be no assurances, however, that the 505(b)(2) approval pathway in the U.S., o</w:t>
      </w:r>
      <w:r>
        <w:rPr>
          <w:rFonts w:eastAsia="Times New Roman"/>
          <w:color w:val="000000"/>
          <w:sz w:val="20"/>
          <w:szCs w:val="20"/>
        </w:rPr>
        <w:t>r similar approval pathways outside of the U.S., will be available for FT218 or that the FDA or other regulatory authorities will approve FT218 through an application based on such pathways.</w:t>
      </w:r>
    </w:p>
    <w:p w14:paraId="5968B62E" w14:textId="77777777" w:rsidR="00000000" w:rsidRDefault="000C49AD">
      <w:pPr>
        <w:jc w:val="both"/>
        <w:rPr>
          <w:rFonts w:eastAsia="Times New Roman"/>
        </w:rPr>
      </w:pPr>
    </w:p>
    <w:p w14:paraId="2121E000" w14:textId="77777777" w:rsidR="00000000" w:rsidRDefault="000C49AD">
      <w:pPr>
        <w:jc w:val="both"/>
        <w:rPr>
          <w:rFonts w:eastAsia="Times New Roman"/>
        </w:rPr>
      </w:pPr>
      <w:r>
        <w:rPr>
          <w:rFonts w:eastAsia="Times New Roman"/>
          <w:color w:val="000000"/>
          <w:sz w:val="20"/>
          <w:szCs w:val="20"/>
        </w:rPr>
        <w:t>Obtaining regulatory approval for marketing of a product candid</w:t>
      </w:r>
      <w:r>
        <w:rPr>
          <w:rFonts w:eastAsia="Times New Roman"/>
          <w:color w:val="000000"/>
          <w:sz w:val="20"/>
          <w:szCs w:val="20"/>
        </w:rPr>
        <w:t>ate in one country does not ensure that we will be able to obtain regulatory approval in any other country. In addition, delays in approvals or rejections of marketing applications in the U.S. or other countries may be based upon many factors, including re</w:t>
      </w:r>
      <w:r>
        <w:rPr>
          <w:rFonts w:eastAsia="Times New Roman"/>
          <w:color w:val="000000"/>
          <w:sz w:val="20"/>
          <w:szCs w:val="20"/>
        </w:rPr>
        <w:t>gulatory requests for additional analyses, reports, data, preclinical studies and clinical trials, regulatory questions regarding different interpretations of data and results, changes in regulatory policy during the period of product development and the e</w:t>
      </w:r>
      <w:r>
        <w:rPr>
          <w:rFonts w:eastAsia="Times New Roman"/>
          <w:color w:val="000000"/>
          <w:sz w:val="20"/>
          <w:szCs w:val="20"/>
        </w:rPr>
        <w:t>mergence of new information regarding our product candidate.</w:t>
      </w:r>
    </w:p>
    <w:p w14:paraId="2B9B18F2" w14:textId="77777777" w:rsidR="00000000" w:rsidRDefault="000C49AD">
      <w:pPr>
        <w:jc w:val="both"/>
        <w:rPr>
          <w:rFonts w:eastAsia="Times New Roman"/>
        </w:rPr>
      </w:pPr>
    </w:p>
    <w:p w14:paraId="7818D78C" w14:textId="77777777" w:rsidR="00000000" w:rsidRDefault="000C49AD">
      <w:pPr>
        <w:jc w:val="both"/>
        <w:rPr>
          <w:rFonts w:eastAsia="Times New Roman"/>
        </w:rPr>
      </w:pPr>
      <w:r>
        <w:rPr>
          <w:rFonts w:eastAsia="Times New Roman"/>
          <w:b/>
          <w:bCs/>
          <w:i/>
          <w:iCs/>
          <w:color w:val="000000"/>
          <w:sz w:val="20"/>
          <w:szCs w:val="20"/>
        </w:rPr>
        <w:t>Our business is significantly dependent on the successful development, regulatory approval and commercialization of FT218, our only product candidate.</w:t>
      </w:r>
    </w:p>
    <w:p w14:paraId="6C121BAE" w14:textId="77777777" w:rsidR="00000000" w:rsidRDefault="000C49AD">
      <w:pPr>
        <w:jc w:val="both"/>
        <w:rPr>
          <w:rFonts w:eastAsia="Times New Roman"/>
        </w:rPr>
      </w:pPr>
    </w:p>
    <w:p w14:paraId="0DBCCBF0" w14:textId="77777777" w:rsidR="00000000" w:rsidRDefault="000C49AD">
      <w:pPr>
        <w:jc w:val="both"/>
        <w:rPr>
          <w:rFonts w:eastAsia="Times New Roman"/>
        </w:rPr>
      </w:pPr>
      <w:r>
        <w:rPr>
          <w:rFonts w:eastAsia="Times New Roman"/>
          <w:color w:val="000000"/>
          <w:sz w:val="20"/>
          <w:szCs w:val="20"/>
        </w:rPr>
        <w:t>We have invested substantially all of ou</w:t>
      </w:r>
      <w:r>
        <w:rPr>
          <w:rFonts w:eastAsia="Times New Roman"/>
          <w:color w:val="000000"/>
          <w:sz w:val="20"/>
          <w:szCs w:val="20"/>
        </w:rPr>
        <w:t>r efforts and financial resources in the development of FT218, which has not yet been approved for sale or commercial use. Currently, FT218 is our only product candidate and we have not licensed, acquired, or invented any other product candidates for precl</w:t>
      </w:r>
      <w:r>
        <w:rPr>
          <w:rFonts w:eastAsia="Times New Roman"/>
          <w:color w:val="000000"/>
          <w:sz w:val="20"/>
          <w:szCs w:val="20"/>
        </w:rPr>
        <w:t>inical or clinical evaluation. This may make an investment in our company riskier than similar companies that have multiple product candidates in active development and that therefore may be able to better sustain a failure of a lead candidate. The success</w:t>
      </w:r>
      <w:r>
        <w:rPr>
          <w:rFonts w:eastAsia="Times New Roman"/>
          <w:color w:val="000000"/>
          <w:sz w:val="20"/>
          <w:szCs w:val="20"/>
        </w:rPr>
        <w:t xml:space="preserve"> of our business, including our ability to finance our company and generate any revenue in the future, will, at this point, depend entirely on the regulatory approval and commercialization of FT218, which may never occur. Any failure to obtain regulatory a</w:t>
      </w:r>
      <w:r>
        <w:rPr>
          <w:rFonts w:eastAsia="Times New Roman"/>
          <w:color w:val="000000"/>
          <w:sz w:val="20"/>
          <w:szCs w:val="20"/>
        </w:rPr>
        <w:t>pproval of FT218 would have a material and adverse impact on our business. Even if we successfully obtain regulatory approvals to market FT218, our revenue will be dependent, in part, upon the size of the markets in the territories for which we gain regula</w:t>
      </w:r>
      <w:r>
        <w:rPr>
          <w:rFonts w:eastAsia="Times New Roman"/>
          <w:color w:val="000000"/>
          <w:sz w:val="20"/>
          <w:szCs w:val="20"/>
        </w:rPr>
        <w:t>tory approval. If the markets or patient subsets that we are targeting are not as significant as we estimate, we may not generate significant revenues from sales of FT218, even if approved.</w:t>
      </w:r>
    </w:p>
    <w:p w14:paraId="1EE8750E" w14:textId="77777777" w:rsidR="00000000" w:rsidRDefault="000C49AD">
      <w:pPr>
        <w:jc w:val="both"/>
        <w:rPr>
          <w:rFonts w:eastAsia="Times New Roman"/>
        </w:rPr>
      </w:pPr>
    </w:p>
    <w:p w14:paraId="56DF5CC5" w14:textId="77777777" w:rsidR="00000000" w:rsidRDefault="000C49AD">
      <w:pPr>
        <w:jc w:val="both"/>
        <w:rPr>
          <w:rFonts w:eastAsia="Times New Roman"/>
        </w:rPr>
      </w:pPr>
      <w:r>
        <w:rPr>
          <w:rFonts w:eastAsia="Times New Roman"/>
          <w:color w:val="000000"/>
          <w:sz w:val="20"/>
          <w:szCs w:val="20"/>
        </w:rPr>
        <w:t>The commercial success of FT218 will depend on a number of facto</w:t>
      </w:r>
      <w:r>
        <w:rPr>
          <w:rFonts w:eastAsia="Times New Roman"/>
          <w:color w:val="000000"/>
          <w:sz w:val="20"/>
          <w:szCs w:val="20"/>
        </w:rPr>
        <w:t>rs, including the following:</w:t>
      </w:r>
    </w:p>
    <w:p w14:paraId="51F6E4BB" w14:textId="77777777" w:rsidR="00000000" w:rsidRDefault="000C49AD">
      <w:pPr>
        <w:jc w:val="both"/>
        <w:rPr>
          <w:rFonts w:eastAsia="Times New Roman"/>
        </w:rPr>
      </w:pPr>
    </w:p>
    <w:p w14:paraId="07B1BABF"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timely receipt of necessary marketing approvals from the FDA and similar foreign regulatory authorities;</w:t>
      </w:r>
    </w:p>
    <w:p w14:paraId="4855D893"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ability to raise any additional required capital to support the commercialization on acceptable terms, or at all;</w:t>
      </w:r>
    </w:p>
    <w:p w14:paraId="2062592B"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ability to consistently manufacture FT218 on a timely basis;</w:t>
      </w:r>
    </w:p>
    <w:p w14:paraId="78039152" w14:textId="77777777" w:rsidR="00000000" w:rsidRDefault="000C49AD">
      <w:pPr>
        <w:ind w:hanging="360"/>
        <w:divId w:val="1193762554"/>
        <w:rPr>
          <w:rFonts w:eastAsia="Times New Roman"/>
        </w:rPr>
      </w:pPr>
      <w:r>
        <w:rPr>
          <w:rFonts w:ascii="Arial" w:eastAsia="Times New Roman" w:hAnsi="Arial" w:cs="Arial"/>
          <w:color w:val="000000"/>
        </w:rPr>
        <w:t>•</w:t>
      </w:r>
      <w:r>
        <w:rPr>
          <w:rFonts w:eastAsia="Times New Roman"/>
          <w:color w:val="000000"/>
          <w:sz w:val="20"/>
          <w:szCs w:val="20"/>
        </w:rPr>
        <w:t>our ability to secure and maintain from the U.S. DEA our annual quota f</w:t>
      </w:r>
      <w:r>
        <w:rPr>
          <w:rFonts w:eastAsia="Times New Roman"/>
          <w:color w:val="000000"/>
          <w:sz w:val="20"/>
          <w:szCs w:val="20"/>
        </w:rPr>
        <w:t>or FT218 APIs;</w:t>
      </w:r>
    </w:p>
    <w:p w14:paraId="3BEAFAAA"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ability to successfully to develop and implement a REMS for the safe use of FT218;</w:t>
      </w:r>
    </w:p>
    <w:p w14:paraId="409F199C"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prevalence, duration and severity of potential side effects or other safety issues that patients may experience with FT218;</w:t>
      </w:r>
    </w:p>
    <w:p w14:paraId="32A644F2"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achieving and maintaini</w:t>
      </w:r>
      <w:r>
        <w:rPr>
          <w:rFonts w:eastAsia="Times New Roman"/>
          <w:color w:val="000000"/>
          <w:sz w:val="20"/>
          <w:szCs w:val="20"/>
        </w:rPr>
        <w:t>ng, and, where applicable, ensuring that our third-party contractors achieve and maintain, compliance with our contractual obligations and with all regulatory requirements applicable to FT218;</w:t>
      </w:r>
    </w:p>
    <w:p w14:paraId="2FAFD87F" w14:textId="77777777" w:rsidR="00000000" w:rsidRDefault="000C49AD">
      <w:pPr>
        <w:jc w:val="center"/>
        <w:divId w:val="1092968504"/>
        <w:rPr>
          <w:rFonts w:eastAsia="Times New Roman"/>
        </w:rPr>
      </w:pPr>
      <w:r>
        <w:rPr>
          <w:rFonts w:eastAsia="Times New Roman"/>
          <w:color w:val="000000"/>
          <w:sz w:val="20"/>
          <w:szCs w:val="20"/>
        </w:rPr>
        <w:t>-24-</w:t>
      </w:r>
    </w:p>
    <w:p w14:paraId="08115F26" w14:textId="77777777" w:rsidR="00000000" w:rsidRDefault="000C49AD">
      <w:pPr>
        <w:rPr>
          <w:rFonts w:eastAsia="Times New Roman"/>
        </w:rPr>
      </w:pPr>
      <w:r>
        <w:rPr>
          <w:rFonts w:eastAsia="Times New Roman"/>
        </w:rPr>
        <w:pict w14:anchorId="0E8F4BC2">
          <v:rect id="_x0000_i1048" style="width:0;height:1.5pt" o:hralign="center" o:hrstd="t" o:hr="t" fillcolor="#a0a0a0" stroked="f"/>
        </w:pict>
      </w:r>
    </w:p>
    <w:p w14:paraId="1D7BF492" w14:textId="77777777" w:rsidR="00000000" w:rsidRDefault="000C49AD">
      <w:pPr>
        <w:divId w:val="1316299286"/>
        <w:rPr>
          <w:rFonts w:eastAsia="Times New Roman"/>
        </w:rPr>
      </w:pPr>
    </w:p>
    <w:p w14:paraId="37624E9F"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differentiation</w:t>
      </w:r>
      <w:r>
        <w:rPr>
          <w:rFonts w:eastAsia="Times New Roman"/>
          <w:color w:val="000000"/>
          <w:sz w:val="20"/>
          <w:szCs w:val="20"/>
        </w:rPr>
        <w:t xml:space="preserve"> of FT218 from other available approved, or investigational, drugs and treatments of excessive daytime sleepiness or cataplexy in adults with narcolepsy, and the willingness of physicians, operators of hospitals and clinics and patients to adopt and utiliz</w:t>
      </w:r>
      <w:r>
        <w:rPr>
          <w:rFonts w:eastAsia="Times New Roman"/>
          <w:color w:val="000000"/>
          <w:sz w:val="20"/>
          <w:szCs w:val="20"/>
        </w:rPr>
        <w:t>e FT218’s once nightly formulation;</w:t>
      </w:r>
    </w:p>
    <w:p w14:paraId="516EEB79"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our ability to successfully develop a commercial strategy and thereafter commercialize FT218 in the United States and internationally, if approved for marketing, sale and distribution in such countries and territories, </w:t>
      </w:r>
      <w:r>
        <w:rPr>
          <w:rFonts w:eastAsia="Times New Roman"/>
          <w:color w:val="000000"/>
          <w:sz w:val="20"/>
          <w:szCs w:val="20"/>
        </w:rPr>
        <w:t>whether alone or in collaboration with others;</w:t>
      </w:r>
    </w:p>
    <w:p w14:paraId="274C6643"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availability of coverage and adequate reimbursement from managed care plans, private insurers, government payors (such as Medicare and Medicaid and similar foreign authorities) and other third-party payor</w:t>
      </w:r>
      <w:r>
        <w:rPr>
          <w:rFonts w:eastAsia="Times New Roman"/>
          <w:color w:val="000000"/>
          <w:sz w:val="20"/>
          <w:szCs w:val="20"/>
        </w:rPr>
        <w:t>s for FT218;</w:t>
      </w:r>
    </w:p>
    <w:p w14:paraId="38FBE1FF"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patients’ ability and willingness to pay out-of-pocket for FT218 in the absence of coverage and/or adequate reimbursement from third-party payor;</w:t>
      </w:r>
    </w:p>
    <w:p w14:paraId="3219BC51"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acceptance by physicians, payors and patients of the benefits, safety and efficacy of FT218, if</w:t>
      </w:r>
      <w:r>
        <w:rPr>
          <w:rFonts w:eastAsia="Times New Roman"/>
          <w:color w:val="000000"/>
          <w:sz w:val="20"/>
          <w:szCs w:val="20"/>
        </w:rPr>
        <w:t xml:space="preserve"> approved;</w:t>
      </w:r>
    </w:p>
    <w:p w14:paraId="205A509C"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patient demand for FT218, if approved;</w:t>
      </w:r>
    </w:p>
    <w:p w14:paraId="43D33AB3"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ability to establish and enforce intellectual property rights in and to FT218; and</w:t>
      </w:r>
    </w:p>
    <w:p w14:paraId="197FD08D"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ability to avoid third-party patent interference, intellectual property challenges or intellectual property infr</w:t>
      </w:r>
      <w:r>
        <w:rPr>
          <w:rFonts w:eastAsia="Times New Roman"/>
          <w:color w:val="000000"/>
          <w:sz w:val="20"/>
          <w:szCs w:val="20"/>
        </w:rPr>
        <w:t>ingement claims.</w:t>
      </w:r>
    </w:p>
    <w:p w14:paraId="57707DCC" w14:textId="77777777" w:rsidR="00000000" w:rsidRDefault="000C49AD">
      <w:pPr>
        <w:jc w:val="both"/>
        <w:rPr>
          <w:rFonts w:eastAsia="Times New Roman"/>
        </w:rPr>
      </w:pPr>
    </w:p>
    <w:p w14:paraId="1196ED61" w14:textId="77777777" w:rsidR="00000000" w:rsidRDefault="000C49AD">
      <w:pPr>
        <w:jc w:val="both"/>
        <w:rPr>
          <w:rFonts w:eastAsia="Times New Roman"/>
        </w:rPr>
      </w:pPr>
      <w:r>
        <w:rPr>
          <w:rFonts w:eastAsia="Times New Roman"/>
          <w:color w:val="000000"/>
          <w:sz w:val="20"/>
          <w:szCs w:val="20"/>
        </w:rPr>
        <w:t>These factors, many of which are beyond our control, could cause us to experience significant delays or an inability to obtain regulatory approvals or commercialize FT218. Even if regulatory approvals are obtained, we may never be able t</w:t>
      </w:r>
      <w:r>
        <w:rPr>
          <w:rFonts w:eastAsia="Times New Roman"/>
          <w:color w:val="000000"/>
          <w:sz w:val="20"/>
          <w:szCs w:val="20"/>
        </w:rPr>
        <w:t>o successfully commercialize FT218. Accordingly, we cannot provide assurances that we will be able to generate sufficient revenue through the sale of FT218 to continue our business or achieve profitability.</w:t>
      </w:r>
    </w:p>
    <w:p w14:paraId="661D55C9" w14:textId="77777777" w:rsidR="00000000" w:rsidRDefault="000C49AD">
      <w:pPr>
        <w:jc w:val="both"/>
        <w:rPr>
          <w:rFonts w:eastAsia="Times New Roman"/>
        </w:rPr>
      </w:pPr>
    </w:p>
    <w:p w14:paraId="0E70FF07" w14:textId="77777777" w:rsidR="00000000" w:rsidRDefault="000C49AD">
      <w:pPr>
        <w:jc w:val="both"/>
        <w:rPr>
          <w:rFonts w:eastAsia="Times New Roman"/>
        </w:rPr>
      </w:pPr>
      <w:r>
        <w:rPr>
          <w:rFonts w:eastAsia="Times New Roman"/>
          <w:b/>
          <w:bCs/>
          <w:i/>
          <w:iCs/>
          <w:color w:val="000000"/>
          <w:sz w:val="20"/>
          <w:szCs w:val="20"/>
        </w:rPr>
        <w:t>Our lead product candidate and future product c</w:t>
      </w:r>
      <w:r>
        <w:rPr>
          <w:rFonts w:eastAsia="Times New Roman"/>
          <w:b/>
          <w:bCs/>
          <w:i/>
          <w:iCs/>
          <w:color w:val="000000"/>
          <w:sz w:val="20"/>
          <w:szCs w:val="20"/>
        </w:rPr>
        <w:t>andidates may not reach the commercial market for a number of reasons.</w:t>
      </w:r>
    </w:p>
    <w:p w14:paraId="1FF45E73" w14:textId="77777777" w:rsidR="00000000" w:rsidRDefault="000C49AD">
      <w:pPr>
        <w:jc w:val="both"/>
        <w:rPr>
          <w:rFonts w:eastAsia="Times New Roman"/>
        </w:rPr>
      </w:pPr>
    </w:p>
    <w:p w14:paraId="7CD83060" w14:textId="77777777" w:rsidR="00000000" w:rsidRDefault="000C49AD">
      <w:pPr>
        <w:jc w:val="both"/>
        <w:rPr>
          <w:rFonts w:eastAsia="Times New Roman"/>
        </w:rPr>
      </w:pPr>
      <w:r>
        <w:rPr>
          <w:rFonts w:eastAsia="Times New Roman"/>
          <w:color w:val="000000"/>
          <w:sz w:val="20"/>
          <w:szCs w:val="20"/>
        </w:rPr>
        <w:t xml:space="preserve">Drug development is an inherently uncertain process with a high risk of failure at every stage of development. Successful research and development of pharmaceutical products is difficult, expensive and time consuming. Many product candidates fail to reach </w:t>
      </w:r>
      <w:r>
        <w:rPr>
          <w:rFonts w:eastAsia="Times New Roman"/>
          <w:color w:val="000000"/>
          <w:sz w:val="20"/>
          <w:szCs w:val="20"/>
        </w:rPr>
        <w:t>the market. Our success will depend on the development and the successful commercialization of new drugs and products that utilize our drug delivery technologies.</w:t>
      </w:r>
    </w:p>
    <w:p w14:paraId="0CC4C179" w14:textId="77777777" w:rsidR="00000000" w:rsidRDefault="000C49AD">
      <w:pPr>
        <w:jc w:val="both"/>
        <w:rPr>
          <w:rFonts w:eastAsia="Times New Roman"/>
        </w:rPr>
      </w:pPr>
    </w:p>
    <w:p w14:paraId="733EF654" w14:textId="77777777" w:rsidR="00000000" w:rsidRDefault="000C49AD">
      <w:pPr>
        <w:jc w:val="both"/>
        <w:rPr>
          <w:rFonts w:eastAsia="Times New Roman"/>
        </w:rPr>
      </w:pPr>
      <w:r>
        <w:rPr>
          <w:rFonts w:eastAsia="Times New Roman"/>
          <w:color w:val="000000"/>
          <w:sz w:val="20"/>
          <w:szCs w:val="20"/>
        </w:rPr>
        <w:t>Even if our product candidates and current drug delivery technologies appear promising during development, there may not be successful commercial applications developed for them for a number of reasons, including:</w:t>
      </w:r>
    </w:p>
    <w:p w14:paraId="517CD745" w14:textId="77777777" w:rsidR="00000000" w:rsidRDefault="000C49AD">
      <w:pPr>
        <w:jc w:val="both"/>
        <w:rPr>
          <w:rFonts w:eastAsia="Times New Roman"/>
        </w:rPr>
      </w:pPr>
    </w:p>
    <w:p w14:paraId="3D5B5B7E"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the FDA, the EMA, the competent authori</w:t>
      </w:r>
      <w:r>
        <w:rPr>
          <w:rFonts w:eastAsia="Times New Roman"/>
          <w:color w:val="000000"/>
          <w:sz w:val="20"/>
          <w:szCs w:val="20"/>
        </w:rPr>
        <w:t>ty of an EU Member State or an IRB, or an Ethics Committee (EU equivalent to IRB), or our partners may delay or halt applicable clinical trials;</w:t>
      </w:r>
    </w:p>
    <w:p w14:paraId="74D1BA0D"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or our partners may face slower than expected rate of patient recruitment and enrollment in clinical trials</w:t>
      </w:r>
      <w:r>
        <w:rPr>
          <w:rFonts w:eastAsia="Times New Roman"/>
          <w:color w:val="000000"/>
          <w:sz w:val="20"/>
          <w:szCs w:val="20"/>
        </w:rPr>
        <w:t>, or may devote insufficient funding to the clinical trials;</w:t>
      </w:r>
    </w:p>
    <w:p w14:paraId="2CDB774A"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drug delivery technologies and drug products may be found to be ineffective or to cause harmful side effects, or may fail during any stage of pre-clinical testing or clinical trials;</w:t>
      </w:r>
    </w:p>
    <w:p w14:paraId="7A7C2161"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we or </w:t>
      </w:r>
      <w:r>
        <w:rPr>
          <w:rFonts w:eastAsia="Times New Roman"/>
          <w:color w:val="000000"/>
          <w:sz w:val="20"/>
          <w:szCs w:val="20"/>
        </w:rPr>
        <w:t xml:space="preserve">our partners may find that certain products cannot be manufactured on a commercial scale and, therefore, may not be economical or feasible to produce; </w:t>
      </w:r>
    </w:p>
    <w:p w14:paraId="07197BBB"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we or our partners may face delays in completing our clinical trials due to circumstances outside of ou</w:t>
      </w:r>
      <w:r>
        <w:rPr>
          <w:rFonts w:eastAsia="Times New Roman"/>
          <w:color w:val="000000"/>
          <w:sz w:val="20"/>
          <w:szCs w:val="20"/>
        </w:rPr>
        <w:t>r control, including natural disasters, labor or civil unrest, global health concerns or pandemics or acts of war or terrorism; or</w:t>
      </w:r>
    </w:p>
    <w:p w14:paraId="77AC6137"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our lead product candidate and future product candidates could fail to obtain regulatory approval or, if approved, could fai</w:t>
      </w:r>
      <w:r>
        <w:rPr>
          <w:rFonts w:eastAsia="Times New Roman"/>
          <w:color w:val="000000"/>
          <w:sz w:val="20"/>
          <w:szCs w:val="20"/>
        </w:rPr>
        <w:t xml:space="preserve">l to achieve market acceptance, could fail to be included within the pricing and reimbursement schemes of the U.S. or EU Member States, or could be precluded from commercialization by proprietary rights of third parties. </w:t>
      </w:r>
    </w:p>
    <w:p w14:paraId="2B1A623C" w14:textId="77777777" w:rsidR="00000000" w:rsidRDefault="000C49AD">
      <w:pPr>
        <w:jc w:val="both"/>
        <w:rPr>
          <w:rFonts w:eastAsia="Times New Roman"/>
        </w:rPr>
      </w:pPr>
    </w:p>
    <w:p w14:paraId="2E3756F6" w14:textId="77777777" w:rsidR="00000000" w:rsidRDefault="000C49AD">
      <w:pPr>
        <w:jc w:val="both"/>
        <w:rPr>
          <w:rFonts w:eastAsia="Times New Roman"/>
        </w:rPr>
      </w:pPr>
      <w:r>
        <w:rPr>
          <w:rFonts w:eastAsia="Times New Roman"/>
          <w:b/>
          <w:bCs/>
          <w:i/>
          <w:iCs/>
          <w:color w:val="000000"/>
          <w:sz w:val="20"/>
          <w:szCs w:val="20"/>
        </w:rPr>
        <w:t>If we are not able to use the 50</w:t>
      </w:r>
      <w:r>
        <w:rPr>
          <w:rFonts w:eastAsia="Times New Roman"/>
          <w:b/>
          <w:bCs/>
          <w:i/>
          <w:iCs/>
          <w:color w:val="000000"/>
          <w:sz w:val="20"/>
          <w:szCs w:val="20"/>
        </w:rPr>
        <w:t>5(b)(2) regulatory approval pathway for the regulatory approval of FT218 or if the FDA requires additional clinical or nonclinical data to support an NDA under Section 505(b)(2) than we previously anticipated, it will likely take significantly longer, cost</w:t>
      </w:r>
      <w:r>
        <w:rPr>
          <w:rFonts w:eastAsia="Times New Roman"/>
          <w:b/>
          <w:bCs/>
          <w:i/>
          <w:iCs/>
          <w:color w:val="000000"/>
          <w:sz w:val="20"/>
          <w:szCs w:val="20"/>
        </w:rPr>
        <w:t xml:space="preserve"> significantly more and be significantly more complicated to gain FDA approval for FT218, and in any case may not be successful. </w:t>
      </w:r>
    </w:p>
    <w:p w14:paraId="1C0FF9EE" w14:textId="77777777" w:rsidR="00000000" w:rsidRDefault="000C49AD">
      <w:pPr>
        <w:jc w:val="both"/>
        <w:rPr>
          <w:rFonts w:eastAsia="Times New Roman"/>
        </w:rPr>
      </w:pPr>
    </w:p>
    <w:p w14:paraId="2BF3DBC8" w14:textId="77777777" w:rsidR="00000000" w:rsidRDefault="000C49AD">
      <w:pPr>
        <w:jc w:val="both"/>
        <w:rPr>
          <w:rFonts w:eastAsia="Times New Roman"/>
        </w:rPr>
      </w:pPr>
      <w:r>
        <w:rPr>
          <w:rFonts w:eastAsia="Times New Roman"/>
          <w:color w:val="000000"/>
          <w:sz w:val="20"/>
          <w:szCs w:val="20"/>
        </w:rPr>
        <w:t>We submitted an NDA to the FDA for FT218 for the treatment of cataplexy or EDS in adults with narcolepsy in December 2020 th</w:t>
      </w:r>
      <w:r>
        <w:rPr>
          <w:rFonts w:eastAsia="Times New Roman"/>
          <w:color w:val="000000"/>
          <w:sz w:val="20"/>
          <w:szCs w:val="20"/>
        </w:rPr>
        <w:t xml:space="preserve">rough the Section 505(b)(2) regulatory pathway. The Drug Price Competition and Patent Term Restoration Act of 1984, </w:t>
      </w:r>
    </w:p>
    <w:p w14:paraId="45434399" w14:textId="77777777" w:rsidR="00000000" w:rsidRDefault="000C49AD">
      <w:pPr>
        <w:jc w:val="center"/>
        <w:divId w:val="1437096544"/>
        <w:rPr>
          <w:rFonts w:eastAsia="Times New Roman"/>
        </w:rPr>
      </w:pPr>
      <w:r>
        <w:rPr>
          <w:rFonts w:eastAsia="Times New Roman"/>
          <w:color w:val="000000"/>
          <w:sz w:val="20"/>
          <w:szCs w:val="20"/>
        </w:rPr>
        <w:t>-25-</w:t>
      </w:r>
    </w:p>
    <w:p w14:paraId="40852A69" w14:textId="77777777" w:rsidR="00000000" w:rsidRDefault="000C49AD">
      <w:pPr>
        <w:rPr>
          <w:rFonts w:eastAsia="Times New Roman"/>
        </w:rPr>
      </w:pPr>
      <w:r>
        <w:rPr>
          <w:rFonts w:eastAsia="Times New Roman"/>
        </w:rPr>
        <w:pict w14:anchorId="2A5A186F">
          <v:rect id="_x0000_i1049" style="width:0;height:1.5pt" o:hralign="center" o:hrstd="t" o:hr="t" fillcolor="#a0a0a0" stroked="f"/>
        </w:pict>
      </w:r>
    </w:p>
    <w:p w14:paraId="4FB8D237" w14:textId="77777777" w:rsidR="00000000" w:rsidRDefault="000C49AD">
      <w:pPr>
        <w:divId w:val="11958225"/>
        <w:rPr>
          <w:rFonts w:eastAsia="Times New Roman"/>
        </w:rPr>
      </w:pPr>
    </w:p>
    <w:p w14:paraId="00655A2E" w14:textId="77777777" w:rsidR="00000000" w:rsidRDefault="000C49AD">
      <w:pPr>
        <w:jc w:val="both"/>
        <w:rPr>
          <w:rFonts w:eastAsia="Times New Roman"/>
        </w:rPr>
      </w:pPr>
      <w:r>
        <w:rPr>
          <w:rFonts w:eastAsia="Times New Roman"/>
          <w:color w:val="000000"/>
          <w:sz w:val="20"/>
          <w:szCs w:val="20"/>
        </w:rPr>
        <w:t>also known as the Hatch-Waxman Amendments, added Section 505(b)(2) to the Federal Food, Drug, an</w:t>
      </w:r>
      <w:r>
        <w:rPr>
          <w:rFonts w:eastAsia="Times New Roman"/>
          <w:color w:val="000000"/>
          <w:sz w:val="20"/>
          <w:szCs w:val="20"/>
        </w:rPr>
        <w:t>d Cosmetic Act, or the FDCA. In general, Section 505(b)(2) allows an applicant to rely on the FDA’s prior findings of safety or effectiveness for a listed drug only to the extent that the proposed product in the 505(b)(2) application shares common characte</w:t>
      </w:r>
      <w:r>
        <w:rPr>
          <w:rFonts w:eastAsia="Times New Roman"/>
          <w:color w:val="000000"/>
          <w:sz w:val="20"/>
          <w:szCs w:val="20"/>
        </w:rPr>
        <w:t>ristics with the listed drug, or on published literature that the applicant believes supports the safety or efficacy of its proposed product but for which it does not have a right of reference for the underlying data. The 505(b)(2) application must include</w:t>
      </w:r>
      <w:r>
        <w:rPr>
          <w:rFonts w:eastAsia="Times New Roman"/>
          <w:color w:val="000000"/>
          <w:sz w:val="20"/>
          <w:szCs w:val="20"/>
        </w:rPr>
        <w:t xml:space="preserve"> sufficient data to support differences between the listed drug and the proposed drug in the 505(b)(2) application. If the FDA does not agree that the 505(b)(2) regulatory pathway is appropriate or scientifically justified for FT218, we may need to conduct</w:t>
      </w:r>
      <w:r>
        <w:rPr>
          <w:rFonts w:eastAsia="Times New Roman"/>
          <w:color w:val="000000"/>
          <w:sz w:val="20"/>
          <w:szCs w:val="20"/>
        </w:rPr>
        <w:t xml:space="preserve"> additional clinical trials, provide additional data and information and meet additional standards for regulatory approval. Specifically, the FDA may not agree that we have provided a scientific bridge, through, for example, comparative bioavailability dat</w:t>
      </w:r>
      <w:r>
        <w:rPr>
          <w:rFonts w:eastAsia="Times New Roman"/>
          <w:color w:val="000000"/>
          <w:sz w:val="20"/>
          <w:szCs w:val="20"/>
        </w:rPr>
        <w:t>a, to demonstrate that reliance on the prior findings of safety or efficacy for a listed drug is justified. Although the active ingredient in FT218, sodium oxybate, is approved for the treatment of cataplexy or excessive daytime sleepiness in patients 7 ye</w:t>
      </w:r>
      <w:r>
        <w:rPr>
          <w:rFonts w:eastAsia="Times New Roman"/>
          <w:color w:val="000000"/>
          <w:sz w:val="20"/>
          <w:szCs w:val="20"/>
        </w:rPr>
        <w:t>ars of age and older with narcolepsy, it has not previously been approved or demonstrated to be safe for once nightly administration in these indications. If we are unable to establish a bridge between FT218 and the listed drug upon which we rely to demons</w:t>
      </w:r>
      <w:r>
        <w:rPr>
          <w:rFonts w:eastAsia="Times New Roman"/>
          <w:color w:val="000000"/>
          <w:sz w:val="20"/>
          <w:szCs w:val="20"/>
        </w:rPr>
        <w:t>trate that such reliance is justified, we may be required to show safety and efficacy through one or more additional clinical trials. In addition, if we are unable to utilize the 505(b)(2) pathway, the time and financial resources required to obtain FDA ap</w:t>
      </w:r>
      <w:r>
        <w:rPr>
          <w:rFonts w:eastAsia="Times New Roman"/>
          <w:color w:val="000000"/>
          <w:sz w:val="20"/>
          <w:szCs w:val="20"/>
        </w:rPr>
        <w:t>proval for FT218 would likely increase substantially. Moreover, the inability to utilize the 505(b)(2) regulatory pathway could result in new competitive products reaching the market faster than FT218, which could materially adversely impact its competitiv</w:t>
      </w:r>
      <w:r>
        <w:rPr>
          <w:rFonts w:eastAsia="Times New Roman"/>
          <w:color w:val="000000"/>
          <w:sz w:val="20"/>
          <w:szCs w:val="20"/>
        </w:rPr>
        <w:t xml:space="preserve">e position and prospects. </w:t>
      </w:r>
    </w:p>
    <w:p w14:paraId="4B415427" w14:textId="77777777" w:rsidR="00000000" w:rsidRDefault="000C49AD">
      <w:pPr>
        <w:jc w:val="both"/>
        <w:rPr>
          <w:rFonts w:eastAsia="Times New Roman"/>
        </w:rPr>
      </w:pPr>
    </w:p>
    <w:p w14:paraId="244633EA" w14:textId="77777777" w:rsidR="00000000" w:rsidRDefault="000C49AD">
      <w:pPr>
        <w:jc w:val="both"/>
        <w:rPr>
          <w:rFonts w:eastAsia="Times New Roman"/>
        </w:rPr>
      </w:pPr>
      <w:r>
        <w:rPr>
          <w:rFonts w:eastAsia="Times New Roman"/>
          <w:color w:val="000000"/>
          <w:sz w:val="20"/>
          <w:szCs w:val="20"/>
        </w:rPr>
        <w:t>Even if we are successful in pursuing the 505(b)(2) regulatory pathway for FT218, we cannot assure you that we will receive the requisite or timely approval for commercialization of FT218. Although the Section 505(b)(2) pathway</w:t>
      </w:r>
      <w:r>
        <w:rPr>
          <w:rFonts w:eastAsia="Times New Roman"/>
          <w:color w:val="000000"/>
          <w:sz w:val="20"/>
          <w:szCs w:val="20"/>
        </w:rPr>
        <w:t xml:space="preserve"> allows us to rely in part on the FDA’s prior findings of safety or efficacy for approved listed drugs or on published literature for which we do not have a right of reference, the FDA may determine that prior findings by the FDA or the published literatur</w:t>
      </w:r>
      <w:r>
        <w:rPr>
          <w:rFonts w:eastAsia="Times New Roman"/>
          <w:color w:val="000000"/>
          <w:sz w:val="20"/>
          <w:szCs w:val="20"/>
        </w:rPr>
        <w:t>e that we believe supports the safety or efficacy of FT218 is insufficient or not applicable to our application or that additional studies will need to be conducted. To the extent that we are relying on the 505(b)(2) regulatory pathway based on the approva</w:t>
      </w:r>
      <w:r>
        <w:rPr>
          <w:rFonts w:eastAsia="Times New Roman"/>
          <w:color w:val="000000"/>
          <w:sz w:val="20"/>
          <w:szCs w:val="20"/>
        </w:rPr>
        <w:t>l of a listed drug for a similar indication, the FDA may require that we include in the labeling of FT218, if approved, some or all of the safety information that is included in the labeling of the approved listed drug. For example, the labels of current F</w:t>
      </w:r>
      <w:r>
        <w:rPr>
          <w:rFonts w:eastAsia="Times New Roman"/>
          <w:color w:val="000000"/>
          <w:sz w:val="20"/>
          <w:szCs w:val="20"/>
        </w:rPr>
        <w:t xml:space="preserve">DA-approved sodium oxybate products include a black box warning regarding risks of central nervous system depression and abuse and misuse. Moreover, even if FT218 is approved via the 505(b)(2) regulatory pathway, the approval may be subject to limitations </w:t>
      </w:r>
      <w:r>
        <w:rPr>
          <w:rFonts w:eastAsia="Times New Roman"/>
          <w:color w:val="000000"/>
          <w:sz w:val="20"/>
          <w:szCs w:val="20"/>
        </w:rPr>
        <w:t>on the indicated uses for which the product may be marketed or to other conditions of approval, or may contain requirements for costly post-marketing testing and surveillance to monitor the safety or efficacy of the product, such as a Risk Evaluation and M</w:t>
      </w:r>
      <w:r>
        <w:rPr>
          <w:rFonts w:eastAsia="Times New Roman"/>
          <w:color w:val="000000"/>
          <w:sz w:val="20"/>
          <w:szCs w:val="20"/>
        </w:rPr>
        <w:t>itigation Strategy, or REMS, which is a risk mitigation plan which could include medication guides, physician communication plans, or elements to assure safe use, or ETASU, such as restricted distribution methods, patient registries and other risk minimiza</w:t>
      </w:r>
      <w:r>
        <w:rPr>
          <w:rFonts w:eastAsia="Times New Roman"/>
          <w:color w:val="000000"/>
          <w:sz w:val="20"/>
          <w:szCs w:val="20"/>
        </w:rPr>
        <w:t>tion tools.</w:t>
      </w:r>
    </w:p>
    <w:p w14:paraId="34424E68" w14:textId="77777777" w:rsidR="00000000" w:rsidRDefault="000C49AD">
      <w:pPr>
        <w:divId w:val="1082096192"/>
        <w:rPr>
          <w:rFonts w:eastAsia="Times New Roman"/>
        </w:rPr>
      </w:pPr>
    </w:p>
    <w:p w14:paraId="6EC6C0AC" w14:textId="77777777" w:rsidR="00000000" w:rsidRDefault="000C49AD">
      <w:pPr>
        <w:jc w:val="both"/>
        <w:rPr>
          <w:rFonts w:eastAsia="Times New Roman"/>
        </w:rPr>
      </w:pPr>
      <w:r>
        <w:rPr>
          <w:rFonts w:eastAsia="Times New Roman"/>
          <w:b/>
          <w:bCs/>
          <w:i/>
          <w:iCs/>
          <w:color w:val="000000"/>
          <w:sz w:val="20"/>
          <w:szCs w:val="20"/>
        </w:rPr>
        <w:t xml:space="preserve">Our business depends heavily on our ability to successfully commercialize FT218 in the U.S. and in other jurisdictions where we may obtain marketing approval. There is no assurance that our commercialization efforts with respect to FT218, if </w:t>
      </w:r>
      <w:r>
        <w:rPr>
          <w:rFonts w:eastAsia="Times New Roman"/>
          <w:b/>
          <w:bCs/>
          <w:i/>
          <w:iCs/>
          <w:color w:val="000000"/>
          <w:sz w:val="20"/>
          <w:szCs w:val="20"/>
        </w:rPr>
        <w:t>approved, will be successful or that we will be able to generate revenues at the levels or on the timing we expect, or at levels or on the timing necessary to support our goals.</w:t>
      </w:r>
    </w:p>
    <w:p w14:paraId="59DA7EF8" w14:textId="77777777" w:rsidR="00000000" w:rsidRDefault="000C49AD">
      <w:pPr>
        <w:jc w:val="both"/>
        <w:rPr>
          <w:rFonts w:eastAsia="Times New Roman"/>
        </w:rPr>
      </w:pPr>
    </w:p>
    <w:p w14:paraId="2E45CCEE" w14:textId="77777777" w:rsidR="00000000" w:rsidRDefault="000C49AD">
      <w:pPr>
        <w:jc w:val="both"/>
        <w:rPr>
          <w:rFonts w:eastAsia="Times New Roman"/>
        </w:rPr>
      </w:pPr>
      <w:r>
        <w:rPr>
          <w:rFonts w:eastAsia="Times New Roman"/>
          <w:color w:val="000000"/>
          <w:sz w:val="20"/>
          <w:szCs w:val="20"/>
        </w:rPr>
        <w:t>Our business currently depends heavily on our ability to successfully commer</w:t>
      </w:r>
      <w:r>
        <w:rPr>
          <w:rFonts w:eastAsia="Times New Roman"/>
          <w:color w:val="000000"/>
          <w:sz w:val="20"/>
          <w:szCs w:val="20"/>
        </w:rPr>
        <w:t xml:space="preserve">cialize FT218 for the treatment of cataplexy or EDS in adults with narcolepsy in the U.S. and in other jurisdictions where we may obtain marketing approval. Even if we obtain marketing approval for FT218, we may never be able to successfully commercialize </w:t>
      </w:r>
      <w:r>
        <w:rPr>
          <w:rFonts w:eastAsia="Times New Roman"/>
          <w:color w:val="000000"/>
          <w:sz w:val="20"/>
          <w:szCs w:val="20"/>
        </w:rPr>
        <w:t>our product or meet our expectations with respect to revenues. There is no guarantee that the infrastructure, systems, processes, policies, relationships, and materials we are building for the commercialization of FT218 in the U.S., or that we may build fo</w:t>
      </w:r>
      <w:r>
        <w:rPr>
          <w:rFonts w:eastAsia="Times New Roman"/>
          <w:color w:val="000000"/>
          <w:sz w:val="20"/>
          <w:szCs w:val="20"/>
        </w:rPr>
        <w:t>r other jurisdictions where we may obtain marketing approval, will be sufficient for us to achieve success at the levels we expect. If we are unable to establish adequate sales, marketing and distribution capabilities, whether independently or with third p</w:t>
      </w:r>
      <w:r>
        <w:rPr>
          <w:rFonts w:eastAsia="Times New Roman"/>
          <w:color w:val="000000"/>
          <w:sz w:val="20"/>
          <w:szCs w:val="20"/>
        </w:rPr>
        <w:t>arties, or if we are unable to do so on commercially reasonable terms, our business, results of operations, financial condition and prospects will be materially adversely affected. We may encounter issues, delays or other challenges in launching or commerc</w:t>
      </w:r>
      <w:r>
        <w:rPr>
          <w:rFonts w:eastAsia="Times New Roman"/>
          <w:color w:val="000000"/>
          <w:sz w:val="20"/>
          <w:szCs w:val="20"/>
        </w:rPr>
        <w:t>ializing FT218, if approved. For example, our results may be negatively impacted if we have not adequately sized our field teams or if our targeting strategy is inadequate or if we encounter deficiencies or inefficiencies in our infrastructure or processes</w:t>
      </w:r>
      <w:r>
        <w:rPr>
          <w:rFonts w:eastAsia="Times New Roman"/>
          <w:color w:val="000000"/>
          <w:sz w:val="20"/>
          <w:szCs w:val="20"/>
        </w:rPr>
        <w:t>.</w:t>
      </w:r>
    </w:p>
    <w:p w14:paraId="46D3A253" w14:textId="77777777" w:rsidR="00000000" w:rsidRDefault="000C49AD">
      <w:pPr>
        <w:jc w:val="both"/>
        <w:rPr>
          <w:rFonts w:eastAsia="Times New Roman"/>
        </w:rPr>
      </w:pPr>
    </w:p>
    <w:p w14:paraId="40071827" w14:textId="77777777" w:rsidR="00000000" w:rsidRDefault="000C49AD">
      <w:pPr>
        <w:jc w:val="both"/>
        <w:rPr>
          <w:rFonts w:eastAsia="Times New Roman"/>
        </w:rPr>
      </w:pPr>
      <w:r>
        <w:rPr>
          <w:rFonts w:eastAsia="Times New Roman"/>
          <w:color w:val="000000"/>
          <w:sz w:val="20"/>
          <w:szCs w:val="20"/>
        </w:rPr>
        <w:t>We may encounter issues and challenges in commercializing FT218, if approved, and generating sufficient revenues to result in a profit. We may also encounter challenges related to reimbursement of FT218, including potential limitations in the scope, br</w:t>
      </w:r>
      <w:r>
        <w:rPr>
          <w:rFonts w:eastAsia="Times New Roman"/>
          <w:color w:val="000000"/>
          <w:sz w:val="20"/>
          <w:szCs w:val="20"/>
        </w:rPr>
        <w:t xml:space="preserve">eadth, availability, or amount of reimbursement covering FT218. Similarly, healthcare settings or patients may determine that the financial burdens of treatment are not acceptable. We may face other limitations or issues related to the price of FT218. Our </w:t>
      </w:r>
      <w:r>
        <w:rPr>
          <w:rFonts w:eastAsia="Times New Roman"/>
          <w:color w:val="000000"/>
          <w:sz w:val="20"/>
          <w:szCs w:val="20"/>
        </w:rPr>
        <w:t xml:space="preserve">results may also be negatively impacted if we have not adequately sized our field teams or our physician segmentation and targeting strategy is inadequate or if we encounter deficiencies or inefficiencies in our infrastructure or processes. Other factors </w:t>
      </w:r>
    </w:p>
    <w:p w14:paraId="6B366D60" w14:textId="77777777" w:rsidR="00000000" w:rsidRDefault="000C49AD">
      <w:pPr>
        <w:jc w:val="center"/>
        <w:divId w:val="108356693"/>
        <w:rPr>
          <w:rFonts w:eastAsia="Times New Roman"/>
        </w:rPr>
      </w:pPr>
      <w:r>
        <w:rPr>
          <w:rFonts w:eastAsia="Times New Roman"/>
          <w:color w:val="000000"/>
          <w:sz w:val="20"/>
          <w:szCs w:val="20"/>
        </w:rPr>
        <w:t>-26-</w:t>
      </w:r>
    </w:p>
    <w:p w14:paraId="220EFA95" w14:textId="77777777" w:rsidR="00000000" w:rsidRDefault="000C49AD">
      <w:pPr>
        <w:rPr>
          <w:rFonts w:eastAsia="Times New Roman"/>
        </w:rPr>
      </w:pPr>
      <w:r>
        <w:rPr>
          <w:rFonts w:eastAsia="Times New Roman"/>
        </w:rPr>
        <w:pict w14:anchorId="5D6834B0">
          <v:rect id="_x0000_i1050" style="width:0;height:1.5pt" o:hralign="center" o:hrstd="t" o:hr="t" fillcolor="#a0a0a0" stroked="f"/>
        </w:pict>
      </w:r>
    </w:p>
    <w:p w14:paraId="33AFDF9A" w14:textId="77777777" w:rsidR="00000000" w:rsidRDefault="000C49AD">
      <w:pPr>
        <w:divId w:val="984314628"/>
        <w:rPr>
          <w:rFonts w:eastAsia="Times New Roman"/>
        </w:rPr>
      </w:pPr>
    </w:p>
    <w:p w14:paraId="7D21D6A2" w14:textId="77777777" w:rsidR="00000000" w:rsidRDefault="000C49AD">
      <w:pPr>
        <w:jc w:val="both"/>
        <w:rPr>
          <w:rFonts w:eastAsia="Times New Roman"/>
        </w:rPr>
      </w:pPr>
      <w:r>
        <w:rPr>
          <w:rFonts w:eastAsia="Times New Roman"/>
          <w:color w:val="000000"/>
          <w:sz w:val="20"/>
          <w:szCs w:val="20"/>
        </w:rPr>
        <w:t>that may hinder our ability to successfully commercialize FT218, if approved, and generate sufficient revenues to result in a profit, include:</w:t>
      </w:r>
    </w:p>
    <w:p w14:paraId="1633EDD4" w14:textId="77777777" w:rsidR="00000000" w:rsidRDefault="000C49AD">
      <w:pPr>
        <w:jc w:val="both"/>
        <w:rPr>
          <w:rFonts w:eastAsia="Times New Roman"/>
        </w:rPr>
      </w:pPr>
    </w:p>
    <w:p w14:paraId="6137A3EC" w14:textId="77777777" w:rsidR="00000000" w:rsidRDefault="000C49AD">
      <w:pPr>
        <w:ind w:hanging="360"/>
        <w:jc w:val="both"/>
        <w:rPr>
          <w:rFonts w:eastAsia="Times New Roman"/>
        </w:rPr>
      </w:pPr>
      <w:r>
        <w:rPr>
          <w:rFonts w:eastAsia="Times New Roman"/>
          <w:color w:val="000000"/>
          <w:sz w:val="20"/>
          <w:szCs w:val="20"/>
        </w:rPr>
        <w:t>•the acceptance of FT218 by patients and the medical community;</w:t>
      </w:r>
    </w:p>
    <w:p w14:paraId="2E9880A2" w14:textId="77777777" w:rsidR="00000000" w:rsidRDefault="000C49AD">
      <w:pPr>
        <w:ind w:hanging="360"/>
        <w:jc w:val="both"/>
        <w:rPr>
          <w:rFonts w:eastAsia="Times New Roman"/>
        </w:rPr>
      </w:pPr>
      <w:r>
        <w:rPr>
          <w:rFonts w:eastAsia="Times New Roman"/>
          <w:color w:val="000000"/>
          <w:sz w:val="20"/>
          <w:szCs w:val="20"/>
        </w:rPr>
        <w:t>•the ability of our third-party manufacturer(s)</w:t>
      </w:r>
      <w:r>
        <w:rPr>
          <w:rFonts w:eastAsia="Times New Roman"/>
          <w:color w:val="000000"/>
          <w:sz w:val="20"/>
          <w:szCs w:val="20"/>
        </w:rPr>
        <w:t xml:space="preserve"> to manufacture commercial supplies of FT218 in sufficient quantities at acceptable costs, to remain in good standing with regulatory agencies, maintain applicable registrations and licenses, and to maintain commercially viable manufacturing processes that</w:t>
      </w:r>
      <w:r>
        <w:rPr>
          <w:rFonts w:eastAsia="Times New Roman"/>
          <w:color w:val="000000"/>
          <w:sz w:val="20"/>
          <w:szCs w:val="20"/>
        </w:rPr>
        <w:t xml:space="preserve"> are, to the extent required, compliant with current Good Manufacturing Practices, or cGMP, regulations;</w:t>
      </w:r>
    </w:p>
    <w:p w14:paraId="2B8B8FE9" w14:textId="77777777" w:rsidR="00000000" w:rsidRDefault="000C49AD">
      <w:pPr>
        <w:ind w:hanging="360"/>
        <w:jc w:val="both"/>
        <w:rPr>
          <w:rFonts w:eastAsia="Times New Roman"/>
        </w:rPr>
      </w:pPr>
      <w:r>
        <w:rPr>
          <w:rFonts w:eastAsia="Times New Roman"/>
          <w:color w:val="000000"/>
          <w:sz w:val="20"/>
          <w:szCs w:val="20"/>
        </w:rPr>
        <w:t>•our ability to remain compliant with laws and regulations that apply to us and our commercial activities;</w:t>
      </w:r>
    </w:p>
    <w:p w14:paraId="241C94F2" w14:textId="77777777" w:rsidR="00000000" w:rsidRDefault="000C49AD">
      <w:pPr>
        <w:ind w:hanging="360"/>
        <w:jc w:val="both"/>
        <w:rPr>
          <w:rFonts w:eastAsia="Times New Roman"/>
        </w:rPr>
      </w:pPr>
      <w:r>
        <w:rPr>
          <w:rFonts w:eastAsia="Times New Roman"/>
          <w:color w:val="000000"/>
          <w:sz w:val="20"/>
          <w:szCs w:val="20"/>
        </w:rPr>
        <w:t>•FDA- or other foreign regulatory agency-man</w:t>
      </w:r>
      <w:r>
        <w:rPr>
          <w:rFonts w:eastAsia="Times New Roman"/>
          <w:color w:val="000000"/>
          <w:sz w:val="20"/>
          <w:szCs w:val="20"/>
        </w:rPr>
        <w:t>dated package insert requirements and successful completion of any related FDA or other foreign regulatory agency post-marketing requirements, including a REMS;</w:t>
      </w:r>
    </w:p>
    <w:p w14:paraId="778ABD56" w14:textId="77777777" w:rsidR="00000000" w:rsidRDefault="000C49AD">
      <w:pPr>
        <w:ind w:hanging="360"/>
        <w:jc w:val="both"/>
        <w:rPr>
          <w:rFonts w:eastAsia="Times New Roman"/>
        </w:rPr>
      </w:pPr>
      <w:r>
        <w:rPr>
          <w:rFonts w:eastAsia="Times New Roman"/>
          <w:color w:val="000000"/>
          <w:sz w:val="20"/>
          <w:szCs w:val="20"/>
        </w:rPr>
        <w:t xml:space="preserve">•the actual market size for FT218, which may be different than expected; </w:t>
      </w:r>
    </w:p>
    <w:p w14:paraId="208E79A4" w14:textId="77777777" w:rsidR="00000000" w:rsidRDefault="000C49AD">
      <w:pPr>
        <w:ind w:hanging="360"/>
        <w:jc w:val="both"/>
        <w:rPr>
          <w:rFonts w:eastAsia="Times New Roman"/>
        </w:rPr>
      </w:pPr>
      <w:r>
        <w:rPr>
          <w:rFonts w:eastAsia="Times New Roman"/>
          <w:color w:val="000000"/>
          <w:sz w:val="20"/>
          <w:szCs w:val="20"/>
        </w:rPr>
        <w:t>•the length of time t</w:t>
      </w:r>
      <w:r>
        <w:rPr>
          <w:rFonts w:eastAsia="Times New Roman"/>
          <w:color w:val="000000"/>
          <w:sz w:val="20"/>
          <w:szCs w:val="20"/>
        </w:rPr>
        <w:t>hat patients who are prescribed our drug remain on treatment;</w:t>
      </w:r>
    </w:p>
    <w:p w14:paraId="14DD438D" w14:textId="77777777" w:rsidR="00000000" w:rsidRDefault="000C49AD">
      <w:pPr>
        <w:ind w:hanging="360"/>
        <w:jc w:val="both"/>
        <w:rPr>
          <w:rFonts w:eastAsia="Times New Roman"/>
        </w:rPr>
      </w:pPr>
      <w:r>
        <w:rPr>
          <w:rFonts w:eastAsia="Times New Roman"/>
          <w:color w:val="000000"/>
          <w:sz w:val="20"/>
          <w:szCs w:val="20"/>
        </w:rPr>
        <w:t>•the sufficiency of our drug supply to meet commercial demand which could be negatively impacted if our projections regarding the potential number of patients are inaccurate, we are subject to u</w:t>
      </w:r>
      <w:r>
        <w:rPr>
          <w:rFonts w:eastAsia="Times New Roman"/>
          <w:color w:val="000000"/>
          <w:sz w:val="20"/>
          <w:szCs w:val="20"/>
        </w:rPr>
        <w:t xml:space="preserve">nanticipated regulatory requirements, or our current drug supply is destroyed, or negatively impacted at our manufacturing sites, storage sites, or in transit; </w:t>
      </w:r>
    </w:p>
    <w:p w14:paraId="077529D4" w14:textId="77777777" w:rsidR="00000000" w:rsidRDefault="000C49AD">
      <w:pPr>
        <w:ind w:hanging="360"/>
        <w:jc w:val="both"/>
        <w:rPr>
          <w:rFonts w:eastAsia="Times New Roman"/>
        </w:rPr>
      </w:pPr>
      <w:r>
        <w:rPr>
          <w:rFonts w:eastAsia="Times New Roman"/>
          <w:color w:val="000000"/>
          <w:sz w:val="20"/>
          <w:szCs w:val="20"/>
        </w:rPr>
        <w:t>•our ability to effectively complete with other therapies; and</w:t>
      </w:r>
    </w:p>
    <w:p w14:paraId="34D266EF" w14:textId="77777777" w:rsidR="00000000" w:rsidRDefault="000C49AD">
      <w:pPr>
        <w:ind w:hanging="360"/>
        <w:jc w:val="both"/>
        <w:rPr>
          <w:rFonts w:eastAsia="Times New Roman"/>
        </w:rPr>
      </w:pPr>
      <w:r>
        <w:rPr>
          <w:rFonts w:eastAsia="Times New Roman"/>
          <w:color w:val="000000"/>
          <w:sz w:val="20"/>
          <w:szCs w:val="20"/>
        </w:rPr>
        <w:t>•our ability to maintain, enforc</w:t>
      </w:r>
      <w:r>
        <w:rPr>
          <w:rFonts w:eastAsia="Times New Roman"/>
          <w:color w:val="000000"/>
          <w:sz w:val="20"/>
          <w:szCs w:val="20"/>
        </w:rPr>
        <w:t>e, and defend third party challenges to our intellectual property rights in and to FT218.</w:t>
      </w:r>
    </w:p>
    <w:p w14:paraId="06C3AC27" w14:textId="77777777" w:rsidR="00000000" w:rsidRDefault="000C49AD">
      <w:pPr>
        <w:jc w:val="both"/>
        <w:rPr>
          <w:rFonts w:eastAsia="Times New Roman"/>
        </w:rPr>
      </w:pPr>
    </w:p>
    <w:p w14:paraId="1BB01908" w14:textId="77777777" w:rsidR="00000000" w:rsidRDefault="000C49AD">
      <w:pPr>
        <w:jc w:val="both"/>
        <w:rPr>
          <w:rFonts w:eastAsia="Times New Roman"/>
        </w:rPr>
      </w:pPr>
      <w:r>
        <w:rPr>
          <w:rFonts w:eastAsia="Times New Roman"/>
          <w:color w:val="000000"/>
          <w:sz w:val="20"/>
          <w:szCs w:val="20"/>
        </w:rPr>
        <w:t xml:space="preserve">Any of these issues could impair our ability to successfully commercialize our product, if approved, or to generate sufficient revenues to result in a profit or to </w:t>
      </w:r>
      <w:r>
        <w:rPr>
          <w:rFonts w:eastAsia="Times New Roman"/>
          <w:color w:val="000000"/>
          <w:sz w:val="20"/>
          <w:szCs w:val="20"/>
        </w:rPr>
        <w:t xml:space="preserve">meet our expectations with respect to the amount or timing of revenues or profits. Any issues or hurdles related to our commercialization efforts may materially adversely affect our business, results of operations, financial condition, and prospects. Even </w:t>
      </w:r>
      <w:r>
        <w:rPr>
          <w:rFonts w:eastAsia="Times New Roman"/>
          <w:color w:val="000000"/>
          <w:sz w:val="20"/>
          <w:szCs w:val="20"/>
        </w:rPr>
        <w:t xml:space="preserve">if approved, there is no guarantee that we will be successful in our commercialization efforts with respect to FT218. We may also experience significant fluctuations in sales of FT218 from period to period and, ultimately, we may never generate sufficient </w:t>
      </w:r>
      <w:r>
        <w:rPr>
          <w:rFonts w:eastAsia="Times New Roman"/>
          <w:color w:val="000000"/>
          <w:sz w:val="20"/>
          <w:szCs w:val="20"/>
        </w:rPr>
        <w:t>revenues from FT218 to reach or maintain profitability or sustain our anticipated levels of operations. Any inability on our part to successfully commercialize FT218 in the U.S. and any other international markets where it may be approved or any significan</w:t>
      </w:r>
      <w:r>
        <w:rPr>
          <w:rFonts w:eastAsia="Times New Roman"/>
          <w:color w:val="000000"/>
          <w:sz w:val="20"/>
          <w:szCs w:val="20"/>
        </w:rPr>
        <w:t>t delay, could have a material adverse impact on our ability to execute upon our business strategy.</w:t>
      </w:r>
    </w:p>
    <w:p w14:paraId="4DBCF89C" w14:textId="77777777" w:rsidR="00000000" w:rsidRDefault="000C49AD">
      <w:pPr>
        <w:jc w:val="both"/>
        <w:rPr>
          <w:rFonts w:eastAsia="Times New Roman"/>
        </w:rPr>
      </w:pPr>
    </w:p>
    <w:p w14:paraId="659A550E" w14:textId="77777777" w:rsidR="00000000" w:rsidRDefault="000C49AD">
      <w:pPr>
        <w:jc w:val="both"/>
        <w:rPr>
          <w:rFonts w:eastAsia="Times New Roman"/>
        </w:rPr>
      </w:pPr>
      <w:r>
        <w:rPr>
          <w:rFonts w:eastAsia="Times New Roman"/>
          <w:color w:val="000000"/>
          <w:sz w:val="20"/>
          <w:szCs w:val="20"/>
        </w:rPr>
        <w:t>If we are unable to establish adequate sales, marketing and distribution capabilities, whether independently or with third parties, or if we are unable to</w:t>
      </w:r>
      <w:r>
        <w:rPr>
          <w:rFonts w:eastAsia="Times New Roman"/>
          <w:color w:val="000000"/>
          <w:sz w:val="20"/>
          <w:szCs w:val="20"/>
        </w:rPr>
        <w:t xml:space="preserve"> do so on commercially reasonable terms, our business, results of operations, financial condition and prospects will be materially adversely affected. We may encounter issues, delays or other challenges in launching or commercializing FT218, if approved. F</w:t>
      </w:r>
      <w:r>
        <w:rPr>
          <w:rFonts w:eastAsia="Times New Roman"/>
          <w:color w:val="000000"/>
          <w:sz w:val="20"/>
          <w:szCs w:val="20"/>
        </w:rPr>
        <w:t>or example, our results may be negatively impacted if we have not adequately sized our field teams or if our targeting strategy is inadequate or if we encounter deficiencies or inefficiencies in our infrastructure or processes.</w:t>
      </w:r>
    </w:p>
    <w:p w14:paraId="6CBDF8DD" w14:textId="77777777" w:rsidR="00000000" w:rsidRDefault="000C49AD">
      <w:pPr>
        <w:jc w:val="both"/>
        <w:rPr>
          <w:rFonts w:eastAsia="Times New Roman"/>
        </w:rPr>
      </w:pPr>
    </w:p>
    <w:p w14:paraId="4F011D03" w14:textId="77777777" w:rsidR="00000000" w:rsidRDefault="000C49AD">
      <w:pPr>
        <w:jc w:val="both"/>
        <w:rPr>
          <w:rFonts w:eastAsia="Times New Roman"/>
        </w:rPr>
      </w:pPr>
      <w:r>
        <w:rPr>
          <w:rFonts w:eastAsia="Times New Roman"/>
          <w:b/>
          <w:bCs/>
          <w:i/>
          <w:iCs/>
          <w:color w:val="000000"/>
          <w:sz w:val="20"/>
          <w:szCs w:val="20"/>
        </w:rPr>
        <w:t>Clinical development of dr</w:t>
      </w:r>
      <w:r>
        <w:rPr>
          <w:rFonts w:eastAsia="Times New Roman"/>
          <w:b/>
          <w:bCs/>
          <w:i/>
          <w:iCs/>
          <w:color w:val="000000"/>
          <w:sz w:val="20"/>
          <w:szCs w:val="20"/>
        </w:rPr>
        <w:t>ugs is costly and time-consuming, and the outcomes are uncertain. A failure to prove that FT218 is safe and effective in clinical trials could materially and adversely affect our business, financial condition, results of operations and growth prospects.</w:t>
      </w:r>
    </w:p>
    <w:p w14:paraId="78C2D720" w14:textId="77777777" w:rsidR="00000000" w:rsidRDefault="000C49AD">
      <w:pPr>
        <w:jc w:val="both"/>
        <w:rPr>
          <w:rFonts w:eastAsia="Times New Roman"/>
        </w:rPr>
      </w:pPr>
    </w:p>
    <w:p w14:paraId="65C3DB10" w14:textId="77777777" w:rsidR="00000000" w:rsidRDefault="000C49AD">
      <w:pPr>
        <w:jc w:val="both"/>
        <w:rPr>
          <w:rFonts w:eastAsia="Times New Roman"/>
        </w:rPr>
      </w:pPr>
      <w:r>
        <w:rPr>
          <w:rFonts w:eastAsia="Times New Roman"/>
          <w:color w:val="000000"/>
          <w:sz w:val="20"/>
          <w:szCs w:val="20"/>
        </w:rPr>
        <w:t xml:space="preserve">Clinical trials are expensive and can take many years to complete, and the outcome is uncertain. Failure can occur at any time during the clinical trial process. The results of preclinical studies and early clinical trials of product candidates may not be </w:t>
      </w:r>
      <w:r>
        <w:rPr>
          <w:rFonts w:eastAsia="Times New Roman"/>
          <w:color w:val="000000"/>
          <w:sz w:val="20"/>
          <w:szCs w:val="20"/>
        </w:rPr>
        <w:t xml:space="preserve">predictive of the results of later-stage clinical trials. Product candidates in later stages of clinical trials may fail to show the desired safety and efficacy traits despite having progressed through preclinical studies and initial clinical testing. For </w:t>
      </w:r>
      <w:r>
        <w:rPr>
          <w:rFonts w:eastAsia="Times New Roman"/>
          <w:color w:val="000000"/>
          <w:sz w:val="20"/>
          <w:szCs w:val="20"/>
        </w:rPr>
        <w:t>example, we are currently conducting an open-label extension (“OLE”) switch study of FT218, RESTORE, to examine the long-term safety and maintenance of efficacy of FT218 in patients with narcolepsy who participated in our REST-ON trial, as well as dosing a</w:t>
      </w:r>
      <w:r>
        <w:rPr>
          <w:rFonts w:eastAsia="Times New Roman"/>
          <w:color w:val="000000"/>
          <w:sz w:val="20"/>
          <w:szCs w:val="20"/>
        </w:rPr>
        <w:t>nd preference data for patients switching from twice-nightly sodium oxybate to once-nightly FT218 regardless if they participated in REST-ON or not. In May 2021, inclusion criteria were expanded to allow for oxybate naïve patients to enter the study. If an</w:t>
      </w:r>
      <w:r>
        <w:rPr>
          <w:rFonts w:eastAsia="Times New Roman"/>
          <w:color w:val="000000"/>
          <w:sz w:val="20"/>
          <w:szCs w:val="20"/>
        </w:rPr>
        <w:t>y participants in the OLE/switch study report any serious adverse events that are deemed to be related to FT218 or if FT218 is not observed to have long-term efficacy, our business, financial condition, results of operations and growth prospects could be m</w:t>
      </w:r>
      <w:r>
        <w:rPr>
          <w:rFonts w:eastAsia="Times New Roman"/>
          <w:color w:val="000000"/>
          <w:sz w:val="20"/>
          <w:szCs w:val="20"/>
        </w:rPr>
        <w:t>aterial and adversely affected.</w:t>
      </w:r>
    </w:p>
    <w:p w14:paraId="25B7D925" w14:textId="77777777" w:rsidR="00000000" w:rsidRDefault="000C49AD">
      <w:pPr>
        <w:jc w:val="both"/>
        <w:rPr>
          <w:rFonts w:eastAsia="Times New Roman"/>
        </w:rPr>
      </w:pPr>
    </w:p>
    <w:p w14:paraId="19121C3D" w14:textId="77777777" w:rsidR="00000000" w:rsidRDefault="000C49AD">
      <w:pPr>
        <w:jc w:val="both"/>
        <w:rPr>
          <w:rFonts w:eastAsia="Times New Roman"/>
        </w:rPr>
      </w:pPr>
      <w:r>
        <w:rPr>
          <w:rFonts w:eastAsia="Times New Roman"/>
          <w:color w:val="000000"/>
          <w:sz w:val="20"/>
          <w:szCs w:val="20"/>
        </w:rPr>
        <w:t>In addition to issues relating to the results generated in clinical trials, clinical trials can be delayed or halted for a variety of reasons, including delay or failure in:</w:t>
      </w:r>
    </w:p>
    <w:p w14:paraId="66D201B0" w14:textId="77777777" w:rsidR="00000000" w:rsidRDefault="000C49AD">
      <w:pPr>
        <w:jc w:val="both"/>
        <w:rPr>
          <w:rFonts w:eastAsia="Times New Roman"/>
        </w:rPr>
      </w:pPr>
    </w:p>
    <w:p w14:paraId="21979940" w14:textId="77777777" w:rsidR="00000000" w:rsidRDefault="000C49AD">
      <w:pPr>
        <w:ind w:hanging="360"/>
        <w:jc w:val="both"/>
        <w:rPr>
          <w:rFonts w:eastAsia="Times New Roman"/>
        </w:rPr>
      </w:pPr>
      <w:r>
        <w:rPr>
          <w:rFonts w:eastAsia="Times New Roman"/>
          <w:color w:val="000000"/>
          <w:sz w:val="20"/>
          <w:szCs w:val="20"/>
        </w:rPr>
        <w:t>•obtaining regulatory approval to commence a t</w:t>
      </w:r>
      <w:r>
        <w:rPr>
          <w:rFonts w:eastAsia="Times New Roman"/>
          <w:color w:val="000000"/>
          <w:sz w:val="20"/>
          <w:szCs w:val="20"/>
        </w:rPr>
        <w:t xml:space="preserve">rial; </w:t>
      </w:r>
    </w:p>
    <w:p w14:paraId="4FDEFDB2" w14:textId="77777777" w:rsidR="00000000" w:rsidRDefault="000C49AD">
      <w:pPr>
        <w:jc w:val="center"/>
        <w:divId w:val="1270237483"/>
        <w:rPr>
          <w:rFonts w:eastAsia="Times New Roman"/>
        </w:rPr>
      </w:pPr>
      <w:r>
        <w:rPr>
          <w:rFonts w:eastAsia="Times New Roman"/>
          <w:color w:val="000000"/>
          <w:sz w:val="20"/>
          <w:szCs w:val="20"/>
        </w:rPr>
        <w:t>-27-</w:t>
      </w:r>
    </w:p>
    <w:p w14:paraId="38B78083" w14:textId="77777777" w:rsidR="00000000" w:rsidRDefault="000C49AD">
      <w:pPr>
        <w:rPr>
          <w:rFonts w:eastAsia="Times New Roman"/>
        </w:rPr>
      </w:pPr>
      <w:r>
        <w:rPr>
          <w:rFonts w:eastAsia="Times New Roman"/>
        </w:rPr>
        <w:pict w14:anchorId="01BA2007">
          <v:rect id="_x0000_i1051" style="width:0;height:1.5pt" o:hralign="center" o:hrstd="t" o:hr="t" fillcolor="#a0a0a0" stroked="f"/>
        </w:pict>
      </w:r>
    </w:p>
    <w:p w14:paraId="72C9FC2D" w14:textId="77777777" w:rsidR="00000000" w:rsidRDefault="000C49AD">
      <w:pPr>
        <w:divId w:val="1820608174"/>
        <w:rPr>
          <w:rFonts w:eastAsia="Times New Roman"/>
        </w:rPr>
      </w:pPr>
    </w:p>
    <w:p w14:paraId="49DC3B57" w14:textId="77777777" w:rsidR="00000000" w:rsidRDefault="000C49AD">
      <w:pPr>
        <w:ind w:hanging="360"/>
        <w:jc w:val="both"/>
        <w:rPr>
          <w:rFonts w:eastAsia="Times New Roman"/>
        </w:rPr>
      </w:pPr>
      <w:r>
        <w:rPr>
          <w:rFonts w:eastAsia="Times New Roman"/>
          <w:color w:val="000000"/>
          <w:sz w:val="20"/>
          <w:szCs w:val="20"/>
        </w:rPr>
        <w:t>•reaching agreement on acceptable terms with prospective contract research organizations (“CROs”</w:t>
      </w:r>
      <w:r>
        <w:rPr>
          <w:rFonts w:eastAsia="Times New Roman"/>
          <w:color w:val="000000"/>
          <w:sz w:val="20"/>
          <w:szCs w:val="20"/>
        </w:rPr>
        <w:t xml:space="preserve">) and clinical trial sites, the terms of which can be subject to extensive negotiation and may vary significantly among different CROs and trial sites; </w:t>
      </w:r>
    </w:p>
    <w:p w14:paraId="20DD4F26"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obtaining institutional review board or ethics committee approval at each site; </w:t>
      </w:r>
    </w:p>
    <w:p w14:paraId="653236C6" w14:textId="77777777" w:rsidR="00000000" w:rsidRDefault="000C49AD">
      <w:pPr>
        <w:ind w:hanging="360"/>
        <w:jc w:val="both"/>
        <w:rPr>
          <w:rFonts w:eastAsia="Times New Roman"/>
        </w:rPr>
      </w:pPr>
      <w:r>
        <w:rPr>
          <w:rFonts w:eastAsia="Times New Roman"/>
          <w:color w:val="000000"/>
          <w:sz w:val="20"/>
          <w:szCs w:val="20"/>
        </w:rPr>
        <w:t xml:space="preserve">•recruiting suitable patients to participate in a trial; </w:t>
      </w:r>
    </w:p>
    <w:p w14:paraId="526C3F31" w14:textId="77777777" w:rsidR="00000000" w:rsidRDefault="000C49AD">
      <w:pPr>
        <w:ind w:hanging="360"/>
        <w:jc w:val="both"/>
        <w:rPr>
          <w:rFonts w:eastAsia="Times New Roman"/>
        </w:rPr>
      </w:pPr>
      <w:r>
        <w:rPr>
          <w:rFonts w:eastAsia="Times New Roman"/>
          <w:color w:val="000000"/>
          <w:sz w:val="20"/>
          <w:szCs w:val="20"/>
        </w:rPr>
        <w:t xml:space="preserve">•having patients complete a trial or return for post-treatment follow-up; </w:t>
      </w:r>
    </w:p>
    <w:p w14:paraId="1DC11EE8" w14:textId="77777777" w:rsidR="00000000" w:rsidRDefault="000C49AD">
      <w:pPr>
        <w:ind w:hanging="360"/>
        <w:jc w:val="both"/>
        <w:rPr>
          <w:rFonts w:eastAsia="Times New Roman"/>
        </w:rPr>
      </w:pPr>
      <w:r>
        <w:rPr>
          <w:rFonts w:eastAsia="Times New Roman"/>
          <w:color w:val="000000"/>
          <w:sz w:val="20"/>
          <w:szCs w:val="20"/>
        </w:rPr>
        <w:t xml:space="preserve">•clinical sites dropping out of a trial; </w:t>
      </w:r>
    </w:p>
    <w:p w14:paraId="14CB7789" w14:textId="77777777" w:rsidR="00000000" w:rsidRDefault="000C49AD">
      <w:pPr>
        <w:ind w:hanging="360"/>
        <w:jc w:val="both"/>
        <w:rPr>
          <w:rFonts w:eastAsia="Times New Roman"/>
        </w:rPr>
      </w:pPr>
      <w:r>
        <w:rPr>
          <w:rFonts w:eastAsia="Times New Roman"/>
          <w:color w:val="000000"/>
          <w:sz w:val="20"/>
          <w:szCs w:val="20"/>
        </w:rPr>
        <w:t xml:space="preserve">•adding new sites; or </w:t>
      </w:r>
    </w:p>
    <w:p w14:paraId="5CB580A9" w14:textId="77777777" w:rsidR="00000000" w:rsidRDefault="000C49AD">
      <w:pPr>
        <w:ind w:hanging="360"/>
        <w:jc w:val="both"/>
        <w:rPr>
          <w:rFonts w:eastAsia="Times New Roman"/>
        </w:rPr>
      </w:pPr>
      <w:r>
        <w:rPr>
          <w:rFonts w:eastAsia="Times New Roman"/>
          <w:color w:val="000000"/>
          <w:sz w:val="20"/>
          <w:szCs w:val="20"/>
        </w:rPr>
        <w:t xml:space="preserve">•obtaining clinical materials or manufacturing sufficient quantities of FT218 for use in clinical trials. </w:t>
      </w:r>
    </w:p>
    <w:p w14:paraId="3A15AE95" w14:textId="77777777" w:rsidR="00000000" w:rsidRDefault="000C49AD">
      <w:pPr>
        <w:jc w:val="both"/>
        <w:rPr>
          <w:rFonts w:eastAsia="Times New Roman"/>
        </w:rPr>
      </w:pPr>
    </w:p>
    <w:p w14:paraId="6CD76623" w14:textId="77777777" w:rsidR="00000000" w:rsidRDefault="000C49AD">
      <w:pPr>
        <w:jc w:val="both"/>
        <w:rPr>
          <w:rFonts w:eastAsia="Times New Roman"/>
        </w:rPr>
      </w:pPr>
      <w:r>
        <w:rPr>
          <w:rFonts w:eastAsia="Times New Roman"/>
          <w:b/>
          <w:bCs/>
          <w:i/>
          <w:iCs/>
          <w:color w:val="000000"/>
          <w:sz w:val="20"/>
          <w:szCs w:val="20"/>
        </w:rPr>
        <w:t>We have limited experience as a commercial drug company targeting an orphan drug disease and the marketing and sale of FT218</w:t>
      </w:r>
      <w:r>
        <w:rPr>
          <w:rFonts w:eastAsia="Times New Roman"/>
          <w:b/>
          <w:bCs/>
          <w:i/>
          <w:iCs/>
          <w:color w:val="000000"/>
          <w:sz w:val="20"/>
          <w:szCs w:val="20"/>
        </w:rPr>
        <w:t>, if approved, may be unsuccessful or less successful than anticipated.</w:t>
      </w:r>
    </w:p>
    <w:p w14:paraId="1E764F04" w14:textId="77777777" w:rsidR="00000000" w:rsidRDefault="000C49AD">
      <w:pPr>
        <w:jc w:val="both"/>
        <w:rPr>
          <w:rFonts w:eastAsia="Times New Roman"/>
        </w:rPr>
      </w:pPr>
    </w:p>
    <w:p w14:paraId="3BC2217F" w14:textId="77777777" w:rsidR="00000000" w:rsidRDefault="000C49AD">
      <w:pPr>
        <w:jc w:val="both"/>
        <w:rPr>
          <w:rFonts w:eastAsia="Times New Roman"/>
        </w:rPr>
      </w:pPr>
      <w:r>
        <w:rPr>
          <w:rFonts w:eastAsia="Times New Roman"/>
          <w:color w:val="000000"/>
          <w:sz w:val="20"/>
          <w:szCs w:val="20"/>
        </w:rPr>
        <w:t xml:space="preserve">We have limited experience as a commercial drug company targeting an orphan disease and there is limited information about our ability to successfully overcome many of the risks and </w:t>
      </w:r>
      <w:r>
        <w:rPr>
          <w:rFonts w:eastAsia="Times New Roman"/>
          <w:color w:val="000000"/>
          <w:sz w:val="20"/>
          <w:szCs w:val="20"/>
        </w:rPr>
        <w:t>uncertainties encountered by companies commercializing drugs in the biopharmaceutical industry. To execute our business plan, in addition to successfully obtaining marketing approval and marketing and selling FT218, we will need to successfully:</w:t>
      </w:r>
    </w:p>
    <w:p w14:paraId="218BE532" w14:textId="77777777" w:rsidR="00000000" w:rsidRDefault="000C49AD">
      <w:pPr>
        <w:jc w:val="both"/>
        <w:rPr>
          <w:rFonts w:eastAsia="Times New Roman"/>
        </w:rPr>
      </w:pPr>
    </w:p>
    <w:p w14:paraId="0EE483C3"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establi</w:t>
      </w:r>
      <w:r>
        <w:rPr>
          <w:rFonts w:eastAsia="Times New Roman"/>
          <w:color w:val="000000"/>
          <w:sz w:val="20"/>
          <w:szCs w:val="20"/>
        </w:rPr>
        <w:t>sh and maintain our relationships with healthcare providers who will be treating the patients who may receive our drug;</w:t>
      </w:r>
    </w:p>
    <w:p w14:paraId="6F9F8616"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obtain adequate pricing and reimbursement for FT218;</w:t>
      </w:r>
    </w:p>
    <w:p w14:paraId="55E7E750"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develop and maintain successful strategic alliances; and</w:t>
      </w:r>
    </w:p>
    <w:p w14:paraId="3CA1C280" w14:textId="77777777" w:rsidR="00000000" w:rsidRDefault="000C49AD">
      <w:pPr>
        <w:ind w:hanging="360"/>
        <w:jc w:val="both"/>
        <w:rPr>
          <w:rFonts w:eastAsia="Times New Roman"/>
        </w:rPr>
      </w:pPr>
      <w:r>
        <w:rPr>
          <w:rFonts w:ascii="Arial" w:eastAsia="Times New Roman" w:hAnsi="Arial" w:cs="Arial"/>
          <w:color w:val="000000"/>
        </w:rPr>
        <w:t>•</w:t>
      </w:r>
      <w:r>
        <w:rPr>
          <w:rFonts w:eastAsia="Times New Roman"/>
          <w:color w:val="000000"/>
          <w:sz w:val="20"/>
          <w:szCs w:val="20"/>
        </w:rPr>
        <w:t xml:space="preserve">manage our spending as </w:t>
      </w:r>
      <w:r>
        <w:rPr>
          <w:rFonts w:eastAsia="Times New Roman"/>
          <w:color w:val="000000"/>
          <w:sz w:val="20"/>
          <w:szCs w:val="20"/>
        </w:rPr>
        <w:t>costs and expenses increase due to marketing approvals and commercialization in multiple jurisdictions, if approved.</w:t>
      </w:r>
    </w:p>
    <w:p w14:paraId="24AF8B8F" w14:textId="77777777" w:rsidR="00000000" w:rsidRDefault="000C49AD">
      <w:pPr>
        <w:jc w:val="both"/>
        <w:rPr>
          <w:rFonts w:eastAsia="Times New Roman"/>
        </w:rPr>
      </w:pPr>
    </w:p>
    <w:p w14:paraId="7D89A55E" w14:textId="77777777" w:rsidR="00000000" w:rsidRDefault="000C49AD">
      <w:pPr>
        <w:jc w:val="both"/>
        <w:rPr>
          <w:rFonts w:eastAsia="Times New Roman"/>
        </w:rPr>
      </w:pPr>
      <w:r>
        <w:rPr>
          <w:rFonts w:eastAsia="Times New Roman"/>
          <w:color w:val="000000"/>
          <w:sz w:val="20"/>
          <w:szCs w:val="20"/>
        </w:rPr>
        <w:t>If we are unsuccessful in accomplishing these objectives, we may not be able to successfully commercialize FT218, raise capital, expand o</w:t>
      </w:r>
      <w:r>
        <w:rPr>
          <w:rFonts w:eastAsia="Times New Roman"/>
          <w:color w:val="000000"/>
          <w:sz w:val="20"/>
          <w:szCs w:val="20"/>
        </w:rPr>
        <w:t>ur business or continue our operations.</w:t>
      </w:r>
    </w:p>
    <w:p w14:paraId="2499FEBC" w14:textId="77777777" w:rsidR="00000000" w:rsidRDefault="000C49AD">
      <w:pPr>
        <w:jc w:val="both"/>
        <w:rPr>
          <w:rFonts w:eastAsia="Times New Roman"/>
        </w:rPr>
      </w:pPr>
    </w:p>
    <w:p w14:paraId="42CE483D" w14:textId="77777777" w:rsidR="00000000" w:rsidRDefault="000C49AD">
      <w:pPr>
        <w:jc w:val="both"/>
        <w:rPr>
          <w:rFonts w:eastAsia="Times New Roman"/>
        </w:rPr>
      </w:pPr>
      <w:r>
        <w:rPr>
          <w:rFonts w:eastAsia="Times New Roman"/>
          <w:b/>
          <w:bCs/>
          <w:i/>
          <w:iCs/>
          <w:color w:val="000000"/>
          <w:sz w:val="20"/>
          <w:szCs w:val="20"/>
        </w:rPr>
        <w:t>Our relationships with healthcare providers, physicians, prescribers, purchasers, third-party payors, charitable organizations and patients will be subject to applicable anti-kickback, fraud and abuse and other hea</w:t>
      </w:r>
      <w:r>
        <w:rPr>
          <w:rFonts w:eastAsia="Times New Roman"/>
          <w:b/>
          <w:bCs/>
          <w:i/>
          <w:iCs/>
          <w:color w:val="000000"/>
          <w:sz w:val="20"/>
          <w:szCs w:val="20"/>
        </w:rPr>
        <w:t>lthcare laws and regulations, which could expose us to criminal sanctions, civil penalties, contractual damages, reputational harm and diminished profits and future earnings.</w:t>
      </w:r>
    </w:p>
    <w:p w14:paraId="7EB6331C" w14:textId="77777777" w:rsidR="00000000" w:rsidRDefault="000C49AD">
      <w:pPr>
        <w:jc w:val="both"/>
        <w:rPr>
          <w:rFonts w:eastAsia="Times New Roman"/>
        </w:rPr>
      </w:pPr>
    </w:p>
    <w:p w14:paraId="2ED3A90B" w14:textId="77777777" w:rsidR="00000000" w:rsidRDefault="000C49AD">
      <w:pPr>
        <w:jc w:val="both"/>
        <w:rPr>
          <w:rFonts w:eastAsia="Times New Roman"/>
        </w:rPr>
      </w:pPr>
      <w:r>
        <w:rPr>
          <w:rFonts w:eastAsia="Times New Roman"/>
          <w:color w:val="000000"/>
          <w:sz w:val="20"/>
          <w:szCs w:val="20"/>
        </w:rPr>
        <w:t>Healthcare providers, physicians and third-party payors in the United States an</w:t>
      </w:r>
      <w:r>
        <w:rPr>
          <w:rFonts w:eastAsia="Times New Roman"/>
          <w:color w:val="000000"/>
          <w:sz w:val="20"/>
          <w:szCs w:val="20"/>
        </w:rPr>
        <w:t>d elsewhere play a primary role in the recommendation and prescription of biotechnology and biopharmaceutical products. Arrangements with third-party payors and customers can expose biotechnology and biopharmaceutical manufacturers to broadly applicable fr</w:t>
      </w:r>
      <w:r>
        <w:rPr>
          <w:rFonts w:eastAsia="Times New Roman"/>
          <w:color w:val="000000"/>
          <w:sz w:val="20"/>
          <w:szCs w:val="20"/>
        </w:rPr>
        <w:t>aud and abuse and other healthcare laws and regulations, including, without limitation, the federal Anti-Kickback Statute, or AKS, and the federal False Claims Act, or FCA, which may constrain the business or financial arrangements and relationships throug</w:t>
      </w:r>
      <w:r>
        <w:rPr>
          <w:rFonts w:eastAsia="Times New Roman"/>
          <w:color w:val="000000"/>
          <w:sz w:val="20"/>
          <w:szCs w:val="20"/>
        </w:rPr>
        <w:t>h which such companies sell, market and distribute biotechnology and biopharmaceutical products. In particular, the research of our product candidates, as well as the promotion, sales and marketing of healthcare items and services, as well as certain busin</w:t>
      </w:r>
      <w:r>
        <w:rPr>
          <w:rFonts w:eastAsia="Times New Roman"/>
          <w:color w:val="000000"/>
          <w:sz w:val="20"/>
          <w:szCs w:val="20"/>
        </w:rPr>
        <w:t>ess arrangements in the healthcare industry, are subject to extensive laws designed to prevent fraud, kickbacks, self-dealing and other abusive practices. These laws and regulations may restrict or prohibit a wide range of pricing, discounting, marketing a</w:t>
      </w:r>
      <w:r>
        <w:rPr>
          <w:rFonts w:eastAsia="Times New Roman"/>
          <w:color w:val="000000"/>
          <w:sz w:val="20"/>
          <w:szCs w:val="20"/>
        </w:rPr>
        <w:t>nd promotion, structuring and commission(s), certain customer incentive programs and other business arrangements generally. Activities subject to these laws also involve the improper use of information obtained in the course of patient recruitment for clin</w:t>
      </w:r>
      <w:r>
        <w:rPr>
          <w:rFonts w:eastAsia="Times New Roman"/>
          <w:color w:val="000000"/>
          <w:sz w:val="20"/>
          <w:szCs w:val="20"/>
        </w:rPr>
        <w:t>ical trials. See the section entitled, “</w:t>
      </w:r>
      <w:r>
        <w:rPr>
          <w:rFonts w:eastAsia="Times New Roman"/>
          <w:i/>
          <w:iCs/>
          <w:color w:val="000000"/>
          <w:sz w:val="20"/>
          <w:szCs w:val="20"/>
        </w:rPr>
        <w:t>Business — Government Regulation — Healthcare laws</w:t>
      </w:r>
      <w:r>
        <w:rPr>
          <w:rFonts w:eastAsia="Times New Roman"/>
          <w:color w:val="000000"/>
          <w:sz w:val="20"/>
          <w:szCs w:val="20"/>
        </w:rPr>
        <w:t xml:space="preserve">”. </w:t>
      </w:r>
    </w:p>
    <w:p w14:paraId="0908C5D2" w14:textId="77777777" w:rsidR="00000000" w:rsidRDefault="000C49AD">
      <w:pPr>
        <w:jc w:val="both"/>
        <w:rPr>
          <w:rFonts w:eastAsia="Times New Roman"/>
        </w:rPr>
      </w:pPr>
    </w:p>
    <w:p w14:paraId="3099ACF5" w14:textId="77777777" w:rsidR="00000000" w:rsidRDefault="000C49AD">
      <w:pPr>
        <w:jc w:val="both"/>
        <w:rPr>
          <w:rFonts w:eastAsia="Times New Roman"/>
        </w:rPr>
      </w:pPr>
      <w:r>
        <w:rPr>
          <w:rFonts w:eastAsia="Times New Roman"/>
          <w:color w:val="000000"/>
          <w:sz w:val="20"/>
          <w:szCs w:val="20"/>
        </w:rPr>
        <w:t>The distribution of biopharmaceutical products is subject to additional requirements and regulations, including extensive record-keeping, licensing, storage and</w:t>
      </w:r>
      <w:r>
        <w:rPr>
          <w:rFonts w:eastAsia="Times New Roman"/>
          <w:color w:val="000000"/>
          <w:sz w:val="20"/>
          <w:szCs w:val="20"/>
        </w:rPr>
        <w:t xml:space="preserve"> security requirements intended to prevent the unauthorized sale of biopharmaceutical products.</w:t>
      </w:r>
    </w:p>
    <w:p w14:paraId="128CF82A" w14:textId="77777777" w:rsidR="00000000" w:rsidRDefault="000C49AD">
      <w:pPr>
        <w:jc w:val="both"/>
        <w:rPr>
          <w:rFonts w:eastAsia="Times New Roman"/>
        </w:rPr>
      </w:pPr>
    </w:p>
    <w:p w14:paraId="45192FD6" w14:textId="77777777" w:rsidR="00000000" w:rsidRDefault="000C49AD">
      <w:pPr>
        <w:jc w:val="both"/>
        <w:rPr>
          <w:rFonts w:eastAsia="Times New Roman"/>
        </w:rPr>
      </w:pPr>
      <w:r>
        <w:rPr>
          <w:rFonts w:eastAsia="Times New Roman"/>
          <w:color w:val="000000"/>
          <w:sz w:val="20"/>
          <w:szCs w:val="20"/>
        </w:rPr>
        <w:t xml:space="preserve">The scope and enforcement of each of these laws is uncertain and subject to rapid change in the current environment of healthcare reform, especially in light </w:t>
      </w:r>
      <w:r>
        <w:rPr>
          <w:rFonts w:eastAsia="Times New Roman"/>
          <w:color w:val="000000"/>
          <w:sz w:val="20"/>
          <w:szCs w:val="20"/>
        </w:rPr>
        <w:t>of the lack of applicable precedent and regulations. Federal and state enforcement bodies have recently increased their scrutiny of interactions between healthcare companies and healthcare providers, which has led to a number of investigations, prosecution</w:t>
      </w:r>
      <w:r>
        <w:rPr>
          <w:rFonts w:eastAsia="Times New Roman"/>
          <w:color w:val="000000"/>
          <w:sz w:val="20"/>
          <w:szCs w:val="20"/>
        </w:rPr>
        <w:t xml:space="preserve">s, convictions and settlements in the healthcare industry. </w:t>
      </w:r>
    </w:p>
    <w:p w14:paraId="724CF0A4" w14:textId="77777777" w:rsidR="00000000" w:rsidRDefault="000C49AD">
      <w:pPr>
        <w:jc w:val="both"/>
        <w:rPr>
          <w:rFonts w:eastAsia="Times New Roman"/>
        </w:rPr>
      </w:pPr>
    </w:p>
    <w:p w14:paraId="0CB8C3DC" w14:textId="77777777" w:rsidR="00000000" w:rsidRDefault="000C49AD">
      <w:pPr>
        <w:jc w:val="both"/>
        <w:rPr>
          <w:rFonts w:eastAsia="Times New Roman"/>
        </w:rPr>
      </w:pPr>
      <w:r>
        <w:rPr>
          <w:rFonts w:eastAsia="Times New Roman"/>
          <w:color w:val="000000"/>
          <w:sz w:val="20"/>
          <w:szCs w:val="20"/>
        </w:rPr>
        <w:t>Ensuring that our internal operations and future business arrangements with third parties comply with applicable healthcare laws and regulations will involve substantial costs. It is possible th</w:t>
      </w:r>
      <w:r>
        <w:rPr>
          <w:rFonts w:eastAsia="Times New Roman"/>
          <w:color w:val="000000"/>
          <w:sz w:val="20"/>
          <w:szCs w:val="20"/>
        </w:rPr>
        <w:t xml:space="preserve">at governmental authorities will conclude that our business </w:t>
      </w:r>
    </w:p>
    <w:p w14:paraId="273E8133" w14:textId="77777777" w:rsidR="00000000" w:rsidRDefault="000C49AD">
      <w:pPr>
        <w:jc w:val="center"/>
        <w:divId w:val="1391534800"/>
        <w:rPr>
          <w:rFonts w:eastAsia="Times New Roman"/>
        </w:rPr>
      </w:pPr>
      <w:r>
        <w:rPr>
          <w:rFonts w:eastAsia="Times New Roman"/>
          <w:color w:val="000000"/>
          <w:sz w:val="20"/>
          <w:szCs w:val="20"/>
        </w:rPr>
        <w:t>-28-</w:t>
      </w:r>
    </w:p>
    <w:p w14:paraId="23EF56CC" w14:textId="77777777" w:rsidR="00000000" w:rsidRDefault="000C49AD">
      <w:pPr>
        <w:rPr>
          <w:rFonts w:eastAsia="Times New Roman"/>
        </w:rPr>
      </w:pPr>
      <w:r>
        <w:rPr>
          <w:rFonts w:eastAsia="Times New Roman"/>
        </w:rPr>
        <w:pict w14:anchorId="5C6B6915">
          <v:rect id="_x0000_i1052" style="width:0;height:1.5pt" o:hralign="center" o:hrstd="t" o:hr="t" fillcolor="#a0a0a0" stroked="f"/>
        </w:pict>
      </w:r>
    </w:p>
    <w:p w14:paraId="2FE19EB6" w14:textId="77777777" w:rsidR="00000000" w:rsidRDefault="000C49AD">
      <w:pPr>
        <w:divId w:val="628241904"/>
        <w:rPr>
          <w:rFonts w:eastAsia="Times New Roman"/>
        </w:rPr>
      </w:pPr>
    </w:p>
    <w:p w14:paraId="7D927458" w14:textId="77777777" w:rsidR="00000000" w:rsidRDefault="000C49AD">
      <w:pPr>
        <w:jc w:val="both"/>
        <w:rPr>
          <w:rFonts w:eastAsia="Times New Roman"/>
        </w:rPr>
      </w:pPr>
      <w:r>
        <w:rPr>
          <w:rFonts w:eastAsia="Times New Roman"/>
          <w:color w:val="000000"/>
          <w:sz w:val="20"/>
          <w:szCs w:val="20"/>
        </w:rPr>
        <w:t>practices do not comply with current or future statutes, regulations, agency guidance or case law involving applicable fraud and abuse or other healthcare laws and regulations. If our operations are found to be in viol</w:t>
      </w:r>
      <w:r>
        <w:rPr>
          <w:rFonts w:eastAsia="Times New Roman"/>
          <w:color w:val="000000"/>
          <w:sz w:val="20"/>
          <w:szCs w:val="20"/>
        </w:rPr>
        <w:t>ation of any of the laws described above or any other governmental laws and regulations that may apply to us, we may be subject to significant penalties, including administrative, civil and criminal penalties, damages, fines, disgorgement, the exclusion fr</w:t>
      </w:r>
      <w:r>
        <w:rPr>
          <w:rFonts w:eastAsia="Times New Roman"/>
          <w:color w:val="000000"/>
          <w:sz w:val="20"/>
          <w:szCs w:val="20"/>
        </w:rPr>
        <w:t>om participation in federal and state healthcare programs, individual imprisonment, reputational harm, and the curtailment or restructuring of our operations, as well as additional reporting obligations and oversight if we become subject to a corporate int</w:t>
      </w:r>
      <w:r>
        <w:rPr>
          <w:rFonts w:eastAsia="Times New Roman"/>
          <w:color w:val="000000"/>
          <w:sz w:val="20"/>
          <w:szCs w:val="20"/>
        </w:rPr>
        <w:t>egrity agreement or other agreement to resolve allegations of non-compliance with these laws. Further, defending against any such actions can be costly and time consuming, and may require significant financial and personnel resources. Therefore, even if we</w:t>
      </w:r>
      <w:r>
        <w:rPr>
          <w:rFonts w:eastAsia="Times New Roman"/>
          <w:color w:val="000000"/>
          <w:sz w:val="20"/>
          <w:szCs w:val="20"/>
        </w:rPr>
        <w:t xml:space="preserve"> are successful in defending against any such actions that may be brought against us, our business may be impaired. If any of the physicians or other providers or entities with whom we expect to do business are found to not be in compliance with applicable</w:t>
      </w:r>
      <w:r>
        <w:rPr>
          <w:rFonts w:eastAsia="Times New Roman"/>
          <w:color w:val="000000"/>
          <w:sz w:val="20"/>
          <w:szCs w:val="20"/>
        </w:rPr>
        <w:t xml:space="preserve"> laws, they may be subject to criminal, civil or administrative sanctions, including exclusions from government funded healthcare programs and imprisonment. If any of the above occur, our ability to operate our business and our results of operations could </w:t>
      </w:r>
      <w:r>
        <w:rPr>
          <w:rFonts w:eastAsia="Times New Roman"/>
          <w:color w:val="000000"/>
          <w:sz w:val="20"/>
          <w:szCs w:val="20"/>
        </w:rPr>
        <w:t>be adversely affected.</w:t>
      </w:r>
    </w:p>
    <w:p w14:paraId="76865810" w14:textId="77777777" w:rsidR="00000000" w:rsidRDefault="000C49AD">
      <w:pPr>
        <w:jc w:val="both"/>
        <w:rPr>
          <w:rFonts w:eastAsia="Times New Roman"/>
        </w:rPr>
      </w:pPr>
    </w:p>
    <w:p w14:paraId="1AED6702" w14:textId="77777777" w:rsidR="00000000" w:rsidRDefault="000C49AD">
      <w:pPr>
        <w:jc w:val="both"/>
        <w:rPr>
          <w:rFonts w:eastAsia="Times New Roman"/>
        </w:rPr>
      </w:pPr>
      <w:r>
        <w:rPr>
          <w:rFonts w:eastAsia="Times New Roman"/>
          <w:b/>
          <w:bCs/>
          <w:i/>
          <w:iCs/>
          <w:color w:val="000000"/>
          <w:sz w:val="20"/>
          <w:szCs w:val="20"/>
        </w:rPr>
        <w:t>Coverage and reimbursement may be limited or unavailable in certain market segments for our product candidates, if approved, which could make it difficult for us to sell any product candidates profitably.</w:t>
      </w:r>
    </w:p>
    <w:p w14:paraId="209581AF" w14:textId="77777777" w:rsidR="00000000" w:rsidRDefault="000C49AD">
      <w:pPr>
        <w:jc w:val="both"/>
        <w:rPr>
          <w:rFonts w:eastAsia="Times New Roman"/>
        </w:rPr>
      </w:pPr>
    </w:p>
    <w:p w14:paraId="229CD4C4" w14:textId="77777777" w:rsidR="00000000" w:rsidRDefault="000C49AD">
      <w:pPr>
        <w:jc w:val="both"/>
        <w:rPr>
          <w:rFonts w:eastAsia="Times New Roman"/>
        </w:rPr>
      </w:pPr>
      <w:r>
        <w:rPr>
          <w:rFonts w:eastAsia="Times New Roman"/>
          <w:color w:val="000000"/>
          <w:sz w:val="20"/>
          <w:szCs w:val="20"/>
        </w:rPr>
        <w:t>The success of our produ</w:t>
      </w:r>
      <w:r>
        <w:rPr>
          <w:rFonts w:eastAsia="Times New Roman"/>
          <w:color w:val="000000"/>
          <w:sz w:val="20"/>
          <w:szCs w:val="20"/>
        </w:rPr>
        <w:t xml:space="preserve">ct candidates, if approved, depends on the availability of coverage and adequate reimbursement from third-party payors. We cannot be sure that coverage and reimbursement will be available for, or accurately estimate the potential revenue from, our product </w:t>
      </w:r>
      <w:r>
        <w:rPr>
          <w:rFonts w:eastAsia="Times New Roman"/>
          <w:color w:val="000000"/>
          <w:sz w:val="20"/>
          <w:szCs w:val="20"/>
        </w:rPr>
        <w:t>candidates or assure that coverage and reimbursement will be available for any product that we may develop. See the sections entitled, “</w:t>
      </w:r>
      <w:r>
        <w:rPr>
          <w:rFonts w:eastAsia="Times New Roman"/>
          <w:i/>
          <w:iCs/>
          <w:color w:val="000000"/>
          <w:sz w:val="20"/>
          <w:szCs w:val="20"/>
        </w:rPr>
        <w:t>Business — Government Regulation — Coverage and Reimbursement</w:t>
      </w:r>
      <w:r>
        <w:rPr>
          <w:rFonts w:eastAsia="Times New Roman"/>
          <w:color w:val="000000"/>
          <w:sz w:val="20"/>
          <w:szCs w:val="20"/>
        </w:rPr>
        <w:t xml:space="preserve">” </w:t>
      </w:r>
    </w:p>
    <w:p w14:paraId="759B33E6" w14:textId="77777777" w:rsidR="00000000" w:rsidRDefault="000C49AD">
      <w:pPr>
        <w:jc w:val="both"/>
        <w:rPr>
          <w:rFonts w:eastAsia="Times New Roman"/>
        </w:rPr>
      </w:pPr>
      <w:r>
        <w:rPr>
          <w:rFonts w:eastAsia="Times New Roman"/>
          <w:color w:val="000000"/>
          <w:sz w:val="20"/>
          <w:szCs w:val="20"/>
        </w:rPr>
        <w:t>and “</w:t>
      </w:r>
      <w:r>
        <w:rPr>
          <w:rFonts w:eastAsia="Times New Roman"/>
          <w:i/>
          <w:iCs/>
          <w:color w:val="000000"/>
          <w:sz w:val="20"/>
          <w:szCs w:val="20"/>
        </w:rPr>
        <w:t>Business — Government Regulation — Healthcare Laws</w:t>
      </w:r>
      <w:r>
        <w:rPr>
          <w:rFonts w:eastAsia="Times New Roman"/>
          <w:color w:val="000000"/>
          <w:sz w:val="20"/>
          <w:szCs w:val="20"/>
        </w:rPr>
        <w:t>”</w:t>
      </w:r>
      <w:r>
        <w:rPr>
          <w:rFonts w:eastAsia="Times New Roman"/>
          <w:color w:val="000000"/>
          <w:sz w:val="20"/>
          <w:szCs w:val="20"/>
        </w:rPr>
        <w:t xml:space="preserve">. </w:t>
      </w:r>
    </w:p>
    <w:p w14:paraId="5E22F072" w14:textId="77777777" w:rsidR="00000000" w:rsidRDefault="000C49AD">
      <w:pPr>
        <w:jc w:val="both"/>
        <w:rPr>
          <w:rFonts w:eastAsia="Times New Roman"/>
        </w:rPr>
      </w:pPr>
    </w:p>
    <w:p w14:paraId="7D6F22D9" w14:textId="77777777" w:rsidR="00000000" w:rsidRDefault="000C49AD">
      <w:pPr>
        <w:jc w:val="both"/>
        <w:rPr>
          <w:rFonts w:eastAsia="Times New Roman"/>
        </w:rPr>
      </w:pPr>
      <w:r>
        <w:rPr>
          <w:rFonts w:eastAsia="Times New Roman"/>
          <w:color w:val="000000"/>
          <w:sz w:val="20"/>
          <w:szCs w:val="20"/>
        </w:rPr>
        <w:t>Patients who are provided medical treatment for their conditions generally rely on third-party payors to reimburse all or part of the costs associated with their treatment. Coverage and adequate reimbursement from governmental healthcare programs, suc</w:t>
      </w:r>
      <w:r>
        <w:rPr>
          <w:rFonts w:eastAsia="Times New Roman"/>
          <w:color w:val="000000"/>
          <w:sz w:val="20"/>
          <w:szCs w:val="20"/>
        </w:rPr>
        <w:t>h as Medicare and Medicaid, and commercial payors is critical to new product acceptance.</w:t>
      </w:r>
    </w:p>
    <w:p w14:paraId="2B98CC14" w14:textId="77777777" w:rsidR="00000000" w:rsidRDefault="000C49AD">
      <w:pPr>
        <w:jc w:val="both"/>
        <w:rPr>
          <w:rFonts w:eastAsia="Times New Roman"/>
        </w:rPr>
      </w:pPr>
    </w:p>
    <w:p w14:paraId="1FD9EED0" w14:textId="77777777" w:rsidR="00000000" w:rsidRDefault="000C49AD">
      <w:pPr>
        <w:jc w:val="both"/>
        <w:rPr>
          <w:rFonts w:eastAsia="Times New Roman"/>
        </w:rPr>
      </w:pPr>
      <w:r>
        <w:rPr>
          <w:rFonts w:eastAsia="Times New Roman"/>
          <w:color w:val="000000"/>
          <w:sz w:val="20"/>
          <w:szCs w:val="20"/>
        </w:rPr>
        <w:t>Government authorities and other third-party payors, such as private health insurers and health maintenance organizations, decide which drugs and treatments they wil</w:t>
      </w:r>
      <w:r>
        <w:rPr>
          <w:rFonts w:eastAsia="Times New Roman"/>
          <w:color w:val="000000"/>
          <w:sz w:val="20"/>
          <w:szCs w:val="20"/>
        </w:rPr>
        <w:t>l cover and the amount of reimbursement. Coverage and reimbursement by a third-party depends upon a number of factors.</w:t>
      </w:r>
    </w:p>
    <w:p w14:paraId="06AB6959" w14:textId="77777777" w:rsidR="00000000" w:rsidRDefault="000C49AD">
      <w:pPr>
        <w:jc w:val="both"/>
        <w:rPr>
          <w:rFonts w:eastAsia="Times New Roman"/>
        </w:rPr>
      </w:pPr>
    </w:p>
    <w:p w14:paraId="78F52F41" w14:textId="77777777" w:rsidR="00000000" w:rsidRDefault="000C49AD">
      <w:pPr>
        <w:jc w:val="both"/>
        <w:rPr>
          <w:rFonts w:eastAsia="Times New Roman"/>
        </w:rPr>
      </w:pPr>
      <w:r>
        <w:rPr>
          <w:rFonts w:eastAsia="Times New Roman"/>
          <w:color w:val="000000"/>
          <w:sz w:val="20"/>
          <w:szCs w:val="20"/>
        </w:rPr>
        <w:t>In the United States, no uniform policy of coverage and reimbursement for products exists among third- party payors. As a result, obtai</w:t>
      </w:r>
      <w:r>
        <w:rPr>
          <w:rFonts w:eastAsia="Times New Roman"/>
          <w:color w:val="000000"/>
          <w:sz w:val="20"/>
          <w:szCs w:val="20"/>
        </w:rPr>
        <w:t>ning coverage and reimbursement approval of a product from a government or other third-party payor is a time-consuming and costly process that could require us to provide to each payor supporting scientific, clinical and cost-effectiveness data for the use</w:t>
      </w:r>
      <w:r>
        <w:rPr>
          <w:rFonts w:eastAsia="Times New Roman"/>
          <w:color w:val="000000"/>
          <w:sz w:val="20"/>
          <w:szCs w:val="20"/>
        </w:rPr>
        <w:t xml:space="preserve"> of our products on a payor-by-payor basis, with no assurance that coverage and adequate reimbursement will be obtained. In the United States, the principal decisions about reimbursement for new medicines are typically made by the CMS. CMS decides whether </w:t>
      </w:r>
      <w:r>
        <w:rPr>
          <w:rFonts w:eastAsia="Times New Roman"/>
          <w:color w:val="000000"/>
          <w:sz w:val="20"/>
          <w:szCs w:val="20"/>
        </w:rPr>
        <w:t>and to what extent a new medicine will be covered and reimbursed under Medicare and private payors tend to follow CMS to a substantial degree. Even if we obtain coverage for a given product, the resulting reimbursement payment rates might not be adequate f</w:t>
      </w:r>
      <w:r>
        <w:rPr>
          <w:rFonts w:eastAsia="Times New Roman"/>
          <w:color w:val="000000"/>
          <w:sz w:val="20"/>
          <w:szCs w:val="20"/>
        </w:rPr>
        <w:t xml:space="preserve">or us to achieve or sustain profitability or may require co-payments that patients find unacceptably high. Additionally, third-party payors may not cover, or provide adequate reimbursement for, long-term follow-up evaluations required following the use of </w:t>
      </w:r>
      <w:r>
        <w:rPr>
          <w:rFonts w:eastAsia="Times New Roman"/>
          <w:color w:val="000000"/>
          <w:sz w:val="20"/>
          <w:szCs w:val="20"/>
        </w:rPr>
        <w:t>product candidates, once approved. Patients are unlikely to use our product candidates, once approved, unless coverage is provided and reimbursement is adequate to cover a significant portion of their cost. There is significant uncertainty related to insur</w:t>
      </w:r>
      <w:r>
        <w:rPr>
          <w:rFonts w:eastAsia="Times New Roman"/>
          <w:color w:val="000000"/>
          <w:sz w:val="20"/>
          <w:szCs w:val="20"/>
        </w:rPr>
        <w:t>ance coverage and reimbursement of newly approved products. It is difficult to predict at this time what third-party payors will decide with respect to the coverage and reimbursement for our product candidates.</w:t>
      </w:r>
    </w:p>
    <w:p w14:paraId="7122CC18" w14:textId="77777777" w:rsidR="00000000" w:rsidRDefault="000C49AD">
      <w:pPr>
        <w:jc w:val="both"/>
        <w:rPr>
          <w:rFonts w:eastAsia="Times New Roman"/>
        </w:rPr>
      </w:pPr>
    </w:p>
    <w:p w14:paraId="5EFC9BBE" w14:textId="77777777" w:rsidR="00000000" w:rsidRDefault="000C49AD">
      <w:pPr>
        <w:jc w:val="both"/>
        <w:rPr>
          <w:rFonts w:eastAsia="Times New Roman"/>
        </w:rPr>
      </w:pPr>
      <w:r>
        <w:rPr>
          <w:rFonts w:eastAsia="Times New Roman"/>
          <w:color w:val="000000"/>
          <w:sz w:val="20"/>
          <w:szCs w:val="20"/>
        </w:rPr>
        <w:t>Net prices for drugs may be reduced by mand</w:t>
      </w:r>
      <w:r>
        <w:rPr>
          <w:rFonts w:eastAsia="Times New Roman"/>
          <w:color w:val="000000"/>
          <w:sz w:val="20"/>
          <w:szCs w:val="20"/>
        </w:rPr>
        <w:t>atory discounts or rebates required by government healthcare programs or private payors and by any future relaxation of laws that presently restrict imports of drugs from countries where they may be sold at lower prices than in the United States. Increasin</w:t>
      </w:r>
      <w:r>
        <w:rPr>
          <w:rFonts w:eastAsia="Times New Roman"/>
          <w:color w:val="000000"/>
          <w:sz w:val="20"/>
          <w:szCs w:val="20"/>
        </w:rPr>
        <w:t>gly, third-party payors are requiring that drug companies provide them with predetermined discounts from list prices and are challenging the prices charged for medical products. We cannot be sure that reimbursement will be available for any product candida</w:t>
      </w:r>
      <w:r>
        <w:rPr>
          <w:rFonts w:eastAsia="Times New Roman"/>
          <w:color w:val="000000"/>
          <w:sz w:val="20"/>
          <w:szCs w:val="20"/>
        </w:rPr>
        <w:t>te that we commercialize and, if reimbursement is available, the level of reimbursement. In addition, many pharmaceutical manufacturers must calculate and report certain price reporting metrics to the government, such as average sales price and best price.</w:t>
      </w:r>
      <w:r>
        <w:rPr>
          <w:rFonts w:eastAsia="Times New Roman"/>
          <w:color w:val="000000"/>
          <w:sz w:val="20"/>
          <w:szCs w:val="20"/>
        </w:rPr>
        <w:t xml:space="preserve"> Penalties may apply in some cases when such metrics are not submitted accurately and timely. Further, these prices for drugs may be reduced by mandatory discounts or rebates required by government healthcare programs. Payment methodologies may be subject </w:t>
      </w:r>
      <w:r>
        <w:rPr>
          <w:rFonts w:eastAsia="Times New Roman"/>
          <w:color w:val="000000"/>
          <w:sz w:val="20"/>
          <w:szCs w:val="20"/>
        </w:rPr>
        <w:t xml:space="preserve">to changes in healthcare legislation and regulatory initiatives. </w:t>
      </w:r>
    </w:p>
    <w:p w14:paraId="1BEFBEF0" w14:textId="77777777" w:rsidR="00000000" w:rsidRDefault="000C49AD">
      <w:pPr>
        <w:jc w:val="both"/>
        <w:rPr>
          <w:rFonts w:eastAsia="Times New Roman"/>
        </w:rPr>
      </w:pPr>
    </w:p>
    <w:p w14:paraId="577CBAC7" w14:textId="77777777" w:rsidR="00000000" w:rsidRDefault="000C49AD">
      <w:pPr>
        <w:jc w:val="both"/>
        <w:rPr>
          <w:rFonts w:eastAsia="Times New Roman"/>
        </w:rPr>
      </w:pPr>
      <w:r>
        <w:rPr>
          <w:rFonts w:eastAsia="Times New Roman"/>
          <w:color w:val="000000"/>
          <w:sz w:val="20"/>
          <w:szCs w:val="20"/>
        </w:rPr>
        <w:t>Moreover, increasing efforts by governmental and other third-party payors in the United States and abroad to cap or reduce healthcare costs may cause such organizations to limit both cover</w:t>
      </w:r>
      <w:r>
        <w:rPr>
          <w:rFonts w:eastAsia="Times New Roman"/>
          <w:color w:val="000000"/>
          <w:sz w:val="20"/>
          <w:szCs w:val="20"/>
        </w:rPr>
        <w:t xml:space="preserve">age and the level of reimbursement for newly approved </w:t>
      </w:r>
    </w:p>
    <w:p w14:paraId="671649F8" w14:textId="77777777" w:rsidR="00000000" w:rsidRDefault="000C49AD">
      <w:pPr>
        <w:jc w:val="center"/>
        <w:divId w:val="1178352755"/>
        <w:rPr>
          <w:rFonts w:eastAsia="Times New Roman"/>
        </w:rPr>
      </w:pPr>
      <w:r>
        <w:rPr>
          <w:rFonts w:eastAsia="Times New Roman"/>
          <w:color w:val="000000"/>
          <w:sz w:val="20"/>
          <w:szCs w:val="20"/>
        </w:rPr>
        <w:t>-29-</w:t>
      </w:r>
    </w:p>
    <w:p w14:paraId="5D209B97" w14:textId="77777777" w:rsidR="00000000" w:rsidRDefault="000C49AD">
      <w:pPr>
        <w:rPr>
          <w:rFonts w:eastAsia="Times New Roman"/>
        </w:rPr>
      </w:pPr>
      <w:r>
        <w:rPr>
          <w:rFonts w:eastAsia="Times New Roman"/>
        </w:rPr>
        <w:pict w14:anchorId="1FAB41D8">
          <v:rect id="_x0000_i1053" style="width:0;height:1.5pt" o:hralign="center" o:hrstd="t" o:hr="t" fillcolor="#a0a0a0" stroked="f"/>
        </w:pict>
      </w:r>
    </w:p>
    <w:p w14:paraId="46FDCA4B" w14:textId="77777777" w:rsidR="00000000" w:rsidRDefault="000C49AD">
      <w:pPr>
        <w:divId w:val="1603150386"/>
        <w:rPr>
          <w:rFonts w:eastAsia="Times New Roman"/>
        </w:rPr>
      </w:pPr>
    </w:p>
    <w:p w14:paraId="1146824E" w14:textId="77777777" w:rsidR="00000000" w:rsidRDefault="000C49AD">
      <w:pPr>
        <w:jc w:val="both"/>
        <w:rPr>
          <w:rFonts w:eastAsia="Times New Roman"/>
        </w:rPr>
      </w:pPr>
      <w:r>
        <w:rPr>
          <w:rFonts w:eastAsia="Times New Roman"/>
          <w:color w:val="000000"/>
          <w:sz w:val="20"/>
          <w:szCs w:val="20"/>
        </w:rPr>
        <w:t>products and, as a result, they may not cover or provide adequate payment for our product candidates. There has been increasing legislative and enforcement interest in the United States with respect to specialty drug p</w:t>
      </w:r>
      <w:r>
        <w:rPr>
          <w:rFonts w:eastAsia="Times New Roman"/>
          <w:color w:val="000000"/>
          <w:sz w:val="20"/>
          <w:szCs w:val="20"/>
        </w:rPr>
        <w:t>ricing practices. Specifically, there have been several recent U.S. Congressional inquiries and proposed and enacted federal and state legislation designed to, among other things, bring more transparency to drug pricing, reduce the cost of prescription dru</w:t>
      </w:r>
      <w:r>
        <w:rPr>
          <w:rFonts w:eastAsia="Times New Roman"/>
          <w:color w:val="000000"/>
          <w:sz w:val="20"/>
          <w:szCs w:val="20"/>
        </w:rPr>
        <w:t>gs under Medicare, review the relationship between pricing and manufacturer patient programs and reform government program reimbursement methodologies for drugs.</w:t>
      </w:r>
    </w:p>
    <w:p w14:paraId="5901A2C1" w14:textId="77777777" w:rsidR="00000000" w:rsidRDefault="000C49AD">
      <w:pPr>
        <w:jc w:val="both"/>
        <w:rPr>
          <w:rFonts w:eastAsia="Times New Roman"/>
        </w:rPr>
      </w:pPr>
    </w:p>
    <w:p w14:paraId="2ECDBDB3" w14:textId="77777777" w:rsidR="00000000" w:rsidRDefault="000C49AD">
      <w:pPr>
        <w:jc w:val="both"/>
        <w:rPr>
          <w:rFonts w:eastAsia="Times New Roman"/>
        </w:rPr>
      </w:pPr>
      <w:r>
        <w:rPr>
          <w:rFonts w:eastAsia="Times New Roman"/>
          <w:color w:val="000000"/>
          <w:sz w:val="20"/>
          <w:szCs w:val="20"/>
        </w:rPr>
        <w:t>We expect that healthcare reform measures that may be adopted in the future may result in mo</w:t>
      </w:r>
      <w:r>
        <w:rPr>
          <w:rFonts w:eastAsia="Times New Roman"/>
          <w:color w:val="000000"/>
          <w:sz w:val="20"/>
          <w:szCs w:val="20"/>
        </w:rPr>
        <w:t xml:space="preserve">re rigorous coverage criteria and in additional downward pressure on the price that we receive for any approved product. The implementation of cost containment measures or other healthcare reforms may prevent us from being able to generate revenue, attain </w:t>
      </w:r>
      <w:r>
        <w:rPr>
          <w:rFonts w:eastAsia="Times New Roman"/>
          <w:color w:val="000000"/>
          <w:sz w:val="20"/>
          <w:szCs w:val="20"/>
        </w:rPr>
        <w:t>profitability, or commercialize our products. Legislative and regulatory proposals have been made to expand post-approval requirements and restrict sales and promotional activities for pharmaceutical products. We cannot be sure whether additional legislati</w:t>
      </w:r>
      <w:r>
        <w:rPr>
          <w:rFonts w:eastAsia="Times New Roman"/>
          <w:color w:val="000000"/>
          <w:sz w:val="20"/>
          <w:szCs w:val="20"/>
        </w:rPr>
        <w:t>ve changes will be enacted, or whether the FDA regulations, guidance or interpretations will be changed, or what the impact of such changes on the marketing approvals or clearances of our product candidates, if any, may be. It is also possible that additio</w:t>
      </w:r>
      <w:r>
        <w:rPr>
          <w:rFonts w:eastAsia="Times New Roman"/>
          <w:color w:val="000000"/>
          <w:sz w:val="20"/>
          <w:szCs w:val="20"/>
        </w:rPr>
        <w:t>nal governmental action is taken in response to the COVID-19 pandemic.</w:t>
      </w:r>
    </w:p>
    <w:p w14:paraId="25F351F9" w14:textId="77777777" w:rsidR="00000000" w:rsidRDefault="000C49AD">
      <w:pPr>
        <w:jc w:val="both"/>
        <w:rPr>
          <w:rFonts w:eastAsia="Times New Roman"/>
        </w:rPr>
      </w:pPr>
    </w:p>
    <w:p w14:paraId="029C7E0D" w14:textId="77777777" w:rsidR="00000000" w:rsidRDefault="000C49AD">
      <w:pPr>
        <w:jc w:val="both"/>
        <w:rPr>
          <w:rFonts w:eastAsia="Times New Roman"/>
        </w:rPr>
      </w:pPr>
      <w:r>
        <w:rPr>
          <w:rFonts w:eastAsia="Times New Roman"/>
          <w:color w:val="000000"/>
          <w:sz w:val="20"/>
          <w:szCs w:val="20"/>
        </w:rPr>
        <w:t>In addition, in some foreign countries, the proposed pricing for a drug must be approved before it may be lawfully marketed. The requirements governing drug pricing vary widely from c</w:t>
      </w:r>
      <w:r>
        <w:rPr>
          <w:rFonts w:eastAsia="Times New Roman"/>
          <w:color w:val="000000"/>
          <w:sz w:val="20"/>
          <w:szCs w:val="20"/>
        </w:rPr>
        <w:t>ountry to country. For example, the European Union provides options for its Member States to restrict the range of medicinal products for which their national health insurance systems provide reimbursement and to control the prices of medicinal products fo</w:t>
      </w:r>
      <w:r>
        <w:rPr>
          <w:rFonts w:eastAsia="Times New Roman"/>
          <w:color w:val="000000"/>
          <w:sz w:val="20"/>
          <w:szCs w:val="20"/>
        </w:rPr>
        <w:t>r human use. To obtain reimbursement or pricing approval, some of these countries may require the completion of clinical trials that compare the cost effectiveness of a particular product candidate to currently available therapies. A Member State may appro</w:t>
      </w:r>
      <w:r>
        <w:rPr>
          <w:rFonts w:eastAsia="Times New Roman"/>
          <w:color w:val="000000"/>
          <w:sz w:val="20"/>
          <w:szCs w:val="20"/>
        </w:rPr>
        <w:t>ve a specific price for the medicinal product or it may instead adopt a system of direct or indirect controls on the profitability of the company placing the medicinal product on the market. There can be no assurance that any country that has price control</w:t>
      </w:r>
      <w:r>
        <w:rPr>
          <w:rFonts w:eastAsia="Times New Roman"/>
          <w:color w:val="000000"/>
          <w:sz w:val="20"/>
          <w:szCs w:val="20"/>
        </w:rPr>
        <w:t>s or reimbursement limitations for pharmaceutical products will allow favorable reimbursement and pricing arrangements for any of our product candidates. Historically, products launched in the European Union do not follow price structures of the U.S. and g</w:t>
      </w:r>
      <w:r>
        <w:rPr>
          <w:rFonts w:eastAsia="Times New Roman"/>
          <w:color w:val="000000"/>
          <w:sz w:val="20"/>
          <w:szCs w:val="20"/>
        </w:rPr>
        <w:t>enerally prices tend to be significantly lower.</w:t>
      </w:r>
    </w:p>
    <w:p w14:paraId="489C5BDD" w14:textId="77777777" w:rsidR="00000000" w:rsidRDefault="000C49AD">
      <w:pPr>
        <w:jc w:val="both"/>
        <w:rPr>
          <w:rFonts w:eastAsia="Times New Roman"/>
        </w:rPr>
      </w:pPr>
    </w:p>
    <w:p w14:paraId="317D0E65" w14:textId="77777777" w:rsidR="00000000" w:rsidRDefault="000C49AD">
      <w:pPr>
        <w:jc w:val="both"/>
        <w:rPr>
          <w:rFonts w:eastAsia="Times New Roman"/>
        </w:rPr>
      </w:pPr>
      <w:r>
        <w:rPr>
          <w:rFonts w:eastAsia="Times New Roman"/>
          <w:b/>
          <w:bCs/>
          <w:i/>
          <w:iCs/>
          <w:color w:val="000000"/>
          <w:sz w:val="20"/>
          <w:szCs w:val="20"/>
        </w:rPr>
        <w:t>Ongoing healthcare legislative and regulatory reform measures may have a material adverse effect on our business and results of operations</w:t>
      </w:r>
    </w:p>
    <w:p w14:paraId="259E12C2" w14:textId="77777777" w:rsidR="00000000" w:rsidRDefault="000C49AD">
      <w:pPr>
        <w:jc w:val="both"/>
        <w:rPr>
          <w:rFonts w:eastAsia="Times New Roman"/>
        </w:rPr>
      </w:pPr>
    </w:p>
    <w:p w14:paraId="3C425CB1" w14:textId="77777777" w:rsidR="00000000" w:rsidRDefault="000C49AD">
      <w:pPr>
        <w:jc w:val="both"/>
        <w:rPr>
          <w:rFonts w:eastAsia="Times New Roman"/>
        </w:rPr>
      </w:pPr>
      <w:r>
        <w:rPr>
          <w:rFonts w:eastAsia="Times New Roman"/>
          <w:color w:val="000000"/>
          <w:sz w:val="20"/>
          <w:szCs w:val="20"/>
        </w:rPr>
        <w:t>Changes in regulations, statutes or the interpretation of existing regulations could impact our business in the future by requiring, for example, changes to our manufacturing arrangements; additions or modifications to product labeling; the recall or disco</w:t>
      </w:r>
      <w:r>
        <w:rPr>
          <w:rFonts w:eastAsia="Times New Roman"/>
          <w:color w:val="000000"/>
          <w:sz w:val="20"/>
          <w:szCs w:val="20"/>
        </w:rPr>
        <w:t xml:space="preserve">ntinuation of our products; or additional record-keeping requirements. If any such changes were to be imposed, they could adversely affect the operation of our business. If we are slow or unable to adapt to changes in existing requirements or the adoption </w:t>
      </w:r>
      <w:r>
        <w:rPr>
          <w:rFonts w:eastAsia="Times New Roman"/>
          <w:color w:val="000000"/>
          <w:sz w:val="20"/>
          <w:szCs w:val="20"/>
        </w:rPr>
        <w:t>of new requirements or policies, or if we are not able to maintain regulatory compliance, we may lose any marketing approval that we may have obtained, and we may not achieve or sustain profitability. See the section entitled, “</w:t>
      </w:r>
      <w:r>
        <w:rPr>
          <w:rFonts w:eastAsia="Times New Roman"/>
          <w:i/>
          <w:iCs/>
          <w:color w:val="000000"/>
          <w:sz w:val="20"/>
          <w:szCs w:val="20"/>
        </w:rPr>
        <w:t>Business — Government Regula</w:t>
      </w:r>
      <w:r>
        <w:rPr>
          <w:rFonts w:eastAsia="Times New Roman"/>
          <w:i/>
          <w:iCs/>
          <w:color w:val="000000"/>
          <w:sz w:val="20"/>
          <w:szCs w:val="20"/>
        </w:rPr>
        <w:t>tion — Healthcare Reform</w:t>
      </w:r>
      <w:r>
        <w:rPr>
          <w:rFonts w:eastAsia="Times New Roman"/>
          <w:color w:val="000000"/>
          <w:sz w:val="20"/>
          <w:szCs w:val="20"/>
        </w:rPr>
        <w:t>”.</w:t>
      </w:r>
    </w:p>
    <w:p w14:paraId="58EABF53" w14:textId="77777777" w:rsidR="00000000" w:rsidRDefault="000C49AD">
      <w:pPr>
        <w:jc w:val="both"/>
        <w:rPr>
          <w:rFonts w:eastAsia="Times New Roman"/>
        </w:rPr>
      </w:pPr>
    </w:p>
    <w:p w14:paraId="40BAC8DD" w14:textId="77777777" w:rsidR="00000000" w:rsidRDefault="000C49AD">
      <w:pPr>
        <w:jc w:val="both"/>
        <w:rPr>
          <w:rFonts w:eastAsia="Times New Roman"/>
        </w:rPr>
      </w:pPr>
      <w:r>
        <w:rPr>
          <w:rFonts w:eastAsia="Times New Roman"/>
          <w:color w:val="000000"/>
          <w:sz w:val="20"/>
          <w:szCs w:val="20"/>
        </w:rPr>
        <w:t xml:space="preserve">Moreover, increasing efforts by governmental and third-party payors in the United States and abroad to cap or reduce healthcare costs may cause such organizations to limit both coverage and the level of reimbursement for newly </w:t>
      </w:r>
      <w:r>
        <w:rPr>
          <w:rFonts w:eastAsia="Times New Roman"/>
          <w:color w:val="000000"/>
          <w:sz w:val="20"/>
          <w:szCs w:val="20"/>
        </w:rPr>
        <w:t>approved products and, as a result, they may not cover or provide adequate payment for our product candidates. There has been increasing legislative and enforcement interest in the United States with respect to specialty drug pricing practices. Specificall</w:t>
      </w:r>
      <w:r>
        <w:rPr>
          <w:rFonts w:eastAsia="Times New Roman"/>
          <w:color w:val="000000"/>
          <w:sz w:val="20"/>
          <w:szCs w:val="20"/>
        </w:rPr>
        <w:t>y, there have been several recent U.S. Congressional inquiries and proposed and enacted federal and state legislation designed to, among other things, bring more transparency to drug pricing, reduce the cost of prescription drugs under Medicare, review the</w:t>
      </w:r>
      <w:r>
        <w:rPr>
          <w:rFonts w:eastAsia="Times New Roman"/>
          <w:color w:val="000000"/>
          <w:sz w:val="20"/>
          <w:szCs w:val="20"/>
        </w:rPr>
        <w:t xml:space="preserve"> relationship between pricing and manufacturer patient programs, and reform government program reimbursement methodologies for drugs.</w:t>
      </w:r>
    </w:p>
    <w:p w14:paraId="58B8ADD6" w14:textId="77777777" w:rsidR="00000000" w:rsidRDefault="000C49AD">
      <w:pPr>
        <w:jc w:val="both"/>
        <w:rPr>
          <w:rFonts w:eastAsia="Times New Roman"/>
        </w:rPr>
      </w:pPr>
    </w:p>
    <w:p w14:paraId="3FF1C5A1" w14:textId="77777777" w:rsidR="00000000" w:rsidRDefault="000C49AD">
      <w:pPr>
        <w:jc w:val="both"/>
        <w:rPr>
          <w:rFonts w:eastAsia="Times New Roman"/>
        </w:rPr>
      </w:pPr>
      <w:r>
        <w:rPr>
          <w:rFonts w:eastAsia="Times New Roman"/>
          <w:color w:val="000000"/>
          <w:sz w:val="20"/>
          <w:szCs w:val="20"/>
        </w:rPr>
        <w:t>At the state level, legislatures are increasingly passing legislation and implementing regulations designed to control p</w:t>
      </w:r>
      <w:r>
        <w:rPr>
          <w:rFonts w:eastAsia="Times New Roman"/>
          <w:color w:val="000000"/>
          <w:sz w:val="20"/>
          <w:szCs w:val="20"/>
        </w:rPr>
        <w:t>harmaceutical and biologic product pricing, including price or patient reimbursement constraints, discounts, restrictions on certain product access and marketing cost disclosure and transparency measures, and, in some cases, designed to encourage importati</w:t>
      </w:r>
      <w:r>
        <w:rPr>
          <w:rFonts w:eastAsia="Times New Roman"/>
          <w:color w:val="000000"/>
          <w:sz w:val="20"/>
          <w:szCs w:val="20"/>
        </w:rPr>
        <w:t xml:space="preserve">on from other countries and bulk purchasing. Legally mandated price controls on payment amounts by third-party payors or other restrictions could harm our business, financial condition, results of operations and prospects. In addition, regional healthcare </w:t>
      </w:r>
      <w:r>
        <w:rPr>
          <w:rFonts w:eastAsia="Times New Roman"/>
          <w:color w:val="000000"/>
          <w:sz w:val="20"/>
          <w:szCs w:val="20"/>
        </w:rPr>
        <w:t>authorities and individual hospitals are increasingly using bidding procedures to determine what pharmaceutical products and which suppliers will be included in their prescription drug and other healthcare programs. This could reduce the ultimate demand fo</w:t>
      </w:r>
      <w:r>
        <w:rPr>
          <w:rFonts w:eastAsia="Times New Roman"/>
          <w:color w:val="000000"/>
          <w:sz w:val="20"/>
          <w:szCs w:val="20"/>
        </w:rPr>
        <w:t>r our drugs or put pressure on our drug pricing, which could negatively affect our business, financial condition, results of operations and prospects.</w:t>
      </w:r>
    </w:p>
    <w:p w14:paraId="393797FE" w14:textId="77777777" w:rsidR="00000000" w:rsidRDefault="000C49AD">
      <w:pPr>
        <w:jc w:val="both"/>
        <w:rPr>
          <w:rFonts w:eastAsia="Times New Roman"/>
        </w:rPr>
      </w:pPr>
    </w:p>
    <w:p w14:paraId="24CEB155" w14:textId="77777777" w:rsidR="00000000" w:rsidRDefault="000C49AD">
      <w:pPr>
        <w:jc w:val="center"/>
        <w:divId w:val="1859659298"/>
        <w:rPr>
          <w:rFonts w:eastAsia="Times New Roman"/>
        </w:rPr>
      </w:pPr>
      <w:r>
        <w:rPr>
          <w:rFonts w:eastAsia="Times New Roman"/>
          <w:color w:val="000000"/>
          <w:sz w:val="20"/>
          <w:szCs w:val="20"/>
        </w:rPr>
        <w:t>-30-</w:t>
      </w:r>
    </w:p>
    <w:p w14:paraId="2875DD5A" w14:textId="77777777" w:rsidR="00000000" w:rsidRDefault="000C49AD">
      <w:pPr>
        <w:rPr>
          <w:rFonts w:eastAsia="Times New Roman"/>
        </w:rPr>
      </w:pPr>
      <w:r>
        <w:rPr>
          <w:rFonts w:eastAsia="Times New Roman"/>
        </w:rPr>
        <w:pict w14:anchorId="0809C594">
          <v:rect id="_x0000_i1054" style="width:0;height:1.5pt" o:hralign="center" o:hrstd="t" o:hr="t" fillcolor="#a0a0a0" stroked="f"/>
        </w:pict>
      </w:r>
    </w:p>
    <w:p w14:paraId="4CB98682" w14:textId="77777777" w:rsidR="00000000" w:rsidRDefault="000C49AD">
      <w:pPr>
        <w:divId w:val="167523038"/>
        <w:rPr>
          <w:rFonts w:eastAsia="Times New Roman"/>
        </w:rPr>
      </w:pPr>
    </w:p>
    <w:p w14:paraId="046A07A4" w14:textId="77777777" w:rsidR="00000000" w:rsidRDefault="000C49AD">
      <w:pPr>
        <w:jc w:val="both"/>
        <w:rPr>
          <w:rFonts w:eastAsia="Times New Roman"/>
        </w:rPr>
      </w:pPr>
      <w:r>
        <w:rPr>
          <w:rFonts w:eastAsia="Times New Roman"/>
          <w:color w:val="000000"/>
          <w:sz w:val="20"/>
          <w:szCs w:val="20"/>
        </w:rPr>
        <w:t>These laws, and future state and federal healthcare reform m</w:t>
      </w:r>
      <w:r>
        <w:rPr>
          <w:rFonts w:eastAsia="Times New Roman"/>
          <w:color w:val="000000"/>
          <w:sz w:val="20"/>
          <w:szCs w:val="20"/>
        </w:rPr>
        <w:t>easures may be adopted in the future, any of which may result in additional reductions in Medicare and other healthcare funding and otherwise affect the prices we may obtain for any of our product candidates for which we may obtain regulatory approval or t</w:t>
      </w:r>
      <w:r>
        <w:rPr>
          <w:rFonts w:eastAsia="Times New Roman"/>
          <w:color w:val="000000"/>
          <w:sz w:val="20"/>
          <w:szCs w:val="20"/>
        </w:rPr>
        <w:t>he frequency with which any such product candidate is prescribed or used. Additionally, we expect to experience pricing pressures in connection with the sale of any future approved product candidates due to the trend toward managed healthcare, the increasi</w:t>
      </w:r>
      <w:r>
        <w:rPr>
          <w:rFonts w:eastAsia="Times New Roman"/>
          <w:color w:val="000000"/>
          <w:sz w:val="20"/>
          <w:szCs w:val="20"/>
        </w:rPr>
        <w:t>ng influence of health maintenance organizations, cost containment initiatives and additional legislative changes.</w:t>
      </w:r>
    </w:p>
    <w:p w14:paraId="72B3CCF5" w14:textId="77777777" w:rsidR="00000000" w:rsidRDefault="000C49AD">
      <w:pPr>
        <w:jc w:val="both"/>
        <w:rPr>
          <w:rFonts w:eastAsia="Times New Roman"/>
        </w:rPr>
      </w:pPr>
    </w:p>
    <w:p w14:paraId="76CABD8D" w14:textId="77777777" w:rsidR="00000000" w:rsidRDefault="000C49AD">
      <w:pPr>
        <w:jc w:val="both"/>
        <w:rPr>
          <w:rFonts w:eastAsia="Times New Roman"/>
        </w:rPr>
      </w:pPr>
      <w:r>
        <w:rPr>
          <w:rFonts w:eastAsia="Times New Roman"/>
          <w:b/>
          <w:bCs/>
          <w:i/>
          <w:iCs/>
          <w:color w:val="000000"/>
          <w:sz w:val="20"/>
          <w:szCs w:val="20"/>
        </w:rPr>
        <w:t>FT218, if successfully developed and approved, may cause undesirable side effects</w:t>
      </w:r>
      <w:r>
        <w:rPr>
          <w:rFonts w:eastAsia="Times New Roman"/>
          <w:color w:val="000000"/>
          <w:sz w:val="20"/>
          <w:szCs w:val="20"/>
        </w:rPr>
        <w:t xml:space="preserve"> </w:t>
      </w:r>
      <w:r>
        <w:rPr>
          <w:rFonts w:eastAsia="Times New Roman"/>
          <w:b/>
          <w:bCs/>
          <w:i/>
          <w:iCs/>
          <w:color w:val="000000"/>
          <w:sz w:val="20"/>
          <w:szCs w:val="20"/>
        </w:rPr>
        <w:t>that limit the commercial profile or result in other sign</w:t>
      </w:r>
      <w:r>
        <w:rPr>
          <w:rFonts w:eastAsia="Times New Roman"/>
          <w:b/>
          <w:bCs/>
          <w:i/>
          <w:iCs/>
          <w:color w:val="000000"/>
          <w:sz w:val="20"/>
          <w:szCs w:val="20"/>
        </w:rPr>
        <w:t>ificant negative consequences for approved products; or delay or prevent further development or regulatory approval with respect to product candidates or new indications, or cause regulatory authorities to require labeling statements, such as boxed warning</w:t>
      </w:r>
      <w:r>
        <w:rPr>
          <w:rFonts w:eastAsia="Times New Roman"/>
          <w:b/>
          <w:bCs/>
          <w:i/>
          <w:iCs/>
          <w:color w:val="000000"/>
          <w:sz w:val="20"/>
          <w:szCs w:val="20"/>
        </w:rPr>
        <w:t>s.</w:t>
      </w:r>
    </w:p>
    <w:p w14:paraId="5AD6AF73" w14:textId="77777777" w:rsidR="00000000" w:rsidRDefault="000C49AD">
      <w:pPr>
        <w:jc w:val="both"/>
        <w:rPr>
          <w:rFonts w:eastAsia="Times New Roman"/>
        </w:rPr>
      </w:pPr>
    </w:p>
    <w:p w14:paraId="7915B7E6" w14:textId="77777777" w:rsidR="00000000" w:rsidRDefault="000C49AD">
      <w:pPr>
        <w:jc w:val="both"/>
        <w:rPr>
          <w:rFonts w:eastAsia="Times New Roman"/>
        </w:rPr>
      </w:pPr>
      <w:r>
        <w:rPr>
          <w:rFonts w:eastAsia="Times New Roman"/>
          <w:color w:val="000000"/>
          <w:sz w:val="20"/>
          <w:szCs w:val="20"/>
        </w:rPr>
        <w:t>Undesirable side effects caused by FT218, if successfully developed and approved, could limit the commercial profile of FT218 or result in significant negative consequences such as a more restrictive label or other limitations or restrictions. Undesir</w:t>
      </w:r>
      <w:r>
        <w:rPr>
          <w:rFonts w:eastAsia="Times New Roman"/>
          <w:color w:val="000000"/>
          <w:sz w:val="20"/>
          <w:szCs w:val="20"/>
        </w:rPr>
        <w:t>able side effects caused by FT218 could cause us or regulatory authorities to interrupt, delay or halt non-clinical studies and clinical trials or could result in a more restrictive label or the delay or denial of regulatory approval by the FDA or other re</w:t>
      </w:r>
      <w:r>
        <w:rPr>
          <w:rFonts w:eastAsia="Times New Roman"/>
          <w:color w:val="000000"/>
          <w:sz w:val="20"/>
          <w:szCs w:val="20"/>
        </w:rPr>
        <w:t>gulatory authorities.</w:t>
      </w:r>
    </w:p>
    <w:p w14:paraId="513CECB0" w14:textId="77777777" w:rsidR="00000000" w:rsidRDefault="000C49AD">
      <w:pPr>
        <w:jc w:val="both"/>
        <w:rPr>
          <w:rFonts w:eastAsia="Times New Roman"/>
        </w:rPr>
      </w:pPr>
    </w:p>
    <w:p w14:paraId="2950F8C6" w14:textId="77777777" w:rsidR="00000000" w:rsidRDefault="000C49AD">
      <w:pPr>
        <w:jc w:val="both"/>
        <w:rPr>
          <w:rFonts w:eastAsia="Times New Roman"/>
        </w:rPr>
      </w:pPr>
      <w:r>
        <w:rPr>
          <w:rFonts w:eastAsia="Times New Roman"/>
          <w:color w:val="000000"/>
          <w:sz w:val="20"/>
          <w:szCs w:val="20"/>
        </w:rPr>
        <w:t>Clinical trials by their nature utilize a sample of the potential patient population. With a limited number of patients and limited duration of exposure, certain side effects of FT218 may only be uncovered with a significantly large</w:t>
      </w:r>
      <w:r>
        <w:rPr>
          <w:rFonts w:eastAsia="Times New Roman"/>
          <w:color w:val="000000"/>
          <w:sz w:val="20"/>
          <w:szCs w:val="20"/>
        </w:rPr>
        <w:t>r number of patients exposed to the drug, and those side effects could be serious or life-threatening. If we or others identify undesirable side effects caused by FT218 (or any other similar drugs), a number of potentially significant negative consequences</w:t>
      </w:r>
      <w:r>
        <w:rPr>
          <w:rFonts w:eastAsia="Times New Roman"/>
          <w:color w:val="000000"/>
          <w:sz w:val="20"/>
          <w:szCs w:val="20"/>
        </w:rPr>
        <w:t xml:space="preserve"> could result, including:</w:t>
      </w:r>
    </w:p>
    <w:p w14:paraId="22649FCB" w14:textId="77777777" w:rsidR="00000000" w:rsidRDefault="000C49AD">
      <w:pPr>
        <w:jc w:val="both"/>
        <w:rPr>
          <w:rFonts w:eastAsia="Times New Roman"/>
        </w:rPr>
      </w:pPr>
    </w:p>
    <w:p w14:paraId="0952FCC0" w14:textId="77777777" w:rsidR="00000000" w:rsidRDefault="000C49AD">
      <w:pPr>
        <w:ind w:hanging="360"/>
        <w:jc w:val="both"/>
        <w:rPr>
          <w:rFonts w:eastAsia="Times New Roman"/>
        </w:rPr>
      </w:pPr>
      <w:r>
        <w:rPr>
          <w:rFonts w:eastAsia="Times New Roman"/>
          <w:color w:val="000000"/>
          <w:sz w:val="20"/>
          <w:szCs w:val="20"/>
        </w:rPr>
        <w:t>•regulatory authorities may withdraw or limit their marketing approval of such drugs;</w:t>
      </w:r>
    </w:p>
    <w:p w14:paraId="4FB70899" w14:textId="77777777" w:rsidR="00000000" w:rsidRDefault="000C49AD">
      <w:pPr>
        <w:ind w:hanging="360"/>
        <w:jc w:val="both"/>
        <w:rPr>
          <w:rFonts w:eastAsia="Times New Roman"/>
        </w:rPr>
      </w:pPr>
      <w:r>
        <w:rPr>
          <w:rFonts w:eastAsia="Times New Roman"/>
          <w:color w:val="000000"/>
          <w:sz w:val="20"/>
          <w:szCs w:val="20"/>
        </w:rPr>
        <w:t xml:space="preserve">•regulatory authorities may require the addition of labeling statements, such as a “boxed” warning or additions to an existing boxed warning, </w:t>
      </w:r>
      <w:r>
        <w:rPr>
          <w:rFonts w:eastAsia="Times New Roman"/>
          <w:color w:val="000000"/>
          <w:sz w:val="20"/>
          <w:szCs w:val="20"/>
        </w:rPr>
        <w:t>or a contraindication, including as a result of inclusion in a class of drugs for a particular disease;</w:t>
      </w:r>
    </w:p>
    <w:p w14:paraId="3BD1ADEC" w14:textId="77777777" w:rsidR="00000000" w:rsidRDefault="000C49AD">
      <w:pPr>
        <w:ind w:hanging="360"/>
        <w:jc w:val="both"/>
        <w:rPr>
          <w:rFonts w:eastAsia="Times New Roman"/>
        </w:rPr>
      </w:pPr>
      <w:r>
        <w:rPr>
          <w:rFonts w:eastAsia="Times New Roman"/>
          <w:color w:val="000000"/>
          <w:sz w:val="20"/>
          <w:szCs w:val="20"/>
        </w:rPr>
        <w:t>•regulatory authorities may refuse to approve label expansions for additional indications for any approved drugs;</w:t>
      </w:r>
    </w:p>
    <w:p w14:paraId="760A167D" w14:textId="77777777" w:rsidR="00000000" w:rsidRDefault="000C49AD">
      <w:pPr>
        <w:ind w:hanging="360"/>
        <w:jc w:val="both"/>
        <w:rPr>
          <w:rFonts w:eastAsia="Times New Roman"/>
        </w:rPr>
      </w:pPr>
      <w:r>
        <w:rPr>
          <w:rFonts w:eastAsia="Times New Roman"/>
          <w:color w:val="000000"/>
          <w:sz w:val="20"/>
          <w:szCs w:val="20"/>
        </w:rPr>
        <w:t xml:space="preserve">•we may be required to change the way </w:t>
      </w:r>
      <w:r>
        <w:rPr>
          <w:rFonts w:eastAsia="Times New Roman"/>
          <w:color w:val="000000"/>
          <w:sz w:val="20"/>
          <w:szCs w:val="20"/>
        </w:rPr>
        <w:t>such drugs are distributed or administered, conduct additional clinical trials or change the labeling of the drugs;</w:t>
      </w:r>
    </w:p>
    <w:p w14:paraId="7C0DBEDB" w14:textId="77777777" w:rsidR="00000000" w:rsidRDefault="000C49AD">
      <w:pPr>
        <w:ind w:hanging="360"/>
        <w:jc w:val="both"/>
        <w:rPr>
          <w:rFonts w:eastAsia="Times New Roman"/>
        </w:rPr>
      </w:pPr>
      <w:r>
        <w:rPr>
          <w:rFonts w:eastAsia="Times New Roman"/>
          <w:color w:val="000000"/>
          <w:sz w:val="20"/>
          <w:szCs w:val="20"/>
        </w:rPr>
        <w:t>•regulatory authorities may require a modification of an existing REMS to mitigate risks;</w:t>
      </w:r>
    </w:p>
    <w:p w14:paraId="365FC4BB" w14:textId="77777777" w:rsidR="00000000" w:rsidRDefault="000C49AD">
      <w:pPr>
        <w:ind w:hanging="360"/>
        <w:jc w:val="both"/>
        <w:rPr>
          <w:rFonts w:eastAsia="Times New Roman"/>
        </w:rPr>
      </w:pPr>
      <w:r>
        <w:rPr>
          <w:rFonts w:eastAsia="Times New Roman"/>
          <w:color w:val="000000"/>
          <w:sz w:val="20"/>
          <w:szCs w:val="20"/>
        </w:rPr>
        <w:t>•we may be subject to regulatory investigations an</w:t>
      </w:r>
      <w:r>
        <w:rPr>
          <w:rFonts w:eastAsia="Times New Roman"/>
          <w:color w:val="000000"/>
          <w:sz w:val="20"/>
          <w:szCs w:val="20"/>
        </w:rPr>
        <w:t>d government enforcement actions;</w:t>
      </w:r>
    </w:p>
    <w:p w14:paraId="130B0670" w14:textId="77777777" w:rsidR="00000000" w:rsidRDefault="000C49AD">
      <w:pPr>
        <w:ind w:hanging="360"/>
        <w:jc w:val="both"/>
        <w:rPr>
          <w:rFonts w:eastAsia="Times New Roman"/>
        </w:rPr>
      </w:pPr>
      <w:r>
        <w:rPr>
          <w:rFonts w:eastAsia="Times New Roman"/>
          <w:color w:val="000000"/>
          <w:sz w:val="20"/>
          <w:szCs w:val="20"/>
        </w:rPr>
        <w:t>•we may decide to remove FT218 from the marketplace;</w:t>
      </w:r>
    </w:p>
    <w:p w14:paraId="2902BBA0" w14:textId="77777777" w:rsidR="00000000" w:rsidRDefault="000C49AD">
      <w:pPr>
        <w:ind w:hanging="360"/>
        <w:jc w:val="both"/>
        <w:rPr>
          <w:rFonts w:eastAsia="Times New Roman"/>
        </w:rPr>
      </w:pPr>
      <w:r>
        <w:rPr>
          <w:rFonts w:eastAsia="Times New Roman"/>
          <w:color w:val="000000"/>
          <w:sz w:val="20"/>
          <w:szCs w:val="20"/>
        </w:rPr>
        <w:t>•we could be sued and held liable for injury caused to individuals exposed to or taking FT218; and</w:t>
      </w:r>
    </w:p>
    <w:p w14:paraId="68E4A0CB" w14:textId="77777777" w:rsidR="00000000" w:rsidRDefault="000C49AD">
      <w:pPr>
        <w:ind w:hanging="360"/>
        <w:jc w:val="both"/>
        <w:rPr>
          <w:rFonts w:eastAsia="Times New Roman"/>
        </w:rPr>
      </w:pPr>
      <w:r>
        <w:rPr>
          <w:rFonts w:eastAsia="Times New Roman"/>
          <w:color w:val="000000"/>
          <w:sz w:val="20"/>
          <w:szCs w:val="20"/>
        </w:rPr>
        <w:t>•our reputation may suffer.</w:t>
      </w:r>
    </w:p>
    <w:p w14:paraId="25F98A60" w14:textId="77777777" w:rsidR="00000000" w:rsidRDefault="000C49AD">
      <w:pPr>
        <w:jc w:val="both"/>
        <w:rPr>
          <w:rFonts w:eastAsia="Times New Roman"/>
        </w:rPr>
      </w:pPr>
    </w:p>
    <w:p w14:paraId="713E5DAA" w14:textId="77777777" w:rsidR="00000000" w:rsidRDefault="000C49AD">
      <w:pPr>
        <w:jc w:val="both"/>
        <w:rPr>
          <w:rFonts w:eastAsia="Times New Roman"/>
        </w:rPr>
      </w:pPr>
      <w:r>
        <w:rPr>
          <w:rFonts w:eastAsia="Times New Roman"/>
          <w:color w:val="000000"/>
          <w:sz w:val="20"/>
          <w:szCs w:val="20"/>
        </w:rPr>
        <w:t>Any of these events could prevent us from achieving or maintaining market acceptance of FT218, if approved, and could substantially increase the costs of commercializing FT218 and significantly impact our ability to successfully commercialize FT218 and gen</w:t>
      </w:r>
      <w:r>
        <w:rPr>
          <w:rFonts w:eastAsia="Times New Roman"/>
          <w:color w:val="000000"/>
          <w:sz w:val="20"/>
          <w:szCs w:val="20"/>
        </w:rPr>
        <w:t>erate revenues.</w:t>
      </w:r>
    </w:p>
    <w:p w14:paraId="009C25F8" w14:textId="77777777" w:rsidR="00000000" w:rsidRDefault="000C49AD">
      <w:pPr>
        <w:divId w:val="362826886"/>
        <w:rPr>
          <w:rFonts w:eastAsia="Times New Roman"/>
        </w:rPr>
      </w:pPr>
    </w:p>
    <w:p w14:paraId="01693B18" w14:textId="77777777" w:rsidR="00000000" w:rsidRDefault="000C49AD">
      <w:pPr>
        <w:jc w:val="both"/>
        <w:rPr>
          <w:rFonts w:eastAsia="Times New Roman"/>
        </w:rPr>
      </w:pPr>
      <w:r>
        <w:rPr>
          <w:rFonts w:eastAsia="Times New Roman"/>
          <w:b/>
          <w:bCs/>
          <w:i/>
          <w:iCs/>
          <w:color w:val="000000"/>
          <w:sz w:val="20"/>
          <w:szCs w:val="20"/>
        </w:rPr>
        <w:t>We may incur significant liability if governmental authorities allege or determine that we are engaging in commercial activities or promoting FT218 in a way that violates applicable regulations.</w:t>
      </w:r>
    </w:p>
    <w:p w14:paraId="3D0CAA56" w14:textId="77777777" w:rsidR="00000000" w:rsidRDefault="000C49AD">
      <w:pPr>
        <w:jc w:val="both"/>
        <w:rPr>
          <w:rFonts w:eastAsia="Times New Roman"/>
        </w:rPr>
      </w:pPr>
    </w:p>
    <w:p w14:paraId="29EF876F" w14:textId="77777777" w:rsidR="00000000" w:rsidRDefault="000C49AD">
      <w:pPr>
        <w:jc w:val="both"/>
        <w:rPr>
          <w:rFonts w:eastAsia="Times New Roman"/>
        </w:rPr>
      </w:pPr>
      <w:r>
        <w:rPr>
          <w:rFonts w:eastAsia="Times New Roman"/>
          <w:color w:val="000000"/>
          <w:sz w:val="20"/>
          <w:szCs w:val="20"/>
        </w:rPr>
        <w:t>Physicians have the discretion to prescri</w:t>
      </w:r>
      <w:r>
        <w:rPr>
          <w:rFonts w:eastAsia="Times New Roman"/>
          <w:color w:val="000000"/>
          <w:sz w:val="20"/>
          <w:szCs w:val="20"/>
        </w:rPr>
        <w:t>be drug products for uses that are not described in the product’s labeling and that differ from those approved by the FDA or other applicable regulatory agencies. Off-label uses are common across medical specialties. Although the FDA and other regulatory a</w:t>
      </w:r>
      <w:r>
        <w:rPr>
          <w:rFonts w:eastAsia="Times New Roman"/>
          <w:color w:val="000000"/>
          <w:sz w:val="20"/>
          <w:szCs w:val="20"/>
        </w:rPr>
        <w:t>gencies do not regulate a physician’s choice of treatments, the FDA and other regulatory agencies regulate a manufacturer’s communications regarding off-label use and prohibit off-label promotion, as well as the dissemination of false or misleading labelin</w:t>
      </w:r>
      <w:r>
        <w:rPr>
          <w:rFonts w:eastAsia="Times New Roman"/>
          <w:color w:val="000000"/>
          <w:sz w:val="20"/>
          <w:szCs w:val="20"/>
        </w:rPr>
        <w:t>g or promotional materials. Manufacturers may not promote drugs for off-label uses. Accordingly, if FT218 is approved, we may not promote FT218 in the U.S. for any indications other than its FDA-approved indication. The FDA and other regulatory and enforce</w:t>
      </w:r>
      <w:r>
        <w:rPr>
          <w:rFonts w:eastAsia="Times New Roman"/>
          <w:color w:val="000000"/>
          <w:sz w:val="20"/>
          <w:szCs w:val="20"/>
        </w:rPr>
        <w:t>ment authorities actively enforce laws and regulations prohibiting promotion of off-label uses and the promotion of products for which marketing approval has not been obtained. A company that is found to have improperly promoted off-label uses, including p</w:t>
      </w:r>
      <w:r>
        <w:rPr>
          <w:rFonts w:eastAsia="Times New Roman"/>
          <w:color w:val="000000"/>
          <w:sz w:val="20"/>
          <w:szCs w:val="20"/>
        </w:rPr>
        <w:t>romoting unapproved dosing regimens, may be subject to significant liability, which may include civil and administrative remedies as well as criminal sanctions.</w:t>
      </w:r>
    </w:p>
    <w:p w14:paraId="652B84EA" w14:textId="77777777" w:rsidR="00000000" w:rsidRDefault="000C49AD">
      <w:pPr>
        <w:jc w:val="both"/>
        <w:rPr>
          <w:rFonts w:eastAsia="Times New Roman"/>
        </w:rPr>
      </w:pPr>
    </w:p>
    <w:p w14:paraId="5196EBCF" w14:textId="77777777" w:rsidR="00000000" w:rsidRDefault="000C49AD">
      <w:pPr>
        <w:jc w:val="both"/>
        <w:rPr>
          <w:rFonts w:eastAsia="Times New Roman"/>
        </w:rPr>
      </w:pPr>
      <w:r>
        <w:rPr>
          <w:rFonts w:eastAsia="Times New Roman"/>
          <w:color w:val="000000"/>
          <w:sz w:val="20"/>
          <w:szCs w:val="20"/>
        </w:rPr>
        <w:t>Notwithstanding regulations related to product promotion, the FDA and other regulatory author</w:t>
      </w:r>
      <w:r>
        <w:rPr>
          <w:rFonts w:eastAsia="Times New Roman"/>
          <w:color w:val="000000"/>
          <w:sz w:val="20"/>
          <w:szCs w:val="20"/>
        </w:rPr>
        <w:t xml:space="preserve">ities allow companies to engage in truthful, non-misleading, and non-promotional scientific exchange concerning their products. We currently, and intend to </w:t>
      </w:r>
    </w:p>
    <w:p w14:paraId="25E14622" w14:textId="77777777" w:rsidR="00000000" w:rsidRDefault="000C49AD">
      <w:pPr>
        <w:jc w:val="center"/>
        <w:divId w:val="1074428693"/>
        <w:rPr>
          <w:rFonts w:eastAsia="Times New Roman"/>
        </w:rPr>
      </w:pPr>
      <w:r>
        <w:rPr>
          <w:rFonts w:eastAsia="Times New Roman"/>
          <w:color w:val="000000"/>
          <w:sz w:val="20"/>
          <w:szCs w:val="20"/>
        </w:rPr>
        <w:t>-31-</w:t>
      </w:r>
    </w:p>
    <w:p w14:paraId="4E4C4956" w14:textId="77777777" w:rsidR="00000000" w:rsidRDefault="000C49AD">
      <w:pPr>
        <w:rPr>
          <w:rFonts w:eastAsia="Times New Roman"/>
        </w:rPr>
      </w:pPr>
      <w:r>
        <w:rPr>
          <w:rFonts w:eastAsia="Times New Roman"/>
        </w:rPr>
        <w:pict w14:anchorId="79ED6487">
          <v:rect id="_x0000_i1055" style="width:0;height:1.5pt" o:hralign="center" o:hrstd="t" o:hr="t" fillcolor="#a0a0a0" stroked="f"/>
        </w:pict>
      </w:r>
    </w:p>
    <w:p w14:paraId="5FA650EA" w14:textId="77777777" w:rsidR="00000000" w:rsidRDefault="000C49AD">
      <w:pPr>
        <w:divId w:val="1506439967"/>
        <w:rPr>
          <w:rFonts w:eastAsia="Times New Roman"/>
        </w:rPr>
      </w:pPr>
    </w:p>
    <w:p w14:paraId="0A7B17B3" w14:textId="77777777" w:rsidR="00000000" w:rsidRDefault="000C49AD">
      <w:pPr>
        <w:jc w:val="both"/>
        <w:rPr>
          <w:rFonts w:eastAsia="Times New Roman"/>
        </w:rPr>
      </w:pPr>
      <w:r>
        <w:rPr>
          <w:rFonts w:eastAsia="Times New Roman"/>
          <w:color w:val="000000"/>
          <w:sz w:val="20"/>
          <w:szCs w:val="20"/>
        </w:rPr>
        <w:t>increasingly, engage in medical education activities and</w:t>
      </w:r>
      <w:r>
        <w:rPr>
          <w:rFonts w:eastAsia="Times New Roman"/>
          <w:color w:val="000000"/>
          <w:sz w:val="20"/>
          <w:szCs w:val="20"/>
        </w:rPr>
        <w:t xml:space="preserve"> communicate with healthcare providers in compliance with all applicable laws and regulatory guidance.</w:t>
      </w:r>
    </w:p>
    <w:p w14:paraId="2F48D6B7" w14:textId="77777777" w:rsidR="00000000" w:rsidRDefault="000C49AD">
      <w:pPr>
        <w:jc w:val="both"/>
        <w:rPr>
          <w:rFonts w:eastAsia="Times New Roman"/>
        </w:rPr>
      </w:pPr>
    </w:p>
    <w:p w14:paraId="1861F629" w14:textId="77777777" w:rsidR="00000000" w:rsidRDefault="000C49AD">
      <w:pPr>
        <w:jc w:val="both"/>
        <w:rPr>
          <w:rFonts w:eastAsia="Times New Roman"/>
        </w:rPr>
      </w:pPr>
      <w:r>
        <w:rPr>
          <w:rFonts w:eastAsia="Times New Roman"/>
          <w:b/>
          <w:bCs/>
          <w:i/>
          <w:iCs/>
          <w:color w:val="000000"/>
          <w:sz w:val="20"/>
          <w:szCs w:val="20"/>
        </w:rPr>
        <w:t>Obtaining and maintaining regulatory approval of FT218 in one jurisdiction does not mean that we will be successful in obtaining regulatory approval of</w:t>
      </w:r>
      <w:r>
        <w:rPr>
          <w:rFonts w:eastAsia="Times New Roman"/>
          <w:b/>
          <w:bCs/>
          <w:i/>
          <w:iCs/>
          <w:color w:val="000000"/>
          <w:sz w:val="20"/>
          <w:szCs w:val="20"/>
        </w:rPr>
        <w:t xml:space="preserve"> FT218 in other jurisdictions.</w:t>
      </w:r>
    </w:p>
    <w:p w14:paraId="012D47E8" w14:textId="77777777" w:rsidR="00000000" w:rsidRDefault="000C49AD">
      <w:pPr>
        <w:jc w:val="both"/>
        <w:rPr>
          <w:rFonts w:eastAsia="Times New Roman"/>
        </w:rPr>
      </w:pPr>
    </w:p>
    <w:p w14:paraId="412C4DEC" w14:textId="77777777" w:rsidR="00000000" w:rsidRDefault="000C49AD">
      <w:pPr>
        <w:jc w:val="both"/>
        <w:rPr>
          <w:rFonts w:eastAsia="Times New Roman"/>
        </w:rPr>
      </w:pPr>
      <w:r>
        <w:rPr>
          <w:rFonts w:eastAsia="Times New Roman"/>
          <w:color w:val="000000"/>
          <w:sz w:val="20"/>
          <w:szCs w:val="20"/>
        </w:rPr>
        <w:t>Obtaining and maintaining regulatory approval of FT218 in one jurisdiction does not guarantee that we will be able to obtain or maintain regulatory approval in any other jurisdiction, while a failure or delay in obtaining r</w:t>
      </w:r>
      <w:r>
        <w:rPr>
          <w:rFonts w:eastAsia="Times New Roman"/>
          <w:color w:val="000000"/>
          <w:sz w:val="20"/>
          <w:szCs w:val="20"/>
        </w:rPr>
        <w:t>egulatory approval in one jurisdiction may have a negative effect on the regulatory approval process in others. For example, even if the FDA grants marketing approval of FT218, comparable regulatory authorities in foreign jurisdictions must also approve FT</w:t>
      </w:r>
      <w:r>
        <w:rPr>
          <w:rFonts w:eastAsia="Times New Roman"/>
          <w:color w:val="000000"/>
          <w:sz w:val="20"/>
          <w:szCs w:val="20"/>
        </w:rPr>
        <w:t>218 in those countries. Approval procedures vary among jurisdictions and can involve requirements and administrative review periods different from, and greater than, those in the U.S., including additional preclinical studies or clinical trials, as clinica</w:t>
      </w:r>
      <w:r>
        <w:rPr>
          <w:rFonts w:eastAsia="Times New Roman"/>
          <w:color w:val="000000"/>
          <w:sz w:val="20"/>
          <w:szCs w:val="20"/>
        </w:rPr>
        <w:t>l trials conducted in one jurisdiction may not be accepted by regulatory authorities in other jurisdictions. In many jurisdictions outside the U.S., a product candidate must be approved for reimbursement before it can be approved for sale in that jurisdict</w:t>
      </w:r>
      <w:r>
        <w:rPr>
          <w:rFonts w:eastAsia="Times New Roman"/>
          <w:color w:val="000000"/>
          <w:sz w:val="20"/>
          <w:szCs w:val="20"/>
        </w:rPr>
        <w:t>ion. In some cases, the price that we intend to charge for our products is also subject to approval. Obtaining foreign regulatory approvals and compliance with foreign regulatory requirements could result in significant delays, difficulties and costs for u</w:t>
      </w:r>
      <w:r>
        <w:rPr>
          <w:rFonts w:eastAsia="Times New Roman"/>
          <w:color w:val="000000"/>
          <w:sz w:val="20"/>
          <w:szCs w:val="20"/>
        </w:rPr>
        <w:t>s and could delay or prevent the introduction of FT218 in certain countries. If we fail to comply with the regulatory requirements in international markets or receive applicable marketing approvals, our market will be reduced and our ability to realize the</w:t>
      </w:r>
      <w:r>
        <w:rPr>
          <w:rFonts w:eastAsia="Times New Roman"/>
          <w:color w:val="000000"/>
          <w:sz w:val="20"/>
          <w:szCs w:val="20"/>
        </w:rPr>
        <w:t xml:space="preserve"> full market potential of FT218 will be harmed.</w:t>
      </w:r>
    </w:p>
    <w:p w14:paraId="5BB62AE1" w14:textId="77777777" w:rsidR="00000000" w:rsidRDefault="000C49AD">
      <w:pPr>
        <w:divId w:val="1783039629"/>
        <w:rPr>
          <w:rFonts w:eastAsia="Times New Roman"/>
        </w:rPr>
      </w:pPr>
    </w:p>
    <w:p w14:paraId="7697DE5D" w14:textId="77777777" w:rsidR="00000000" w:rsidRDefault="000C49AD">
      <w:pPr>
        <w:jc w:val="both"/>
        <w:rPr>
          <w:rFonts w:eastAsia="Times New Roman"/>
        </w:rPr>
      </w:pPr>
      <w:r>
        <w:rPr>
          <w:rFonts w:eastAsia="Times New Roman"/>
          <w:b/>
          <w:bCs/>
          <w:i/>
          <w:iCs/>
          <w:color w:val="000000"/>
          <w:sz w:val="20"/>
          <w:szCs w:val="20"/>
        </w:rPr>
        <w:t>Laws and regulations governing international operations we have and may expand in the future may preclude us from developing, manufacturing, and selling certain product candidates and products outside of th</w:t>
      </w:r>
      <w:r>
        <w:rPr>
          <w:rFonts w:eastAsia="Times New Roman"/>
          <w:b/>
          <w:bCs/>
          <w:i/>
          <w:iCs/>
          <w:color w:val="000000"/>
          <w:sz w:val="20"/>
          <w:szCs w:val="20"/>
        </w:rPr>
        <w:t>e U.S. and require us to develop and implement costly compliance programs.</w:t>
      </w:r>
      <w:r>
        <w:rPr>
          <w:rFonts w:eastAsia="Times New Roman"/>
          <w:color w:val="000000"/>
          <w:sz w:val="20"/>
          <w:szCs w:val="20"/>
        </w:rPr>
        <w:t xml:space="preserve"> </w:t>
      </w:r>
    </w:p>
    <w:p w14:paraId="3B3A93D1" w14:textId="77777777" w:rsidR="00000000" w:rsidRDefault="000C49AD">
      <w:pPr>
        <w:jc w:val="both"/>
        <w:rPr>
          <w:rFonts w:eastAsia="Times New Roman"/>
        </w:rPr>
      </w:pPr>
    </w:p>
    <w:p w14:paraId="5145807B" w14:textId="77777777" w:rsidR="00000000" w:rsidRDefault="000C49AD">
      <w:pPr>
        <w:jc w:val="both"/>
        <w:rPr>
          <w:rFonts w:eastAsia="Times New Roman"/>
        </w:rPr>
      </w:pPr>
      <w:r>
        <w:rPr>
          <w:rFonts w:eastAsia="Times New Roman"/>
          <w:color w:val="000000"/>
          <w:sz w:val="20"/>
          <w:szCs w:val="20"/>
        </w:rPr>
        <w:t xml:space="preserve">As we seek to expand our operations outside of the U.S., we must dedicate additional resources to comply with numerous laws and regulations in each jurisdiction in which we plan </w:t>
      </w:r>
      <w:r>
        <w:rPr>
          <w:rFonts w:eastAsia="Times New Roman"/>
          <w:color w:val="000000"/>
          <w:sz w:val="20"/>
          <w:szCs w:val="20"/>
        </w:rPr>
        <w:t>to operate. The Foreign Corrupt Practices Act (FCPA) prohibits any U.S. individual or business from paying, offering, authorizing payment, or offering anything of value, directly or indirectly, to any foreign official, political party, or candidate for the</w:t>
      </w:r>
      <w:r>
        <w:rPr>
          <w:rFonts w:eastAsia="Times New Roman"/>
          <w:color w:val="000000"/>
          <w:sz w:val="20"/>
          <w:szCs w:val="20"/>
        </w:rPr>
        <w:t xml:space="preserve"> purpose of influencing any act or decision of such third party in order to assist the individual or business in obtaining or retaining business. The FCPA also obligates companies whose securities are listed in the U.S. to comply with certain accounting pr</w:t>
      </w:r>
      <w:r>
        <w:rPr>
          <w:rFonts w:eastAsia="Times New Roman"/>
          <w:color w:val="000000"/>
          <w:sz w:val="20"/>
          <w:szCs w:val="20"/>
        </w:rPr>
        <w:t>ovisions requiring the company to maintain books and records that accurately and fairly reflect all transactions of the company, including international subsidiaries, and to devise and maintain an adequate system of internal accounting controls for interna</w:t>
      </w:r>
      <w:r>
        <w:rPr>
          <w:rFonts w:eastAsia="Times New Roman"/>
          <w:color w:val="000000"/>
          <w:sz w:val="20"/>
          <w:szCs w:val="20"/>
        </w:rPr>
        <w:t>tional operations.</w:t>
      </w:r>
    </w:p>
    <w:p w14:paraId="725EDA6D" w14:textId="77777777" w:rsidR="00000000" w:rsidRDefault="000C49AD">
      <w:pPr>
        <w:jc w:val="both"/>
        <w:rPr>
          <w:rFonts w:eastAsia="Times New Roman"/>
        </w:rPr>
      </w:pPr>
    </w:p>
    <w:p w14:paraId="3BEE8F71" w14:textId="77777777" w:rsidR="00000000" w:rsidRDefault="000C49AD">
      <w:pPr>
        <w:jc w:val="both"/>
        <w:rPr>
          <w:rFonts w:eastAsia="Times New Roman"/>
        </w:rPr>
      </w:pPr>
      <w:r>
        <w:rPr>
          <w:rFonts w:eastAsia="Times New Roman"/>
          <w:color w:val="000000"/>
          <w:sz w:val="20"/>
          <w:szCs w:val="20"/>
        </w:rPr>
        <w:t>Compliance with the FCPA is expensive and difficult, particularly in countries in which corruption is a recognized problem. In addition, the FCPA presents particular challenges in the pharmaceutical industry, because, in many countries, hospitals are opera</w:t>
      </w:r>
      <w:r>
        <w:rPr>
          <w:rFonts w:eastAsia="Times New Roman"/>
          <w:color w:val="000000"/>
          <w:sz w:val="20"/>
          <w:szCs w:val="20"/>
        </w:rPr>
        <w:t xml:space="preserve">ted by the government, and doctors and other hospital employees are considered foreign officials. Certain payments to hospitals in connection with clinical trials and other work have been deemed to be improper payments to government officials and have led </w:t>
      </w:r>
      <w:r>
        <w:rPr>
          <w:rFonts w:eastAsia="Times New Roman"/>
          <w:color w:val="000000"/>
          <w:sz w:val="20"/>
          <w:szCs w:val="20"/>
        </w:rPr>
        <w:t>to FCPA enforcement actions. Similar laws in other countries, such as the U.K. Bribery Act 2010, may apply to our operations.</w:t>
      </w:r>
    </w:p>
    <w:p w14:paraId="4A01C807" w14:textId="77777777" w:rsidR="00000000" w:rsidRDefault="000C49AD">
      <w:pPr>
        <w:jc w:val="both"/>
        <w:rPr>
          <w:rFonts w:eastAsia="Times New Roman"/>
        </w:rPr>
      </w:pPr>
    </w:p>
    <w:p w14:paraId="4163968D" w14:textId="77777777" w:rsidR="00000000" w:rsidRDefault="000C49AD">
      <w:pPr>
        <w:jc w:val="both"/>
        <w:rPr>
          <w:rFonts w:eastAsia="Times New Roman"/>
        </w:rPr>
      </w:pPr>
      <w:r>
        <w:rPr>
          <w:rFonts w:eastAsia="Times New Roman"/>
          <w:color w:val="000000"/>
          <w:sz w:val="20"/>
          <w:szCs w:val="20"/>
        </w:rPr>
        <w:t>Various laws, regulations, and executive orders also restrict the use and dissemination outside of the U.S., or the sharing with</w:t>
      </w:r>
      <w:r>
        <w:rPr>
          <w:rFonts w:eastAsia="Times New Roman"/>
          <w:color w:val="000000"/>
          <w:sz w:val="20"/>
          <w:szCs w:val="20"/>
        </w:rPr>
        <w:t xml:space="preserve"> certain non-U.S. nationals, of information classified for national security purposes, as well as certain products and technical data relating to those products. As we expand our presence outside of the U.S. in key European markets, we must dedicate additi</w:t>
      </w:r>
      <w:r>
        <w:rPr>
          <w:rFonts w:eastAsia="Times New Roman"/>
          <w:color w:val="000000"/>
          <w:sz w:val="20"/>
          <w:szCs w:val="20"/>
        </w:rPr>
        <w:t>onal resources to comply with these laws, and such laws may preclude us from developing, manufacturing, or selling certain product candidates and products outside of the U.S., which could limit our growth potential and increase our development costs.</w:t>
      </w:r>
    </w:p>
    <w:p w14:paraId="2493692E" w14:textId="77777777" w:rsidR="00000000" w:rsidRDefault="000C49AD">
      <w:pPr>
        <w:jc w:val="both"/>
        <w:rPr>
          <w:rFonts w:eastAsia="Times New Roman"/>
        </w:rPr>
      </w:pPr>
    </w:p>
    <w:p w14:paraId="4636C7E7" w14:textId="77777777" w:rsidR="00000000" w:rsidRDefault="000C49AD">
      <w:pPr>
        <w:jc w:val="both"/>
        <w:rPr>
          <w:rFonts w:eastAsia="Times New Roman"/>
        </w:rPr>
      </w:pPr>
      <w:r>
        <w:rPr>
          <w:rFonts w:eastAsia="Times New Roman"/>
          <w:color w:val="000000"/>
          <w:sz w:val="20"/>
          <w:szCs w:val="20"/>
        </w:rPr>
        <w:t>The</w:t>
      </w:r>
      <w:r>
        <w:rPr>
          <w:rFonts w:eastAsia="Times New Roman"/>
          <w:color w:val="000000"/>
          <w:sz w:val="20"/>
          <w:szCs w:val="20"/>
        </w:rPr>
        <w:t xml:space="preserve"> failure to comply with laws governing international business practices may result in substantial civil and criminal penalties and suspension or debarment from government contracting. The SEC also may suspend or bar issuers from trading securities on U.S. </w:t>
      </w:r>
      <w:r>
        <w:rPr>
          <w:rFonts w:eastAsia="Times New Roman"/>
          <w:color w:val="000000"/>
          <w:sz w:val="20"/>
          <w:szCs w:val="20"/>
        </w:rPr>
        <w:t>exchanges for violations of the FCPA's accounting provisions.</w:t>
      </w:r>
    </w:p>
    <w:p w14:paraId="3E9FB99E" w14:textId="77777777" w:rsidR="00000000" w:rsidRDefault="000C49AD">
      <w:pPr>
        <w:divId w:val="1242175140"/>
        <w:rPr>
          <w:rFonts w:eastAsia="Times New Roman"/>
        </w:rPr>
      </w:pPr>
    </w:p>
    <w:p w14:paraId="10A0ADEE" w14:textId="77777777" w:rsidR="00000000" w:rsidRDefault="000C49AD">
      <w:pPr>
        <w:jc w:val="both"/>
        <w:rPr>
          <w:rFonts w:eastAsia="Times New Roman"/>
        </w:rPr>
      </w:pPr>
      <w:r>
        <w:rPr>
          <w:rFonts w:eastAsia="Times New Roman"/>
          <w:b/>
          <w:bCs/>
          <w:i/>
          <w:iCs/>
          <w:color w:val="000000"/>
          <w:sz w:val="20"/>
          <w:szCs w:val="20"/>
        </w:rPr>
        <w:t>Governments outside of the U.S. tend to impose strict price controls, which may adversely affect our revenues, if any.</w:t>
      </w:r>
    </w:p>
    <w:p w14:paraId="7F3D3A88" w14:textId="77777777" w:rsidR="00000000" w:rsidRDefault="000C49AD">
      <w:pPr>
        <w:jc w:val="both"/>
        <w:rPr>
          <w:rFonts w:eastAsia="Times New Roman"/>
        </w:rPr>
      </w:pPr>
    </w:p>
    <w:p w14:paraId="6AFB60A6" w14:textId="77777777" w:rsidR="00000000" w:rsidRDefault="000C49AD">
      <w:pPr>
        <w:jc w:val="both"/>
        <w:rPr>
          <w:rFonts w:eastAsia="Times New Roman"/>
        </w:rPr>
      </w:pPr>
      <w:r>
        <w:rPr>
          <w:rFonts w:eastAsia="Times New Roman"/>
          <w:color w:val="000000"/>
          <w:sz w:val="20"/>
          <w:szCs w:val="20"/>
        </w:rPr>
        <w:t>In some countries, particularly the countries of Europe, the pricing of prescription pharmaceuticals is subject to governmental control</w:t>
      </w:r>
      <w:r>
        <w:rPr>
          <w:rFonts w:eastAsia="Times New Roman"/>
          <w:color w:val="000000"/>
          <w:sz w:val="20"/>
          <w:szCs w:val="20"/>
        </w:rPr>
        <w:t>. In these countries, pricing negotiations with governmental authorities can take considerable time after the receipt of marketing authorization for a product. To obtain reimbursement or pricing approval in some countries, we may be required to conduct a c</w:t>
      </w:r>
      <w:r>
        <w:rPr>
          <w:rFonts w:eastAsia="Times New Roman"/>
          <w:color w:val="000000"/>
          <w:sz w:val="20"/>
          <w:szCs w:val="20"/>
        </w:rPr>
        <w:t xml:space="preserve">linical trial that compares the cost-effectiveness of our product candidate to other available therapies. If we seek approval for our lead product candidate or future product candidates outside of the U.S. and reimbursement of our lead product </w:t>
      </w:r>
    </w:p>
    <w:p w14:paraId="48B7BA36" w14:textId="77777777" w:rsidR="00000000" w:rsidRDefault="000C49AD">
      <w:pPr>
        <w:jc w:val="center"/>
        <w:divId w:val="738021422"/>
        <w:rPr>
          <w:rFonts w:eastAsia="Times New Roman"/>
        </w:rPr>
      </w:pPr>
      <w:r>
        <w:rPr>
          <w:rFonts w:eastAsia="Times New Roman"/>
          <w:color w:val="000000"/>
          <w:sz w:val="20"/>
          <w:szCs w:val="20"/>
        </w:rPr>
        <w:t>-32-</w:t>
      </w:r>
    </w:p>
    <w:p w14:paraId="4B6F97D6" w14:textId="77777777" w:rsidR="00000000" w:rsidRDefault="000C49AD">
      <w:pPr>
        <w:rPr>
          <w:rFonts w:eastAsia="Times New Roman"/>
        </w:rPr>
      </w:pPr>
      <w:r>
        <w:rPr>
          <w:rFonts w:eastAsia="Times New Roman"/>
        </w:rPr>
        <w:pict w14:anchorId="23367DDD">
          <v:rect id="_x0000_i1056" style="width:0;height:1.5pt" o:hralign="center" o:hrstd="t" o:hr="t" fillcolor="#a0a0a0" stroked="f"/>
        </w:pict>
      </w:r>
    </w:p>
    <w:p w14:paraId="1320CE01" w14:textId="77777777" w:rsidR="00000000" w:rsidRDefault="000C49AD">
      <w:pPr>
        <w:divId w:val="51002480"/>
        <w:rPr>
          <w:rFonts w:eastAsia="Times New Roman"/>
        </w:rPr>
      </w:pPr>
    </w:p>
    <w:p w14:paraId="6C8BA6FF" w14:textId="77777777" w:rsidR="00000000" w:rsidRDefault="000C49AD">
      <w:pPr>
        <w:jc w:val="both"/>
        <w:rPr>
          <w:rFonts w:eastAsia="Times New Roman"/>
        </w:rPr>
      </w:pPr>
      <w:r>
        <w:rPr>
          <w:rFonts w:eastAsia="Times New Roman"/>
          <w:color w:val="000000"/>
          <w:sz w:val="20"/>
          <w:szCs w:val="20"/>
        </w:rPr>
        <w:t>candidate or future product candidates is unavailable or limited in scope or amount, or if pricing is set at unsatisfactory levels, our business could be harmed.</w:t>
      </w:r>
    </w:p>
    <w:p w14:paraId="44926C0A" w14:textId="77777777" w:rsidR="00000000" w:rsidRDefault="000C49AD">
      <w:pPr>
        <w:jc w:val="both"/>
        <w:rPr>
          <w:rFonts w:eastAsia="Times New Roman"/>
        </w:rPr>
      </w:pPr>
    </w:p>
    <w:p w14:paraId="40478896" w14:textId="77777777" w:rsidR="00000000" w:rsidRDefault="000C49AD">
      <w:pPr>
        <w:divId w:val="1115322338"/>
        <w:rPr>
          <w:rFonts w:eastAsia="Times New Roman"/>
        </w:rPr>
      </w:pPr>
      <w:r>
        <w:rPr>
          <w:rFonts w:eastAsia="Times New Roman"/>
          <w:b/>
          <w:bCs/>
          <w:i/>
          <w:iCs/>
          <w:color w:val="000000"/>
          <w:sz w:val="20"/>
          <w:szCs w:val="20"/>
        </w:rPr>
        <w:t>Failure to comply with domestic and international privacy an</w:t>
      </w:r>
      <w:r>
        <w:rPr>
          <w:rFonts w:eastAsia="Times New Roman"/>
          <w:b/>
          <w:bCs/>
          <w:i/>
          <w:iCs/>
          <w:color w:val="000000"/>
          <w:sz w:val="20"/>
          <w:szCs w:val="20"/>
        </w:rPr>
        <w:t>d security laws could result in the imposition of significant civil and criminal penalties.</w:t>
      </w:r>
    </w:p>
    <w:p w14:paraId="134FAAE0" w14:textId="77777777" w:rsidR="00000000" w:rsidRDefault="000C49AD">
      <w:pPr>
        <w:jc w:val="both"/>
        <w:rPr>
          <w:rFonts w:eastAsia="Times New Roman"/>
        </w:rPr>
      </w:pPr>
    </w:p>
    <w:p w14:paraId="725B18AE" w14:textId="77777777" w:rsidR="00000000" w:rsidRDefault="000C49AD">
      <w:pPr>
        <w:jc w:val="both"/>
        <w:rPr>
          <w:rFonts w:eastAsia="Times New Roman"/>
        </w:rPr>
      </w:pPr>
      <w:r>
        <w:rPr>
          <w:rFonts w:eastAsia="Times New Roman"/>
          <w:color w:val="000000"/>
          <w:sz w:val="20"/>
          <w:szCs w:val="20"/>
        </w:rPr>
        <w:t>The costs of compliance with privacy and security laws, including protecting electronically stored information from cyber-attacks, and potential liability associa</w:t>
      </w:r>
      <w:r>
        <w:rPr>
          <w:rFonts w:eastAsia="Times New Roman"/>
          <w:color w:val="000000"/>
          <w:sz w:val="20"/>
          <w:szCs w:val="20"/>
        </w:rPr>
        <w:t>ted with any compliance failures could adversely affect our business, financial condition and results of operations. We are subject to various domestic and international privacy and security regulations, including but not limited to HIPAA and the General D</w:t>
      </w:r>
      <w:r>
        <w:rPr>
          <w:rFonts w:eastAsia="Times New Roman"/>
          <w:color w:val="000000"/>
          <w:sz w:val="20"/>
          <w:szCs w:val="20"/>
        </w:rPr>
        <w:t>ata Protection Regulation (“GDPR”), (Regulation EU 2016/679). HIPAA mandates, among other things, the adoption of uniform standards for the electronic exchange of information in common healthcare transactions, as well as standards relating to the privacy a</w:t>
      </w:r>
      <w:r>
        <w:rPr>
          <w:rFonts w:eastAsia="Times New Roman"/>
          <w:color w:val="000000"/>
          <w:sz w:val="20"/>
          <w:szCs w:val="20"/>
        </w:rPr>
        <w:t xml:space="preserve">nd security of individually identifiable health information, which require the adoption of administrative, physical and technical safeguards to protect such information. In addition, many U.S. states have enacted comparable laws addressing the privacy and </w:t>
      </w:r>
      <w:r>
        <w:rPr>
          <w:rFonts w:eastAsia="Times New Roman"/>
          <w:color w:val="000000"/>
          <w:sz w:val="20"/>
          <w:szCs w:val="20"/>
        </w:rPr>
        <w:t>security of health information, some of which are more stringent than HIPAA. GDPR requires Avadel to ensure personal data collected by Avadel is gathered legally and under strict conditions and to protect such personal data from misuse and exploitation. If</w:t>
      </w:r>
      <w:r>
        <w:rPr>
          <w:rFonts w:eastAsia="Times New Roman"/>
          <w:color w:val="000000"/>
          <w:sz w:val="20"/>
          <w:szCs w:val="20"/>
        </w:rPr>
        <w:t xml:space="preserve"> Avadel fails to comply with HIPAA, GDPR or other similar laws, we will face significant fines and penalties that could adversely affect our business, financial condition and results of operations.</w:t>
      </w:r>
    </w:p>
    <w:p w14:paraId="2BCECC17" w14:textId="77777777" w:rsidR="00000000" w:rsidRDefault="000C49AD">
      <w:pPr>
        <w:divId w:val="971178142"/>
        <w:rPr>
          <w:rFonts w:eastAsia="Times New Roman"/>
        </w:rPr>
      </w:pPr>
    </w:p>
    <w:p w14:paraId="37785204" w14:textId="77777777" w:rsidR="00000000" w:rsidRDefault="000C49AD">
      <w:pPr>
        <w:jc w:val="both"/>
        <w:rPr>
          <w:rFonts w:eastAsia="Times New Roman"/>
        </w:rPr>
      </w:pPr>
      <w:r>
        <w:rPr>
          <w:rFonts w:eastAsia="Times New Roman"/>
          <w:b/>
          <w:bCs/>
          <w:color w:val="000000"/>
          <w:sz w:val="20"/>
          <w:szCs w:val="20"/>
        </w:rPr>
        <w:t>Risks Related to Our Financial Position and Capital Requ</w:t>
      </w:r>
      <w:r>
        <w:rPr>
          <w:rFonts w:eastAsia="Times New Roman"/>
          <w:b/>
          <w:bCs/>
          <w:color w:val="000000"/>
          <w:sz w:val="20"/>
          <w:szCs w:val="20"/>
        </w:rPr>
        <w:t>irements</w:t>
      </w:r>
    </w:p>
    <w:p w14:paraId="1DEF3E1E" w14:textId="77777777" w:rsidR="00000000" w:rsidRDefault="000C49AD">
      <w:pPr>
        <w:divId w:val="647855962"/>
        <w:rPr>
          <w:rFonts w:eastAsia="Times New Roman"/>
        </w:rPr>
      </w:pPr>
    </w:p>
    <w:p w14:paraId="7E2ED67E" w14:textId="77777777" w:rsidR="00000000" w:rsidRDefault="000C49AD">
      <w:pPr>
        <w:divId w:val="1546989673"/>
        <w:rPr>
          <w:rFonts w:eastAsia="Times New Roman"/>
        </w:rPr>
      </w:pPr>
      <w:r>
        <w:rPr>
          <w:rFonts w:eastAsia="Times New Roman"/>
          <w:b/>
          <w:bCs/>
          <w:i/>
          <w:iCs/>
          <w:color w:val="000000"/>
          <w:sz w:val="20"/>
          <w:szCs w:val="20"/>
        </w:rPr>
        <w:t>We incurred a net loss in 2021 and we will likely incur a net loss in 2022, and if we are not able to regain profitability in the future, the value of our shares may fall.</w:t>
      </w:r>
    </w:p>
    <w:p w14:paraId="65E7988E" w14:textId="77777777" w:rsidR="00000000" w:rsidRDefault="000C49AD">
      <w:pPr>
        <w:divId w:val="969474580"/>
        <w:rPr>
          <w:rFonts w:eastAsia="Times New Roman"/>
        </w:rPr>
      </w:pPr>
    </w:p>
    <w:p w14:paraId="00D4784D" w14:textId="77777777" w:rsidR="00000000" w:rsidRDefault="000C49AD">
      <w:pPr>
        <w:jc w:val="both"/>
        <w:rPr>
          <w:rFonts w:eastAsia="Times New Roman"/>
        </w:rPr>
      </w:pPr>
      <w:r>
        <w:rPr>
          <w:rFonts w:eastAsia="Times New Roman"/>
          <w:color w:val="000000"/>
          <w:sz w:val="20"/>
          <w:szCs w:val="20"/>
        </w:rPr>
        <w:t xml:space="preserve">Although we reported a net income for the year ended December 31, 2020 </w:t>
      </w:r>
      <w:r>
        <w:rPr>
          <w:rFonts w:eastAsia="Times New Roman"/>
          <w:color w:val="000000"/>
          <w:sz w:val="20"/>
          <w:szCs w:val="20"/>
        </w:rPr>
        <w:t>due to the gain on the sale of our Hospital Products, we incurred a net loss of $77,329 for the year ended December 31, 2021. We do not expect to become profitable in the near future, and may never achieve profitability. The amount of our future net losses</w:t>
      </w:r>
      <w:r>
        <w:rPr>
          <w:rFonts w:eastAsia="Times New Roman"/>
          <w:color w:val="000000"/>
          <w:sz w:val="20"/>
          <w:szCs w:val="20"/>
        </w:rPr>
        <w:t xml:space="preserve"> will depend, in part, on the rate of our future expenditures and our ability to recognize revenues from the commercialization of FT218, if approved. We have devoted significant financial resources to research and development, including our clinical develo</w:t>
      </w:r>
      <w:r>
        <w:rPr>
          <w:rFonts w:eastAsia="Times New Roman"/>
          <w:color w:val="000000"/>
          <w:sz w:val="20"/>
          <w:szCs w:val="20"/>
        </w:rPr>
        <w:t>pment activities, and the pursuit of regulatory approval for FT218. If we obtain marketing approval, our future revenues will depend upon the size of any markets in which FT218 and any future products have received approval, and our ability to achieve suff</w:t>
      </w:r>
      <w:r>
        <w:rPr>
          <w:rFonts w:eastAsia="Times New Roman"/>
          <w:color w:val="000000"/>
          <w:sz w:val="20"/>
          <w:szCs w:val="20"/>
        </w:rPr>
        <w:t>icient market acceptance, reimbursement from third-party payors and adequate market share for our product and any future products in those markets. In addition, we are in the process of building a sales organization and supporting commercial infrastructure</w:t>
      </w:r>
      <w:r>
        <w:rPr>
          <w:rFonts w:eastAsia="Times New Roman"/>
          <w:color w:val="000000"/>
          <w:sz w:val="20"/>
          <w:szCs w:val="20"/>
        </w:rPr>
        <w:t xml:space="preserve"> and, accordingly, we will incur significant expenses as we continue to develop a sales organization and commercial infrastructure in advance of generating any commercial product sales. Because of the numerous risks and uncertainties associated with develo</w:t>
      </w:r>
      <w:r>
        <w:rPr>
          <w:rFonts w:eastAsia="Times New Roman"/>
          <w:color w:val="000000"/>
          <w:sz w:val="20"/>
          <w:szCs w:val="20"/>
        </w:rPr>
        <w:t>ping pharmaceutical products, we are unable to predict the extent of any future losses or when we will become profitable, if at all. Our ability to operate profitably depends upon a number of factors, many of which are beyond our direct control. These fact</w:t>
      </w:r>
      <w:r>
        <w:rPr>
          <w:rFonts w:eastAsia="Times New Roman"/>
          <w:color w:val="000000"/>
          <w:sz w:val="20"/>
          <w:szCs w:val="20"/>
        </w:rPr>
        <w:t>ors include:</w:t>
      </w:r>
    </w:p>
    <w:p w14:paraId="7217C6FC" w14:textId="77777777" w:rsidR="00000000" w:rsidRDefault="000C49AD">
      <w:pPr>
        <w:jc w:val="both"/>
        <w:rPr>
          <w:rFonts w:eastAsia="Times New Roman"/>
        </w:rPr>
      </w:pPr>
    </w:p>
    <w:p w14:paraId="1539A76A" w14:textId="77777777" w:rsidR="00000000" w:rsidRDefault="000C49AD">
      <w:pPr>
        <w:ind w:hanging="360"/>
        <w:jc w:val="both"/>
        <w:rPr>
          <w:rFonts w:eastAsia="Times New Roman"/>
        </w:rPr>
      </w:pPr>
      <w:r>
        <w:rPr>
          <w:rFonts w:eastAsia="Times New Roman"/>
          <w:color w:val="000000"/>
          <w:sz w:val="20"/>
          <w:szCs w:val="20"/>
        </w:rPr>
        <w:t>•the timely receipt of necessary approvals from the FDA for the commercialization of FT218;</w:t>
      </w:r>
    </w:p>
    <w:p w14:paraId="5FD841E2" w14:textId="77777777" w:rsidR="00000000" w:rsidRDefault="000C49AD">
      <w:pPr>
        <w:ind w:hanging="360"/>
        <w:jc w:val="both"/>
        <w:rPr>
          <w:rFonts w:eastAsia="Times New Roman"/>
        </w:rPr>
      </w:pPr>
      <w:r>
        <w:rPr>
          <w:rFonts w:eastAsia="Times New Roman"/>
          <w:color w:val="000000"/>
          <w:sz w:val="20"/>
          <w:szCs w:val="20"/>
        </w:rPr>
        <w:t>•our ability to obtain, build and expand manufacturing capacity, including capacity at third-party manufacturers;</w:t>
      </w:r>
    </w:p>
    <w:p w14:paraId="066453AC" w14:textId="77777777" w:rsidR="00000000" w:rsidRDefault="000C49AD">
      <w:pPr>
        <w:ind w:hanging="360"/>
        <w:jc w:val="both"/>
        <w:rPr>
          <w:rFonts w:eastAsia="Times New Roman"/>
        </w:rPr>
      </w:pPr>
      <w:r>
        <w:rPr>
          <w:rFonts w:eastAsia="Times New Roman"/>
          <w:color w:val="000000"/>
          <w:sz w:val="20"/>
          <w:szCs w:val="20"/>
        </w:rPr>
        <w:t>•the effectiveness of our sales and</w:t>
      </w:r>
      <w:r>
        <w:rPr>
          <w:rFonts w:eastAsia="Times New Roman"/>
          <w:color w:val="000000"/>
          <w:sz w:val="20"/>
          <w:szCs w:val="20"/>
        </w:rPr>
        <w:t xml:space="preserve"> marketing strategy;</w:t>
      </w:r>
    </w:p>
    <w:p w14:paraId="51EA956C" w14:textId="77777777" w:rsidR="00000000" w:rsidRDefault="000C49AD">
      <w:pPr>
        <w:ind w:hanging="360"/>
        <w:jc w:val="both"/>
        <w:rPr>
          <w:rFonts w:eastAsia="Times New Roman"/>
        </w:rPr>
      </w:pPr>
      <w:r>
        <w:rPr>
          <w:rFonts w:eastAsia="Times New Roman"/>
          <w:color w:val="000000"/>
          <w:sz w:val="20"/>
          <w:szCs w:val="20"/>
        </w:rPr>
        <w:t>•the demand and market size for FT218;</w:t>
      </w:r>
    </w:p>
    <w:p w14:paraId="2F7322F5" w14:textId="77777777" w:rsidR="00000000" w:rsidRDefault="000C49AD">
      <w:pPr>
        <w:ind w:hanging="360"/>
        <w:jc w:val="both"/>
        <w:rPr>
          <w:rFonts w:eastAsia="Times New Roman"/>
        </w:rPr>
      </w:pPr>
      <w:r>
        <w:rPr>
          <w:rFonts w:eastAsia="Times New Roman"/>
          <w:color w:val="000000"/>
          <w:sz w:val="20"/>
          <w:szCs w:val="20"/>
        </w:rPr>
        <w:t>•the level of product and price competition for FT218;</w:t>
      </w:r>
    </w:p>
    <w:p w14:paraId="6F10D8DC" w14:textId="77777777" w:rsidR="00000000" w:rsidRDefault="000C49AD">
      <w:pPr>
        <w:ind w:hanging="360"/>
        <w:jc w:val="both"/>
        <w:rPr>
          <w:rFonts w:eastAsia="Times New Roman"/>
        </w:rPr>
      </w:pPr>
      <w:r>
        <w:rPr>
          <w:rFonts w:eastAsia="Times New Roman"/>
          <w:color w:val="000000"/>
          <w:sz w:val="20"/>
          <w:szCs w:val="20"/>
        </w:rPr>
        <w:t>•our ability to develop new partnerships and additional commercial applications for FT218 and any future product candidates;</w:t>
      </w:r>
    </w:p>
    <w:p w14:paraId="745C512D" w14:textId="77777777" w:rsidR="00000000" w:rsidRDefault="000C49AD">
      <w:pPr>
        <w:ind w:hanging="360"/>
        <w:jc w:val="both"/>
        <w:rPr>
          <w:rFonts w:eastAsia="Times New Roman"/>
        </w:rPr>
      </w:pPr>
      <w:r>
        <w:rPr>
          <w:rFonts w:eastAsia="Times New Roman"/>
          <w:color w:val="000000"/>
          <w:sz w:val="20"/>
          <w:szCs w:val="20"/>
        </w:rPr>
        <w:t xml:space="preserve">•our ability to </w:t>
      </w:r>
      <w:r>
        <w:rPr>
          <w:rFonts w:eastAsia="Times New Roman"/>
          <w:color w:val="000000"/>
          <w:sz w:val="20"/>
          <w:szCs w:val="20"/>
        </w:rPr>
        <w:t>control our costs;</w:t>
      </w:r>
    </w:p>
    <w:p w14:paraId="14A322DC" w14:textId="77777777" w:rsidR="00000000" w:rsidRDefault="000C49AD">
      <w:pPr>
        <w:ind w:hanging="360"/>
        <w:jc w:val="both"/>
        <w:rPr>
          <w:rFonts w:eastAsia="Times New Roman"/>
        </w:rPr>
      </w:pPr>
      <w:r>
        <w:rPr>
          <w:rFonts w:eastAsia="Times New Roman"/>
          <w:color w:val="000000"/>
          <w:sz w:val="20"/>
          <w:szCs w:val="20"/>
        </w:rPr>
        <w:t>•the initiation of additional research, preclinical, clinical or other programs as we seek to identify and validate additional product candidates;</w:t>
      </w:r>
    </w:p>
    <w:p w14:paraId="517D20F8" w14:textId="77777777" w:rsidR="00000000" w:rsidRDefault="000C49AD">
      <w:pPr>
        <w:ind w:hanging="360"/>
        <w:jc w:val="both"/>
        <w:rPr>
          <w:rFonts w:eastAsia="Times New Roman"/>
        </w:rPr>
      </w:pPr>
      <w:r>
        <w:rPr>
          <w:rFonts w:eastAsia="Times New Roman"/>
          <w:color w:val="000000"/>
          <w:sz w:val="20"/>
          <w:szCs w:val="20"/>
        </w:rPr>
        <w:t>•our ability to acquire or in-license other product candidates and technologies;</w:t>
      </w:r>
    </w:p>
    <w:p w14:paraId="4866BC22"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our ability to maintain, protect and expand our intellectual property portfolio;</w:t>
      </w:r>
    </w:p>
    <w:p w14:paraId="284C4FBA" w14:textId="77777777" w:rsidR="00000000" w:rsidRDefault="000C49AD">
      <w:pPr>
        <w:ind w:hanging="360"/>
        <w:jc w:val="both"/>
        <w:rPr>
          <w:rFonts w:eastAsia="Times New Roman"/>
        </w:rPr>
      </w:pPr>
      <w:r>
        <w:rPr>
          <w:rFonts w:eastAsia="Times New Roman"/>
          <w:color w:val="000000"/>
          <w:sz w:val="20"/>
          <w:szCs w:val="20"/>
        </w:rPr>
        <w:t xml:space="preserve">•general economic conditions. </w:t>
      </w:r>
    </w:p>
    <w:p w14:paraId="129B5137" w14:textId="77777777" w:rsidR="00000000" w:rsidRDefault="000C49AD">
      <w:pPr>
        <w:jc w:val="both"/>
        <w:rPr>
          <w:rFonts w:eastAsia="Times New Roman"/>
        </w:rPr>
      </w:pPr>
    </w:p>
    <w:p w14:paraId="6B8758C2" w14:textId="77777777" w:rsidR="00000000" w:rsidRDefault="000C49AD">
      <w:pPr>
        <w:jc w:val="both"/>
        <w:rPr>
          <w:rFonts w:eastAsia="Times New Roman"/>
        </w:rPr>
      </w:pPr>
      <w:r>
        <w:rPr>
          <w:rFonts w:eastAsia="Times New Roman"/>
          <w:color w:val="000000"/>
          <w:sz w:val="20"/>
          <w:szCs w:val="20"/>
        </w:rPr>
        <w:t>Even if the FDA approves our NDA for FT218, we may never recognize revenue in amounts sufficient to achieve and maintain profitability. The ne</w:t>
      </w:r>
      <w:r>
        <w:rPr>
          <w:rFonts w:eastAsia="Times New Roman"/>
          <w:color w:val="000000"/>
          <w:sz w:val="20"/>
          <w:szCs w:val="20"/>
        </w:rPr>
        <w:t xml:space="preserve">t losses we incur may fluctuate significantly from quarter to quarter and year to year, such that a period-to-period comparison of our results of operations may not be a good indication of our future performance. In any particular quarter or quarters, our </w:t>
      </w:r>
      <w:r>
        <w:rPr>
          <w:rFonts w:eastAsia="Times New Roman"/>
          <w:color w:val="000000"/>
          <w:sz w:val="20"/>
          <w:szCs w:val="20"/>
        </w:rPr>
        <w:t>operating results could be below the expectations of securities analysts or investors, which could cause our stock price to decline.</w:t>
      </w:r>
    </w:p>
    <w:p w14:paraId="42650A01" w14:textId="77777777" w:rsidR="00000000" w:rsidRDefault="000C49AD">
      <w:pPr>
        <w:divId w:val="1076441812"/>
        <w:rPr>
          <w:rFonts w:eastAsia="Times New Roman"/>
        </w:rPr>
      </w:pPr>
    </w:p>
    <w:p w14:paraId="393DA833" w14:textId="77777777" w:rsidR="00000000" w:rsidRDefault="000C49AD">
      <w:pPr>
        <w:jc w:val="center"/>
        <w:divId w:val="2048874872"/>
        <w:rPr>
          <w:rFonts w:eastAsia="Times New Roman"/>
        </w:rPr>
      </w:pPr>
      <w:r>
        <w:rPr>
          <w:rFonts w:eastAsia="Times New Roman"/>
          <w:color w:val="000000"/>
          <w:sz w:val="20"/>
          <w:szCs w:val="20"/>
        </w:rPr>
        <w:t>-33-</w:t>
      </w:r>
    </w:p>
    <w:p w14:paraId="0D6A6C38" w14:textId="77777777" w:rsidR="00000000" w:rsidRDefault="000C49AD">
      <w:pPr>
        <w:rPr>
          <w:rFonts w:eastAsia="Times New Roman"/>
        </w:rPr>
      </w:pPr>
      <w:r>
        <w:rPr>
          <w:rFonts w:eastAsia="Times New Roman"/>
        </w:rPr>
        <w:pict w14:anchorId="7C8753A2">
          <v:rect id="_x0000_i1057" style="width:0;height:1.5pt" o:hralign="center" o:hrstd="t" o:hr="t" fillcolor="#a0a0a0" stroked="f"/>
        </w:pict>
      </w:r>
    </w:p>
    <w:p w14:paraId="46C662F4" w14:textId="77777777" w:rsidR="00000000" w:rsidRDefault="000C49AD">
      <w:pPr>
        <w:divId w:val="1048333281"/>
        <w:rPr>
          <w:rFonts w:eastAsia="Times New Roman"/>
        </w:rPr>
      </w:pPr>
    </w:p>
    <w:p w14:paraId="43CF16D6" w14:textId="77777777" w:rsidR="00000000" w:rsidRDefault="000C49AD">
      <w:pPr>
        <w:jc w:val="both"/>
        <w:rPr>
          <w:rFonts w:eastAsia="Times New Roman"/>
        </w:rPr>
      </w:pPr>
      <w:r>
        <w:rPr>
          <w:rFonts w:eastAsia="Times New Roman"/>
          <w:b/>
          <w:bCs/>
          <w:i/>
          <w:iCs/>
          <w:color w:val="000000"/>
          <w:sz w:val="20"/>
          <w:szCs w:val="20"/>
        </w:rPr>
        <w:t>We may require additional financing, which may not be available on favorable t</w:t>
      </w:r>
      <w:r>
        <w:rPr>
          <w:rFonts w:eastAsia="Times New Roman"/>
          <w:b/>
          <w:bCs/>
          <w:i/>
          <w:iCs/>
          <w:color w:val="000000"/>
          <w:sz w:val="20"/>
          <w:szCs w:val="20"/>
        </w:rPr>
        <w:t>erms or at all, and which may result in dilution of the equity interest of the holders of ADSs.</w:t>
      </w:r>
    </w:p>
    <w:p w14:paraId="7AABF4AB" w14:textId="77777777" w:rsidR="00000000" w:rsidRDefault="000C49AD">
      <w:pPr>
        <w:jc w:val="both"/>
        <w:rPr>
          <w:rFonts w:eastAsia="Times New Roman"/>
        </w:rPr>
      </w:pPr>
    </w:p>
    <w:p w14:paraId="31D637A9" w14:textId="77777777" w:rsidR="00000000" w:rsidRDefault="000C49AD">
      <w:pPr>
        <w:jc w:val="both"/>
        <w:rPr>
          <w:rFonts w:eastAsia="Times New Roman"/>
        </w:rPr>
      </w:pPr>
      <w:r>
        <w:rPr>
          <w:rFonts w:eastAsia="Times New Roman"/>
          <w:color w:val="000000"/>
          <w:sz w:val="20"/>
          <w:szCs w:val="20"/>
        </w:rPr>
        <w:t>We may require additional financing to fund the development and possible acquisition of new products and businesses. We may consume available resources more r</w:t>
      </w:r>
      <w:r>
        <w:rPr>
          <w:rFonts w:eastAsia="Times New Roman"/>
          <w:color w:val="000000"/>
          <w:sz w:val="20"/>
          <w:szCs w:val="20"/>
        </w:rPr>
        <w:t xml:space="preserve">apidly than currently anticipated, resulting in the need for additional funding. </w:t>
      </w:r>
      <w:r>
        <w:rPr>
          <w:rFonts w:eastAsia="Times New Roman"/>
          <w:color w:val="000000"/>
          <w:sz w:val="20"/>
          <w:szCs w:val="20"/>
          <w:shd w:val="clear" w:color="auto" w:fill="FFFFFF"/>
        </w:rPr>
        <w:t>Any additional fundraising efforts may divert our management from their day-to-day activities, which may adversely affect our ability to develop and commercialize FT218, if ap</w:t>
      </w:r>
      <w:r>
        <w:rPr>
          <w:rFonts w:eastAsia="Times New Roman"/>
          <w:color w:val="000000"/>
          <w:sz w:val="20"/>
          <w:szCs w:val="20"/>
          <w:shd w:val="clear" w:color="auto" w:fill="FFFFFF"/>
        </w:rPr>
        <w:t xml:space="preserve">proved. </w:t>
      </w:r>
      <w:r>
        <w:rPr>
          <w:rFonts w:eastAsia="Times New Roman"/>
          <w:color w:val="000000"/>
          <w:sz w:val="20"/>
          <w:szCs w:val="20"/>
        </w:rPr>
        <w:t>If we cannot obtain financing when needed, or obtain it on favorable terms, we may be required to curtail our plans to continue to develop drug delivery technologies, develop new products, or acquire additional products and businesses. Other factor</w:t>
      </w:r>
      <w:r>
        <w:rPr>
          <w:rFonts w:eastAsia="Times New Roman"/>
          <w:color w:val="000000"/>
          <w:sz w:val="20"/>
          <w:szCs w:val="20"/>
        </w:rPr>
        <w:t>s that will affect future capital requirements and may require us to seek additional financing include:</w:t>
      </w:r>
    </w:p>
    <w:p w14:paraId="02222BD6" w14:textId="77777777" w:rsidR="00000000" w:rsidRDefault="000C49AD">
      <w:pPr>
        <w:jc w:val="both"/>
        <w:rPr>
          <w:rFonts w:eastAsia="Times New Roman"/>
        </w:rPr>
      </w:pPr>
    </w:p>
    <w:p w14:paraId="73F85142" w14:textId="77777777" w:rsidR="00000000" w:rsidRDefault="000C49AD">
      <w:pPr>
        <w:ind w:hanging="360"/>
        <w:jc w:val="both"/>
        <w:rPr>
          <w:rFonts w:eastAsia="Times New Roman"/>
        </w:rPr>
      </w:pPr>
      <w:r>
        <w:rPr>
          <w:rFonts w:eastAsia="Times New Roman"/>
          <w:color w:val="000000"/>
          <w:sz w:val="20"/>
          <w:szCs w:val="20"/>
        </w:rPr>
        <w:t>•the development and acquisition of new products and drug delivery technologies;</w:t>
      </w:r>
    </w:p>
    <w:p w14:paraId="18524ABD" w14:textId="77777777" w:rsidR="00000000" w:rsidRDefault="000C49AD">
      <w:pPr>
        <w:ind w:hanging="360"/>
        <w:jc w:val="both"/>
        <w:rPr>
          <w:rFonts w:eastAsia="Times New Roman"/>
        </w:rPr>
      </w:pPr>
      <w:r>
        <w:rPr>
          <w:rFonts w:eastAsia="Times New Roman"/>
          <w:color w:val="000000"/>
          <w:sz w:val="20"/>
          <w:szCs w:val="20"/>
        </w:rPr>
        <w:t>•the progress of our research and product development programs; and</w:t>
      </w:r>
    </w:p>
    <w:p w14:paraId="280A0582"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the timing of, and amounts received from, future product sales, product development fees and licensing revenue and royalties. </w:t>
      </w:r>
    </w:p>
    <w:p w14:paraId="238225B1" w14:textId="77777777" w:rsidR="00000000" w:rsidRDefault="000C49AD">
      <w:pPr>
        <w:jc w:val="both"/>
        <w:rPr>
          <w:rFonts w:eastAsia="Times New Roman"/>
        </w:rPr>
      </w:pPr>
    </w:p>
    <w:p w14:paraId="52ECCC7E" w14:textId="77777777" w:rsidR="00000000" w:rsidRDefault="000C49AD">
      <w:pPr>
        <w:jc w:val="both"/>
        <w:rPr>
          <w:rFonts w:eastAsia="Times New Roman"/>
        </w:rPr>
      </w:pPr>
      <w:r>
        <w:rPr>
          <w:rFonts w:eastAsia="Times New Roman"/>
          <w:color w:val="000000"/>
          <w:sz w:val="20"/>
          <w:szCs w:val="20"/>
        </w:rPr>
        <w:t>If adequate funds are not available, we may be required to significantly reduce or refocus our product development efforts, res</w:t>
      </w:r>
      <w:r>
        <w:rPr>
          <w:rFonts w:eastAsia="Times New Roman"/>
          <w:color w:val="000000"/>
          <w:sz w:val="20"/>
          <w:szCs w:val="20"/>
        </w:rPr>
        <w:t>ulting in loss of sales, increased costs and reduced revenues. Alternatively, to obtain needed funds for acquisitions or operations, we may seek to issue additional ADSs representing our ordinary shares, or issue equity-linked debt, or we may choose to iss</w:t>
      </w:r>
      <w:r>
        <w:rPr>
          <w:rFonts w:eastAsia="Times New Roman"/>
          <w:color w:val="000000"/>
          <w:sz w:val="20"/>
          <w:szCs w:val="20"/>
        </w:rPr>
        <w:t xml:space="preserve">ue preferred shares, in either case through public or private financings. Additional funds may not be available on terms that are favorable to us and, in the case of such equity financings, may result in dilution to the holders of ADSs. </w:t>
      </w:r>
      <w:r>
        <w:rPr>
          <w:rFonts w:eastAsia="Times New Roman"/>
          <w:color w:val="000000"/>
          <w:sz w:val="20"/>
          <w:szCs w:val="20"/>
          <w:shd w:val="clear" w:color="auto" w:fill="FFFFFF"/>
        </w:rPr>
        <w:t>We could also be re</w:t>
      </w:r>
      <w:r>
        <w:rPr>
          <w:rFonts w:eastAsia="Times New Roman"/>
          <w:color w:val="000000"/>
          <w:sz w:val="20"/>
          <w:szCs w:val="20"/>
          <w:shd w:val="clear" w:color="auto" w:fill="FFFFFF"/>
        </w:rPr>
        <w:t>quired to seek funds through arrangements with collaborative partners and we may be required to relinquish rights to some of our product candidates or otherwise agree to terms unfavorable to us, any of which may have a material adverse effect on our busine</w:t>
      </w:r>
      <w:r>
        <w:rPr>
          <w:rFonts w:eastAsia="Times New Roman"/>
          <w:color w:val="000000"/>
          <w:sz w:val="20"/>
          <w:szCs w:val="20"/>
          <w:shd w:val="clear" w:color="auto" w:fill="FFFFFF"/>
        </w:rPr>
        <w:t>ss, operating results and prospects.</w:t>
      </w:r>
    </w:p>
    <w:p w14:paraId="616DEBC4" w14:textId="77777777" w:rsidR="00000000" w:rsidRDefault="000C49AD">
      <w:pPr>
        <w:jc w:val="both"/>
        <w:rPr>
          <w:rFonts w:eastAsia="Times New Roman"/>
        </w:rPr>
      </w:pPr>
    </w:p>
    <w:p w14:paraId="50FAB0EB" w14:textId="77777777" w:rsidR="00000000" w:rsidRDefault="000C49AD">
      <w:pPr>
        <w:jc w:val="both"/>
        <w:rPr>
          <w:rFonts w:eastAsia="Times New Roman"/>
        </w:rPr>
      </w:pPr>
      <w:r>
        <w:rPr>
          <w:rFonts w:eastAsia="Times New Roman"/>
          <w:b/>
          <w:bCs/>
          <w:i/>
          <w:iCs/>
          <w:color w:val="000000"/>
          <w:sz w:val="20"/>
          <w:szCs w:val="20"/>
        </w:rPr>
        <w:t>Our net loss and use of cash in operating activities may limit our ability to fully pursue our business strategy.</w:t>
      </w:r>
    </w:p>
    <w:p w14:paraId="3C6204BB" w14:textId="77777777" w:rsidR="00000000" w:rsidRDefault="000C49AD">
      <w:pPr>
        <w:jc w:val="both"/>
        <w:rPr>
          <w:rFonts w:eastAsia="Times New Roman"/>
        </w:rPr>
      </w:pPr>
    </w:p>
    <w:p w14:paraId="175C6037" w14:textId="77777777" w:rsidR="00000000" w:rsidRDefault="000C49AD">
      <w:pPr>
        <w:jc w:val="both"/>
        <w:rPr>
          <w:rFonts w:eastAsia="Times New Roman"/>
        </w:rPr>
      </w:pPr>
      <w:r>
        <w:rPr>
          <w:rFonts w:eastAsia="Times New Roman"/>
          <w:color w:val="000000"/>
          <w:sz w:val="20"/>
          <w:szCs w:val="20"/>
        </w:rPr>
        <w:t>We reported net loss of $77,329 in 2021. We reported cash used in operating activities of $77,310. Cash and marketable securities as of December 31, 2021 totaled $157,221. Our business strategy is to primarily focus on the development and potential FDA app</w:t>
      </w:r>
      <w:r>
        <w:rPr>
          <w:rFonts w:eastAsia="Times New Roman"/>
          <w:color w:val="000000"/>
          <w:sz w:val="20"/>
          <w:szCs w:val="20"/>
        </w:rPr>
        <w:t>roval of FT218 for the treatment of EDS or cataplexy in adults with narcolepsy. The successful pursuit of all components of our strategy will require substantial financial resources, and there can be no assurance that our existing cash and marketable secur</w:t>
      </w:r>
      <w:r>
        <w:rPr>
          <w:rFonts w:eastAsia="Times New Roman"/>
          <w:color w:val="000000"/>
          <w:sz w:val="20"/>
          <w:szCs w:val="20"/>
        </w:rPr>
        <w:t>ities assets and the cash generated by our operations will be adequate for these purposes. We will likely incur a net loss in 2022 and, if we use existing cash and marketable securities, there is no guarantee that we would be able to generate additional ca</w:t>
      </w:r>
      <w:r>
        <w:rPr>
          <w:rFonts w:eastAsia="Times New Roman"/>
          <w:color w:val="000000"/>
          <w:sz w:val="20"/>
          <w:szCs w:val="20"/>
        </w:rPr>
        <w:t>sh through our operations or through financing. Failure to implement any component of our strategy may prevent us from achieving profitability in the future or may otherwise have a material adverse effect on our financial condition and results of operation</w:t>
      </w:r>
      <w:r>
        <w:rPr>
          <w:rFonts w:eastAsia="Times New Roman"/>
          <w:color w:val="000000"/>
          <w:sz w:val="20"/>
          <w:szCs w:val="20"/>
        </w:rPr>
        <w:t>.</w:t>
      </w:r>
    </w:p>
    <w:p w14:paraId="4DE3CF22" w14:textId="77777777" w:rsidR="00000000" w:rsidRDefault="000C49AD">
      <w:pPr>
        <w:jc w:val="both"/>
        <w:rPr>
          <w:rFonts w:eastAsia="Times New Roman"/>
        </w:rPr>
      </w:pPr>
    </w:p>
    <w:p w14:paraId="378E2B30" w14:textId="77777777" w:rsidR="00000000" w:rsidRDefault="000C49AD">
      <w:pPr>
        <w:jc w:val="both"/>
        <w:rPr>
          <w:rFonts w:eastAsia="Times New Roman"/>
        </w:rPr>
      </w:pPr>
      <w:r>
        <w:rPr>
          <w:rFonts w:eastAsia="Times New Roman"/>
          <w:b/>
          <w:bCs/>
          <w:color w:val="000000"/>
          <w:sz w:val="20"/>
          <w:szCs w:val="20"/>
        </w:rPr>
        <w:t>Risks Related to Regulation</w:t>
      </w:r>
    </w:p>
    <w:p w14:paraId="641B9020" w14:textId="77777777" w:rsidR="00000000" w:rsidRDefault="000C49AD">
      <w:pPr>
        <w:jc w:val="both"/>
        <w:rPr>
          <w:rFonts w:eastAsia="Times New Roman"/>
        </w:rPr>
      </w:pPr>
    </w:p>
    <w:p w14:paraId="1075049A" w14:textId="77777777" w:rsidR="00000000" w:rsidRDefault="000C49AD">
      <w:pPr>
        <w:jc w:val="both"/>
        <w:rPr>
          <w:rFonts w:eastAsia="Times New Roman"/>
        </w:rPr>
      </w:pPr>
      <w:r>
        <w:rPr>
          <w:rFonts w:eastAsia="Times New Roman"/>
          <w:b/>
          <w:bCs/>
          <w:i/>
          <w:iCs/>
          <w:color w:val="000000"/>
          <w:sz w:val="20"/>
          <w:szCs w:val="20"/>
        </w:rPr>
        <w:t>The distribution and sale of FT218, if approved, will be subject to significant regulatory restrictions, including the requirements of a REMS and safety reporting requirements, and these regulatory requirements will subjec</w:t>
      </w:r>
      <w:r>
        <w:rPr>
          <w:rFonts w:eastAsia="Times New Roman"/>
          <w:b/>
          <w:bCs/>
          <w:i/>
          <w:iCs/>
          <w:color w:val="000000"/>
          <w:sz w:val="20"/>
          <w:szCs w:val="20"/>
        </w:rPr>
        <w:t>t us to risks and uncertainties, any of which could negatively impact sales of FT218, if approved.</w:t>
      </w:r>
    </w:p>
    <w:p w14:paraId="743E4DC7" w14:textId="77777777" w:rsidR="00000000" w:rsidRDefault="000C49AD">
      <w:pPr>
        <w:jc w:val="both"/>
        <w:rPr>
          <w:rFonts w:eastAsia="Times New Roman"/>
        </w:rPr>
      </w:pPr>
    </w:p>
    <w:p w14:paraId="153AB039" w14:textId="77777777" w:rsidR="00000000" w:rsidRDefault="000C49AD">
      <w:pPr>
        <w:jc w:val="both"/>
        <w:rPr>
          <w:rFonts w:eastAsia="Times New Roman"/>
        </w:rPr>
      </w:pPr>
      <w:r>
        <w:rPr>
          <w:rFonts w:eastAsia="Times New Roman"/>
          <w:color w:val="000000"/>
          <w:sz w:val="20"/>
          <w:szCs w:val="20"/>
        </w:rPr>
        <w:t>The active pharmaceutical ingredient, or API, of FT218 is a form of gamma-hydroxybutyric acid, or GHB, a central nervous system depressant known to be asso</w:t>
      </w:r>
      <w:r>
        <w:rPr>
          <w:rFonts w:eastAsia="Times New Roman"/>
          <w:color w:val="000000"/>
          <w:sz w:val="20"/>
          <w:szCs w:val="20"/>
        </w:rPr>
        <w:t>ciated with facilitated sexual assault as well as with respiratory depression and other serious side effects. As a result, the FDA requires that sponsors of sodium oxybate products, such as FT218, if approved, maintain a REMS to help ensure that the benefi</w:t>
      </w:r>
      <w:r>
        <w:rPr>
          <w:rFonts w:eastAsia="Times New Roman"/>
          <w:color w:val="000000"/>
          <w:sz w:val="20"/>
          <w:szCs w:val="20"/>
        </w:rPr>
        <w:t>ts of the drug in treatment of EDS or cataplexy in adults with narcolepsy outweigh the serious risks of the drug. A REMS imposed on FT218, if approved, may impose extensive controls and restrictions on the sales and marketing of FT218 that we will be respo</w:t>
      </w:r>
      <w:r>
        <w:rPr>
          <w:rFonts w:eastAsia="Times New Roman"/>
          <w:color w:val="000000"/>
          <w:sz w:val="20"/>
          <w:szCs w:val="20"/>
        </w:rPr>
        <w:t>nsible for implementing. Any failure to demonstrate our substantial compliance with any REMS obligations, including as a result of business or other interruptions resulting from the evolving effects of the COVID-19 pandemic, or a determination by the FDA t</w:t>
      </w:r>
      <w:r>
        <w:rPr>
          <w:rFonts w:eastAsia="Times New Roman"/>
          <w:color w:val="000000"/>
          <w:sz w:val="20"/>
          <w:szCs w:val="20"/>
        </w:rPr>
        <w:t xml:space="preserve">hat the REMS is not meeting its goals, could result in enforcement action by the FDA, lead to changes in our REMS obligations, negatively affect sales of FT218, result in additional costs and expenses for us or require us to invest a significant amount of </w:t>
      </w:r>
      <w:r>
        <w:rPr>
          <w:rFonts w:eastAsia="Times New Roman"/>
          <w:color w:val="000000"/>
          <w:sz w:val="20"/>
          <w:szCs w:val="20"/>
        </w:rPr>
        <w:t>resources, any of which could materially and adversely affect our business, financial condition, results of operations and growth prospects.</w:t>
      </w:r>
    </w:p>
    <w:p w14:paraId="078747F6" w14:textId="77777777" w:rsidR="00000000" w:rsidRDefault="000C49AD">
      <w:pPr>
        <w:jc w:val="both"/>
        <w:rPr>
          <w:rFonts w:eastAsia="Times New Roman"/>
        </w:rPr>
      </w:pPr>
    </w:p>
    <w:p w14:paraId="6BE06641" w14:textId="77777777" w:rsidR="00000000" w:rsidRDefault="000C49AD">
      <w:pPr>
        <w:jc w:val="both"/>
        <w:rPr>
          <w:rFonts w:eastAsia="Times New Roman"/>
        </w:rPr>
      </w:pPr>
      <w:r>
        <w:rPr>
          <w:rFonts w:eastAsia="Times New Roman"/>
          <w:color w:val="000000"/>
          <w:sz w:val="20"/>
          <w:szCs w:val="20"/>
        </w:rPr>
        <w:t>We cannot predict whether the FDA will request, seek to require or ultimately require modifications to, or impose additional requirements on, the REMS for FT218, if approved. Any modifications approved, required or rejected by the FDA could change the safe</w:t>
      </w:r>
      <w:r>
        <w:rPr>
          <w:rFonts w:eastAsia="Times New Roman"/>
          <w:color w:val="000000"/>
          <w:sz w:val="20"/>
          <w:szCs w:val="20"/>
        </w:rPr>
        <w:t xml:space="preserve">ty profile of FT218, and have a significant negative impact in terms of product liability, public acceptance of FT218 for treatment of cataplexy or EDS in adults with narcolepsy, and prescribers’ willingness to prescribe, and patients’ </w:t>
      </w:r>
    </w:p>
    <w:p w14:paraId="1ABFCD2B" w14:textId="77777777" w:rsidR="00000000" w:rsidRDefault="000C49AD">
      <w:pPr>
        <w:jc w:val="center"/>
        <w:divId w:val="1114598683"/>
        <w:rPr>
          <w:rFonts w:eastAsia="Times New Roman"/>
        </w:rPr>
      </w:pPr>
      <w:r>
        <w:rPr>
          <w:rFonts w:eastAsia="Times New Roman"/>
          <w:color w:val="000000"/>
          <w:sz w:val="20"/>
          <w:szCs w:val="20"/>
        </w:rPr>
        <w:t>-34-</w:t>
      </w:r>
    </w:p>
    <w:p w14:paraId="4B2EA058" w14:textId="77777777" w:rsidR="00000000" w:rsidRDefault="000C49AD">
      <w:pPr>
        <w:rPr>
          <w:rFonts w:eastAsia="Times New Roman"/>
        </w:rPr>
      </w:pPr>
      <w:r>
        <w:rPr>
          <w:rFonts w:eastAsia="Times New Roman"/>
        </w:rPr>
        <w:pict w14:anchorId="6EA07193">
          <v:rect id="_x0000_i1058" style="width:0;height:1.5pt" o:hralign="center" o:hrstd="t" o:hr="t" fillcolor="#a0a0a0" stroked="f"/>
        </w:pict>
      </w:r>
    </w:p>
    <w:p w14:paraId="56CA32DF" w14:textId="77777777" w:rsidR="00000000" w:rsidRDefault="000C49AD">
      <w:pPr>
        <w:divId w:val="2102751617"/>
        <w:rPr>
          <w:rFonts w:eastAsia="Times New Roman"/>
        </w:rPr>
      </w:pPr>
    </w:p>
    <w:p w14:paraId="260E8C39" w14:textId="77777777" w:rsidR="00000000" w:rsidRDefault="000C49AD">
      <w:pPr>
        <w:jc w:val="both"/>
        <w:rPr>
          <w:rFonts w:eastAsia="Times New Roman"/>
        </w:rPr>
      </w:pPr>
      <w:r>
        <w:rPr>
          <w:rFonts w:eastAsia="Times New Roman"/>
          <w:color w:val="000000"/>
          <w:sz w:val="20"/>
          <w:szCs w:val="20"/>
        </w:rPr>
        <w:t>willingness to take, FT218, any of which could have a material adverse effect on our business. Modifications approved, required or rejected by the FDA could also make it more difficult or expensive for us to distribute FT218, make d</w:t>
      </w:r>
      <w:r>
        <w:rPr>
          <w:rFonts w:eastAsia="Times New Roman"/>
          <w:color w:val="000000"/>
          <w:sz w:val="20"/>
          <w:szCs w:val="20"/>
        </w:rPr>
        <w:t>istribution easier for sodium oxybate competitors, disrupt continuity of care for FT218 patients or negatively affect sales of FT218.</w:t>
      </w:r>
    </w:p>
    <w:p w14:paraId="1726402D" w14:textId="77777777" w:rsidR="00000000" w:rsidRDefault="000C49AD">
      <w:pPr>
        <w:jc w:val="both"/>
        <w:rPr>
          <w:rFonts w:eastAsia="Times New Roman"/>
        </w:rPr>
      </w:pPr>
    </w:p>
    <w:p w14:paraId="3178AD2E" w14:textId="77777777" w:rsidR="00000000" w:rsidRDefault="000C49AD">
      <w:pPr>
        <w:jc w:val="both"/>
        <w:rPr>
          <w:rFonts w:eastAsia="Times New Roman"/>
        </w:rPr>
      </w:pPr>
      <w:r>
        <w:rPr>
          <w:rFonts w:eastAsia="Times New Roman"/>
          <w:color w:val="000000"/>
          <w:sz w:val="20"/>
          <w:szCs w:val="20"/>
        </w:rPr>
        <w:t xml:space="preserve">Pharmaceutical companies, including their agents and employees, are required to monitor adverse events occurring during </w:t>
      </w:r>
      <w:r>
        <w:rPr>
          <w:rFonts w:eastAsia="Times New Roman"/>
          <w:color w:val="000000"/>
          <w:sz w:val="20"/>
          <w:szCs w:val="20"/>
        </w:rPr>
        <w:t>the use of their products and report them to the FDA. As required by the FDA, and similarly for other regulatory agencies, the adverse event information that we collect for FT218, if approved, must be regularly reported to the FDA and could result in the F</w:t>
      </w:r>
      <w:r>
        <w:rPr>
          <w:rFonts w:eastAsia="Times New Roman"/>
          <w:color w:val="000000"/>
          <w:sz w:val="20"/>
          <w:szCs w:val="20"/>
        </w:rPr>
        <w:t xml:space="preserve">DA requiring changes to FT218’s labeling, including additional warnings or boxed warnings, or requiring us to take other actions that could have an adverse effect on patient and prescriber acceptance of FT218. </w:t>
      </w:r>
    </w:p>
    <w:p w14:paraId="7D988557" w14:textId="77777777" w:rsidR="00000000" w:rsidRDefault="000C49AD">
      <w:pPr>
        <w:jc w:val="both"/>
        <w:rPr>
          <w:rFonts w:eastAsia="Times New Roman"/>
        </w:rPr>
      </w:pPr>
    </w:p>
    <w:p w14:paraId="5F404D52" w14:textId="77777777" w:rsidR="00000000" w:rsidRDefault="000C49AD">
      <w:pPr>
        <w:jc w:val="both"/>
        <w:rPr>
          <w:rFonts w:eastAsia="Times New Roman"/>
        </w:rPr>
      </w:pPr>
      <w:r>
        <w:rPr>
          <w:rFonts w:eastAsia="Times New Roman"/>
          <w:color w:val="000000"/>
          <w:sz w:val="20"/>
          <w:szCs w:val="20"/>
        </w:rPr>
        <w:t xml:space="preserve">Any failure to demonstrate our substantial </w:t>
      </w:r>
      <w:r>
        <w:rPr>
          <w:rFonts w:eastAsia="Times New Roman"/>
          <w:color w:val="000000"/>
          <w:sz w:val="20"/>
          <w:szCs w:val="20"/>
        </w:rPr>
        <w:t>compliance with a REMS required for FT218, if approved, or any other applicable regulatory requirements to the satisfaction of the FDA or another regulatory authority could result in such regulatory authorities taking actions in the future which could have</w:t>
      </w:r>
      <w:r>
        <w:rPr>
          <w:rFonts w:eastAsia="Times New Roman"/>
          <w:color w:val="000000"/>
          <w:sz w:val="20"/>
          <w:szCs w:val="20"/>
        </w:rPr>
        <w:t xml:space="preserve"> a material adverse effect on sodium oxybate product sales and therefore on our business, financial condition, results of operations and growth prospects.</w:t>
      </w:r>
    </w:p>
    <w:p w14:paraId="40E3203A" w14:textId="77777777" w:rsidR="00000000" w:rsidRDefault="000C49AD">
      <w:pPr>
        <w:divId w:val="2073773549"/>
        <w:rPr>
          <w:rFonts w:eastAsia="Times New Roman"/>
        </w:rPr>
      </w:pPr>
    </w:p>
    <w:p w14:paraId="645817F3" w14:textId="77777777" w:rsidR="00000000" w:rsidRDefault="000C49AD">
      <w:pPr>
        <w:jc w:val="both"/>
        <w:rPr>
          <w:rFonts w:eastAsia="Times New Roman"/>
        </w:rPr>
      </w:pPr>
      <w:r>
        <w:rPr>
          <w:rFonts w:eastAsia="Times New Roman"/>
          <w:b/>
          <w:bCs/>
          <w:i/>
          <w:iCs/>
          <w:color w:val="000000"/>
          <w:sz w:val="20"/>
          <w:szCs w:val="20"/>
        </w:rPr>
        <w:t>Disruptions at the FDA, the DEA and other government agencies caused by funding shortages or global</w:t>
      </w:r>
      <w:r>
        <w:rPr>
          <w:rFonts w:eastAsia="Times New Roman"/>
          <w:b/>
          <w:bCs/>
          <w:i/>
          <w:iCs/>
          <w:color w:val="000000"/>
          <w:sz w:val="20"/>
          <w:szCs w:val="20"/>
        </w:rPr>
        <w:t xml:space="preserve"> health concerns could hinder their ability to hire and retain key leadership and other personnel, prevent new products and services from being developed or commercialized in a timely manner or otherwise prevent those agencies from performing normal busine</w:t>
      </w:r>
      <w:r>
        <w:rPr>
          <w:rFonts w:eastAsia="Times New Roman"/>
          <w:b/>
          <w:bCs/>
          <w:i/>
          <w:iCs/>
          <w:color w:val="000000"/>
          <w:sz w:val="20"/>
          <w:szCs w:val="20"/>
        </w:rPr>
        <w:t>ss functions on which the operation of our business may rely, which could negatively impact our business.</w:t>
      </w:r>
    </w:p>
    <w:p w14:paraId="229BBF0A" w14:textId="77777777" w:rsidR="00000000" w:rsidRDefault="000C49AD">
      <w:pPr>
        <w:jc w:val="both"/>
        <w:rPr>
          <w:rFonts w:eastAsia="Times New Roman"/>
        </w:rPr>
      </w:pPr>
    </w:p>
    <w:p w14:paraId="4BFC9C7A" w14:textId="77777777" w:rsidR="00000000" w:rsidRDefault="000C49AD">
      <w:pPr>
        <w:jc w:val="both"/>
        <w:rPr>
          <w:rFonts w:eastAsia="Times New Roman"/>
        </w:rPr>
      </w:pPr>
      <w:r>
        <w:rPr>
          <w:rFonts w:eastAsia="Times New Roman"/>
          <w:color w:val="000000"/>
          <w:sz w:val="20"/>
          <w:szCs w:val="20"/>
        </w:rPr>
        <w:t>The ability of the FDA to review and approve new products can be affected by a variety of factors, including government budget and funding levels, a</w:t>
      </w:r>
      <w:r>
        <w:rPr>
          <w:rFonts w:eastAsia="Times New Roman"/>
          <w:color w:val="000000"/>
          <w:sz w:val="20"/>
          <w:szCs w:val="20"/>
        </w:rPr>
        <w:t xml:space="preserve">bility to hire and retain key personnel and accept the payment of user fees, and statutory, regulatory and policy changes. Average review times at the agency have fluctuated in recent years as a result. In addition, government funding of the SEC and other </w:t>
      </w:r>
      <w:r>
        <w:rPr>
          <w:rFonts w:eastAsia="Times New Roman"/>
          <w:color w:val="000000"/>
          <w:sz w:val="20"/>
          <w:szCs w:val="20"/>
        </w:rPr>
        <w:t>government agencies on which our operations may rely, including those that fund research and development activities, is subject to the political process, which is inherently fluid and unpredictable.</w:t>
      </w:r>
    </w:p>
    <w:p w14:paraId="350BD6DA" w14:textId="77777777" w:rsidR="00000000" w:rsidRDefault="000C49AD">
      <w:pPr>
        <w:jc w:val="both"/>
        <w:rPr>
          <w:rFonts w:eastAsia="Times New Roman"/>
        </w:rPr>
      </w:pPr>
    </w:p>
    <w:p w14:paraId="223E3D91" w14:textId="77777777" w:rsidR="00000000" w:rsidRDefault="000C49AD">
      <w:pPr>
        <w:jc w:val="both"/>
        <w:rPr>
          <w:rFonts w:eastAsia="Times New Roman"/>
        </w:rPr>
      </w:pPr>
      <w:r>
        <w:rPr>
          <w:rFonts w:eastAsia="Times New Roman"/>
          <w:color w:val="000000"/>
          <w:sz w:val="20"/>
          <w:szCs w:val="20"/>
        </w:rPr>
        <w:t>Disruptions at the FDA, DEA and other agencies may also</w:t>
      </w:r>
      <w:r>
        <w:rPr>
          <w:rFonts w:eastAsia="Times New Roman"/>
          <w:color w:val="000000"/>
          <w:sz w:val="20"/>
          <w:szCs w:val="20"/>
        </w:rPr>
        <w:t xml:space="preserve"> increase the time necessary for new product candidates to be reviewed or approved by necessary government agencies, which would adversely affect our business. For example, over the last several years the U.S. government has shut down several times and cer</w:t>
      </w:r>
      <w:r>
        <w:rPr>
          <w:rFonts w:eastAsia="Times New Roman"/>
          <w:color w:val="000000"/>
          <w:sz w:val="20"/>
          <w:szCs w:val="20"/>
        </w:rPr>
        <w:t>tain regulatory agencies, such as the FDA and the SEC, have had to furlough critical FDA, SEC and other government employees and stop critical activities. If a prolonged government shutdown occurs, it could significantly impact the ability of the FDA to ti</w:t>
      </w:r>
      <w:r>
        <w:rPr>
          <w:rFonts w:eastAsia="Times New Roman"/>
          <w:color w:val="000000"/>
          <w:sz w:val="20"/>
          <w:szCs w:val="20"/>
        </w:rPr>
        <w:t>mely review and process our regulatory submissions, which could have a material adverse effect on our business. Further, future government shutdowns could impact our ability to access the public markets and obtain necessary capital in order to properly cap</w:t>
      </w:r>
      <w:r>
        <w:rPr>
          <w:rFonts w:eastAsia="Times New Roman"/>
          <w:color w:val="000000"/>
          <w:sz w:val="20"/>
          <w:szCs w:val="20"/>
        </w:rPr>
        <w:t xml:space="preserve">italize and continue our operations. </w:t>
      </w:r>
    </w:p>
    <w:p w14:paraId="48CCAB62" w14:textId="77777777" w:rsidR="00000000" w:rsidRDefault="000C49AD">
      <w:pPr>
        <w:jc w:val="both"/>
        <w:rPr>
          <w:rFonts w:eastAsia="Times New Roman"/>
        </w:rPr>
      </w:pPr>
    </w:p>
    <w:p w14:paraId="6ED7A1EB" w14:textId="77777777" w:rsidR="00000000" w:rsidRDefault="000C49AD">
      <w:pPr>
        <w:jc w:val="both"/>
        <w:rPr>
          <w:rFonts w:eastAsia="Times New Roman"/>
        </w:rPr>
      </w:pPr>
      <w:r>
        <w:rPr>
          <w:rFonts w:eastAsia="Times New Roman"/>
          <w:color w:val="000000"/>
          <w:sz w:val="20"/>
          <w:szCs w:val="20"/>
        </w:rPr>
        <w:t>As of May 26, 2021, the FDA noted it was continuing to ensure timely reviews of applications for medical products during the ongoing COVID-19 pandemic in line with its user fee performance goals and conducting missio</w:t>
      </w:r>
      <w:r>
        <w:rPr>
          <w:rFonts w:eastAsia="Times New Roman"/>
          <w:color w:val="000000"/>
          <w:sz w:val="20"/>
          <w:szCs w:val="20"/>
        </w:rPr>
        <w:t>n critical U.S. and non-U.S. inspections to ensure compliance of manufacturing facilities with FDA quality standards. However, the FDA may not be able to maintain its current pace and approval timelines could be extended due to the ongoing COVID-19 pandemi</w:t>
      </w:r>
      <w:r>
        <w:rPr>
          <w:rFonts w:eastAsia="Times New Roman"/>
          <w:color w:val="000000"/>
          <w:sz w:val="20"/>
          <w:szCs w:val="20"/>
        </w:rPr>
        <w:t xml:space="preserve">c. Since March 2020 when foreign and domestic inspections of facilities were largely placed on hold, the FDA has been working to resume routine surveillance, bioresearch monitoring and pre-approval inspections on a prioritized basis. Since April 2021, the </w:t>
      </w:r>
      <w:r>
        <w:rPr>
          <w:rFonts w:eastAsia="Times New Roman"/>
          <w:color w:val="000000"/>
          <w:sz w:val="20"/>
          <w:szCs w:val="20"/>
        </w:rPr>
        <w:t xml:space="preserve">FDA has conducted limited inspections and employed remote interactive evaluations, using risk management methods, to meet user fee commitments and goal dates. Ongoing travel restrictions and other uncertainties continue to impact oversight operations both </w:t>
      </w:r>
      <w:r>
        <w:rPr>
          <w:rFonts w:eastAsia="Times New Roman"/>
          <w:color w:val="000000"/>
          <w:sz w:val="20"/>
          <w:szCs w:val="20"/>
        </w:rPr>
        <w:t>domestic and abroad and it is unclear when standard operational levels will resume. The FDA is continuing to complete mission-critical work, prioritize other higher-tiered inspectional needs (e.g., for-cause inspections), and carry out surveillance inspect</w:t>
      </w:r>
      <w:r>
        <w:rPr>
          <w:rFonts w:eastAsia="Times New Roman"/>
          <w:color w:val="000000"/>
          <w:sz w:val="20"/>
          <w:szCs w:val="20"/>
        </w:rPr>
        <w:t>ions using risk-based approaches for evaluating public health. Should the FDA determine that an inspection is necessary for approval and an inspection cannot be completed during the review cycle due to restrictions on travel, and the FDA does not determine</w:t>
      </w:r>
      <w:r>
        <w:rPr>
          <w:rFonts w:eastAsia="Times New Roman"/>
          <w:color w:val="000000"/>
          <w:sz w:val="20"/>
          <w:szCs w:val="20"/>
        </w:rPr>
        <w:t xml:space="preserve"> a remote interactive evaluation to be adequate, the FDA has stated that it generally intends to issue, depending on the circumstances, or defer action on the application until an inspection can be completed. During the COVID-19 public health emergency, a </w:t>
      </w:r>
      <w:r>
        <w:rPr>
          <w:rFonts w:eastAsia="Times New Roman"/>
          <w:color w:val="000000"/>
          <w:sz w:val="20"/>
          <w:szCs w:val="20"/>
        </w:rPr>
        <w:t>number of companies announced receipt of complete response letters due to the FDA’s inability to complete required inspections for their applications. Regulatory authorities outside the U.S. may adopt similar restrictions or other policy measures in respon</w:t>
      </w:r>
      <w:r>
        <w:rPr>
          <w:rFonts w:eastAsia="Times New Roman"/>
          <w:color w:val="000000"/>
          <w:sz w:val="20"/>
          <w:szCs w:val="20"/>
        </w:rPr>
        <w:t>se to the COVID-19 pandemic and may experience delays in their regulatory activities. We cannot guarantee that the FDA, DEA and other agencies, as applicable, will be able to complete any required inspections or take other necessary actions in respect to o</w:t>
      </w:r>
      <w:r>
        <w:rPr>
          <w:rFonts w:eastAsia="Times New Roman"/>
          <w:color w:val="000000"/>
          <w:sz w:val="20"/>
          <w:szCs w:val="20"/>
        </w:rPr>
        <w:t>ur product candidate or future product candidates.</w:t>
      </w:r>
    </w:p>
    <w:p w14:paraId="616BB3F9" w14:textId="77777777" w:rsidR="00000000" w:rsidRDefault="000C49AD">
      <w:pPr>
        <w:divId w:val="1001422246"/>
        <w:rPr>
          <w:rFonts w:eastAsia="Times New Roman"/>
        </w:rPr>
      </w:pPr>
    </w:p>
    <w:p w14:paraId="7BE43E2E" w14:textId="77777777" w:rsidR="00000000" w:rsidRDefault="000C49AD">
      <w:pPr>
        <w:jc w:val="both"/>
        <w:rPr>
          <w:rFonts w:eastAsia="Times New Roman"/>
        </w:rPr>
      </w:pPr>
      <w:r>
        <w:rPr>
          <w:rFonts w:eastAsia="Times New Roman"/>
          <w:b/>
          <w:bCs/>
          <w:i/>
          <w:iCs/>
          <w:color w:val="000000"/>
          <w:sz w:val="20"/>
          <w:szCs w:val="20"/>
        </w:rPr>
        <w:t>FT218, if approved by the FDA, may not obtain desired regulatory exclusivities, including orphan drug exclusivity</w:t>
      </w:r>
      <w:r>
        <w:rPr>
          <w:rFonts w:eastAsia="Times New Roman"/>
          <w:b/>
          <w:bCs/>
          <w:color w:val="000000"/>
          <w:sz w:val="20"/>
          <w:szCs w:val="20"/>
        </w:rPr>
        <w:t>.</w:t>
      </w:r>
    </w:p>
    <w:p w14:paraId="7E326C09" w14:textId="77777777" w:rsidR="00000000" w:rsidRDefault="000C49AD">
      <w:pPr>
        <w:jc w:val="both"/>
        <w:rPr>
          <w:rFonts w:eastAsia="Times New Roman"/>
        </w:rPr>
      </w:pPr>
    </w:p>
    <w:p w14:paraId="6F6782E3" w14:textId="77777777" w:rsidR="00000000" w:rsidRDefault="000C49AD">
      <w:pPr>
        <w:jc w:val="both"/>
        <w:rPr>
          <w:rFonts w:eastAsia="Times New Roman"/>
        </w:rPr>
      </w:pPr>
      <w:r>
        <w:rPr>
          <w:rFonts w:eastAsia="Times New Roman"/>
          <w:color w:val="000000"/>
          <w:sz w:val="20"/>
          <w:szCs w:val="20"/>
        </w:rPr>
        <w:t xml:space="preserve">Under the Orphan Drug Act, as amended, the FDA may designate a drug as an orphan drug </w:t>
      </w:r>
      <w:r>
        <w:rPr>
          <w:rFonts w:eastAsia="Times New Roman"/>
          <w:color w:val="000000"/>
          <w:sz w:val="20"/>
          <w:szCs w:val="20"/>
        </w:rPr>
        <w:t xml:space="preserve">if it is intended to treat a rare disease or condition, which is defined as a patient population of fewer than 200,000 individuals in the U.S., or a patient </w:t>
      </w:r>
    </w:p>
    <w:p w14:paraId="711534C6" w14:textId="77777777" w:rsidR="00000000" w:rsidRDefault="000C49AD">
      <w:pPr>
        <w:jc w:val="center"/>
        <w:divId w:val="107744323"/>
        <w:rPr>
          <w:rFonts w:eastAsia="Times New Roman"/>
        </w:rPr>
      </w:pPr>
      <w:r>
        <w:rPr>
          <w:rFonts w:eastAsia="Times New Roman"/>
          <w:color w:val="000000"/>
          <w:sz w:val="20"/>
          <w:szCs w:val="20"/>
        </w:rPr>
        <w:t>-35-</w:t>
      </w:r>
    </w:p>
    <w:p w14:paraId="559688F0" w14:textId="77777777" w:rsidR="00000000" w:rsidRDefault="000C49AD">
      <w:pPr>
        <w:rPr>
          <w:rFonts w:eastAsia="Times New Roman"/>
        </w:rPr>
      </w:pPr>
      <w:r>
        <w:rPr>
          <w:rFonts w:eastAsia="Times New Roman"/>
        </w:rPr>
        <w:pict w14:anchorId="1C31FAD5">
          <v:rect id="_x0000_i1059" style="width:0;height:1.5pt" o:hralign="center" o:hrstd="t" o:hr="t" fillcolor="#a0a0a0" stroked="f"/>
        </w:pict>
      </w:r>
    </w:p>
    <w:p w14:paraId="0B104684" w14:textId="77777777" w:rsidR="00000000" w:rsidRDefault="000C49AD">
      <w:pPr>
        <w:divId w:val="18553013"/>
        <w:rPr>
          <w:rFonts w:eastAsia="Times New Roman"/>
        </w:rPr>
      </w:pPr>
    </w:p>
    <w:p w14:paraId="0A6DFBF1" w14:textId="77777777" w:rsidR="00000000" w:rsidRDefault="000C49AD">
      <w:pPr>
        <w:jc w:val="both"/>
        <w:rPr>
          <w:rFonts w:eastAsia="Times New Roman"/>
        </w:rPr>
      </w:pPr>
      <w:r>
        <w:rPr>
          <w:rFonts w:eastAsia="Times New Roman"/>
          <w:color w:val="000000"/>
          <w:sz w:val="20"/>
          <w:szCs w:val="20"/>
        </w:rPr>
        <w:t>population of 200,000 or more where there is no reason</w:t>
      </w:r>
      <w:r>
        <w:rPr>
          <w:rFonts w:eastAsia="Times New Roman"/>
          <w:color w:val="000000"/>
          <w:sz w:val="20"/>
          <w:szCs w:val="20"/>
        </w:rPr>
        <w:t>able expectation that the cost of developing the drug for the rare disease or condition will be recovered from sales of the drug in the U.S. Generally, if a drug with orphan drug designation subsequently receives the first marketing approval for the diseas</w:t>
      </w:r>
      <w:r>
        <w:rPr>
          <w:rFonts w:eastAsia="Times New Roman"/>
          <w:color w:val="000000"/>
          <w:sz w:val="20"/>
          <w:szCs w:val="20"/>
        </w:rPr>
        <w:t>e or condition for which it has such designation, the drug is entitled to a period of marketing exclusivity, which precludes the FDA from approving another marketing application for the same drug for the same disease or condition for seven years, except in</w:t>
      </w:r>
      <w:r>
        <w:rPr>
          <w:rFonts w:eastAsia="Times New Roman"/>
          <w:color w:val="000000"/>
          <w:sz w:val="20"/>
          <w:szCs w:val="20"/>
        </w:rPr>
        <w:t xml:space="preserve"> limited circumstances, such as if the FDA concludes that a subsequent same drug is clinically superior through greater safety, greater effectiveness, or a major contribution to patient care. In assessing whether a drug provides a “major contribution to pa</w:t>
      </w:r>
      <w:r>
        <w:rPr>
          <w:rFonts w:eastAsia="Times New Roman"/>
          <w:color w:val="000000"/>
          <w:sz w:val="20"/>
          <w:szCs w:val="20"/>
        </w:rPr>
        <w:t>tient care” over and above the currently approved drugs, which is evaluated by the FDA on a case-by-case basis, there is no one objective standard and the FDA may, in appropriate circumstances, consider such factors as convenience of treatment location, du</w:t>
      </w:r>
      <w:r>
        <w:rPr>
          <w:rFonts w:eastAsia="Times New Roman"/>
          <w:color w:val="000000"/>
          <w:sz w:val="20"/>
          <w:szCs w:val="20"/>
        </w:rPr>
        <w:t xml:space="preserve">ration of treatment, patient comfort, reduced treatment burden, advances in ease and comfort of drug administration, longer periods between doses and potential for self-administration. </w:t>
      </w:r>
    </w:p>
    <w:p w14:paraId="3866F2B1" w14:textId="77777777" w:rsidR="00000000" w:rsidRDefault="000C49AD">
      <w:pPr>
        <w:jc w:val="both"/>
        <w:rPr>
          <w:rFonts w:eastAsia="Times New Roman"/>
        </w:rPr>
      </w:pPr>
    </w:p>
    <w:p w14:paraId="6079353C" w14:textId="77777777" w:rsidR="00000000" w:rsidRDefault="000C49AD">
      <w:pPr>
        <w:jc w:val="both"/>
        <w:rPr>
          <w:rFonts w:eastAsia="Times New Roman"/>
        </w:rPr>
      </w:pPr>
      <w:r>
        <w:rPr>
          <w:rFonts w:eastAsia="Times New Roman"/>
          <w:color w:val="000000"/>
          <w:sz w:val="20"/>
          <w:szCs w:val="20"/>
        </w:rPr>
        <w:t>Although FT218 obtained orphan drug designation for the treatment of</w:t>
      </w:r>
      <w:r>
        <w:rPr>
          <w:rFonts w:eastAsia="Times New Roman"/>
          <w:color w:val="000000"/>
          <w:sz w:val="20"/>
          <w:szCs w:val="20"/>
        </w:rPr>
        <w:t xml:space="preserve"> narcolepsy from the FDA in January 2018, there is no guarantee that we will obtain approval or orphan drug exclusivity for FT218. Orphan drug designation does not give a product candidate any advantage in, or shorten the timeline for, the FDA regulatory r</w:t>
      </w:r>
      <w:r>
        <w:rPr>
          <w:rFonts w:eastAsia="Times New Roman"/>
          <w:color w:val="000000"/>
          <w:sz w:val="20"/>
          <w:szCs w:val="20"/>
        </w:rPr>
        <w:t>eview and approval process. In addition, because FT218 would not be the first sodium oxybate product to be approved for the treatment of narcolepsy, we must demonstrate that FT218 is clinically superior to any previously approved same drug in order to obta</w:t>
      </w:r>
      <w:r>
        <w:rPr>
          <w:rFonts w:eastAsia="Times New Roman"/>
          <w:color w:val="000000"/>
          <w:sz w:val="20"/>
          <w:szCs w:val="20"/>
        </w:rPr>
        <w:t>in orphan drug exclusivity for FT218, and we may be required to demonstrate clinical superiority for the approval and exclusivity of other product candidates in the future. However, such a demonstration may be difficult to establish and there can be no ass</w:t>
      </w:r>
      <w:r>
        <w:rPr>
          <w:rFonts w:eastAsia="Times New Roman"/>
          <w:color w:val="000000"/>
          <w:sz w:val="20"/>
          <w:szCs w:val="20"/>
        </w:rPr>
        <w:t>urance that we will be successful in these efforts. Even if we obtain orphan drug exclusivity for FT218, that exclusivity may not effectively protect FT218 from competition because different drugs can be approved for the same condition. In addition, the FD</w:t>
      </w:r>
      <w:r>
        <w:rPr>
          <w:rFonts w:eastAsia="Times New Roman"/>
          <w:color w:val="000000"/>
          <w:sz w:val="20"/>
          <w:szCs w:val="20"/>
        </w:rPr>
        <w:t>A could determine that unexpired orphan drug exclusivity for an approved product that is determined to be the same drug could delay the approval of FT218 unless we are able to demonstrate that FT218 is clinically superior to such approved product. Moreover</w:t>
      </w:r>
      <w:r>
        <w:rPr>
          <w:rFonts w:eastAsia="Times New Roman"/>
          <w:color w:val="000000"/>
          <w:sz w:val="20"/>
          <w:szCs w:val="20"/>
        </w:rPr>
        <w:t>, any orphan drug exclusive marketing rights may be lost if the FDA later determines that the request for designation was materially defective or if we are unable to assure sufficient quantity of FT218 to meet the needs of patients with the particular rare</w:t>
      </w:r>
      <w:r>
        <w:rPr>
          <w:rFonts w:eastAsia="Times New Roman"/>
          <w:color w:val="000000"/>
          <w:sz w:val="20"/>
          <w:szCs w:val="20"/>
        </w:rPr>
        <w:t xml:space="preserve"> disease or condition. The FDA may reevaluate its regulations and policies under the Orphan Drug Act. We do not know if, when or how the FDA may change the orphan drug regulations and policies in the future, and it is uncertain how any changes might affect</w:t>
      </w:r>
      <w:r>
        <w:rPr>
          <w:rFonts w:eastAsia="Times New Roman"/>
          <w:color w:val="000000"/>
          <w:sz w:val="20"/>
          <w:szCs w:val="20"/>
        </w:rPr>
        <w:t xml:space="preserve"> our business. Depending on what changes, the FDA may make to its orphan drug regulations and policies, our business could be adversely impacted.</w:t>
      </w:r>
    </w:p>
    <w:p w14:paraId="24FC1CD5" w14:textId="77777777" w:rsidR="00000000" w:rsidRDefault="000C49AD">
      <w:pPr>
        <w:divId w:val="1729912887"/>
        <w:rPr>
          <w:rFonts w:eastAsia="Times New Roman"/>
        </w:rPr>
      </w:pPr>
    </w:p>
    <w:p w14:paraId="76EAEFA4" w14:textId="77777777" w:rsidR="00000000" w:rsidRDefault="000C49AD">
      <w:pPr>
        <w:jc w:val="both"/>
        <w:rPr>
          <w:rFonts w:eastAsia="Times New Roman"/>
        </w:rPr>
      </w:pPr>
      <w:r>
        <w:rPr>
          <w:rFonts w:eastAsia="Times New Roman"/>
          <w:b/>
          <w:bCs/>
          <w:i/>
          <w:iCs/>
          <w:color w:val="000000"/>
          <w:sz w:val="20"/>
          <w:szCs w:val="20"/>
        </w:rPr>
        <w:t xml:space="preserve">The API in FT218, sodium oxybate, is a controlled substance subject to U.S. federal and state controlled substance laws and regulations and applicable controlled substance legislation in other countries, and our failure, or the failure of third-parties on </w:t>
      </w:r>
      <w:r>
        <w:rPr>
          <w:rFonts w:eastAsia="Times New Roman"/>
          <w:b/>
          <w:bCs/>
          <w:i/>
          <w:iCs/>
          <w:color w:val="000000"/>
          <w:sz w:val="20"/>
          <w:szCs w:val="20"/>
        </w:rPr>
        <w:t>whom we rely, to comply with these laws and regulations, or the cost of compliance with these laws and regulations, could materially and adversely affect our business, results of operations, financial condition and growth prospects.</w:t>
      </w:r>
    </w:p>
    <w:p w14:paraId="2DF865BC" w14:textId="77777777" w:rsidR="00000000" w:rsidRDefault="000C49AD">
      <w:pPr>
        <w:jc w:val="both"/>
        <w:rPr>
          <w:rFonts w:eastAsia="Times New Roman"/>
        </w:rPr>
      </w:pPr>
    </w:p>
    <w:p w14:paraId="2D639A37" w14:textId="77777777" w:rsidR="00000000" w:rsidRDefault="000C49AD">
      <w:pPr>
        <w:jc w:val="both"/>
        <w:rPr>
          <w:rFonts w:eastAsia="Times New Roman"/>
        </w:rPr>
      </w:pPr>
      <w:r>
        <w:rPr>
          <w:rFonts w:eastAsia="Times New Roman"/>
          <w:color w:val="000000"/>
          <w:sz w:val="20"/>
          <w:szCs w:val="20"/>
        </w:rPr>
        <w:t>FT218 contains a cont</w:t>
      </w:r>
      <w:r>
        <w:rPr>
          <w:rFonts w:eastAsia="Times New Roman"/>
          <w:color w:val="000000"/>
          <w:sz w:val="20"/>
          <w:szCs w:val="20"/>
        </w:rPr>
        <w:t>rolled substance as defined in the CSA. Controlled substances are subject to a number of requirements and restrictions under the CSA and implementing regulations, including certain registration, security, recordkeeping, reporting, manufacturing and procure</w:t>
      </w:r>
      <w:r>
        <w:rPr>
          <w:rFonts w:eastAsia="Times New Roman"/>
          <w:color w:val="000000"/>
          <w:sz w:val="20"/>
          <w:szCs w:val="20"/>
        </w:rPr>
        <w:t>ment quotas, import, export and other requirements administered by the DEA. The DEA classifies controlled substances into five schedules: Schedule I, II, III, IV or V. Schedule I substances by definition have a high potential for abuse, no currently “accep</w:t>
      </w:r>
      <w:r>
        <w:rPr>
          <w:rFonts w:eastAsia="Times New Roman"/>
          <w:color w:val="000000"/>
          <w:sz w:val="20"/>
          <w:szCs w:val="20"/>
        </w:rPr>
        <w:t>ted medical use” in the U.S., lack accepted safety for use under medical supervision, and may not be prescribed, marketed or sold in the U.S. Pharmaceutical products approved for use in the U.S. which contain a controlled substance are listed as Schedule I</w:t>
      </w:r>
      <w:r>
        <w:rPr>
          <w:rFonts w:eastAsia="Times New Roman"/>
          <w:color w:val="000000"/>
          <w:sz w:val="20"/>
          <w:szCs w:val="20"/>
        </w:rPr>
        <w:t>I, III, IV or V, with Schedule II substances considered to present the highest potential for abuse or dependence and Schedule V substances the lowest relative risk of abuse among such substances. Schedule I and II drugs are subject to the strictest control</w:t>
      </w:r>
      <w:r>
        <w:rPr>
          <w:rFonts w:eastAsia="Times New Roman"/>
          <w:color w:val="000000"/>
          <w:sz w:val="20"/>
          <w:szCs w:val="20"/>
        </w:rPr>
        <w:t>s under the CSA, including manufacturing and procurement quotas, heightened security requirements and additional criteria for importation. The API of FT218, oxybate salts, are regulated by the DEA as Schedule I controlled substances, and FDA-approved produ</w:t>
      </w:r>
      <w:r>
        <w:rPr>
          <w:rFonts w:eastAsia="Times New Roman"/>
          <w:color w:val="000000"/>
          <w:sz w:val="20"/>
          <w:szCs w:val="20"/>
        </w:rPr>
        <w:t xml:space="preserve">cts containing oxybate salts, including sodium oxybate, are currently Schedule III. </w:t>
      </w:r>
    </w:p>
    <w:p w14:paraId="611FFD4E" w14:textId="77777777" w:rsidR="00000000" w:rsidRDefault="000C49AD">
      <w:pPr>
        <w:jc w:val="both"/>
        <w:rPr>
          <w:rFonts w:eastAsia="Times New Roman"/>
        </w:rPr>
      </w:pPr>
    </w:p>
    <w:p w14:paraId="2345848F" w14:textId="77777777" w:rsidR="00000000" w:rsidRDefault="000C49AD">
      <w:pPr>
        <w:jc w:val="both"/>
        <w:rPr>
          <w:rFonts w:eastAsia="Times New Roman"/>
        </w:rPr>
      </w:pPr>
      <w:r>
        <w:rPr>
          <w:rFonts w:eastAsia="Times New Roman"/>
          <w:color w:val="000000"/>
          <w:sz w:val="20"/>
          <w:szCs w:val="20"/>
        </w:rPr>
        <w:t>Individual states have also established controlled substance laws and regulations. Although state-controlled substances laws often mirror federal law, they may separatel</w:t>
      </w:r>
      <w:r>
        <w:rPr>
          <w:rFonts w:eastAsia="Times New Roman"/>
          <w:color w:val="000000"/>
          <w:sz w:val="20"/>
          <w:szCs w:val="20"/>
        </w:rPr>
        <w:t>y schedule our product candidates. We or our partners may also be required to obtain separate state registrations, permits or licenses in order to be able to manufacture, research, distribute, import, export, administer or prescribe controlled substances f</w:t>
      </w:r>
      <w:r>
        <w:rPr>
          <w:rFonts w:eastAsia="Times New Roman"/>
          <w:color w:val="000000"/>
          <w:sz w:val="20"/>
          <w:szCs w:val="20"/>
        </w:rPr>
        <w:t>or clinical trials or commercial sale, and failure to meet applicable regulatory requirements could lead to enforcement and sanctions by the states in addition to those from the DEA or otherwise arising under federal law.</w:t>
      </w:r>
    </w:p>
    <w:p w14:paraId="3CFB3904" w14:textId="77777777" w:rsidR="00000000" w:rsidRDefault="000C49AD">
      <w:pPr>
        <w:jc w:val="both"/>
        <w:rPr>
          <w:rFonts w:eastAsia="Times New Roman"/>
        </w:rPr>
      </w:pPr>
    </w:p>
    <w:p w14:paraId="0CC72AD8" w14:textId="77777777" w:rsidR="00000000" w:rsidRDefault="000C49AD">
      <w:pPr>
        <w:jc w:val="both"/>
        <w:rPr>
          <w:rFonts w:eastAsia="Times New Roman"/>
        </w:rPr>
      </w:pPr>
      <w:r>
        <w:rPr>
          <w:rFonts w:eastAsia="Times New Roman"/>
          <w:color w:val="000000"/>
          <w:sz w:val="20"/>
          <w:szCs w:val="20"/>
        </w:rPr>
        <w:t>U.S. facilities conducting resea</w:t>
      </w:r>
      <w:r>
        <w:rPr>
          <w:rFonts w:eastAsia="Times New Roman"/>
          <w:color w:val="000000"/>
          <w:sz w:val="20"/>
          <w:szCs w:val="20"/>
        </w:rPr>
        <w:t>rch, manufacturing, distributing, importing or exporting, or dispensing of controlled substances must be registered (licensed) to perform these activities and must comply with the security, control, recordkeeping and reporting obligations under the CSA, DE</w:t>
      </w:r>
      <w:r>
        <w:rPr>
          <w:rFonts w:eastAsia="Times New Roman"/>
          <w:color w:val="000000"/>
          <w:sz w:val="20"/>
          <w:szCs w:val="20"/>
        </w:rPr>
        <w:t xml:space="preserve">A regulations and corresponding state requirements. DEA and state regulatory bodies conduct periodic inspections of certain registered establishments that handle controlled substances. Obtaining and maintaining </w:t>
      </w:r>
    </w:p>
    <w:p w14:paraId="4FC35285" w14:textId="77777777" w:rsidR="00000000" w:rsidRDefault="000C49AD">
      <w:pPr>
        <w:jc w:val="center"/>
        <w:divId w:val="1130900558"/>
        <w:rPr>
          <w:rFonts w:eastAsia="Times New Roman"/>
        </w:rPr>
      </w:pPr>
      <w:r>
        <w:rPr>
          <w:rFonts w:eastAsia="Times New Roman"/>
          <w:color w:val="000000"/>
          <w:sz w:val="20"/>
          <w:szCs w:val="20"/>
        </w:rPr>
        <w:t>-36-</w:t>
      </w:r>
    </w:p>
    <w:p w14:paraId="13419F0C" w14:textId="77777777" w:rsidR="00000000" w:rsidRDefault="000C49AD">
      <w:pPr>
        <w:rPr>
          <w:rFonts w:eastAsia="Times New Roman"/>
        </w:rPr>
      </w:pPr>
      <w:r>
        <w:rPr>
          <w:rFonts w:eastAsia="Times New Roman"/>
        </w:rPr>
        <w:pict w14:anchorId="44707C8B">
          <v:rect id="_x0000_i1060" style="width:0;height:1.5pt" o:hralign="center" o:hrstd="t" o:hr="t" fillcolor="#a0a0a0" stroked="f"/>
        </w:pict>
      </w:r>
    </w:p>
    <w:p w14:paraId="577F43F5" w14:textId="77777777" w:rsidR="00000000" w:rsidRDefault="000C49AD">
      <w:pPr>
        <w:divId w:val="1364550466"/>
        <w:rPr>
          <w:rFonts w:eastAsia="Times New Roman"/>
        </w:rPr>
      </w:pPr>
    </w:p>
    <w:p w14:paraId="485EFB79" w14:textId="77777777" w:rsidR="00000000" w:rsidRDefault="000C49AD">
      <w:pPr>
        <w:jc w:val="both"/>
        <w:rPr>
          <w:rFonts w:eastAsia="Times New Roman"/>
        </w:rPr>
      </w:pPr>
      <w:r>
        <w:rPr>
          <w:rFonts w:eastAsia="Times New Roman"/>
          <w:color w:val="000000"/>
          <w:sz w:val="20"/>
          <w:szCs w:val="20"/>
        </w:rPr>
        <w:t>the necessary registrations, obtaining and maintaining quotas and complying with the regulatory obligations may result in delay of the importation, export, manufacturing, distribution or research of our lead product candidate and our commercial product, if</w:t>
      </w:r>
      <w:r>
        <w:rPr>
          <w:rFonts w:eastAsia="Times New Roman"/>
          <w:color w:val="000000"/>
          <w:sz w:val="20"/>
          <w:szCs w:val="20"/>
        </w:rPr>
        <w:t xml:space="preserve"> approved, and any future products candidates or products. Furthermore, failure to maintain compliance with the CSA and DEA and state regulations by us or any of our contractors, distributors or pharmacies can result in regulatory action that could have a </w:t>
      </w:r>
      <w:r>
        <w:rPr>
          <w:rFonts w:eastAsia="Times New Roman"/>
          <w:color w:val="000000"/>
          <w:sz w:val="20"/>
          <w:szCs w:val="20"/>
        </w:rPr>
        <w:t xml:space="preserve">material adverse effect on our business, financial condition and results of operations. In addition, if we change any third-party upon whom we rely to conduct our research, manufacturing, distributing, importing, exporting, or dispensing activities, doing </w:t>
      </w:r>
      <w:r>
        <w:rPr>
          <w:rFonts w:eastAsia="Times New Roman"/>
          <w:color w:val="000000"/>
          <w:sz w:val="20"/>
          <w:szCs w:val="20"/>
        </w:rPr>
        <w:t xml:space="preserve">so will result in additional costs and expenses and may take a significant amount of time, and we may be unsuccessful in identifying a new, satisfactory third-party, any of which could materially and adversely affect our business, financial condition, and </w:t>
      </w:r>
      <w:r>
        <w:rPr>
          <w:rFonts w:eastAsia="Times New Roman"/>
          <w:color w:val="000000"/>
          <w:sz w:val="20"/>
          <w:szCs w:val="20"/>
        </w:rPr>
        <w:t>results of operations. DEA and state regulatory bodies may seek civil penalties, refuse to renew necessary registrations, or initiate proceedings to restrict, suspend or revoke those registrations. In certain circumstances, violations could lead to crimina</w:t>
      </w:r>
      <w:r>
        <w:rPr>
          <w:rFonts w:eastAsia="Times New Roman"/>
          <w:color w:val="000000"/>
          <w:sz w:val="20"/>
          <w:szCs w:val="20"/>
        </w:rPr>
        <w:t>l penalties.</w:t>
      </w:r>
    </w:p>
    <w:p w14:paraId="7EE23941" w14:textId="77777777" w:rsidR="00000000" w:rsidRDefault="000C49AD">
      <w:pPr>
        <w:divId w:val="1748186832"/>
        <w:rPr>
          <w:rFonts w:eastAsia="Times New Roman"/>
        </w:rPr>
      </w:pPr>
    </w:p>
    <w:p w14:paraId="47BB6CD2" w14:textId="77777777" w:rsidR="00000000" w:rsidRDefault="000C49AD">
      <w:pPr>
        <w:jc w:val="both"/>
        <w:rPr>
          <w:rFonts w:eastAsia="Times New Roman"/>
        </w:rPr>
      </w:pPr>
      <w:r>
        <w:rPr>
          <w:rFonts w:eastAsia="Times New Roman"/>
          <w:color w:val="000000"/>
          <w:sz w:val="20"/>
          <w:szCs w:val="20"/>
        </w:rPr>
        <w:t>Because FT218 contains sodium oxybate, to conduct clinical trials with FT218 in the U.S. prior to approval, each of our research sites must submit a research protocol to the DEA and obtain and maintain a DEA researcher registration that allo</w:t>
      </w:r>
      <w:r>
        <w:rPr>
          <w:rFonts w:eastAsia="Times New Roman"/>
          <w:color w:val="000000"/>
          <w:sz w:val="20"/>
          <w:szCs w:val="20"/>
        </w:rPr>
        <w:t>ws those sites to handle and dispense FT218 and to obtain the product candidate. If the DEA delays or denies the grant of a researcher registration to one or more research sites, the clinical trial could be significantly delayed, and we could lose clinical</w:t>
      </w:r>
      <w:r>
        <w:rPr>
          <w:rFonts w:eastAsia="Times New Roman"/>
          <w:color w:val="000000"/>
          <w:sz w:val="20"/>
          <w:szCs w:val="20"/>
        </w:rPr>
        <w:t xml:space="preserve"> trial sites. In the event the product candidate would be made outside the U.S., the importer for the clinical trials must also obtain a Schedule I importer registration and an import permit for each import.</w:t>
      </w:r>
    </w:p>
    <w:p w14:paraId="7C4A9804" w14:textId="77777777" w:rsidR="00000000" w:rsidRDefault="000C49AD">
      <w:pPr>
        <w:jc w:val="both"/>
        <w:rPr>
          <w:rFonts w:eastAsia="Times New Roman"/>
        </w:rPr>
      </w:pPr>
    </w:p>
    <w:p w14:paraId="54B6C897" w14:textId="77777777" w:rsidR="00000000" w:rsidRDefault="000C49AD">
      <w:pPr>
        <w:jc w:val="both"/>
        <w:rPr>
          <w:rFonts w:eastAsia="Times New Roman"/>
        </w:rPr>
      </w:pPr>
      <w:r>
        <w:rPr>
          <w:rFonts w:eastAsia="Times New Roman"/>
          <w:color w:val="000000"/>
          <w:sz w:val="20"/>
          <w:szCs w:val="20"/>
        </w:rPr>
        <w:t xml:space="preserve">We and our manufacturing partners in the U.S. </w:t>
      </w:r>
      <w:r>
        <w:rPr>
          <w:rFonts w:eastAsia="Times New Roman"/>
          <w:color w:val="000000"/>
          <w:sz w:val="20"/>
          <w:szCs w:val="20"/>
        </w:rPr>
        <w:t>are subject to the DEA’s annual manufacturing and procurement quota requirements. Additionally, even though FT218, if approved, will be classified as Schedule III, the active ingredient in the final dosage form, sodium oxybate, is a Schedule I controlled s</w:t>
      </w:r>
      <w:r>
        <w:rPr>
          <w:rFonts w:eastAsia="Times New Roman"/>
          <w:color w:val="000000"/>
          <w:sz w:val="20"/>
          <w:szCs w:val="20"/>
        </w:rPr>
        <w:t>ubstance and will continue be subject to such quotas as long as it remains classified as Schedule I. The annual quota allocated to us or our U.S. manufacturing partners for sodium oxybate may not be sufficient to complete clinical trials or meet commercial</w:t>
      </w:r>
      <w:r>
        <w:rPr>
          <w:rFonts w:eastAsia="Times New Roman"/>
          <w:color w:val="000000"/>
          <w:sz w:val="20"/>
          <w:szCs w:val="20"/>
        </w:rPr>
        <w:t xml:space="preserve"> demand of FT218, if approved. Consequently, any delay or refusal by the DEA in establishing our, or U.S. manufacturing partner’s, procurement and/or production quota for controlled substances could delay or stop our clinical trials or commercial activitie</w:t>
      </w:r>
      <w:r>
        <w:rPr>
          <w:rFonts w:eastAsia="Times New Roman"/>
          <w:color w:val="000000"/>
          <w:sz w:val="20"/>
          <w:szCs w:val="20"/>
        </w:rPr>
        <w:t>s, if approved, which could have a material adverse effect on our business, financial position and results of operations.</w:t>
      </w:r>
    </w:p>
    <w:p w14:paraId="033A1B81" w14:textId="77777777" w:rsidR="00000000" w:rsidRDefault="000C49AD">
      <w:pPr>
        <w:jc w:val="both"/>
        <w:rPr>
          <w:rFonts w:eastAsia="Times New Roman"/>
        </w:rPr>
      </w:pPr>
    </w:p>
    <w:p w14:paraId="673DE4C0" w14:textId="77777777" w:rsidR="00000000" w:rsidRDefault="000C49AD">
      <w:pPr>
        <w:jc w:val="both"/>
        <w:rPr>
          <w:rFonts w:eastAsia="Times New Roman"/>
        </w:rPr>
      </w:pPr>
      <w:r>
        <w:rPr>
          <w:rFonts w:eastAsia="Times New Roman"/>
          <w:color w:val="000000"/>
          <w:sz w:val="20"/>
          <w:szCs w:val="20"/>
        </w:rPr>
        <w:t>If approved, FT218 will be classified as a Schedule III substance and an importer can import it for commercial purposes if it obtain</w:t>
      </w:r>
      <w:r>
        <w:rPr>
          <w:rFonts w:eastAsia="Times New Roman"/>
          <w:color w:val="000000"/>
          <w:sz w:val="20"/>
          <w:szCs w:val="20"/>
        </w:rPr>
        <w:t>s the appropriate registrations and licenses from the DEA, including an importer registration and files an application for an import permit for each import. The DEA provides annual assessments/estimates to the International Narcotics Control Board, which g</w:t>
      </w:r>
      <w:r>
        <w:rPr>
          <w:rFonts w:eastAsia="Times New Roman"/>
          <w:color w:val="000000"/>
          <w:sz w:val="20"/>
          <w:szCs w:val="20"/>
        </w:rPr>
        <w:t>uides the DEA in the amounts of controlled substances that the DEA authorizes to be imported. To the extent an importer is utilized for commercial purposes, failure by any current importer or future importer that we identify as an importer, if any are avai</w:t>
      </w:r>
      <w:r>
        <w:rPr>
          <w:rFonts w:eastAsia="Times New Roman"/>
          <w:color w:val="000000"/>
          <w:sz w:val="20"/>
          <w:szCs w:val="20"/>
        </w:rPr>
        <w:t>lable, to obtain and maintain the necessary import authority from the DEA and other applicable regulatory authorities, including specific quantities, could affect the availability of FT218 and have a material adverse effect on our business, results of oper</w:t>
      </w:r>
      <w:r>
        <w:rPr>
          <w:rFonts w:eastAsia="Times New Roman"/>
          <w:color w:val="000000"/>
          <w:sz w:val="20"/>
          <w:szCs w:val="20"/>
        </w:rPr>
        <w:t xml:space="preserve">ations and financial condition. </w:t>
      </w:r>
    </w:p>
    <w:p w14:paraId="4C7D7F21" w14:textId="77777777" w:rsidR="00000000" w:rsidRDefault="000C49AD">
      <w:pPr>
        <w:jc w:val="both"/>
        <w:rPr>
          <w:rFonts w:eastAsia="Times New Roman"/>
        </w:rPr>
      </w:pPr>
    </w:p>
    <w:p w14:paraId="0582FC9E" w14:textId="77777777" w:rsidR="00000000" w:rsidRDefault="000C49AD">
      <w:pPr>
        <w:jc w:val="both"/>
        <w:rPr>
          <w:rFonts w:eastAsia="Times New Roman"/>
        </w:rPr>
      </w:pPr>
      <w:r>
        <w:rPr>
          <w:rFonts w:eastAsia="Times New Roman"/>
          <w:color w:val="000000"/>
          <w:sz w:val="20"/>
          <w:szCs w:val="20"/>
        </w:rPr>
        <w:t>Governments outside of the U.S. have similar controlled substance laws, regulations and requirements in their respective jurisdictions, and our failure, or the failure of third parties upon whom we rely, to comply with ap</w:t>
      </w:r>
      <w:r>
        <w:rPr>
          <w:rFonts w:eastAsia="Times New Roman"/>
          <w:color w:val="000000"/>
          <w:sz w:val="20"/>
          <w:szCs w:val="20"/>
        </w:rPr>
        <w:t>plicable controlled substance laws, regulations and requirements or secure necessary authorizations would result in similar risks to those described above.</w:t>
      </w:r>
    </w:p>
    <w:p w14:paraId="0D21F4E5" w14:textId="77777777" w:rsidR="00000000" w:rsidRDefault="000C49AD">
      <w:pPr>
        <w:divId w:val="1810436541"/>
        <w:rPr>
          <w:rFonts w:eastAsia="Times New Roman"/>
        </w:rPr>
      </w:pPr>
    </w:p>
    <w:p w14:paraId="6ABCB135" w14:textId="77777777" w:rsidR="00000000" w:rsidRDefault="000C49AD">
      <w:pPr>
        <w:jc w:val="both"/>
        <w:rPr>
          <w:rFonts w:eastAsia="Times New Roman"/>
        </w:rPr>
      </w:pPr>
      <w:r>
        <w:rPr>
          <w:rFonts w:eastAsia="Times New Roman"/>
          <w:b/>
          <w:bCs/>
          <w:i/>
          <w:iCs/>
          <w:color w:val="000000"/>
          <w:sz w:val="20"/>
          <w:szCs w:val="20"/>
        </w:rPr>
        <w:t>We will need to obtain FDA approval of any proposed product names, and any failure or delay associ</w:t>
      </w:r>
      <w:r>
        <w:rPr>
          <w:rFonts w:eastAsia="Times New Roman"/>
          <w:b/>
          <w:bCs/>
          <w:i/>
          <w:iCs/>
          <w:color w:val="000000"/>
          <w:sz w:val="20"/>
          <w:szCs w:val="20"/>
        </w:rPr>
        <w:t>ated with such approval may adversely impact our business.</w:t>
      </w:r>
    </w:p>
    <w:p w14:paraId="63E72B0C" w14:textId="77777777" w:rsidR="00000000" w:rsidRDefault="000C49AD">
      <w:pPr>
        <w:jc w:val="both"/>
        <w:rPr>
          <w:rFonts w:eastAsia="Times New Roman"/>
        </w:rPr>
      </w:pPr>
    </w:p>
    <w:p w14:paraId="366B61AC" w14:textId="77777777" w:rsidR="00000000" w:rsidRDefault="000C49AD">
      <w:pPr>
        <w:jc w:val="both"/>
        <w:rPr>
          <w:rFonts w:eastAsia="Times New Roman"/>
        </w:rPr>
      </w:pPr>
      <w:r>
        <w:rPr>
          <w:rFonts w:eastAsia="Times New Roman"/>
          <w:color w:val="000000"/>
          <w:sz w:val="20"/>
          <w:szCs w:val="20"/>
        </w:rPr>
        <w:t>Any name we intend to use for our product candidates will require approval from the FDA regardless of whether we have secured a trademark registration from the USPTO. The FDA typically conducts a</w:t>
      </w:r>
      <w:r>
        <w:rPr>
          <w:rFonts w:eastAsia="Times New Roman"/>
          <w:color w:val="000000"/>
          <w:sz w:val="20"/>
          <w:szCs w:val="20"/>
        </w:rPr>
        <w:t xml:space="preserve"> review of proposed product names, including an evaluation of potential for confusion with other product names. The FDA may object to any product name we submit if it believes the name inappropriately implies medical claims. If the FDA objects to any of ou</w:t>
      </w:r>
      <w:r>
        <w:rPr>
          <w:rFonts w:eastAsia="Times New Roman"/>
          <w:color w:val="000000"/>
          <w:sz w:val="20"/>
          <w:szCs w:val="20"/>
        </w:rPr>
        <w:t>r proposed product names, we may be required to adopt an alternative name for our product candidates. If we adopt an alternative name, we would lose the benefit of any existing trademark applications for such product candidate and may be required to expend</w:t>
      </w:r>
      <w:r>
        <w:rPr>
          <w:rFonts w:eastAsia="Times New Roman"/>
          <w:color w:val="000000"/>
          <w:sz w:val="20"/>
          <w:szCs w:val="20"/>
        </w:rPr>
        <w:t xml:space="preserve"> significant additional resources in an effort to identify a suitable product name that would qualify under applicable trademark laws, not infringe the existing rights of third parties and be acceptable to the FDA. We may be unable to build a successful br</w:t>
      </w:r>
      <w:r>
        <w:rPr>
          <w:rFonts w:eastAsia="Times New Roman"/>
          <w:color w:val="000000"/>
          <w:sz w:val="20"/>
          <w:szCs w:val="20"/>
        </w:rPr>
        <w:t>and identity for a new trademark in a timely manner or at all, which would limit our ability to commercialize our product candidates.</w:t>
      </w:r>
    </w:p>
    <w:p w14:paraId="508ED60E" w14:textId="77777777" w:rsidR="00000000" w:rsidRDefault="000C49AD">
      <w:pPr>
        <w:jc w:val="both"/>
        <w:rPr>
          <w:rFonts w:eastAsia="Times New Roman"/>
        </w:rPr>
      </w:pPr>
    </w:p>
    <w:p w14:paraId="12B6B75F" w14:textId="77777777" w:rsidR="00000000" w:rsidRDefault="000C49AD">
      <w:pPr>
        <w:jc w:val="both"/>
        <w:rPr>
          <w:rFonts w:eastAsia="Times New Roman"/>
        </w:rPr>
      </w:pPr>
      <w:r>
        <w:rPr>
          <w:rFonts w:eastAsia="Times New Roman"/>
          <w:b/>
          <w:bCs/>
          <w:color w:val="000000"/>
          <w:sz w:val="20"/>
          <w:szCs w:val="20"/>
        </w:rPr>
        <w:t>Risks Related to our Reliance on Third-Parties</w:t>
      </w:r>
    </w:p>
    <w:p w14:paraId="06A57AA7" w14:textId="77777777" w:rsidR="00000000" w:rsidRDefault="000C49AD">
      <w:pPr>
        <w:jc w:val="both"/>
        <w:rPr>
          <w:rFonts w:eastAsia="Times New Roman"/>
        </w:rPr>
      </w:pPr>
    </w:p>
    <w:p w14:paraId="155F028E" w14:textId="77777777" w:rsidR="00000000" w:rsidRDefault="000C49AD">
      <w:pPr>
        <w:jc w:val="both"/>
        <w:rPr>
          <w:rFonts w:eastAsia="Times New Roman"/>
        </w:rPr>
      </w:pPr>
      <w:r>
        <w:rPr>
          <w:rFonts w:eastAsia="Times New Roman"/>
          <w:b/>
          <w:bCs/>
          <w:i/>
          <w:iCs/>
          <w:color w:val="000000"/>
          <w:sz w:val="20"/>
          <w:szCs w:val="20"/>
        </w:rPr>
        <w:t>We rely, and intend to continue to rely on single source providers</w:t>
      </w:r>
      <w:r>
        <w:rPr>
          <w:rFonts w:eastAsia="Times New Roman"/>
          <w:color w:val="000000"/>
          <w:sz w:val="20"/>
          <w:szCs w:val="20"/>
        </w:rPr>
        <w:t xml:space="preserve"> </w:t>
      </w:r>
      <w:r>
        <w:rPr>
          <w:rFonts w:eastAsia="Times New Roman"/>
          <w:b/>
          <w:bCs/>
          <w:i/>
          <w:iCs/>
          <w:color w:val="000000"/>
          <w:sz w:val="20"/>
          <w:szCs w:val="20"/>
        </w:rPr>
        <w:t xml:space="preserve">for </w:t>
      </w:r>
      <w:r>
        <w:rPr>
          <w:rFonts w:eastAsia="Times New Roman"/>
          <w:b/>
          <w:bCs/>
          <w:i/>
          <w:iCs/>
          <w:color w:val="000000"/>
          <w:sz w:val="20"/>
          <w:szCs w:val="20"/>
        </w:rPr>
        <w:t xml:space="preserve">the development, manufacture and supply of FT218, and if we experience problems with these suppliers, or they fail to comply with applicable regulatory requirements or to </w:t>
      </w:r>
    </w:p>
    <w:p w14:paraId="78F1C9AA" w14:textId="77777777" w:rsidR="00000000" w:rsidRDefault="000C49AD">
      <w:pPr>
        <w:jc w:val="center"/>
        <w:divId w:val="2065988138"/>
        <w:rPr>
          <w:rFonts w:eastAsia="Times New Roman"/>
        </w:rPr>
      </w:pPr>
      <w:r>
        <w:rPr>
          <w:rFonts w:eastAsia="Times New Roman"/>
          <w:color w:val="000000"/>
          <w:sz w:val="20"/>
          <w:szCs w:val="20"/>
        </w:rPr>
        <w:t>-37-</w:t>
      </w:r>
    </w:p>
    <w:p w14:paraId="6ED274EB" w14:textId="77777777" w:rsidR="00000000" w:rsidRDefault="000C49AD">
      <w:pPr>
        <w:rPr>
          <w:rFonts w:eastAsia="Times New Roman"/>
        </w:rPr>
      </w:pPr>
      <w:r>
        <w:rPr>
          <w:rFonts w:eastAsia="Times New Roman"/>
        </w:rPr>
        <w:pict w14:anchorId="2A66BF0F">
          <v:rect id="_x0000_i1061" style="width:0;height:1.5pt" o:hralign="center" o:hrstd="t" o:hr="t" fillcolor="#a0a0a0" stroked="f"/>
        </w:pict>
      </w:r>
    </w:p>
    <w:p w14:paraId="1ADC4672" w14:textId="77777777" w:rsidR="00000000" w:rsidRDefault="000C49AD">
      <w:pPr>
        <w:divId w:val="886718942"/>
        <w:rPr>
          <w:rFonts w:eastAsia="Times New Roman"/>
        </w:rPr>
      </w:pPr>
    </w:p>
    <w:p w14:paraId="0F874C9F" w14:textId="77777777" w:rsidR="00000000" w:rsidRDefault="000C49AD">
      <w:pPr>
        <w:jc w:val="both"/>
        <w:rPr>
          <w:rFonts w:eastAsia="Times New Roman"/>
        </w:rPr>
      </w:pPr>
      <w:r>
        <w:rPr>
          <w:rFonts w:eastAsia="Times New Roman"/>
          <w:b/>
          <w:bCs/>
          <w:i/>
          <w:iCs/>
          <w:color w:val="000000"/>
          <w:sz w:val="20"/>
          <w:szCs w:val="20"/>
        </w:rPr>
        <w:t>supply sufficient quantities at acceptable quality levels or prices, or at all, our business would be materially and adversely affected.</w:t>
      </w:r>
    </w:p>
    <w:p w14:paraId="549334FF" w14:textId="77777777" w:rsidR="00000000" w:rsidRDefault="000C49AD">
      <w:pPr>
        <w:jc w:val="both"/>
        <w:rPr>
          <w:rFonts w:eastAsia="Times New Roman"/>
        </w:rPr>
      </w:pPr>
    </w:p>
    <w:p w14:paraId="2E64EE2F" w14:textId="77777777" w:rsidR="00000000" w:rsidRDefault="000C49AD">
      <w:pPr>
        <w:jc w:val="both"/>
        <w:rPr>
          <w:rFonts w:eastAsia="Times New Roman"/>
        </w:rPr>
      </w:pPr>
      <w:r>
        <w:rPr>
          <w:rFonts w:eastAsia="Times New Roman"/>
          <w:color w:val="000000"/>
          <w:sz w:val="20"/>
          <w:szCs w:val="20"/>
        </w:rPr>
        <w:t>Currently, we use single source providers for the development, supply of clinic</w:t>
      </w:r>
      <w:r>
        <w:rPr>
          <w:rFonts w:eastAsia="Times New Roman"/>
          <w:color w:val="000000"/>
          <w:sz w:val="20"/>
          <w:szCs w:val="20"/>
        </w:rPr>
        <w:t>al materials and supply of commercial batches for our lead product candidate, FT218. We do not own or operate manufacturing facilities for clinical or commercial manufacture of FT218. We have limited personnel with experience in drug manufacturing and we l</w:t>
      </w:r>
      <w:r>
        <w:rPr>
          <w:rFonts w:eastAsia="Times New Roman"/>
          <w:color w:val="000000"/>
          <w:sz w:val="20"/>
          <w:szCs w:val="20"/>
        </w:rPr>
        <w:t>ack the capabilities to manufacture FT218 clinical or commercial scale. There can be no assurance that our clinical development or commercial product supplies will not be limited, interrupted, or of satisfactory quality or continue to be available at accep</w:t>
      </w:r>
      <w:r>
        <w:rPr>
          <w:rFonts w:eastAsia="Times New Roman"/>
          <w:color w:val="000000"/>
          <w:sz w:val="20"/>
          <w:szCs w:val="20"/>
        </w:rPr>
        <w:t>table quantities or prices to meet commercial demand, if FT218 is approved. If the supplies of these products or materials were interrupted for any reason, including but not limited to, natural disasters, labor or civil unrest, global health concerns or pa</w:t>
      </w:r>
      <w:r>
        <w:rPr>
          <w:rFonts w:eastAsia="Times New Roman"/>
          <w:color w:val="000000"/>
          <w:sz w:val="20"/>
          <w:szCs w:val="20"/>
        </w:rPr>
        <w:t>ndemics or acts of war or terrorism, delays at the manufacturer, delays related to quality control, delays related to the supply chain and the manufacturing and supply of certain products could be delayed. If the supplies of these products or materials wer</w:t>
      </w:r>
      <w:r>
        <w:rPr>
          <w:rFonts w:eastAsia="Times New Roman"/>
          <w:color w:val="000000"/>
          <w:sz w:val="20"/>
          <w:szCs w:val="20"/>
        </w:rPr>
        <w:t>e interrupted for any reason, our manufacturing, clinical development or commercial activities, if approved, of FT218 could be delayed. These delays could be extensive and expensive, especially in situations where a substitution was not readily available o</w:t>
      </w:r>
      <w:r>
        <w:rPr>
          <w:rFonts w:eastAsia="Times New Roman"/>
          <w:color w:val="000000"/>
          <w:sz w:val="20"/>
          <w:szCs w:val="20"/>
        </w:rPr>
        <w:t>r required variations of existing regulatory approvals and certifications or additional regulatory approval For example, an alternative supplier may be required to pass an inspection by the FDA, EMA or the competent authorities of EU Member States for comp</w:t>
      </w:r>
      <w:r>
        <w:rPr>
          <w:rFonts w:eastAsia="Times New Roman"/>
          <w:color w:val="000000"/>
          <w:sz w:val="20"/>
          <w:szCs w:val="20"/>
        </w:rPr>
        <w:t>liance with current cGMP requirements before supplying us with product or before we may incorporate that supplier’s ingredients into the manufacturing of FT218 by our contract development and manufacturing organizations (“CDMOs”).</w:t>
      </w:r>
    </w:p>
    <w:p w14:paraId="711248DA" w14:textId="77777777" w:rsidR="00000000" w:rsidRDefault="000C49AD">
      <w:pPr>
        <w:jc w:val="both"/>
        <w:rPr>
          <w:rFonts w:eastAsia="Times New Roman"/>
        </w:rPr>
      </w:pPr>
    </w:p>
    <w:p w14:paraId="6581D3D8" w14:textId="77777777" w:rsidR="00000000" w:rsidRDefault="000C49AD">
      <w:pPr>
        <w:jc w:val="both"/>
        <w:rPr>
          <w:rFonts w:eastAsia="Times New Roman"/>
        </w:rPr>
      </w:pPr>
      <w:r>
        <w:rPr>
          <w:rFonts w:eastAsia="Times New Roman"/>
          <w:color w:val="000000"/>
          <w:sz w:val="20"/>
          <w:szCs w:val="20"/>
        </w:rPr>
        <w:t>Additionally, our third</w:t>
      </w:r>
      <w:r>
        <w:rPr>
          <w:rFonts w:eastAsia="Times New Roman"/>
          <w:color w:val="000000"/>
          <w:sz w:val="20"/>
          <w:szCs w:val="20"/>
        </w:rPr>
        <w:t xml:space="preserve">-party suppliers may not be required to, or may be unable to, provide us with any guaranteed minimum production levels or have sufficient dedicated capacity for our drug. Failure to obtain adequate supplies in a timely manner could have a material adverse </w:t>
      </w:r>
      <w:r>
        <w:rPr>
          <w:rFonts w:eastAsia="Times New Roman"/>
          <w:color w:val="000000"/>
          <w:sz w:val="20"/>
          <w:szCs w:val="20"/>
        </w:rPr>
        <w:t>effect on our business, financial condition and results of operations.</w:t>
      </w:r>
    </w:p>
    <w:p w14:paraId="40A90107" w14:textId="77777777" w:rsidR="00000000" w:rsidRDefault="000C49AD">
      <w:pPr>
        <w:divId w:val="928007519"/>
        <w:rPr>
          <w:rFonts w:eastAsia="Times New Roman"/>
        </w:rPr>
      </w:pPr>
    </w:p>
    <w:p w14:paraId="2E99312D" w14:textId="77777777" w:rsidR="00000000" w:rsidRDefault="000C49AD">
      <w:pPr>
        <w:jc w:val="both"/>
        <w:rPr>
          <w:rFonts w:eastAsia="Times New Roman"/>
        </w:rPr>
      </w:pPr>
      <w:r>
        <w:rPr>
          <w:rFonts w:eastAsia="Times New Roman"/>
          <w:b/>
          <w:bCs/>
          <w:i/>
          <w:iCs/>
          <w:color w:val="000000"/>
          <w:sz w:val="20"/>
          <w:szCs w:val="20"/>
        </w:rPr>
        <w:t>We contract with third parties for the manufacture of FT218 for clinical testing and expect to continue to do so throughout commercialization. This reliance on third parties increases</w:t>
      </w:r>
      <w:r>
        <w:rPr>
          <w:rFonts w:eastAsia="Times New Roman"/>
          <w:b/>
          <w:bCs/>
          <w:i/>
          <w:iCs/>
          <w:color w:val="000000"/>
          <w:sz w:val="20"/>
          <w:szCs w:val="20"/>
        </w:rPr>
        <w:t xml:space="preserve"> the risk that we will not have sufficient quantities of our product candidate or product or such quantities at an acceptable cost, which could delay, prevent or impair our development or commercialization efforts.</w:t>
      </w:r>
      <w:r>
        <w:rPr>
          <w:rFonts w:eastAsia="Times New Roman"/>
          <w:color w:val="000000"/>
          <w:sz w:val="20"/>
          <w:szCs w:val="20"/>
        </w:rPr>
        <w:t xml:space="preserve"> </w:t>
      </w:r>
    </w:p>
    <w:p w14:paraId="460057B3" w14:textId="77777777" w:rsidR="00000000" w:rsidRDefault="000C49AD">
      <w:pPr>
        <w:jc w:val="both"/>
        <w:rPr>
          <w:rFonts w:eastAsia="Times New Roman"/>
        </w:rPr>
      </w:pPr>
    </w:p>
    <w:p w14:paraId="16314B64" w14:textId="77777777" w:rsidR="00000000" w:rsidRDefault="000C49AD">
      <w:pPr>
        <w:jc w:val="both"/>
        <w:rPr>
          <w:rFonts w:eastAsia="Times New Roman"/>
        </w:rPr>
      </w:pPr>
      <w:r>
        <w:rPr>
          <w:rFonts w:eastAsia="Times New Roman"/>
          <w:color w:val="000000"/>
          <w:sz w:val="20"/>
          <w:szCs w:val="20"/>
        </w:rPr>
        <w:t>We do not currently own or operate, no</w:t>
      </w:r>
      <w:r>
        <w:rPr>
          <w:rFonts w:eastAsia="Times New Roman"/>
          <w:color w:val="000000"/>
          <w:sz w:val="20"/>
          <w:szCs w:val="20"/>
        </w:rPr>
        <w:t xml:space="preserve">r do we have any plans to establish in the future, any manufacturing facilities. We rely, and expect to continue to rely, on third parties for the manufacture of FT218 for clinical testing, as well as for the commercial manufacture of our product if FT218 </w:t>
      </w:r>
      <w:r>
        <w:rPr>
          <w:rFonts w:eastAsia="Times New Roman"/>
          <w:color w:val="000000"/>
          <w:sz w:val="20"/>
          <w:szCs w:val="20"/>
        </w:rPr>
        <w:t>receives marketing approval. This reliance on third parties increases the risk that we will not have sufficient quantities of our product candidate or product or such quantities at an acceptable cost or quality, which could delay, prevent or impair our dev</w:t>
      </w:r>
      <w:r>
        <w:rPr>
          <w:rFonts w:eastAsia="Times New Roman"/>
          <w:color w:val="000000"/>
          <w:sz w:val="20"/>
          <w:szCs w:val="20"/>
        </w:rPr>
        <w:t xml:space="preserve">elopment or commercialization efforts. </w:t>
      </w:r>
    </w:p>
    <w:p w14:paraId="7C25FB3D" w14:textId="77777777" w:rsidR="00000000" w:rsidRDefault="000C49AD">
      <w:pPr>
        <w:jc w:val="both"/>
        <w:rPr>
          <w:rFonts w:eastAsia="Times New Roman"/>
        </w:rPr>
      </w:pPr>
    </w:p>
    <w:p w14:paraId="5824510A" w14:textId="77777777" w:rsidR="00000000" w:rsidRDefault="000C49AD">
      <w:pPr>
        <w:jc w:val="both"/>
        <w:rPr>
          <w:rFonts w:eastAsia="Times New Roman"/>
        </w:rPr>
      </w:pPr>
      <w:r>
        <w:rPr>
          <w:rFonts w:eastAsia="Times New Roman"/>
          <w:color w:val="000000"/>
          <w:sz w:val="20"/>
          <w:szCs w:val="20"/>
        </w:rPr>
        <w:t>The facilities used by CDMOs generally must be inspected by the FDA pursuant to pre-approval inspections conducted as a part of the FDA’s review of an NDA. We do not control the manufacturing process of, and will b</w:t>
      </w:r>
      <w:r>
        <w:rPr>
          <w:rFonts w:eastAsia="Times New Roman"/>
          <w:color w:val="000000"/>
          <w:sz w:val="20"/>
          <w:szCs w:val="20"/>
        </w:rPr>
        <w:t xml:space="preserve">e completely dependent on, our CDMOs for compliance with cGMPs in connection with the manufacture of our product candidate. If our CDMOs cannot successfully manufacture material that conforms to our specifications and the strict regulatory requirements of </w:t>
      </w:r>
      <w:r>
        <w:rPr>
          <w:rFonts w:eastAsia="Times New Roman"/>
          <w:color w:val="000000"/>
          <w:sz w:val="20"/>
          <w:szCs w:val="20"/>
        </w:rPr>
        <w:t>the FDA or others, they will not be able to pass regulatory inspections and/or maintain regulatory compliance for their manufacturing facilities. In addition, we have no control over the ability of our CDMOs to maintain adequate quality control, quality as</w:t>
      </w:r>
      <w:r>
        <w:rPr>
          <w:rFonts w:eastAsia="Times New Roman"/>
          <w:color w:val="000000"/>
          <w:sz w:val="20"/>
          <w:szCs w:val="20"/>
        </w:rPr>
        <w:t>surance and qualified personnel. If the FDA or a comparable foreign regulatory authority finds deficiencies with or does not approve these facilities for the manufacture of our product candidate or if it finds deficiencies or withdraws any such approval in</w:t>
      </w:r>
      <w:r>
        <w:rPr>
          <w:rFonts w:eastAsia="Times New Roman"/>
          <w:color w:val="000000"/>
          <w:sz w:val="20"/>
          <w:szCs w:val="20"/>
        </w:rPr>
        <w:t xml:space="preserve"> the future, we may need to find alternative manufacturing facilities, which would significantly impact our ability to develop, obtain regulatory approval for or market our product candidate, if approved. </w:t>
      </w:r>
    </w:p>
    <w:p w14:paraId="0445CC78" w14:textId="77777777" w:rsidR="00000000" w:rsidRDefault="000C49AD">
      <w:pPr>
        <w:jc w:val="both"/>
        <w:rPr>
          <w:rFonts w:eastAsia="Times New Roman"/>
        </w:rPr>
      </w:pPr>
    </w:p>
    <w:p w14:paraId="04C1D749" w14:textId="77777777" w:rsidR="00000000" w:rsidRDefault="000C49AD">
      <w:pPr>
        <w:jc w:val="both"/>
        <w:rPr>
          <w:rFonts w:eastAsia="Times New Roman"/>
        </w:rPr>
      </w:pPr>
      <w:r>
        <w:rPr>
          <w:rFonts w:eastAsia="Times New Roman"/>
          <w:color w:val="000000"/>
          <w:sz w:val="20"/>
          <w:szCs w:val="20"/>
        </w:rPr>
        <w:t>CDMOs upon whom we rely are also required to com</w:t>
      </w:r>
      <w:r>
        <w:rPr>
          <w:rFonts w:eastAsia="Times New Roman"/>
          <w:color w:val="000000"/>
          <w:sz w:val="20"/>
          <w:szCs w:val="20"/>
        </w:rPr>
        <w:t>ply with the CSA, DEA regulations and other applicable controlled substance laws, regulations and requirements in other countries, where applicable, including and those relating to licensing and registration requirements. The inability of our CDMOs to main</w:t>
      </w:r>
      <w:r>
        <w:rPr>
          <w:rFonts w:eastAsia="Times New Roman"/>
          <w:color w:val="000000"/>
          <w:sz w:val="20"/>
          <w:szCs w:val="20"/>
        </w:rPr>
        <w:t>tain compliance with applicable controlled substance laws, regulations and requirements and obtain and maintain the necessary licenses and registrations could have a material adverse effect on our business, including our clinical trials, commercial activit</w:t>
      </w:r>
      <w:r>
        <w:rPr>
          <w:rFonts w:eastAsia="Times New Roman"/>
          <w:color w:val="000000"/>
          <w:sz w:val="20"/>
          <w:szCs w:val="20"/>
        </w:rPr>
        <w:t>ies, if approved, financial position and results of operations.</w:t>
      </w:r>
    </w:p>
    <w:p w14:paraId="1B6CCE22" w14:textId="77777777" w:rsidR="00000000" w:rsidRDefault="000C49AD">
      <w:pPr>
        <w:jc w:val="both"/>
        <w:rPr>
          <w:rFonts w:eastAsia="Times New Roman"/>
        </w:rPr>
      </w:pPr>
    </w:p>
    <w:p w14:paraId="382CB42F" w14:textId="77777777" w:rsidR="00000000" w:rsidRDefault="000C49AD">
      <w:pPr>
        <w:jc w:val="both"/>
        <w:rPr>
          <w:rFonts w:eastAsia="Times New Roman"/>
        </w:rPr>
      </w:pPr>
      <w:r>
        <w:rPr>
          <w:rFonts w:eastAsia="Times New Roman"/>
          <w:color w:val="000000"/>
          <w:sz w:val="20"/>
          <w:szCs w:val="20"/>
        </w:rPr>
        <w:t xml:space="preserve">If any CDMO with whom we contract fails to perform its obligations, we may be forced to enter into an agreement with a different CDMO, which we may not be able to do on reasonable terms, if </w:t>
      </w:r>
      <w:r>
        <w:rPr>
          <w:rFonts w:eastAsia="Times New Roman"/>
          <w:color w:val="000000"/>
          <w:sz w:val="20"/>
          <w:szCs w:val="20"/>
        </w:rPr>
        <w:t xml:space="preserve">at all. In such scenario, our clinical trials or commercial supply could be delayed significantly as we establish alternative supply sources. In some cases, the technical skills required to manufacture our product candidate or product, if approved, may be </w:t>
      </w:r>
      <w:r>
        <w:rPr>
          <w:rFonts w:eastAsia="Times New Roman"/>
          <w:color w:val="000000"/>
          <w:sz w:val="20"/>
          <w:szCs w:val="20"/>
        </w:rPr>
        <w:t>unique or proprietary to the original CDMO and we may have difficulty, or there may be contractual restrictions prohibiting us from, transferring such skills to a back-up or alternate supplier, or we may be unable to transfer such skills at all. In additio</w:t>
      </w:r>
      <w:r>
        <w:rPr>
          <w:rFonts w:eastAsia="Times New Roman"/>
          <w:color w:val="000000"/>
          <w:sz w:val="20"/>
          <w:szCs w:val="20"/>
        </w:rPr>
        <w:t xml:space="preserve">n, if we are required to change CDMOs for any </w:t>
      </w:r>
    </w:p>
    <w:p w14:paraId="26095401" w14:textId="77777777" w:rsidR="00000000" w:rsidRDefault="000C49AD">
      <w:pPr>
        <w:jc w:val="center"/>
        <w:divId w:val="1743722865"/>
        <w:rPr>
          <w:rFonts w:eastAsia="Times New Roman"/>
        </w:rPr>
      </w:pPr>
      <w:r>
        <w:rPr>
          <w:rFonts w:eastAsia="Times New Roman"/>
          <w:color w:val="000000"/>
          <w:sz w:val="20"/>
          <w:szCs w:val="20"/>
        </w:rPr>
        <w:t>-38-</w:t>
      </w:r>
    </w:p>
    <w:p w14:paraId="4EE8778A" w14:textId="77777777" w:rsidR="00000000" w:rsidRDefault="000C49AD">
      <w:pPr>
        <w:rPr>
          <w:rFonts w:eastAsia="Times New Roman"/>
        </w:rPr>
      </w:pPr>
      <w:r>
        <w:rPr>
          <w:rFonts w:eastAsia="Times New Roman"/>
        </w:rPr>
        <w:pict w14:anchorId="42BC5EC4">
          <v:rect id="_x0000_i1062" style="width:0;height:1.5pt" o:hralign="center" o:hrstd="t" o:hr="t" fillcolor="#a0a0a0" stroked="f"/>
        </w:pict>
      </w:r>
    </w:p>
    <w:p w14:paraId="473EC66B" w14:textId="77777777" w:rsidR="00000000" w:rsidRDefault="000C49AD">
      <w:pPr>
        <w:divId w:val="73553426"/>
        <w:rPr>
          <w:rFonts w:eastAsia="Times New Roman"/>
        </w:rPr>
      </w:pPr>
    </w:p>
    <w:p w14:paraId="4E4ED62E" w14:textId="77777777" w:rsidR="00000000" w:rsidRDefault="000C49AD">
      <w:pPr>
        <w:jc w:val="both"/>
        <w:rPr>
          <w:rFonts w:eastAsia="Times New Roman"/>
        </w:rPr>
      </w:pPr>
      <w:r>
        <w:rPr>
          <w:rFonts w:eastAsia="Times New Roman"/>
          <w:color w:val="000000"/>
          <w:sz w:val="20"/>
          <w:szCs w:val="20"/>
        </w:rPr>
        <w:t>reason, we will be required to verify that the new CDMO maintains facilities and procedures that comply with quality standards and with all applicable regulations, in</w:t>
      </w:r>
      <w:r>
        <w:rPr>
          <w:rFonts w:eastAsia="Times New Roman"/>
          <w:color w:val="000000"/>
          <w:sz w:val="20"/>
          <w:szCs w:val="20"/>
        </w:rPr>
        <w:t>cluding those relating to controlled substances. We will also need to verify, such as through a manufacturing comparability study, that any new manufacturing process will produce our product candidate or product according to the specifications previously s</w:t>
      </w:r>
      <w:r>
        <w:rPr>
          <w:rFonts w:eastAsia="Times New Roman"/>
          <w:color w:val="000000"/>
          <w:sz w:val="20"/>
          <w:szCs w:val="20"/>
        </w:rPr>
        <w:t>ubmitted to or approved by the FDA or another regulatory authority. The delays associated with the verification of a new CDMO could negatively affect our ability to develop FT218 or commercialize our product, if approved, in a timely manner or within budge</w:t>
      </w:r>
      <w:r>
        <w:rPr>
          <w:rFonts w:eastAsia="Times New Roman"/>
          <w:color w:val="000000"/>
          <w:sz w:val="20"/>
          <w:szCs w:val="20"/>
        </w:rPr>
        <w:t xml:space="preserve">t. Furthermore, a CDMO may possess technology related to the manufacture of our product candidate or product that such CDMO owns independently. This would increase our reliance on such CDMO or require us to obtain a license from such CDMO in order to have </w:t>
      </w:r>
      <w:r>
        <w:rPr>
          <w:rFonts w:eastAsia="Times New Roman"/>
          <w:color w:val="000000"/>
          <w:sz w:val="20"/>
          <w:szCs w:val="20"/>
        </w:rPr>
        <w:t>another CDMO manufacture our product candidate or product. In addition, in the case of CDMOs that supply our product candidate, changes in manufacturers often involve changes in manufacturing procedures and processes, which could require that we conduct br</w:t>
      </w:r>
      <w:r>
        <w:rPr>
          <w:rFonts w:eastAsia="Times New Roman"/>
          <w:color w:val="000000"/>
          <w:sz w:val="20"/>
          <w:szCs w:val="20"/>
        </w:rPr>
        <w:t>idging studies between our prior clinical supply used in our clinical trials and that of any new manufacturer. We may be unsuccessful in demonstrating the comparability of clinical supplies which could require the conduct of additional clinical trials.</w:t>
      </w:r>
    </w:p>
    <w:p w14:paraId="417B7E59" w14:textId="77777777" w:rsidR="00000000" w:rsidRDefault="000C49AD">
      <w:pPr>
        <w:jc w:val="both"/>
        <w:rPr>
          <w:rFonts w:eastAsia="Times New Roman"/>
        </w:rPr>
      </w:pPr>
    </w:p>
    <w:p w14:paraId="39AAFBCB" w14:textId="77777777" w:rsidR="00000000" w:rsidRDefault="000C49AD">
      <w:pPr>
        <w:jc w:val="both"/>
        <w:rPr>
          <w:rFonts w:eastAsia="Times New Roman"/>
        </w:rPr>
      </w:pPr>
      <w:r>
        <w:rPr>
          <w:rFonts w:eastAsia="Times New Roman"/>
          <w:color w:val="000000"/>
          <w:sz w:val="20"/>
          <w:szCs w:val="20"/>
        </w:rPr>
        <w:t>F</w:t>
      </w:r>
      <w:r>
        <w:rPr>
          <w:rFonts w:eastAsia="Times New Roman"/>
          <w:color w:val="000000"/>
          <w:sz w:val="20"/>
          <w:szCs w:val="20"/>
        </w:rPr>
        <w:t>urther, our failure, or the failure of our third party manufacturers, to comply with applicable regulations could result in sanctions being imposed on us, including clinical holds, fines, injunctions, civil penalties, delays, suspension or withdrawal of ap</w:t>
      </w:r>
      <w:r>
        <w:rPr>
          <w:rFonts w:eastAsia="Times New Roman"/>
          <w:color w:val="000000"/>
          <w:sz w:val="20"/>
          <w:szCs w:val="20"/>
        </w:rPr>
        <w:t xml:space="preserve">provals, license revocation, seizures or recalls of product candidates or products, if approved, operating restrictions and criminal prosecutions, any of which could significantly and adversely affect our business and supplies of our product candidates. </w:t>
      </w:r>
    </w:p>
    <w:p w14:paraId="6F8A5DF4" w14:textId="77777777" w:rsidR="00000000" w:rsidRDefault="000C49AD">
      <w:pPr>
        <w:jc w:val="both"/>
        <w:rPr>
          <w:rFonts w:eastAsia="Times New Roman"/>
        </w:rPr>
      </w:pPr>
    </w:p>
    <w:p w14:paraId="2A435739" w14:textId="77777777" w:rsidR="00000000" w:rsidRDefault="000C49AD">
      <w:pPr>
        <w:jc w:val="both"/>
        <w:rPr>
          <w:rFonts w:eastAsia="Times New Roman"/>
        </w:rPr>
      </w:pPr>
      <w:r>
        <w:rPr>
          <w:rFonts w:eastAsia="Times New Roman"/>
          <w:color w:val="000000"/>
          <w:sz w:val="20"/>
          <w:szCs w:val="20"/>
        </w:rPr>
        <w:t>We may be unable to establish any agreements with third-party manufacturers or to do so on acceptable terms. Even if we are able to establish agreements with third-party manufacturers, reliance on third-party manufacturers entails additional risks, includ</w:t>
      </w:r>
      <w:r>
        <w:rPr>
          <w:rFonts w:eastAsia="Times New Roman"/>
          <w:color w:val="000000"/>
          <w:sz w:val="20"/>
          <w:szCs w:val="20"/>
        </w:rPr>
        <w:t xml:space="preserve">ing: </w:t>
      </w:r>
    </w:p>
    <w:p w14:paraId="7475E9AA" w14:textId="77777777" w:rsidR="00000000" w:rsidRDefault="000C49AD">
      <w:pPr>
        <w:jc w:val="both"/>
        <w:rPr>
          <w:rFonts w:eastAsia="Times New Roman"/>
        </w:rPr>
      </w:pPr>
    </w:p>
    <w:p w14:paraId="6A92154B" w14:textId="77777777" w:rsidR="00000000" w:rsidRDefault="000C49AD">
      <w:pPr>
        <w:ind w:hanging="360"/>
        <w:jc w:val="both"/>
        <w:rPr>
          <w:rFonts w:eastAsia="Times New Roman"/>
        </w:rPr>
      </w:pPr>
      <w:r>
        <w:rPr>
          <w:rFonts w:eastAsia="Times New Roman"/>
          <w:color w:val="000000"/>
          <w:sz w:val="20"/>
          <w:szCs w:val="20"/>
        </w:rPr>
        <w:t>•reliance on the third party for regulatory compliance and quality assurance;</w:t>
      </w:r>
    </w:p>
    <w:p w14:paraId="0147C5E0" w14:textId="77777777" w:rsidR="00000000" w:rsidRDefault="000C49AD">
      <w:pPr>
        <w:ind w:hanging="360"/>
        <w:jc w:val="both"/>
        <w:rPr>
          <w:rFonts w:eastAsia="Times New Roman"/>
        </w:rPr>
      </w:pPr>
      <w:r>
        <w:rPr>
          <w:rFonts w:eastAsia="Times New Roman"/>
          <w:color w:val="000000"/>
          <w:sz w:val="20"/>
          <w:szCs w:val="20"/>
        </w:rPr>
        <w:t xml:space="preserve">•the possible breach of the manufacturing agreement by the third party; </w:t>
      </w:r>
    </w:p>
    <w:p w14:paraId="397EDDDE"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 xml:space="preserve">the possible misappropriation of our proprietary information, including our trade secrets and know-how; and </w:t>
      </w:r>
    </w:p>
    <w:p w14:paraId="53127008" w14:textId="77777777" w:rsidR="00000000" w:rsidRDefault="000C49AD">
      <w:pPr>
        <w:ind w:hanging="360"/>
        <w:jc w:val="both"/>
        <w:rPr>
          <w:rFonts w:eastAsia="Times New Roman"/>
        </w:rPr>
      </w:pPr>
      <w:r>
        <w:rPr>
          <w:rFonts w:eastAsia="Times New Roman"/>
          <w:color w:val="000000"/>
          <w:sz w:val="20"/>
          <w:szCs w:val="20"/>
        </w:rPr>
        <w:t>•the possible termination or nonrenewal of the agreement by the third party at a time that is costly or inconvenient for us.</w:t>
      </w:r>
    </w:p>
    <w:p w14:paraId="0560B4CF" w14:textId="77777777" w:rsidR="00000000" w:rsidRDefault="000C49AD">
      <w:pPr>
        <w:jc w:val="both"/>
        <w:rPr>
          <w:rFonts w:eastAsia="Times New Roman"/>
        </w:rPr>
      </w:pPr>
    </w:p>
    <w:p w14:paraId="6A050AC4" w14:textId="77777777" w:rsidR="00000000" w:rsidRDefault="000C49AD">
      <w:pPr>
        <w:jc w:val="both"/>
        <w:rPr>
          <w:rFonts w:eastAsia="Times New Roman"/>
        </w:rPr>
      </w:pPr>
      <w:r>
        <w:rPr>
          <w:rFonts w:eastAsia="Times New Roman"/>
          <w:color w:val="000000"/>
          <w:sz w:val="20"/>
          <w:szCs w:val="20"/>
        </w:rPr>
        <w:t>Our product candidat</w:t>
      </w:r>
      <w:r>
        <w:rPr>
          <w:rFonts w:eastAsia="Times New Roman"/>
          <w:color w:val="000000"/>
          <w:sz w:val="20"/>
          <w:szCs w:val="20"/>
        </w:rPr>
        <w:t>es and any products that we may develop may compete with other product candidates and approved products for access to manufacturing facilities. There are a limited number of manufacturers that operate under cGMP regulations and that might be capable of man</w:t>
      </w:r>
      <w:r>
        <w:rPr>
          <w:rFonts w:eastAsia="Times New Roman"/>
          <w:color w:val="000000"/>
          <w:sz w:val="20"/>
          <w:szCs w:val="20"/>
        </w:rPr>
        <w:t>ufacturing for us. Any performance failure on the part of our existing or future manufacturers could delay clinical development or marketing approval. If our current CDMOs cannot perform as agreed, we may be required to replace such manufacturers. We may i</w:t>
      </w:r>
      <w:r>
        <w:rPr>
          <w:rFonts w:eastAsia="Times New Roman"/>
          <w:color w:val="000000"/>
          <w:sz w:val="20"/>
          <w:szCs w:val="20"/>
        </w:rPr>
        <w:t>ncur added costs and delays in identifying and qualifying any such replacement. Our current and anticipated future dependence upon others for the manufacture of our product candidates or products may adversely affect our future profit margins and our abili</w:t>
      </w:r>
      <w:r>
        <w:rPr>
          <w:rFonts w:eastAsia="Times New Roman"/>
          <w:color w:val="000000"/>
          <w:sz w:val="20"/>
          <w:szCs w:val="20"/>
        </w:rPr>
        <w:t>ty to commercialize any products that receive marketing approval on a timely and competitive basis.</w:t>
      </w:r>
    </w:p>
    <w:p w14:paraId="5E7AE96D" w14:textId="77777777" w:rsidR="00000000" w:rsidRDefault="000C49AD">
      <w:pPr>
        <w:divId w:val="1912693316"/>
        <w:rPr>
          <w:rFonts w:eastAsia="Times New Roman"/>
        </w:rPr>
      </w:pPr>
    </w:p>
    <w:p w14:paraId="2C59EDD7" w14:textId="77777777" w:rsidR="00000000" w:rsidRDefault="000C49AD">
      <w:pPr>
        <w:divId w:val="3097911"/>
        <w:rPr>
          <w:rFonts w:eastAsia="Times New Roman"/>
        </w:rPr>
      </w:pPr>
      <w:r>
        <w:rPr>
          <w:rFonts w:eastAsia="Times New Roman"/>
          <w:b/>
          <w:bCs/>
          <w:i/>
          <w:iCs/>
          <w:color w:val="000000"/>
          <w:sz w:val="20"/>
          <w:szCs w:val="20"/>
        </w:rPr>
        <w:t>We outsource important activities to consultants, advisors and outside contractors.</w:t>
      </w:r>
    </w:p>
    <w:p w14:paraId="11061285" w14:textId="77777777" w:rsidR="00000000" w:rsidRDefault="000C49AD">
      <w:pPr>
        <w:jc w:val="both"/>
        <w:rPr>
          <w:rFonts w:eastAsia="Times New Roman"/>
        </w:rPr>
      </w:pPr>
    </w:p>
    <w:p w14:paraId="310141BF" w14:textId="77777777" w:rsidR="00000000" w:rsidRDefault="000C49AD">
      <w:pPr>
        <w:jc w:val="both"/>
        <w:rPr>
          <w:rFonts w:eastAsia="Times New Roman"/>
        </w:rPr>
      </w:pPr>
      <w:r>
        <w:rPr>
          <w:rFonts w:eastAsia="Times New Roman"/>
          <w:color w:val="000000"/>
          <w:sz w:val="20"/>
          <w:szCs w:val="20"/>
        </w:rPr>
        <w:t>We outsource many key functions of our business and therefore rely o</w:t>
      </w:r>
      <w:r>
        <w:rPr>
          <w:rFonts w:eastAsia="Times New Roman"/>
          <w:color w:val="000000"/>
          <w:sz w:val="20"/>
          <w:szCs w:val="20"/>
        </w:rPr>
        <w:t>n a substantial number of consultants, advisors and outside contractors. If we are unable to effectively manage our outsourced activities or if the quality or accuracy of the services provided by such third parties is compromised for any reason, our develo</w:t>
      </w:r>
      <w:r>
        <w:rPr>
          <w:rFonts w:eastAsia="Times New Roman"/>
          <w:color w:val="000000"/>
          <w:sz w:val="20"/>
          <w:szCs w:val="20"/>
        </w:rPr>
        <w:t>pment activities may be extended, delayed or terminated which would have an adverse effect on our development program and our business.</w:t>
      </w:r>
    </w:p>
    <w:p w14:paraId="18441687" w14:textId="77777777" w:rsidR="00000000" w:rsidRDefault="000C49AD">
      <w:pPr>
        <w:jc w:val="both"/>
        <w:rPr>
          <w:rFonts w:eastAsia="Times New Roman"/>
        </w:rPr>
      </w:pPr>
    </w:p>
    <w:p w14:paraId="0721003B" w14:textId="77777777" w:rsidR="00000000" w:rsidRDefault="000C49AD">
      <w:pPr>
        <w:jc w:val="both"/>
        <w:rPr>
          <w:rFonts w:eastAsia="Times New Roman"/>
        </w:rPr>
      </w:pPr>
      <w:r>
        <w:rPr>
          <w:rFonts w:eastAsia="Times New Roman"/>
          <w:b/>
          <w:bCs/>
          <w:i/>
          <w:iCs/>
          <w:color w:val="000000"/>
          <w:sz w:val="20"/>
          <w:szCs w:val="20"/>
        </w:rPr>
        <w:t xml:space="preserve">We depend on key personnel to execute our business plan. If we cannot attract and retain key personnel, we may not be </w:t>
      </w:r>
      <w:r>
        <w:rPr>
          <w:rFonts w:eastAsia="Times New Roman"/>
          <w:b/>
          <w:bCs/>
          <w:i/>
          <w:iCs/>
          <w:color w:val="000000"/>
          <w:sz w:val="20"/>
          <w:szCs w:val="20"/>
        </w:rPr>
        <w:t>able to successfully implement our business plan.</w:t>
      </w:r>
    </w:p>
    <w:p w14:paraId="181279FA" w14:textId="77777777" w:rsidR="00000000" w:rsidRDefault="000C49AD">
      <w:pPr>
        <w:jc w:val="both"/>
        <w:rPr>
          <w:rFonts w:eastAsia="Times New Roman"/>
        </w:rPr>
      </w:pPr>
    </w:p>
    <w:p w14:paraId="17DE3B8C" w14:textId="77777777" w:rsidR="00000000" w:rsidRDefault="000C49AD">
      <w:pPr>
        <w:jc w:val="both"/>
        <w:rPr>
          <w:rFonts w:eastAsia="Times New Roman"/>
        </w:rPr>
      </w:pPr>
      <w:r>
        <w:rPr>
          <w:rFonts w:eastAsia="Times New Roman"/>
          <w:color w:val="000000"/>
          <w:sz w:val="20"/>
          <w:szCs w:val="20"/>
        </w:rPr>
        <w:t>We are highly dependent on the expertise of Gregory Divis, our Chief Executive Officer, Thomas S. McHugh, our Chief Financial Officer, and Richard Kim, our Chief Commercial Officer, as well as the other k</w:t>
      </w:r>
      <w:r>
        <w:rPr>
          <w:rFonts w:eastAsia="Times New Roman"/>
          <w:color w:val="000000"/>
          <w:sz w:val="20"/>
          <w:szCs w:val="20"/>
        </w:rPr>
        <w:t>ey members of our management, scientific, clinical and commercial team. Although we have entered into employment letter agreements with our executive officers, each of them may terminate their employment with us at any time. We do not maintain “key person”</w:t>
      </w:r>
      <w:r>
        <w:rPr>
          <w:rFonts w:eastAsia="Times New Roman"/>
          <w:color w:val="000000"/>
          <w:sz w:val="20"/>
          <w:szCs w:val="20"/>
        </w:rPr>
        <w:t xml:space="preserve"> insurance for any of our executives or other employees. </w:t>
      </w:r>
    </w:p>
    <w:p w14:paraId="439F2787" w14:textId="77777777" w:rsidR="00000000" w:rsidRDefault="000C49AD">
      <w:pPr>
        <w:jc w:val="both"/>
        <w:rPr>
          <w:rFonts w:eastAsia="Times New Roman"/>
        </w:rPr>
      </w:pPr>
    </w:p>
    <w:p w14:paraId="4BBC2C53" w14:textId="77777777" w:rsidR="00000000" w:rsidRDefault="000C49AD">
      <w:pPr>
        <w:jc w:val="both"/>
        <w:rPr>
          <w:rFonts w:eastAsia="Times New Roman"/>
        </w:rPr>
      </w:pPr>
      <w:r>
        <w:rPr>
          <w:rFonts w:eastAsia="Times New Roman"/>
          <w:color w:val="000000"/>
          <w:sz w:val="20"/>
          <w:szCs w:val="20"/>
        </w:rPr>
        <w:t>Recruiting and retaining qualified scientific, clinical, manufacturing and sales and marketing personnel will also be critical to our success. The loss of the services of our executive officers or</w:t>
      </w:r>
      <w:r>
        <w:rPr>
          <w:rFonts w:eastAsia="Times New Roman"/>
          <w:color w:val="000000"/>
          <w:sz w:val="20"/>
          <w:szCs w:val="20"/>
        </w:rPr>
        <w:t xml:space="preserve"> other key employees could impede the achievement of our research, development and commercialization objectives and seriously harm our ability to successfully implement our business strategy. Furthermore, replacing executive officers and key employees may </w:t>
      </w:r>
      <w:r>
        <w:rPr>
          <w:rFonts w:eastAsia="Times New Roman"/>
          <w:color w:val="000000"/>
          <w:sz w:val="20"/>
          <w:szCs w:val="20"/>
        </w:rPr>
        <w:t xml:space="preserve">be difficult and may take an extended period of time because of the limited number of individuals in our industry with the breadth of skills and experience required to </w:t>
      </w:r>
    </w:p>
    <w:p w14:paraId="0CFD5488" w14:textId="77777777" w:rsidR="00000000" w:rsidRDefault="000C49AD">
      <w:pPr>
        <w:jc w:val="center"/>
        <w:divId w:val="1540627542"/>
        <w:rPr>
          <w:rFonts w:eastAsia="Times New Roman"/>
        </w:rPr>
      </w:pPr>
      <w:r>
        <w:rPr>
          <w:rFonts w:eastAsia="Times New Roman"/>
          <w:color w:val="000000"/>
          <w:sz w:val="20"/>
          <w:szCs w:val="20"/>
        </w:rPr>
        <w:t>-39-</w:t>
      </w:r>
    </w:p>
    <w:p w14:paraId="6DA099DB" w14:textId="77777777" w:rsidR="00000000" w:rsidRDefault="000C49AD">
      <w:pPr>
        <w:rPr>
          <w:rFonts w:eastAsia="Times New Roman"/>
        </w:rPr>
      </w:pPr>
      <w:r>
        <w:rPr>
          <w:rFonts w:eastAsia="Times New Roman"/>
        </w:rPr>
        <w:pict w14:anchorId="4F8C6782">
          <v:rect id="_x0000_i1063" style="width:0;height:1.5pt" o:hralign="center" o:hrstd="t" o:hr="t" fillcolor="#a0a0a0" stroked="f"/>
        </w:pict>
      </w:r>
    </w:p>
    <w:p w14:paraId="453B4618" w14:textId="77777777" w:rsidR="00000000" w:rsidRDefault="000C49AD">
      <w:pPr>
        <w:divId w:val="1361012924"/>
        <w:rPr>
          <w:rFonts w:eastAsia="Times New Roman"/>
        </w:rPr>
      </w:pPr>
    </w:p>
    <w:p w14:paraId="0DFCD0FA" w14:textId="77777777" w:rsidR="00000000" w:rsidRDefault="000C49AD">
      <w:pPr>
        <w:jc w:val="both"/>
        <w:rPr>
          <w:rFonts w:eastAsia="Times New Roman"/>
        </w:rPr>
      </w:pPr>
      <w:r>
        <w:rPr>
          <w:rFonts w:eastAsia="Times New Roman"/>
          <w:color w:val="000000"/>
          <w:sz w:val="20"/>
          <w:szCs w:val="20"/>
        </w:rPr>
        <w:t>successfully develop, gain regulatory approv</w:t>
      </w:r>
      <w:r>
        <w:rPr>
          <w:rFonts w:eastAsia="Times New Roman"/>
          <w:color w:val="000000"/>
          <w:sz w:val="20"/>
          <w:szCs w:val="20"/>
        </w:rPr>
        <w:t>al of and commercialize drugs. Competition to hire from this limited pool is intense, and we may be unable to hire, train, retain or motivate these key personnel on acceptable terms given the competition among numerous pharmaceutical and biotechnology comp</w:t>
      </w:r>
      <w:r>
        <w:rPr>
          <w:rFonts w:eastAsia="Times New Roman"/>
          <w:color w:val="000000"/>
          <w:sz w:val="20"/>
          <w:szCs w:val="20"/>
        </w:rPr>
        <w:t>anies for similar personnel. We also experience competition for the hiring of scientific and clinical personnel from universities and research institutions. Failure to obtain FDA approval for FT218 may make it more challenging to recruit and retain qualifi</w:t>
      </w:r>
      <w:r>
        <w:rPr>
          <w:rFonts w:eastAsia="Times New Roman"/>
          <w:color w:val="000000"/>
          <w:sz w:val="20"/>
          <w:szCs w:val="20"/>
        </w:rPr>
        <w:t xml:space="preserve">ed personnel. </w:t>
      </w:r>
    </w:p>
    <w:p w14:paraId="36E9BA86" w14:textId="77777777" w:rsidR="00000000" w:rsidRDefault="000C49AD">
      <w:pPr>
        <w:jc w:val="both"/>
        <w:rPr>
          <w:rFonts w:eastAsia="Times New Roman"/>
        </w:rPr>
      </w:pPr>
    </w:p>
    <w:p w14:paraId="3FA566E5" w14:textId="77777777" w:rsidR="00000000" w:rsidRDefault="000C49AD">
      <w:pPr>
        <w:jc w:val="both"/>
        <w:rPr>
          <w:rFonts w:eastAsia="Times New Roman"/>
        </w:rPr>
      </w:pPr>
      <w:r>
        <w:rPr>
          <w:rFonts w:eastAsia="Times New Roman"/>
          <w:b/>
          <w:bCs/>
          <w:i/>
          <w:iCs/>
          <w:color w:val="000000"/>
          <w:sz w:val="20"/>
          <w:szCs w:val="20"/>
        </w:rPr>
        <w:t>We will need to expand our organization and we may experience difficulties in managing this growth, which could disrupt our operations.</w:t>
      </w:r>
    </w:p>
    <w:p w14:paraId="47692C38" w14:textId="77777777" w:rsidR="00000000" w:rsidRDefault="000C49AD">
      <w:pPr>
        <w:jc w:val="both"/>
        <w:rPr>
          <w:rFonts w:eastAsia="Times New Roman"/>
        </w:rPr>
      </w:pPr>
    </w:p>
    <w:p w14:paraId="28D22FB2" w14:textId="77777777" w:rsidR="00000000" w:rsidRDefault="000C49AD">
      <w:pPr>
        <w:jc w:val="both"/>
        <w:rPr>
          <w:rFonts w:eastAsia="Times New Roman"/>
        </w:rPr>
      </w:pPr>
      <w:r>
        <w:rPr>
          <w:rFonts w:eastAsia="Times New Roman"/>
          <w:color w:val="000000"/>
          <w:sz w:val="20"/>
          <w:szCs w:val="20"/>
        </w:rPr>
        <w:t>We currently employ approximately 66 full-time employees. As we mature and commercialize FT218, if ap</w:t>
      </w:r>
      <w:r>
        <w:rPr>
          <w:rFonts w:eastAsia="Times New Roman"/>
          <w:color w:val="000000"/>
          <w:sz w:val="20"/>
          <w:szCs w:val="20"/>
        </w:rPr>
        <w:t>proved, we expect to expand our full-time employee base. Our management may need to divert a disproportionate amount of its attention away from our day-to-day activities and devote a substantial amount of time to managing these growth activities. We may no</w:t>
      </w:r>
      <w:r>
        <w:rPr>
          <w:rFonts w:eastAsia="Times New Roman"/>
          <w:color w:val="000000"/>
          <w:sz w:val="20"/>
          <w:szCs w:val="20"/>
        </w:rPr>
        <w:t xml:space="preserve">t be able to effectively manage the expansion of our operations, which may result in weaknesses in our infrastructure, operational mistakes, loss of business opportunities, loss of employees and reduced productivity among remaining employees. Our expected </w:t>
      </w:r>
      <w:r>
        <w:rPr>
          <w:rFonts w:eastAsia="Times New Roman"/>
          <w:color w:val="000000"/>
          <w:sz w:val="20"/>
          <w:szCs w:val="20"/>
        </w:rPr>
        <w:t xml:space="preserve">growth could require significant capital expenditures and may divert financial resources from other projects, such as the development of additional product candidates. If our management is unable to effectively manage our growth, our expenses may increase </w:t>
      </w:r>
      <w:r>
        <w:rPr>
          <w:rFonts w:eastAsia="Times New Roman"/>
          <w:color w:val="000000"/>
          <w:sz w:val="20"/>
          <w:szCs w:val="20"/>
        </w:rPr>
        <w:t>more than expected, our ability to recognize and/or grow revenues could be reduced and we may not be able to implement our business strategy. Our future financial performance and our ability to commercialize FT218 and compete effectively will depend, in pa</w:t>
      </w:r>
      <w:r>
        <w:rPr>
          <w:rFonts w:eastAsia="Times New Roman"/>
          <w:color w:val="000000"/>
          <w:sz w:val="20"/>
          <w:szCs w:val="20"/>
        </w:rPr>
        <w:t>rt, on our ability to effectively manage any future growth.</w:t>
      </w:r>
    </w:p>
    <w:p w14:paraId="227C80DB" w14:textId="77777777" w:rsidR="00000000" w:rsidRDefault="000C49AD">
      <w:pPr>
        <w:jc w:val="both"/>
        <w:rPr>
          <w:rFonts w:eastAsia="Times New Roman"/>
        </w:rPr>
      </w:pPr>
    </w:p>
    <w:p w14:paraId="1D680616" w14:textId="77777777" w:rsidR="00000000" w:rsidRDefault="000C49AD">
      <w:pPr>
        <w:jc w:val="both"/>
        <w:rPr>
          <w:rFonts w:eastAsia="Times New Roman"/>
        </w:rPr>
      </w:pPr>
      <w:r>
        <w:rPr>
          <w:rFonts w:eastAsia="Times New Roman"/>
          <w:b/>
          <w:bCs/>
          <w:i/>
          <w:iCs/>
          <w:color w:val="000000"/>
          <w:sz w:val="20"/>
          <w:szCs w:val="20"/>
        </w:rPr>
        <w:t>We rely on third parties to conduct our clinical trials, and if they do not properly and successfully perform their contractual, legal and regulatory duties, we may not be able to obtain regulat</w:t>
      </w:r>
      <w:r>
        <w:rPr>
          <w:rFonts w:eastAsia="Times New Roman"/>
          <w:b/>
          <w:bCs/>
          <w:i/>
          <w:iCs/>
          <w:color w:val="000000"/>
          <w:sz w:val="20"/>
          <w:szCs w:val="20"/>
        </w:rPr>
        <w:t>ory approvals for or commercialize FT218 and future product candidates.</w:t>
      </w:r>
    </w:p>
    <w:p w14:paraId="3ABE3A22" w14:textId="77777777" w:rsidR="00000000" w:rsidRDefault="000C49AD">
      <w:pPr>
        <w:jc w:val="both"/>
        <w:rPr>
          <w:rFonts w:eastAsia="Times New Roman"/>
        </w:rPr>
      </w:pPr>
    </w:p>
    <w:p w14:paraId="2EC8F069" w14:textId="77777777" w:rsidR="00000000" w:rsidRDefault="000C49AD">
      <w:pPr>
        <w:jc w:val="both"/>
        <w:rPr>
          <w:rFonts w:eastAsia="Times New Roman"/>
        </w:rPr>
      </w:pPr>
      <w:r>
        <w:rPr>
          <w:rFonts w:eastAsia="Times New Roman"/>
          <w:color w:val="000000"/>
          <w:sz w:val="20"/>
          <w:szCs w:val="20"/>
        </w:rPr>
        <w:t>We rely on CROs and other third parties to assist us in designing, managing, monitoring and otherwise carrying out our clinical trials, including with respect to site selection, cont</w:t>
      </w:r>
      <w:r>
        <w:rPr>
          <w:rFonts w:eastAsia="Times New Roman"/>
          <w:color w:val="000000"/>
          <w:sz w:val="20"/>
          <w:szCs w:val="20"/>
        </w:rPr>
        <w:t>ract negotiation and data management. We do not control these third parties and, as a result, they may not treat our clinical studies as a high priority, which could result in delays. We are responsible for confirming that each of our clinical trials is co</w:t>
      </w:r>
      <w:r>
        <w:rPr>
          <w:rFonts w:eastAsia="Times New Roman"/>
          <w:color w:val="000000"/>
          <w:sz w:val="20"/>
          <w:szCs w:val="20"/>
        </w:rPr>
        <w:t>nducted in accordance with its general investigational plan and protocol, as well as the FDA’s and foreign regulatory agencies’ requirements, commonly referred to as good clinical practices, for conducting, recording and reporting the results of clinical t</w:t>
      </w:r>
      <w:r>
        <w:rPr>
          <w:rFonts w:eastAsia="Times New Roman"/>
          <w:color w:val="000000"/>
          <w:sz w:val="20"/>
          <w:szCs w:val="20"/>
        </w:rPr>
        <w:t>rials to ensure that the data and results are credible and accurate and that the trial participants are adequately protected. The FDA and foreign. regulatory agencies enforce good clinical practices through periodic inspections of trial sponsors, principal</w:t>
      </w:r>
      <w:r>
        <w:rPr>
          <w:rFonts w:eastAsia="Times New Roman"/>
          <w:color w:val="000000"/>
          <w:sz w:val="20"/>
          <w:szCs w:val="20"/>
        </w:rPr>
        <w:t xml:space="preserve"> investigators and trial sites. If we, CROs or other third parties assisting us or our study sites fail to comply with applicable good clinical practices, the clinical data generated in our clinical trials may be deemed unreliable and the FDA or its non-U.</w:t>
      </w:r>
      <w:r>
        <w:rPr>
          <w:rFonts w:eastAsia="Times New Roman"/>
          <w:color w:val="000000"/>
          <w:sz w:val="20"/>
          <w:szCs w:val="20"/>
        </w:rPr>
        <w:t xml:space="preserve">S. counterparts may require us to perform additional clinical trials before approving our marketing applications. We cannot assure you that, upon inspection, the FDA or foreign regulatory agencies will determine that any of our clinical trials comply with </w:t>
      </w:r>
      <w:r>
        <w:rPr>
          <w:rFonts w:eastAsia="Times New Roman"/>
          <w:color w:val="000000"/>
          <w:sz w:val="20"/>
          <w:szCs w:val="20"/>
        </w:rPr>
        <w:t xml:space="preserve">good clinical practices. </w:t>
      </w:r>
    </w:p>
    <w:p w14:paraId="6DBBBF9D" w14:textId="77777777" w:rsidR="00000000" w:rsidRDefault="000C49AD">
      <w:pPr>
        <w:jc w:val="both"/>
        <w:rPr>
          <w:rFonts w:eastAsia="Times New Roman"/>
        </w:rPr>
      </w:pPr>
    </w:p>
    <w:p w14:paraId="56B2D136" w14:textId="77777777" w:rsidR="00000000" w:rsidRDefault="000C49AD">
      <w:pPr>
        <w:jc w:val="both"/>
        <w:rPr>
          <w:rFonts w:eastAsia="Times New Roman"/>
        </w:rPr>
      </w:pPr>
      <w:r>
        <w:rPr>
          <w:rFonts w:eastAsia="Times New Roman"/>
          <w:color w:val="000000"/>
          <w:sz w:val="20"/>
          <w:szCs w:val="20"/>
        </w:rPr>
        <w:t>If third parties do not successfully carry out their duties under their agreements with us, if the quality or accuracy of the data they obtain is compromised due to failure to adhere to our clinical protocols, including dosing requirements, or regulatory r</w:t>
      </w:r>
      <w:r>
        <w:rPr>
          <w:rFonts w:eastAsia="Times New Roman"/>
          <w:color w:val="000000"/>
          <w:sz w:val="20"/>
          <w:szCs w:val="20"/>
        </w:rPr>
        <w:t>equirements, or if they otherwise fail to comply with clinical trial protocols or meet expected deadlines, our clinical trials may not meet regulatory requirements. If our clinical trials do not meet regulatory requirements or if these third parties need t</w:t>
      </w:r>
      <w:r>
        <w:rPr>
          <w:rFonts w:eastAsia="Times New Roman"/>
          <w:color w:val="000000"/>
          <w:sz w:val="20"/>
          <w:szCs w:val="20"/>
        </w:rPr>
        <w:t xml:space="preserve">o be replaced, our clinical trials may be extended, delayed, suspended or terminated. If any of these events occur, we may not be able to obtain regulatory approval of our product candidate and future product candidates or succeed in our efforts to create </w:t>
      </w:r>
      <w:r>
        <w:rPr>
          <w:rFonts w:eastAsia="Times New Roman"/>
          <w:color w:val="000000"/>
          <w:sz w:val="20"/>
          <w:szCs w:val="20"/>
        </w:rPr>
        <w:t>approved line extensions for certain of our existing products or generate additional useful clinical data in support of these products.</w:t>
      </w:r>
    </w:p>
    <w:p w14:paraId="2510E31B" w14:textId="77777777" w:rsidR="00000000" w:rsidRDefault="000C49AD">
      <w:pPr>
        <w:jc w:val="both"/>
        <w:rPr>
          <w:rFonts w:eastAsia="Times New Roman"/>
        </w:rPr>
      </w:pPr>
    </w:p>
    <w:p w14:paraId="13E53829" w14:textId="77777777" w:rsidR="00000000" w:rsidRDefault="000C49AD">
      <w:pPr>
        <w:jc w:val="center"/>
        <w:divId w:val="921646878"/>
        <w:rPr>
          <w:rFonts w:eastAsia="Times New Roman"/>
        </w:rPr>
      </w:pPr>
      <w:r>
        <w:rPr>
          <w:rFonts w:eastAsia="Times New Roman"/>
          <w:color w:val="000000"/>
          <w:sz w:val="20"/>
          <w:szCs w:val="20"/>
        </w:rPr>
        <w:t>-40-</w:t>
      </w:r>
    </w:p>
    <w:p w14:paraId="5BA83CF5" w14:textId="77777777" w:rsidR="00000000" w:rsidRDefault="000C49AD">
      <w:pPr>
        <w:rPr>
          <w:rFonts w:eastAsia="Times New Roman"/>
        </w:rPr>
      </w:pPr>
      <w:r>
        <w:rPr>
          <w:rFonts w:eastAsia="Times New Roman"/>
        </w:rPr>
        <w:pict w14:anchorId="586BCC0E">
          <v:rect id="_x0000_i1064" style="width:0;height:1.5pt" o:hralign="center" o:hrstd="t" o:hr="t" fillcolor="#a0a0a0" stroked="f"/>
        </w:pict>
      </w:r>
    </w:p>
    <w:p w14:paraId="60376875" w14:textId="77777777" w:rsidR="00000000" w:rsidRDefault="000C49AD">
      <w:pPr>
        <w:divId w:val="246231995"/>
        <w:rPr>
          <w:rFonts w:eastAsia="Times New Roman"/>
        </w:rPr>
      </w:pPr>
    </w:p>
    <w:p w14:paraId="48AF2818" w14:textId="77777777" w:rsidR="00000000" w:rsidRDefault="000C49AD">
      <w:pPr>
        <w:jc w:val="both"/>
        <w:rPr>
          <w:rFonts w:eastAsia="Times New Roman"/>
        </w:rPr>
      </w:pPr>
      <w:r>
        <w:rPr>
          <w:rFonts w:eastAsia="Times New Roman"/>
          <w:color w:val="000000"/>
          <w:sz w:val="20"/>
          <w:szCs w:val="20"/>
        </w:rPr>
        <w:t xml:space="preserve">If we or our partners fail to comply with these laws and regulations, the </w:t>
      </w:r>
      <w:r>
        <w:rPr>
          <w:rFonts w:eastAsia="Times New Roman"/>
          <w:color w:val="000000"/>
          <w:sz w:val="20"/>
          <w:szCs w:val="20"/>
        </w:rPr>
        <w:t>FDA, or other foreign regulatory agencies, may take actions that could significantly restrict or prohibit commercial distribution of FT218. If the FDA or other foreign regulatory authorities determine that we are not in compliance with these laws and regul</w:t>
      </w:r>
      <w:r>
        <w:rPr>
          <w:rFonts w:eastAsia="Times New Roman"/>
          <w:color w:val="000000"/>
          <w:sz w:val="20"/>
          <w:szCs w:val="20"/>
        </w:rPr>
        <w:t>ations, they could, among other things:</w:t>
      </w:r>
    </w:p>
    <w:p w14:paraId="02A20786" w14:textId="77777777" w:rsidR="00000000" w:rsidRDefault="000C49AD">
      <w:pPr>
        <w:jc w:val="both"/>
        <w:rPr>
          <w:rFonts w:eastAsia="Times New Roman"/>
        </w:rPr>
      </w:pPr>
    </w:p>
    <w:p w14:paraId="1D075B40" w14:textId="77777777" w:rsidR="00000000" w:rsidRDefault="000C49AD">
      <w:pPr>
        <w:ind w:hanging="360"/>
        <w:divId w:val="1023241055"/>
        <w:rPr>
          <w:rFonts w:eastAsia="Times New Roman"/>
        </w:rPr>
      </w:pPr>
      <w:r>
        <w:rPr>
          <w:rFonts w:eastAsia="Times New Roman"/>
          <w:color w:val="000000"/>
          <w:sz w:val="20"/>
          <w:szCs w:val="20"/>
        </w:rPr>
        <w:t>•issue warning letters;</w:t>
      </w:r>
    </w:p>
    <w:p w14:paraId="3E44693D" w14:textId="77777777" w:rsidR="00000000" w:rsidRDefault="000C49AD">
      <w:pPr>
        <w:ind w:hanging="360"/>
        <w:divId w:val="1147428852"/>
        <w:rPr>
          <w:rFonts w:eastAsia="Times New Roman"/>
        </w:rPr>
      </w:pPr>
      <w:r>
        <w:rPr>
          <w:rFonts w:eastAsia="Times New Roman"/>
          <w:color w:val="000000"/>
          <w:sz w:val="20"/>
          <w:szCs w:val="20"/>
        </w:rPr>
        <w:t>•impose fines;</w:t>
      </w:r>
    </w:p>
    <w:p w14:paraId="61862279" w14:textId="77777777" w:rsidR="00000000" w:rsidRDefault="000C49AD">
      <w:pPr>
        <w:ind w:hanging="360"/>
        <w:divId w:val="969552890"/>
        <w:rPr>
          <w:rFonts w:eastAsia="Times New Roman"/>
        </w:rPr>
      </w:pPr>
      <w:r>
        <w:rPr>
          <w:rFonts w:eastAsia="Times New Roman"/>
          <w:color w:val="000000"/>
          <w:sz w:val="20"/>
          <w:szCs w:val="20"/>
        </w:rPr>
        <w:t>•seize products or request or order recalls;</w:t>
      </w:r>
    </w:p>
    <w:p w14:paraId="71E56993" w14:textId="77777777" w:rsidR="00000000" w:rsidRDefault="000C49AD">
      <w:pPr>
        <w:ind w:hanging="360"/>
        <w:jc w:val="both"/>
        <w:rPr>
          <w:rFonts w:eastAsia="Times New Roman"/>
        </w:rPr>
      </w:pPr>
      <w:r>
        <w:rPr>
          <w:rFonts w:eastAsia="Times New Roman"/>
          <w:color w:val="000000"/>
          <w:sz w:val="20"/>
          <w:szCs w:val="20"/>
        </w:rPr>
        <w:t>•issue injunctions to stop future sales of products;</w:t>
      </w:r>
    </w:p>
    <w:p w14:paraId="091022A5"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refuse to permit products to be imported into, or exported out of a particular country;</w:t>
      </w:r>
    </w:p>
    <w:p w14:paraId="4B0DB955" w14:textId="77777777" w:rsidR="00000000" w:rsidRDefault="000C49AD">
      <w:pPr>
        <w:ind w:hanging="360"/>
        <w:jc w:val="both"/>
        <w:rPr>
          <w:rFonts w:eastAsia="Times New Roman"/>
        </w:rPr>
      </w:pPr>
      <w:r>
        <w:rPr>
          <w:rFonts w:eastAsia="Times New Roman"/>
          <w:color w:val="000000"/>
          <w:sz w:val="20"/>
          <w:szCs w:val="20"/>
        </w:rPr>
        <w:t>•suspend or limit our production;</w:t>
      </w:r>
    </w:p>
    <w:p w14:paraId="688BBDDB" w14:textId="77777777" w:rsidR="00000000" w:rsidRDefault="000C49AD">
      <w:pPr>
        <w:ind w:hanging="360"/>
        <w:jc w:val="both"/>
        <w:rPr>
          <w:rFonts w:eastAsia="Times New Roman"/>
        </w:rPr>
      </w:pPr>
      <w:r>
        <w:rPr>
          <w:rFonts w:eastAsia="Times New Roman"/>
          <w:color w:val="000000"/>
          <w:sz w:val="20"/>
          <w:szCs w:val="20"/>
        </w:rPr>
        <w:t>•withdraw or vary approval of marketing applications;</w:t>
      </w:r>
    </w:p>
    <w:p w14:paraId="53FF5B71" w14:textId="77777777" w:rsidR="00000000" w:rsidRDefault="000C49AD">
      <w:pPr>
        <w:ind w:hanging="360"/>
        <w:jc w:val="both"/>
        <w:rPr>
          <w:rFonts w:eastAsia="Times New Roman"/>
        </w:rPr>
      </w:pPr>
      <w:r>
        <w:rPr>
          <w:rFonts w:eastAsia="Times New Roman"/>
          <w:color w:val="000000"/>
          <w:sz w:val="20"/>
          <w:szCs w:val="20"/>
        </w:rPr>
        <w:t>• withdraw approval of marketing applications; and</w:t>
      </w:r>
    </w:p>
    <w:p w14:paraId="0663D293" w14:textId="77777777" w:rsidR="00000000" w:rsidRDefault="000C49AD">
      <w:pPr>
        <w:ind w:hanging="360"/>
        <w:jc w:val="both"/>
        <w:rPr>
          <w:rFonts w:eastAsia="Times New Roman"/>
        </w:rPr>
      </w:pPr>
      <w:r>
        <w:rPr>
          <w:rFonts w:eastAsia="Times New Roman"/>
          <w:color w:val="000000"/>
          <w:sz w:val="20"/>
          <w:szCs w:val="20"/>
        </w:rPr>
        <w:t>•initiate criminal prosecutio</w:t>
      </w:r>
      <w:r>
        <w:rPr>
          <w:rFonts w:eastAsia="Times New Roman"/>
          <w:color w:val="000000"/>
          <w:sz w:val="20"/>
          <w:szCs w:val="20"/>
        </w:rPr>
        <w:t xml:space="preserve">ns. </w:t>
      </w:r>
    </w:p>
    <w:p w14:paraId="3E9200AF" w14:textId="77777777" w:rsidR="00000000" w:rsidRDefault="000C49AD">
      <w:pPr>
        <w:jc w:val="both"/>
        <w:rPr>
          <w:rFonts w:eastAsia="Times New Roman"/>
        </w:rPr>
      </w:pPr>
    </w:p>
    <w:p w14:paraId="023104A8" w14:textId="77777777" w:rsidR="00000000" w:rsidRDefault="000C49AD">
      <w:pPr>
        <w:jc w:val="both"/>
        <w:rPr>
          <w:rFonts w:eastAsia="Times New Roman"/>
        </w:rPr>
      </w:pPr>
      <w:r>
        <w:rPr>
          <w:rFonts w:eastAsia="Times New Roman"/>
          <w:b/>
          <w:bCs/>
          <w:i/>
          <w:iCs/>
          <w:color w:val="000000"/>
          <w:sz w:val="20"/>
          <w:szCs w:val="20"/>
        </w:rPr>
        <w:t>We may rely on collaborations with third parties to commercialize FT218 outside of the U.S., if approved, and certain of our future product candidates and such strategy involves risks that could impair our prospects for realizing profits from such p</w:t>
      </w:r>
      <w:r>
        <w:rPr>
          <w:rFonts w:eastAsia="Times New Roman"/>
          <w:b/>
          <w:bCs/>
          <w:i/>
          <w:iCs/>
          <w:color w:val="000000"/>
          <w:sz w:val="20"/>
          <w:szCs w:val="20"/>
        </w:rPr>
        <w:t>roducts.</w:t>
      </w:r>
    </w:p>
    <w:p w14:paraId="2D8C54A9" w14:textId="77777777" w:rsidR="00000000" w:rsidRDefault="000C49AD">
      <w:pPr>
        <w:jc w:val="both"/>
        <w:rPr>
          <w:rFonts w:eastAsia="Times New Roman"/>
        </w:rPr>
      </w:pPr>
    </w:p>
    <w:p w14:paraId="7B9890A4" w14:textId="77777777" w:rsidR="00000000" w:rsidRDefault="000C49AD">
      <w:pPr>
        <w:jc w:val="both"/>
        <w:rPr>
          <w:rFonts w:eastAsia="Times New Roman"/>
        </w:rPr>
      </w:pPr>
      <w:r>
        <w:rPr>
          <w:rFonts w:eastAsia="Times New Roman"/>
          <w:color w:val="000000"/>
          <w:sz w:val="20"/>
          <w:szCs w:val="20"/>
        </w:rPr>
        <w:t>We expect that the commercialization of FT218 outside of the U.S., if approved, or future product candidates may require collaboration with third-party partners involving strategic alliances, licenses, product divestitures or other arrangements.</w:t>
      </w:r>
      <w:r>
        <w:rPr>
          <w:rFonts w:eastAsia="Times New Roman"/>
          <w:color w:val="000000"/>
          <w:sz w:val="20"/>
          <w:szCs w:val="20"/>
        </w:rPr>
        <w:t xml:space="preserve"> We may not be successful in entering into such collaborations on favorable terms, if at all, or our collaboration partners may not adequately perform under such arrangements, and as a result our ability to commercialize these products will be negatively a</w:t>
      </w:r>
      <w:r>
        <w:rPr>
          <w:rFonts w:eastAsia="Times New Roman"/>
          <w:color w:val="000000"/>
          <w:sz w:val="20"/>
          <w:szCs w:val="20"/>
        </w:rPr>
        <w:t>ffected and our prospects will be impaired.</w:t>
      </w:r>
    </w:p>
    <w:p w14:paraId="26F1CBBB" w14:textId="77777777" w:rsidR="00000000" w:rsidRDefault="000C49AD">
      <w:pPr>
        <w:jc w:val="both"/>
        <w:rPr>
          <w:rFonts w:eastAsia="Times New Roman"/>
        </w:rPr>
      </w:pPr>
    </w:p>
    <w:p w14:paraId="25218AFE" w14:textId="77777777" w:rsidR="00000000" w:rsidRDefault="000C49AD">
      <w:pPr>
        <w:jc w:val="both"/>
        <w:rPr>
          <w:rFonts w:eastAsia="Times New Roman"/>
        </w:rPr>
      </w:pPr>
      <w:r>
        <w:rPr>
          <w:rFonts w:eastAsia="Times New Roman"/>
          <w:color w:val="000000"/>
          <w:sz w:val="20"/>
          <w:szCs w:val="20"/>
        </w:rPr>
        <w:t>We face significant competition in seeking appropriate collaborators. Whether we reach a definitive agreement for a collaboration will depend, among other things, upon our assessment of the collaborator’s resou</w:t>
      </w:r>
      <w:r>
        <w:rPr>
          <w:rFonts w:eastAsia="Times New Roman"/>
          <w:color w:val="000000"/>
          <w:sz w:val="20"/>
          <w:szCs w:val="20"/>
        </w:rPr>
        <w:t>rces and expertise, the terms and conditions of the proposed collaboration and the proposed collaborator’s own evaluation of a potential collaboration. Such factors a potential collaborator will use to evaluate a collaboration may include the design or res</w:t>
      </w:r>
      <w:r>
        <w:rPr>
          <w:rFonts w:eastAsia="Times New Roman"/>
          <w:color w:val="000000"/>
          <w:sz w:val="20"/>
          <w:szCs w:val="20"/>
        </w:rPr>
        <w:t xml:space="preserve">ults of clinical trials, the likelihood of approval by the FDA or comparable foreign regulatory authorities, the potential market for FT218 or future product candidates, the potential of competing products, the existence of uncertainty with respect to our </w:t>
      </w:r>
      <w:r>
        <w:rPr>
          <w:rFonts w:eastAsia="Times New Roman"/>
          <w:color w:val="000000"/>
          <w:sz w:val="20"/>
          <w:szCs w:val="20"/>
        </w:rPr>
        <w:t xml:space="preserve">ownership of our intellectual property, which can exist if there is a challenge to such ownership without regard to the merits of the challenge and industry and market conditions generally. The collaborator may also consider alternative product candidates </w:t>
      </w:r>
      <w:r>
        <w:rPr>
          <w:rFonts w:eastAsia="Times New Roman"/>
          <w:color w:val="000000"/>
          <w:sz w:val="20"/>
          <w:szCs w:val="20"/>
        </w:rPr>
        <w:t>or technologies for similar indications that may be available to collaborate on and whether such a collaboration could be more attractive than the one with us for FT218. The terms of any additional collaborations or other arrangements that we may establish</w:t>
      </w:r>
      <w:r>
        <w:rPr>
          <w:rFonts w:eastAsia="Times New Roman"/>
          <w:color w:val="000000"/>
          <w:sz w:val="20"/>
          <w:szCs w:val="20"/>
        </w:rPr>
        <w:t xml:space="preserve"> may not be favorable to us.</w:t>
      </w:r>
    </w:p>
    <w:p w14:paraId="12DE05BF" w14:textId="77777777" w:rsidR="00000000" w:rsidRDefault="000C49AD">
      <w:pPr>
        <w:jc w:val="both"/>
        <w:rPr>
          <w:rFonts w:eastAsia="Times New Roman"/>
        </w:rPr>
      </w:pPr>
    </w:p>
    <w:p w14:paraId="6A8F3133" w14:textId="77777777" w:rsidR="00000000" w:rsidRDefault="000C49AD">
      <w:pPr>
        <w:jc w:val="both"/>
        <w:rPr>
          <w:rFonts w:eastAsia="Times New Roman"/>
        </w:rPr>
      </w:pPr>
      <w:r>
        <w:rPr>
          <w:rFonts w:eastAsia="Times New Roman"/>
          <w:color w:val="000000"/>
          <w:sz w:val="20"/>
          <w:szCs w:val="20"/>
        </w:rPr>
        <w:t>We may also be restricted under collaboration agreements from entering into future agreements on certain terms with potential collaborators. Collaborations are complex and time-consuming to negotiate and document. In addition</w:t>
      </w:r>
      <w:r>
        <w:rPr>
          <w:rFonts w:eastAsia="Times New Roman"/>
          <w:color w:val="000000"/>
          <w:sz w:val="20"/>
          <w:szCs w:val="20"/>
        </w:rPr>
        <w:t>, there have been a significant number of recent business combinations among large pharmaceutical companies that have resulted in a reduced number of potential future collaborators.</w:t>
      </w:r>
    </w:p>
    <w:p w14:paraId="125F4FF1" w14:textId="77777777" w:rsidR="00000000" w:rsidRDefault="000C49AD">
      <w:pPr>
        <w:jc w:val="both"/>
        <w:rPr>
          <w:rFonts w:eastAsia="Times New Roman"/>
        </w:rPr>
      </w:pPr>
    </w:p>
    <w:p w14:paraId="6D8A7EEE" w14:textId="77777777" w:rsidR="00000000" w:rsidRDefault="000C49AD">
      <w:pPr>
        <w:jc w:val="both"/>
        <w:rPr>
          <w:rFonts w:eastAsia="Times New Roman"/>
        </w:rPr>
      </w:pPr>
      <w:r>
        <w:rPr>
          <w:rFonts w:eastAsia="Times New Roman"/>
          <w:color w:val="000000"/>
          <w:sz w:val="20"/>
          <w:szCs w:val="20"/>
        </w:rPr>
        <w:t>We may not be able to negotiate additional collaborations on a timely basis, on acceptable terms, or at all. If we are unable to do so, we may have to curtail the development of our product candidates for which we are seeking to collaborate, reduce or dela</w:t>
      </w:r>
      <w:r>
        <w:rPr>
          <w:rFonts w:eastAsia="Times New Roman"/>
          <w:color w:val="000000"/>
          <w:sz w:val="20"/>
          <w:szCs w:val="20"/>
        </w:rPr>
        <w:t>y its development program, delay its potential commercialization or reduce the scope of any sales or marketing activities, or increase our expenditures and undertake development or commercialization activities at our own expense. If we elect to increase ou</w:t>
      </w:r>
      <w:r>
        <w:rPr>
          <w:rFonts w:eastAsia="Times New Roman"/>
          <w:color w:val="000000"/>
          <w:sz w:val="20"/>
          <w:szCs w:val="20"/>
        </w:rPr>
        <w:t>r expenditures to fund development or commercialization activities on our own, we may need to obtain additional capital, which may not be available to us on acceptable terms or at all. If we do not have sufficient funds, we may not be able to further devel</w:t>
      </w:r>
      <w:r>
        <w:rPr>
          <w:rFonts w:eastAsia="Times New Roman"/>
          <w:color w:val="000000"/>
          <w:sz w:val="20"/>
          <w:szCs w:val="20"/>
        </w:rPr>
        <w:t>op FT218 outside of the U.S., if approved, or future product candidates, or bring these products to market and generate product revenue.</w:t>
      </w:r>
    </w:p>
    <w:p w14:paraId="75345B02" w14:textId="77777777" w:rsidR="00000000" w:rsidRDefault="000C49AD">
      <w:pPr>
        <w:jc w:val="both"/>
        <w:rPr>
          <w:rFonts w:eastAsia="Times New Roman"/>
        </w:rPr>
      </w:pPr>
    </w:p>
    <w:p w14:paraId="749440F4" w14:textId="77777777" w:rsidR="00000000" w:rsidRDefault="000C49AD">
      <w:pPr>
        <w:jc w:val="both"/>
        <w:rPr>
          <w:rFonts w:eastAsia="Times New Roman"/>
        </w:rPr>
      </w:pPr>
      <w:r>
        <w:rPr>
          <w:rFonts w:eastAsia="Times New Roman"/>
          <w:color w:val="000000"/>
          <w:sz w:val="20"/>
          <w:szCs w:val="20"/>
        </w:rPr>
        <w:t>In addition, any future collaborations that we enter into may not be successful. The success of our collaboration arr</w:t>
      </w:r>
      <w:r>
        <w:rPr>
          <w:rFonts w:eastAsia="Times New Roman"/>
          <w:color w:val="000000"/>
          <w:sz w:val="20"/>
          <w:szCs w:val="20"/>
        </w:rPr>
        <w:t xml:space="preserve">angements will depend heavily on the efforts and activities of our collaborators. Collaborators generally have significant discretion in determining the efforts and resources that they will apply to these collaborations. Disagreements between parties to a </w:t>
      </w:r>
      <w:r>
        <w:rPr>
          <w:rFonts w:eastAsia="Times New Roman"/>
          <w:color w:val="000000"/>
          <w:sz w:val="20"/>
          <w:szCs w:val="20"/>
        </w:rPr>
        <w:t>collaboration arrangement regarding clinical development and commercialization matters can lead to delays in the development process or commercializing the applicable product candidate and, in some cases, termination of the collaboration arrangement. These</w:t>
      </w:r>
      <w:r>
        <w:rPr>
          <w:rFonts w:eastAsia="Times New Roman"/>
          <w:color w:val="000000"/>
          <w:sz w:val="20"/>
          <w:szCs w:val="20"/>
        </w:rPr>
        <w:t xml:space="preserve"> disagreements can be difficult to resolve if neither of the parties has final decision-making authority. Collaborations with pharmaceutical or biotechnology companies and other third parties often are terminated or allowed to expire by the other party. An</w:t>
      </w:r>
      <w:r>
        <w:rPr>
          <w:rFonts w:eastAsia="Times New Roman"/>
          <w:color w:val="000000"/>
          <w:sz w:val="20"/>
          <w:szCs w:val="20"/>
        </w:rPr>
        <w:t>y such termination or expiration would adversely affect us financially and could harm our business reputation.</w:t>
      </w:r>
    </w:p>
    <w:p w14:paraId="768CB9C3" w14:textId="77777777" w:rsidR="00000000" w:rsidRDefault="000C49AD">
      <w:pPr>
        <w:jc w:val="center"/>
        <w:divId w:val="295646219"/>
        <w:rPr>
          <w:rFonts w:eastAsia="Times New Roman"/>
        </w:rPr>
      </w:pPr>
      <w:r>
        <w:rPr>
          <w:rFonts w:eastAsia="Times New Roman"/>
          <w:color w:val="000000"/>
          <w:sz w:val="20"/>
          <w:szCs w:val="20"/>
        </w:rPr>
        <w:t>-41-</w:t>
      </w:r>
    </w:p>
    <w:p w14:paraId="0FBF680D" w14:textId="77777777" w:rsidR="00000000" w:rsidRDefault="000C49AD">
      <w:pPr>
        <w:rPr>
          <w:rFonts w:eastAsia="Times New Roman"/>
        </w:rPr>
      </w:pPr>
      <w:r>
        <w:rPr>
          <w:rFonts w:eastAsia="Times New Roman"/>
        </w:rPr>
        <w:pict w14:anchorId="3A800928">
          <v:rect id="_x0000_i1065" style="width:0;height:1.5pt" o:hralign="center" o:hrstd="t" o:hr="t" fillcolor="#a0a0a0" stroked="f"/>
        </w:pict>
      </w:r>
    </w:p>
    <w:p w14:paraId="3D077817" w14:textId="77777777" w:rsidR="00000000" w:rsidRDefault="000C49AD">
      <w:pPr>
        <w:divId w:val="2025745014"/>
        <w:rPr>
          <w:rFonts w:eastAsia="Times New Roman"/>
        </w:rPr>
      </w:pPr>
    </w:p>
    <w:p w14:paraId="6296DB20" w14:textId="77777777" w:rsidR="00000000" w:rsidRDefault="000C49AD">
      <w:pPr>
        <w:jc w:val="both"/>
        <w:rPr>
          <w:rFonts w:eastAsia="Times New Roman"/>
        </w:rPr>
      </w:pPr>
    </w:p>
    <w:p w14:paraId="5061537C" w14:textId="77777777" w:rsidR="00000000" w:rsidRDefault="000C49AD">
      <w:pPr>
        <w:jc w:val="both"/>
        <w:rPr>
          <w:rFonts w:eastAsia="Times New Roman"/>
        </w:rPr>
      </w:pPr>
      <w:r>
        <w:rPr>
          <w:rFonts w:eastAsia="Times New Roman"/>
          <w:b/>
          <w:bCs/>
          <w:color w:val="000000"/>
          <w:sz w:val="20"/>
          <w:szCs w:val="20"/>
        </w:rPr>
        <w:t>Risks Related to Our Intellectual Property</w:t>
      </w:r>
    </w:p>
    <w:p w14:paraId="40CC955D" w14:textId="77777777" w:rsidR="00000000" w:rsidRDefault="000C49AD">
      <w:pPr>
        <w:jc w:val="both"/>
        <w:rPr>
          <w:rFonts w:eastAsia="Times New Roman"/>
        </w:rPr>
      </w:pPr>
    </w:p>
    <w:p w14:paraId="038AD80C" w14:textId="77777777" w:rsidR="00000000" w:rsidRDefault="000C49AD">
      <w:pPr>
        <w:jc w:val="both"/>
        <w:rPr>
          <w:rFonts w:eastAsia="Times New Roman"/>
        </w:rPr>
      </w:pPr>
      <w:r>
        <w:rPr>
          <w:rFonts w:eastAsia="Times New Roman"/>
          <w:b/>
          <w:bCs/>
          <w:i/>
          <w:iCs/>
          <w:color w:val="000000"/>
          <w:sz w:val="20"/>
          <w:szCs w:val="20"/>
        </w:rPr>
        <w:t>If we cannot adequately protect our intellectual proper</w:t>
      </w:r>
      <w:r>
        <w:rPr>
          <w:rFonts w:eastAsia="Times New Roman"/>
          <w:b/>
          <w:bCs/>
          <w:i/>
          <w:iCs/>
          <w:color w:val="000000"/>
          <w:sz w:val="20"/>
          <w:szCs w:val="20"/>
        </w:rPr>
        <w:t>ty and proprietary information, we may be unable to effectively compete.</w:t>
      </w:r>
    </w:p>
    <w:p w14:paraId="008EEDE0" w14:textId="77777777" w:rsidR="00000000" w:rsidRDefault="000C49AD">
      <w:pPr>
        <w:jc w:val="both"/>
        <w:rPr>
          <w:rFonts w:eastAsia="Times New Roman"/>
        </w:rPr>
      </w:pPr>
    </w:p>
    <w:p w14:paraId="06484F9E" w14:textId="77777777" w:rsidR="00000000" w:rsidRDefault="000C49AD">
      <w:pPr>
        <w:jc w:val="both"/>
        <w:rPr>
          <w:rFonts w:eastAsia="Times New Roman"/>
        </w:rPr>
      </w:pPr>
      <w:r>
        <w:rPr>
          <w:rFonts w:eastAsia="Times New Roman"/>
          <w:color w:val="000000"/>
          <w:sz w:val="20"/>
          <w:szCs w:val="20"/>
        </w:rPr>
        <w:t>Our success depends, in part, on our ability to obtain and enforce patents and other intellectual property rights for our product candidate and future product candidates and technol</w:t>
      </w:r>
      <w:r>
        <w:rPr>
          <w:rFonts w:eastAsia="Times New Roman"/>
          <w:color w:val="000000"/>
          <w:sz w:val="20"/>
          <w:szCs w:val="20"/>
        </w:rPr>
        <w:t>ogy, including our drug delivery technologies, and to preserve our trade secrets and other proprietary information. If we cannot do so, our competitors may exploit our technologies and deprive us of the ability to realize revenues and profits from our prod</w:t>
      </w:r>
      <w:r>
        <w:rPr>
          <w:rFonts w:eastAsia="Times New Roman"/>
          <w:color w:val="000000"/>
          <w:sz w:val="20"/>
          <w:szCs w:val="20"/>
        </w:rPr>
        <w:t>uct candidate and future product candidates and technologies.</w:t>
      </w:r>
    </w:p>
    <w:p w14:paraId="1F231E71" w14:textId="77777777" w:rsidR="00000000" w:rsidRDefault="000C49AD">
      <w:pPr>
        <w:jc w:val="both"/>
        <w:rPr>
          <w:rFonts w:eastAsia="Times New Roman"/>
        </w:rPr>
      </w:pPr>
    </w:p>
    <w:p w14:paraId="2153A350" w14:textId="77777777" w:rsidR="00000000" w:rsidRDefault="000C49AD">
      <w:pPr>
        <w:jc w:val="both"/>
        <w:rPr>
          <w:rFonts w:eastAsia="Times New Roman"/>
        </w:rPr>
      </w:pPr>
      <w:r>
        <w:rPr>
          <w:rFonts w:eastAsia="Times New Roman"/>
          <w:color w:val="000000"/>
          <w:sz w:val="20"/>
          <w:szCs w:val="20"/>
        </w:rPr>
        <w:t>To the extent any of our product candidate and future product candidates may benefit from protections afforded by patents, we face the risk that patent law relating to the scope of claims in t</w:t>
      </w:r>
      <w:r>
        <w:rPr>
          <w:rFonts w:eastAsia="Times New Roman"/>
          <w:color w:val="000000"/>
          <w:sz w:val="20"/>
          <w:szCs w:val="20"/>
        </w:rPr>
        <w:t>he pharmaceutical and biotechnology fields is continually evolving and can be the subject of uncertainty and may change in a way that would limit protection. If challenged, a court or other body may determine that our patents may not be exclusive, valid or</w:t>
      </w:r>
      <w:r>
        <w:rPr>
          <w:rFonts w:eastAsia="Times New Roman"/>
          <w:color w:val="000000"/>
          <w:sz w:val="20"/>
          <w:szCs w:val="20"/>
        </w:rPr>
        <w:t xml:space="preserve"> enforceable. For example, our patents may not protect us against challenges by companies that submit drug marketing applications to the FDA, or the competent authorities of EU Member States or other jurisdictions in which we may attempt to compete, in par</w:t>
      </w:r>
      <w:r>
        <w:rPr>
          <w:rFonts w:eastAsia="Times New Roman"/>
          <w:color w:val="000000"/>
          <w:sz w:val="20"/>
          <w:szCs w:val="20"/>
        </w:rPr>
        <w:t>ticular where such applications rely, at least in part, on safety and efficacy data from our product candidate and future product candidates. In addition, competitors may obtain patents that may have an adverse effect on our ability to conduct business, or</w:t>
      </w:r>
      <w:r>
        <w:rPr>
          <w:rFonts w:eastAsia="Times New Roman"/>
          <w:color w:val="000000"/>
          <w:sz w:val="20"/>
          <w:szCs w:val="20"/>
        </w:rPr>
        <w:t xml:space="preserve"> they may discover ways to circumvent our patents. The scope of any patent protection may not be sufficiently broad to cover our product candidate and future product candidates or to exclude competing products. Any patent applications we have made or may m</w:t>
      </w:r>
      <w:r>
        <w:rPr>
          <w:rFonts w:eastAsia="Times New Roman"/>
          <w:color w:val="000000"/>
          <w:sz w:val="20"/>
          <w:szCs w:val="20"/>
        </w:rPr>
        <w:t>ake relating to our potential products or technologies may not result in patents being issued. Even after issuance, our patents may be challenged in the courts or patent offices in the U.S. and elsewhere. Such challenges may result in loss of exclusivity o</w:t>
      </w:r>
      <w:r>
        <w:rPr>
          <w:rFonts w:eastAsia="Times New Roman"/>
          <w:color w:val="000000"/>
          <w:sz w:val="20"/>
          <w:szCs w:val="20"/>
        </w:rPr>
        <w:t>r in patent claims being narrowed, invalidated or held unenforceable, in whole or in part, which could limit our ability to stop others from using or commercializing similar or identical product candidates, or limit the duration of the patent protection of</w:t>
      </w:r>
      <w:r>
        <w:rPr>
          <w:rFonts w:eastAsia="Times New Roman"/>
          <w:color w:val="000000"/>
          <w:sz w:val="20"/>
          <w:szCs w:val="20"/>
        </w:rPr>
        <w:t xml:space="preserve"> our product candidate and future product candidates. Further, patent protection once obtained is limited in time, after which competitors may use the covered product or technology without obtaining a license from us. Because of the time required to obtain</w:t>
      </w:r>
      <w:r>
        <w:rPr>
          <w:rFonts w:eastAsia="Times New Roman"/>
          <w:color w:val="000000"/>
          <w:sz w:val="20"/>
          <w:szCs w:val="20"/>
        </w:rPr>
        <w:t xml:space="preserve"> regulatory marketing approval, the remaining period of effective patent protection for a marketed product is frequently substantially shorter than the full duration of the patent. While a patent term extension can be requested under certain circumstances,</w:t>
      </w:r>
      <w:r>
        <w:rPr>
          <w:rFonts w:eastAsia="Times New Roman"/>
          <w:color w:val="000000"/>
          <w:sz w:val="20"/>
          <w:szCs w:val="20"/>
        </w:rPr>
        <w:t xml:space="preserve"> the grant of such a request is not guaranteed.</w:t>
      </w:r>
    </w:p>
    <w:p w14:paraId="20ACE87A" w14:textId="77777777" w:rsidR="00000000" w:rsidRDefault="000C49AD">
      <w:pPr>
        <w:jc w:val="both"/>
        <w:rPr>
          <w:rFonts w:eastAsia="Times New Roman"/>
        </w:rPr>
      </w:pPr>
    </w:p>
    <w:p w14:paraId="245F5931" w14:textId="77777777" w:rsidR="00000000" w:rsidRDefault="000C49AD">
      <w:pPr>
        <w:jc w:val="both"/>
        <w:rPr>
          <w:rFonts w:eastAsia="Times New Roman"/>
        </w:rPr>
      </w:pPr>
      <w:r>
        <w:rPr>
          <w:rFonts w:eastAsia="Times New Roman"/>
          <w:color w:val="000000"/>
          <w:sz w:val="20"/>
          <w:szCs w:val="20"/>
        </w:rPr>
        <w:t>Our partnerships with third parties expose us to risks that they will claim intellectual property rights on our inventions or fail to keep our unpatented products or technology confidential.</w:t>
      </w:r>
    </w:p>
    <w:p w14:paraId="78ED65DB" w14:textId="77777777" w:rsidR="00000000" w:rsidRDefault="000C49AD">
      <w:pPr>
        <w:jc w:val="both"/>
        <w:rPr>
          <w:rFonts w:eastAsia="Times New Roman"/>
        </w:rPr>
      </w:pPr>
    </w:p>
    <w:p w14:paraId="46697BD4" w14:textId="77777777" w:rsidR="00000000" w:rsidRDefault="000C49AD">
      <w:pPr>
        <w:jc w:val="both"/>
        <w:rPr>
          <w:rFonts w:eastAsia="Times New Roman"/>
        </w:rPr>
      </w:pPr>
      <w:r>
        <w:rPr>
          <w:rFonts w:eastAsia="Times New Roman"/>
          <w:b/>
          <w:bCs/>
          <w:i/>
          <w:iCs/>
          <w:color w:val="000000"/>
          <w:sz w:val="20"/>
          <w:szCs w:val="20"/>
        </w:rPr>
        <w:t>If we are una</w:t>
      </w:r>
      <w:r>
        <w:rPr>
          <w:rFonts w:eastAsia="Times New Roman"/>
          <w:b/>
          <w:bCs/>
          <w:i/>
          <w:iCs/>
          <w:color w:val="000000"/>
          <w:sz w:val="20"/>
          <w:szCs w:val="20"/>
        </w:rPr>
        <w:t>ble to protect the confidentiality of our trade secrets, the value of our technology could be materially adversely affected and our business would be harmed.</w:t>
      </w:r>
    </w:p>
    <w:p w14:paraId="57C06096" w14:textId="77777777" w:rsidR="00000000" w:rsidRDefault="000C49AD">
      <w:pPr>
        <w:jc w:val="both"/>
        <w:rPr>
          <w:rFonts w:eastAsia="Times New Roman"/>
        </w:rPr>
      </w:pPr>
    </w:p>
    <w:p w14:paraId="0A463BE7" w14:textId="77777777" w:rsidR="00000000" w:rsidRDefault="000C49AD">
      <w:pPr>
        <w:jc w:val="both"/>
        <w:rPr>
          <w:rFonts w:eastAsia="Times New Roman"/>
        </w:rPr>
      </w:pPr>
      <w:r>
        <w:rPr>
          <w:rFonts w:eastAsia="Times New Roman"/>
          <w:color w:val="000000"/>
          <w:sz w:val="20"/>
          <w:szCs w:val="20"/>
        </w:rPr>
        <w:t>We also rely on trademarks, copyrights, trade secrets and know-how to develop, maintain and stre</w:t>
      </w:r>
      <w:r>
        <w:rPr>
          <w:rFonts w:eastAsia="Times New Roman"/>
          <w:color w:val="000000"/>
          <w:sz w:val="20"/>
          <w:szCs w:val="20"/>
        </w:rPr>
        <w:t>ngthen our competitive position.</w:t>
      </w:r>
    </w:p>
    <w:p w14:paraId="4374C57D" w14:textId="77777777" w:rsidR="00000000" w:rsidRDefault="000C49AD">
      <w:pPr>
        <w:jc w:val="both"/>
        <w:rPr>
          <w:rFonts w:eastAsia="Times New Roman"/>
        </w:rPr>
      </w:pPr>
    </w:p>
    <w:p w14:paraId="71C92B91" w14:textId="77777777" w:rsidR="00000000" w:rsidRDefault="000C49AD">
      <w:pPr>
        <w:jc w:val="both"/>
        <w:rPr>
          <w:rFonts w:eastAsia="Times New Roman"/>
        </w:rPr>
      </w:pPr>
      <w:r>
        <w:rPr>
          <w:rFonts w:eastAsia="Times New Roman"/>
          <w:color w:val="000000"/>
          <w:sz w:val="20"/>
          <w:szCs w:val="20"/>
        </w:rPr>
        <w:t>To protect our product candidate, trade secrets and proprietary technologies, we rely, in part, on confidentiality agreements with our employees, suppliers, consultants, advisors and partners. These agreements may not pro</w:t>
      </w:r>
      <w:r>
        <w:rPr>
          <w:rFonts w:eastAsia="Times New Roman"/>
          <w:color w:val="000000"/>
          <w:sz w:val="20"/>
          <w:szCs w:val="20"/>
        </w:rPr>
        <w:t>vide adequate protection for our trade secrets and other proprietary information in the event of any unauthorized use or disclosure, or if others lawfully develop the information. If these agreements are breached, we cannot be certain we will have adequate</w:t>
      </w:r>
      <w:r>
        <w:rPr>
          <w:rFonts w:eastAsia="Times New Roman"/>
          <w:color w:val="000000"/>
          <w:sz w:val="20"/>
          <w:szCs w:val="20"/>
        </w:rPr>
        <w:t xml:space="preserve"> remedies. Further, we cannot guarantee that third parties will not know, discover or independently develop equivalent proprietary information or technologies, or that they will not gain access to our trade secrets or disclose our trade secrets to the publ</w:t>
      </w:r>
      <w:r>
        <w:rPr>
          <w:rFonts w:eastAsia="Times New Roman"/>
          <w:color w:val="000000"/>
          <w:sz w:val="20"/>
          <w:szCs w:val="20"/>
        </w:rPr>
        <w:t>ic. Therefore, we cannot guarantee we can maintain and protect unpatented proprietary information and trade secrets. Misappropriation or other loss of our intellectual property would adversely affect our competitive position and may cause us to incur subst</w:t>
      </w:r>
      <w:r>
        <w:rPr>
          <w:rFonts w:eastAsia="Times New Roman"/>
          <w:color w:val="000000"/>
          <w:sz w:val="20"/>
          <w:szCs w:val="20"/>
        </w:rPr>
        <w:t>antial litigation or other costs.</w:t>
      </w:r>
    </w:p>
    <w:p w14:paraId="4D994DBD" w14:textId="77777777" w:rsidR="00000000" w:rsidRDefault="000C49AD">
      <w:pPr>
        <w:jc w:val="both"/>
        <w:rPr>
          <w:rFonts w:eastAsia="Times New Roman"/>
        </w:rPr>
      </w:pPr>
    </w:p>
    <w:p w14:paraId="0D483370" w14:textId="77777777" w:rsidR="00000000" w:rsidRDefault="000C49AD">
      <w:pPr>
        <w:jc w:val="both"/>
        <w:rPr>
          <w:rFonts w:eastAsia="Times New Roman"/>
        </w:rPr>
      </w:pPr>
      <w:r>
        <w:rPr>
          <w:rFonts w:eastAsia="Times New Roman"/>
          <w:b/>
          <w:bCs/>
          <w:i/>
          <w:iCs/>
          <w:color w:val="000000"/>
          <w:sz w:val="20"/>
          <w:szCs w:val="20"/>
        </w:rPr>
        <w:t>If we and our partners do not adequately protect the trademarks and trade names for our products, then we and our partners may not be able to build name recognition in our markets of interest and our business may be adve</w:t>
      </w:r>
      <w:r>
        <w:rPr>
          <w:rFonts w:eastAsia="Times New Roman"/>
          <w:b/>
          <w:bCs/>
          <w:i/>
          <w:iCs/>
          <w:color w:val="000000"/>
          <w:sz w:val="20"/>
          <w:szCs w:val="20"/>
        </w:rPr>
        <w:t>rsely affected.</w:t>
      </w:r>
    </w:p>
    <w:p w14:paraId="25EA191F" w14:textId="77777777" w:rsidR="00000000" w:rsidRDefault="000C49AD">
      <w:pPr>
        <w:jc w:val="both"/>
        <w:rPr>
          <w:rFonts w:eastAsia="Times New Roman"/>
        </w:rPr>
      </w:pPr>
    </w:p>
    <w:p w14:paraId="20D26E0A" w14:textId="77777777" w:rsidR="00000000" w:rsidRDefault="000C49AD">
      <w:pPr>
        <w:jc w:val="both"/>
        <w:rPr>
          <w:rFonts w:eastAsia="Times New Roman"/>
        </w:rPr>
      </w:pPr>
      <w:r>
        <w:rPr>
          <w:rFonts w:eastAsia="Times New Roman"/>
          <w:color w:val="000000"/>
          <w:sz w:val="20"/>
          <w:szCs w:val="20"/>
        </w:rPr>
        <w:t>Our competitors or other third parties may challenge, infringe or circumvent the trademarks or trade names for our products. We and our partners may not be able to protect these trademarks and trade names. In addition, if the trademarks o</w:t>
      </w:r>
      <w:r>
        <w:rPr>
          <w:rFonts w:eastAsia="Times New Roman"/>
          <w:color w:val="000000"/>
          <w:sz w:val="20"/>
          <w:szCs w:val="20"/>
        </w:rPr>
        <w:t xml:space="preserve">r trade names for one of our products infringe the rights of others, we or our partners may be forced to stop using the trademarks or trade names, which we need for name recognition in our markets of interest. If we cannot establish name recognition based </w:t>
      </w:r>
      <w:r>
        <w:rPr>
          <w:rFonts w:eastAsia="Times New Roman"/>
          <w:color w:val="000000"/>
          <w:sz w:val="20"/>
          <w:szCs w:val="20"/>
        </w:rPr>
        <w:t>on our trademarks and trade names, we and our partners may not be able to compete effectively and our business may be adversely affected.</w:t>
      </w:r>
    </w:p>
    <w:p w14:paraId="43D43CD1" w14:textId="77777777" w:rsidR="00000000" w:rsidRDefault="000C49AD">
      <w:pPr>
        <w:jc w:val="center"/>
        <w:divId w:val="2037153037"/>
        <w:rPr>
          <w:rFonts w:eastAsia="Times New Roman"/>
        </w:rPr>
      </w:pPr>
      <w:r>
        <w:rPr>
          <w:rFonts w:eastAsia="Times New Roman"/>
          <w:color w:val="000000"/>
          <w:sz w:val="20"/>
          <w:szCs w:val="20"/>
        </w:rPr>
        <w:t>-42-</w:t>
      </w:r>
    </w:p>
    <w:p w14:paraId="402DE6D5" w14:textId="77777777" w:rsidR="00000000" w:rsidRDefault="000C49AD">
      <w:pPr>
        <w:rPr>
          <w:rFonts w:eastAsia="Times New Roman"/>
        </w:rPr>
      </w:pPr>
      <w:r>
        <w:rPr>
          <w:rFonts w:eastAsia="Times New Roman"/>
        </w:rPr>
        <w:pict w14:anchorId="5CEC15BA">
          <v:rect id="_x0000_i1066" style="width:0;height:1.5pt" o:hralign="center" o:hrstd="t" o:hr="t" fillcolor="#a0a0a0" stroked="f"/>
        </w:pict>
      </w:r>
    </w:p>
    <w:p w14:paraId="3BFD491A" w14:textId="77777777" w:rsidR="00000000" w:rsidRDefault="000C49AD">
      <w:pPr>
        <w:divId w:val="73359090"/>
        <w:rPr>
          <w:rFonts w:eastAsia="Times New Roman"/>
        </w:rPr>
      </w:pPr>
    </w:p>
    <w:p w14:paraId="7EEA4E79" w14:textId="77777777" w:rsidR="00000000" w:rsidRDefault="000C49AD">
      <w:pPr>
        <w:jc w:val="both"/>
        <w:rPr>
          <w:rFonts w:eastAsia="Times New Roman"/>
        </w:rPr>
      </w:pPr>
    </w:p>
    <w:p w14:paraId="7DD1649A" w14:textId="77777777" w:rsidR="00000000" w:rsidRDefault="000C49AD">
      <w:pPr>
        <w:jc w:val="both"/>
        <w:rPr>
          <w:rFonts w:eastAsia="Times New Roman"/>
        </w:rPr>
      </w:pPr>
      <w:r>
        <w:rPr>
          <w:rFonts w:eastAsia="Times New Roman"/>
          <w:b/>
          <w:bCs/>
          <w:i/>
          <w:iCs/>
          <w:color w:val="000000"/>
          <w:sz w:val="20"/>
          <w:szCs w:val="20"/>
        </w:rPr>
        <w:t>Changes in U.S. or ex-U.S. patent laws could diminish the value of patents in general, thereby impairing our ability to protect our product candidate and future product candidates.</w:t>
      </w:r>
    </w:p>
    <w:p w14:paraId="650D5078" w14:textId="77777777" w:rsidR="00000000" w:rsidRDefault="000C49AD">
      <w:pPr>
        <w:jc w:val="both"/>
        <w:rPr>
          <w:rFonts w:eastAsia="Times New Roman"/>
        </w:rPr>
      </w:pPr>
    </w:p>
    <w:p w14:paraId="4AD4F46B" w14:textId="77777777" w:rsidR="00000000" w:rsidRDefault="000C49AD">
      <w:pPr>
        <w:jc w:val="both"/>
        <w:rPr>
          <w:rFonts w:eastAsia="Times New Roman"/>
        </w:rPr>
      </w:pPr>
      <w:r>
        <w:rPr>
          <w:rFonts w:eastAsia="Times New Roman"/>
          <w:color w:val="000000"/>
          <w:sz w:val="20"/>
          <w:szCs w:val="20"/>
        </w:rPr>
        <w:t>Changes in either the patent laws or interpretation thereof in the U.S. o</w:t>
      </w:r>
      <w:r>
        <w:rPr>
          <w:rFonts w:eastAsia="Times New Roman"/>
          <w:color w:val="000000"/>
          <w:sz w:val="20"/>
          <w:szCs w:val="20"/>
        </w:rPr>
        <w:t>r in ex-U.S. jurisdictions could increase uncertainties and costs surrounding the prosecution of patent applications and the enforcement or defense of issued patents. For example, the Leahy-Smith America Invents Act of 2011 (“AIA”), changed the previous U.</w:t>
      </w:r>
      <w:r>
        <w:rPr>
          <w:rFonts w:eastAsia="Times New Roman"/>
          <w:color w:val="000000"/>
          <w:sz w:val="20"/>
          <w:szCs w:val="20"/>
        </w:rPr>
        <w:t>S. “first-to-invent” system to the current system that awards a patent to the “first-inventor-to-file” for an application for a patentable invention. This change alters the pool of available materials that can be used to challenge patents in the U.S. and l</w:t>
      </w:r>
      <w:r>
        <w:rPr>
          <w:rFonts w:eastAsia="Times New Roman"/>
          <w:color w:val="000000"/>
          <w:sz w:val="20"/>
          <w:szCs w:val="20"/>
        </w:rPr>
        <w:t xml:space="preserve">imits the ability to rely on prior research to lay claim to patent rights. Under the current system, disputes are resolved through new derivation proceedings, and the AIA includes mechanisms to allow challenges to issued patents in reexamination, </w:t>
      </w:r>
      <w:r>
        <w:rPr>
          <w:rFonts w:eastAsia="Times New Roman"/>
          <w:i/>
          <w:iCs/>
          <w:color w:val="000000"/>
          <w:sz w:val="20"/>
          <w:szCs w:val="20"/>
        </w:rPr>
        <w:t>inter par</w:t>
      </w:r>
      <w:r>
        <w:rPr>
          <w:rFonts w:eastAsia="Times New Roman"/>
          <w:i/>
          <w:iCs/>
          <w:color w:val="000000"/>
          <w:sz w:val="20"/>
          <w:szCs w:val="20"/>
        </w:rPr>
        <w:t>tes</w:t>
      </w:r>
      <w:r>
        <w:rPr>
          <w:rFonts w:eastAsia="Times New Roman"/>
          <w:color w:val="000000"/>
          <w:sz w:val="20"/>
          <w:szCs w:val="20"/>
        </w:rPr>
        <w:t xml:space="preserve"> review and post grant proceedings. The AIA also includes bases and procedures that may make it easier for competitors to challenge our patents, which could result in increased competition and have a material adverse effect on our business and results o</w:t>
      </w:r>
      <w:r>
        <w:rPr>
          <w:rFonts w:eastAsia="Times New Roman"/>
          <w:color w:val="000000"/>
          <w:sz w:val="20"/>
          <w:szCs w:val="20"/>
        </w:rPr>
        <w:t xml:space="preserve">f operations. The AIA may also make it harder to challenge third-party patents and place greater importance on being the first inventor to file a patent application on an invention. The AIA amendments to patent filing and litigation procedures in the U.S. </w:t>
      </w:r>
      <w:r>
        <w:rPr>
          <w:rFonts w:eastAsia="Times New Roman"/>
          <w:color w:val="000000"/>
          <w:sz w:val="20"/>
          <w:szCs w:val="20"/>
        </w:rPr>
        <w:t>may result in litigation being more complex and expensive and divert the efforts of our technical and management personnel.</w:t>
      </w:r>
    </w:p>
    <w:p w14:paraId="66B18B21" w14:textId="77777777" w:rsidR="00000000" w:rsidRDefault="000C49AD">
      <w:pPr>
        <w:jc w:val="both"/>
        <w:rPr>
          <w:rFonts w:eastAsia="Times New Roman"/>
        </w:rPr>
      </w:pPr>
    </w:p>
    <w:p w14:paraId="44335E29" w14:textId="77777777" w:rsidR="00000000" w:rsidRDefault="000C49AD">
      <w:pPr>
        <w:jc w:val="both"/>
        <w:rPr>
          <w:rFonts w:eastAsia="Times New Roman"/>
        </w:rPr>
      </w:pPr>
      <w:r>
        <w:rPr>
          <w:rFonts w:eastAsia="Times New Roman"/>
          <w:color w:val="000000"/>
          <w:sz w:val="20"/>
          <w:szCs w:val="20"/>
        </w:rPr>
        <w:t>In addition, the patent positions of companies in the development and commercialization of pharmaceuticals may be particularly unc</w:t>
      </w:r>
      <w:r>
        <w:rPr>
          <w:rFonts w:eastAsia="Times New Roman"/>
          <w:color w:val="000000"/>
          <w:sz w:val="20"/>
          <w:szCs w:val="20"/>
        </w:rPr>
        <w:t>ertain. Depending on future actions by the U.S. Congress, the U.S. federal courts, and the USPTO, or by similarly legislative, judicial, and regulatory authorities in other jurisdictions, the laws and regulations governing patents could change in unpredict</w:t>
      </w:r>
      <w:r>
        <w:rPr>
          <w:rFonts w:eastAsia="Times New Roman"/>
          <w:color w:val="000000"/>
          <w:sz w:val="20"/>
          <w:szCs w:val="20"/>
        </w:rPr>
        <w:t>able ways that could have a material adverse effect on our existing patent portfolio and our ability to protect and enforce our intellectual property in the future.</w:t>
      </w:r>
    </w:p>
    <w:p w14:paraId="01B01753" w14:textId="77777777" w:rsidR="00000000" w:rsidRDefault="000C49AD">
      <w:pPr>
        <w:jc w:val="both"/>
        <w:rPr>
          <w:rFonts w:eastAsia="Times New Roman"/>
        </w:rPr>
      </w:pPr>
    </w:p>
    <w:p w14:paraId="5B7B891E" w14:textId="77777777" w:rsidR="00000000" w:rsidRDefault="000C49AD">
      <w:pPr>
        <w:jc w:val="both"/>
        <w:rPr>
          <w:rFonts w:eastAsia="Times New Roman"/>
        </w:rPr>
      </w:pPr>
      <w:r>
        <w:rPr>
          <w:rFonts w:eastAsia="Times New Roman"/>
          <w:b/>
          <w:bCs/>
          <w:i/>
          <w:iCs/>
          <w:color w:val="000000"/>
          <w:sz w:val="20"/>
          <w:szCs w:val="20"/>
        </w:rPr>
        <w:t xml:space="preserve">Third parties may claim that our product candidate or future product candidates infringe </w:t>
      </w:r>
      <w:r>
        <w:rPr>
          <w:rFonts w:eastAsia="Times New Roman"/>
          <w:b/>
          <w:bCs/>
          <w:i/>
          <w:iCs/>
          <w:color w:val="000000"/>
          <w:sz w:val="20"/>
          <w:szCs w:val="20"/>
        </w:rPr>
        <w:t xml:space="preserve">their rights, and we may incur significant costs resolving these claims. Additionally, legal proceedings related to such claims could materially delay or otherwise adversely affect commercialization plans related to our product candidate, if approved. </w:t>
      </w:r>
    </w:p>
    <w:p w14:paraId="2D48260F" w14:textId="77777777" w:rsidR="00000000" w:rsidRDefault="000C49AD">
      <w:pPr>
        <w:jc w:val="both"/>
        <w:rPr>
          <w:rFonts w:eastAsia="Times New Roman"/>
        </w:rPr>
      </w:pPr>
    </w:p>
    <w:p w14:paraId="43E8D5FB" w14:textId="77777777" w:rsidR="00000000" w:rsidRDefault="000C49AD">
      <w:pPr>
        <w:jc w:val="both"/>
        <w:rPr>
          <w:rFonts w:eastAsia="Times New Roman"/>
        </w:rPr>
      </w:pPr>
      <w:r>
        <w:rPr>
          <w:rFonts w:eastAsia="Times New Roman"/>
          <w:color w:val="000000"/>
          <w:sz w:val="20"/>
          <w:szCs w:val="20"/>
        </w:rPr>
        <w:t>T</w:t>
      </w:r>
      <w:r>
        <w:rPr>
          <w:rFonts w:eastAsia="Times New Roman"/>
          <w:color w:val="000000"/>
          <w:sz w:val="20"/>
          <w:szCs w:val="20"/>
        </w:rPr>
        <w:t>hird parties may claim infringement of their patents and other intellectual property rights by the manufacture, use, import, offer for sale or sale of our drug delivery technologies or our other products. For example, in connection with us seeking regulato</w:t>
      </w:r>
      <w:r>
        <w:rPr>
          <w:rFonts w:eastAsia="Times New Roman"/>
          <w:color w:val="000000"/>
          <w:sz w:val="20"/>
          <w:szCs w:val="20"/>
        </w:rPr>
        <w:t>ry approval for a product candidate, a third party may allege that our product candidate infringes its patents or other intellectual property rights and file suit to delay/prevent regulatory approval and/or commercialization of such product. In response to</w:t>
      </w:r>
      <w:r>
        <w:rPr>
          <w:rFonts w:eastAsia="Times New Roman"/>
          <w:color w:val="000000"/>
          <w:sz w:val="20"/>
          <w:szCs w:val="20"/>
        </w:rPr>
        <w:t xml:space="preserve"> any claim of infringement, we may choose or be forced to seek licenses, defend infringement actions or challenge the validity or enforceability of those patent rights in court or administrative proceedings. If we cannot obtain required licenses on commerc</w:t>
      </w:r>
      <w:r>
        <w:rPr>
          <w:rFonts w:eastAsia="Times New Roman"/>
          <w:color w:val="000000"/>
          <w:sz w:val="20"/>
          <w:szCs w:val="20"/>
        </w:rPr>
        <w:t>ially reasonably terms, or at all, are found liable for infringement or are not able to have such patent rights declared invalid or unenforceable, our business could be materially harmed. We may be subject to claims (and even held liable) for significant m</w:t>
      </w:r>
      <w:r>
        <w:rPr>
          <w:rFonts w:eastAsia="Times New Roman"/>
          <w:color w:val="000000"/>
          <w:sz w:val="20"/>
          <w:szCs w:val="20"/>
        </w:rPr>
        <w:t>onetary damages (including enhanced damages and/or attorneys’ fees), encounter significant delays in bringing products to market or be precluded from the manufacture, use, import, offer for sale or sale of products or methods of drug delivery covered by th</w:t>
      </w:r>
      <w:r>
        <w:rPr>
          <w:rFonts w:eastAsia="Times New Roman"/>
          <w:color w:val="000000"/>
          <w:sz w:val="20"/>
          <w:szCs w:val="20"/>
        </w:rPr>
        <w:t>e patents of others. Even if a license is available, it may not be available on commercially reasonable terms or may be non-exclusive, which could result in our competitors gaining access to the same intellectual property. We may not have identified, or be</w:t>
      </w:r>
      <w:r>
        <w:rPr>
          <w:rFonts w:eastAsia="Times New Roman"/>
          <w:color w:val="000000"/>
          <w:sz w:val="20"/>
          <w:szCs w:val="20"/>
        </w:rPr>
        <w:t xml:space="preserve"> able to identify in the future, U.S. or non-U.S. patents that pose a risk of potential infringement claims.</w:t>
      </w:r>
    </w:p>
    <w:p w14:paraId="5665D16E" w14:textId="77777777" w:rsidR="00000000" w:rsidRDefault="000C49AD">
      <w:pPr>
        <w:jc w:val="both"/>
        <w:rPr>
          <w:rFonts w:eastAsia="Times New Roman"/>
        </w:rPr>
      </w:pPr>
    </w:p>
    <w:p w14:paraId="1B203B3C" w14:textId="77777777" w:rsidR="00000000" w:rsidRDefault="000C49AD">
      <w:pPr>
        <w:jc w:val="both"/>
        <w:rPr>
          <w:rFonts w:eastAsia="Times New Roman"/>
        </w:rPr>
      </w:pPr>
      <w:r>
        <w:rPr>
          <w:rFonts w:eastAsia="Times New Roman"/>
          <w:color w:val="000000"/>
          <w:sz w:val="20"/>
          <w:szCs w:val="20"/>
        </w:rPr>
        <w:t>In addition to the possibility of intellectual property infringement claims, a third party could submit a citizen’s petition to the FDA requestin</w:t>
      </w:r>
      <w:r>
        <w:rPr>
          <w:rFonts w:eastAsia="Times New Roman"/>
          <w:color w:val="000000"/>
          <w:sz w:val="20"/>
          <w:szCs w:val="20"/>
        </w:rPr>
        <w:t>g relief that, if granted, could materially adversely affect the NDA and/or underlying product candidate. For example, such a third-party petition could, if granted, materially adversely affect the likelihood and/or timing of NDA approval, content of final</w:t>
      </w:r>
      <w:r>
        <w:rPr>
          <w:rFonts w:eastAsia="Times New Roman"/>
          <w:color w:val="000000"/>
          <w:sz w:val="20"/>
          <w:szCs w:val="20"/>
        </w:rPr>
        <w:t xml:space="preserve"> product labeling, and/or resulting regulatory exclusivity (if any) for such product.</w:t>
      </w:r>
    </w:p>
    <w:p w14:paraId="3E8D3135" w14:textId="77777777" w:rsidR="00000000" w:rsidRDefault="000C49AD">
      <w:pPr>
        <w:jc w:val="both"/>
        <w:rPr>
          <w:rFonts w:eastAsia="Times New Roman"/>
        </w:rPr>
      </w:pPr>
    </w:p>
    <w:p w14:paraId="49A591E0" w14:textId="77777777" w:rsidR="00000000" w:rsidRDefault="000C49AD">
      <w:pPr>
        <w:jc w:val="both"/>
        <w:rPr>
          <w:rFonts w:eastAsia="Times New Roman"/>
        </w:rPr>
      </w:pPr>
      <w:r>
        <w:rPr>
          <w:rFonts w:eastAsia="Times New Roman"/>
          <w:color w:val="000000"/>
          <w:sz w:val="20"/>
          <w:szCs w:val="20"/>
        </w:rPr>
        <w:t>Parties making claims against us may be able to sustain the costs of patent litigation more effectively than we can because they have substantially greater resources. I</w:t>
      </w:r>
      <w:r>
        <w:rPr>
          <w:rFonts w:eastAsia="Times New Roman"/>
          <w:color w:val="000000"/>
          <w:sz w:val="20"/>
          <w:szCs w:val="20"/>
        </w:rPr>
        <w:t>n addition, any claims, with or without merit, that our product candidate, future product candidates or drug delivery technologies infringe proprietary rights of third parties could be time-consuming, result in costly litigation or divert the efforts of ou</w:t>
      </w:r>
      <w:r>
        <w:rPr>
          <w:rFonts w:eastAsia="Times New Roman"/>
          <w:color w:val="000000"/>
          <w:sz w:val="20"/>
          <w:szCs w:val="20"/>
        </w:rPr>
        <w:t>r technical and management personnel, any of which could disrupt our relationships with our partners and could significantly harm our financial positions and operating results.</w:t>
      </w:r>
    </w:p>
    <w:p w14:paraId="6FDA0D1F" w14:textId="77777777" w:rsidR="00000000" w:rsidRDefault="000C49AD">
      <w:pPr>
        <w:jc w:val="both"/>
        <w:rPr>
          <w:rFonts w:eastAsia="Times New Roman"/>
        </w:rPr>
      </w:pPr>
    </w:p>
    <w:p w14:paraId="1B365ACC" w14:textId="77777777" w:rsidR="00000000" w:rsidRDefault="000C49AD">
      <w:pPr>
        <w:jc w:val="both"/>
        <w:rPr>
          <w:rFonts w:eastAsia="Times New Roman"/>
        </w:rPr>
      </w:pPr>
      <w:r>
        <w:rPr>
          <w:rFonts w:eastAsia="Times New Roman"/>
          <w:b/>
          <w:bCs/>
          <w:i/>
          <w:iCs/>
          <w:color w:val="000000"/>
          <w:sz w:val="20"/>
          <w:szCs w:val="20"/>
        </w:rPr>
        <w:t xml:space="preserve">An NDA submitted under Section 505(b)(2) subjects us to the risk that we may </w:t>
      </w:r>
      <w:r>
        <w:rPr>
          <w:rFonts w:eastAsia="Times New Roman"/>
          <w:b/>
          <w:bCs/>
          <w:i/>
          <w:iCs/>
          <w:color w:val="000000"/>
          <w:sz w:val="20"/>
          <w:szCs w:val="20"/>
        </w:rPr>
        <w:t>be subject to a patent infringement lawsuit that would delay or prevent the review or approval of our product candidates.</w:t>
      </w:r>
    </w:p>
    <w:p w14:paraId="0F45F364" w14:textId="77777777" w:rsidR="00000000" w:rsidRDefault="000C49AD">
      <w:pPr>
        <w:jc w:val="both"/>
        <w:rPr>
          <w:rFonts w:eastAsia="Times New Roman"/>
        </w:rPr>
      </w:pPr>
    </w:p>
    <w:p w14:paraId="09970E69" w14:textId="77777777" w:rsidR="00000000" w:rsidRDefault="000C49AD">
      <w:pPr>
        <w:jc w:val="both"/>
        <w:rPr>
          <w:rFonts w:eastAsia="Times New Roman"/>
        </w:rPr>
      </w:pPr>
      <w:r>
        <w:rPr>
          <w:rFonts w:eastAsia="Times New Roman"/>
          <w:color w:val="000000"/>
          <w:sz w:val="20"/>
          <w:szCs w:val="20"/>
        </w:rPr>
        <w:t>FT218 was submitted under Section 505(b)(2) of the FDCA. Section 505(b)(2) permits the submission of an NDA where at least some of t</w:t>
      </w:r>
      <w:r>
        <w:rPr>
          <w:rFonts w:eastAsia="Times New Roman"/>
          <w:color w:val="000000"/>
          <w:sz w:val="20"/>
          <w:szCs w:val="20"/>
        </w:rPr>
        <w:t xml:space="preserve">he information required for approval comes from preclinical studies or clinical trials that were not conducted by, or for, the applicant and for which the applicant has not obtained a right of reference. A 505(b)(2) NDA enables the applicant to </w:t>
      </w:r>
    </w:p>
    <w:p w14:paraId="031085C6" w14:textId="77777777" w:rsidR="00000000" w:rsidRDefault="000C49AD">
      <w:pPr>
        <w:jc w:val="center"/>
        <w:divId w:val="1941135759"/>
        <w:rPr>
          <w:rFonts w:eastAsia="Times New Roman"/>
        </w:rPr>
      </w:pPr>
      <w:r>
        <w:rPr>
          <w:rFonts w:eastAsia="Times New Roman"/>
          <w:color w:val="000000"/>
          <w:sz w:val="20"/>
          <w:szCs w:val="20"/>
        </w:rPr>
        <w:t>-43-</w:t>
      </w:r>
    </w:p>
    <w:p w14:paraId="2BE8B62D" w14:textId="77777777" w:rsidR="00000000" w:rsidRDefault="000C49AD">
      <w:pPr>
        <w:rPr>
          <w:rFonts w:eastAsia="Times New Roman"/>
        </w:rPr>
      </w:pPr>
      <w:r>
        <w:rPr>
          <w:rFonts w:eastAsia="Times New Roman"/>
        </w:rPr>
        <w:pict w14:anchorId="680A645F">
          <v:rect id="_x0000_i1067" style="width:0;height:1.5pt" o:hralign="center" o:hrstd="t" o:hr="t" fillcolor="#a0a0a0" stroked="f"/>
        </w:pict>
      </w:r>
    </w:p>
    <w:p w14:paraId="19A1AD80" w14:textId="77777777" w:rsidR="00000000" w:rsidRDefault="000C49AD">
      <w:pPr>
        <w:divId w:val="2125539993"/>
        <w:rPr>
          <w:rFonts w:eastAsia="Times New Roman"/>
        </w:rPr>
      </w:pPr>
    </w:p>
    <w:p w14:paraId="6A89C71D" w14:textId="77777777" w:rsidR="00000000" w:rsidRDefault="000C49AD">
      <w:pPr>
        <w:jc w:val="both"/>
        <w:rPr>
          <w:rFonts w:eastAsia="Times New Roman"/>
        </w:rPr>
      </w:pPr>
      <w:r>
        <w:rPr>
          <w:rFonts w:eastAsia="Times New Roman"/>
          <w:color w:val="000000"/>
          <w:sz w:val="20"/>
          <w:szCs w:val="20"/>
        </w:rPr>
        <w:t>reference published literature for which the applicant does not have a right of reference and the FDA’s previous findings of safety and effectiveness for a previously approved drug.</w:t>
      </w:r>
    </w:p>
    <w:p w14:paraId="42A8858B" w14:textId="77777777" w:rsidR="00000000" w:rsidRDefault="000C49AD">
      <w:pPr>
        <w:jc w:val="both"/>
        <w:rPr>
          <w:rFonts w:eastAsia="Times New Roman"/>
        </w:rPr>
      </w:pPr>
    </w:p>
    <w:p w14:paraId="5617EF73" w14:textId="77777777" w:rsidR="00000000" w:rsidRDefault="000C49AD">
      <w:pPr>
        <w:jc w:val="both"/>
        <w:rPr>
          <w:rFonts w:eastAsia="Times New Roman"/>
        </w:rPr>
      </w:pPr>
      <w:r>
        <w:rPr>
          <w:rFonts w:eastAsia="Times New Roman"/>
          <w:color w:val="000000"/>
          <w:sz w:val="20"/>
          <w:szCs w:val="20"/>
        </w:rPr>
        <w:t>For 505(b)(2) NDAs, the patent cer</w:t>
      </w:r>
      <w:r>
        <w:rPr>
          <w:rFonts w:eastAsia="Times New Roman"/>
          <w:color w:val="000000"/>
          <w:sz w:val="20"/>
          <w:szCs w:val="20"/>
        </w:rPr>
        <w:t>tification and related provisions of the Hatch-Waxman Amendments apply. Accordingly, if the applicant relies for approval on the safety or effectiveness on information for a previously approved drug, referred to as a listed drug, the applicable is required</w:t>
      </w:r>
      <w:r>
        <w:rPr>
          <w:rFonts w:eastAsia="Times New Roman"/>
          <w:color w:val="000000"/>
          <w:sz w:val="20"/>
          <w:szCs w:val="20"/>
        </w:rPr>
        <w:t xml:space="preserve"> to include patent certifications in our 505(b)(2) NDA regarding any applicable patents covering the listed drug. If there are applicable patents listed in the FDA publication Approved Drug Products with Therapeutic Equivalence Evaluations, commonly known </w:t>
      </w:r>
      <w:r>
        <w:rPr>
          <w:rFonts w:eastAsia="Times New Roman"/>
          <w:color w:val="000000"/>
          <w:sz w:val="20"/>
          <w:szCs w:val="20"/>
        </w:rPr>
        <w:t>as the Orange Book, for the listed drug, and the applicant seeks to obtain approval prior to the expiration of one or more of those patents, the applicant is required to submit a Paragraph IV certification indicating our belief that the relevant patents ar</w:t>
      </w:r>
      <w:r>
        <w:rPr>
          <w:rFonts w:eastAsia="Times New Roman"/>
          <w:color w:val="000000"/>
          <w:sz w:val="20"/>
          <w:szCs w:val="20"/>
        </w:rPr>
        <w:t>e invalid or unenforceable or will not be infringed by the manufacture, use or sale of the product that is the subject of the 505(b)(2) application. Otherwise, the 505(b)(2) NDA cannot be approved by the FDA until the expiration of any patents listed in th</w:t>
      </w:r>
      <w:r>
        <w:rPr>
          <w:rFonts w:eastAsia="Times New Roman"/>
          <w:color w:val="000000"/>
          <w:sz w:val="20"/>
          <w:szCs w:val="20"/>
        </w:rPr>
        <w:t xml:space="preserve">e Orange Book for the listed drug. While we did not submit any Paragraph IV certifications in connection with our 505(b)(2) NDA for FT218, there can be no assurance that we will not be required to submit a Paragraph IV certification in respect of FT218 or </w:t>
      </w:r>
      <w:r>
        <w:rPr>
          <w:rFonts w:eastAsia="Times New Roman"/>
          <w:color w:val="000000"/>
          <w:sz w:val="20"/>
          <w:szCs w:val="20"/>
        </w:rPr>
        <w:t>any future product candidates for which we seek approval under Section 505(b)(2).</w:t>
      </w:r>
    </w:p>
    <w:p w14:paraId="6F49F354" w14:textId="77777777" w:rsidR="00000000" w:rsidRDefault="000C49AD">
      <w:pPr>
        <w:jc w:val="both"/>
        <w:rPr>
          <w:rFonts w:eastAsia="Times New Roman"/>
        </w:rPr>
      </w:pPr>
    </w:p>
    <w:p w14:paraId="0308D495" w14:textId="77777777" w:rsidR="00000000" w:rsidRDefault="000C49AD">
      <w:pPr>
        <w:jc w:val="both"/>
        <w:rPr>
          <w:rFonts w:eastAsia="Times New Roman"/>
        </w:rPr>
      </w:pPr>
      <w:r>
        <w:rPr>
          <w:rFonts w:eastAsia="Times New Roman"/>
          <w:color w:val="000000"/>
          <w:sz w:val="20"/>
          <w:szCs w:val="20"/>
        </w:rPr>
        <w:t xml:space="preserve">If we submit any Paragraph IV certification that may be required, we will be required to provide notice of that certification to the NDA holder and patent owner. Under the </w:t>
      </w:r>
      <w:r>
        <w:rPr>
          <w:rFonts w:eastAsia="Times New Roman"/>
          <w:color w:val="000000"/>
          <w:sz w:val="20"/>
          <w:szCs w:val="20"/>
        </w:rPr>
        <w:t>Hatch-Waxman Amendments, the patent owner may file a patent infringement lawsuit after receiving such notice. If a patent infringement lawsuit is filed within 45 days of the patent owner’s or NDA holder’s receipt of notice (whichever is later), a one-time,</w:t>
      </w:r>
      <w:r>
        <w:rPr>
          <w:rFonts w:eastAsia="Times New Roman"/>
          <w:color w:val="000000"/>
          <w:sz w:val="20"/>
          <w:szCs w:val="20"/>
        </w:rPr>
        <w:t xml:space="preserve"> automatic stay of the FDA’s ability to approve the 505(b)(2) NDA is triggered, which typically extends for 30 months unless patent litigation is resolved in favor of the Paragraph IV filer or the patent expires before that time. Accordingly, we may invest</w:t>
      </w:r>
      <w:r>
        <w:rPr>
          <w:rFonts w:eastAsia="Times New Roman"/>
          <w:color w:val="000000"/>
          <w:sz w:val="20"/>
          <w:szCs w:val="20"/>
        </w:rPr>
        <w:t xml:space="preserve"> a significant amount of time and expense in the development of one or more product candidates only to be subject to significant delay and patent litigation before such product candidates may be commercialized, if at all.</w:t>
      </w:r>
    </w:p>
    <w:p w14:paraId="04CFFD5F" w14:textId="77777777" w:rsidR="00000000" w:rsidRDefault="000C49AD">
      <w:pPr>
        <w:jc w:val="both"/>
        <w:rPr>
          <w:rFonts w:eastAsia="Times New Roman"/>
        </w:rPr>
      </w:pPr>
    </w:p>
    <w:p w14:paraId="3A37E38E" w14:textId="77777777" w:rsidR="00000000" w:rsidRDefault="000C49AD">
      <w:pPr>
        <w:jc w:val="both"/>
        <w:rPr>
          <w:rFonts w:eastAsia="Times New Roman"/>
        </w:rPr>
      </w:pPr>
      <w:r>
        <w:rPr>
          <w:rFonts w:eastAsia="Times New Roman"/>
          <w:color w:val="000000"/>
          <w:sz w:val="20"/>
          <w:szCs w:val="20"/>
        </w:rPr>
        <w:t xml:space="preserve">In addition, a 505(b)(2) NDA will not be approved until any applicable non-patent exclusivity listed in the Orange Book for the listed drug, or for any other drug with the same protected conditions of approval as our product, has expired. The FDA also may </w:t>
      </w:r>
      <w:r>
        <w:rPr>
          <w:rFonts w:eastAsia="Times New Roman"/>
          <w:color w:val="000000"/>
          <w:sz w:val="20"/>
          <w:szCs w:val="20"/>
        </w:rPr>
        <w:t xml:space="preserve">require us to perform one or more additional clinical trials or measurements to support the change from the listed drug, which could be time consuming and could substantially delay our achievement of regulatory approval. The FDA also may reject any future </w:t>
      </w:r>
      <w:r>
        <w:rPr>
          <w:rFonts w:eastAsia="Times New Roman"/>
          <w:color w:val="000000"/>
          <w:sz w:val="20"/>
          <w:szCs w:val="20"/>
        </w:rPr>
        <w:t xml:space="preserve">505(b)(2) NDAs and require us to submit traditional NDAs under Section 505(b)(1), which would require extensive data to establish safety and effectiveness of the product for the proposed use and could cause delay and additional costs. In addition, the FDA </w:t>
      </w:r>
      <w:r>
        <w:rPr>
          <w:rFonts w:eastAsia="Times New Roman"/>
          <w:color w:val="000000"/>
          <w:sz w:val="20"/>
          <w:szCs w:val="20"/>
        </w:rPr>
        <w:t>could reject any future 505(b)(2) application and require us to submit a Section 505(b)(1) NDA or a Section 505(j) ANDA if, before the submission of our 505(b)(2) application, the FDA approves an application for a product that is pharmaceutically equivalen</w:t>
      </w:r>
      <w:r>
        <w:rPr>
          <w:rFonts w:eastAsia="Times New Roman"/>
          <w:color w:val="000000"/>
          <w:sz w:val="20"/>
          <w:szCs w:val="20"/>
        </w:rPr>
        <w:t xml:space="preserve">t to ours and determines that our product is inappropriate for review through the 505(b)(2) pathway. These factors, among others, may limit our ability to commercialize our product candidates successfully. </w:t>
      </w:r>
    </w:p>
    <w:p w14:paraId="0D219858" w14:textId="77777777" w:rsidR="00000000" w:rsidRDefault="000C49AD">
      <w:pPr>
        <w:jc w:val="both"/>
        <w:rPr>
          <w:rFonts w:eastAsia="Times New Roman"/>
        </w:rPr>
      </w:pPr>
    </w:p>
    <w:p w14:paraId="5CDE2363" w14:textId="77777777" w:rsidR="00000000" w:rsidRDefault="000C49AD">
      <w:pPr>
        <w:jc w:val="both"/>
        <w:rPr>
          <w:rFonts w:eastAsia="Times New Roman"/>
        </w:rPr>
      </w:pPr>
      <w:r>
        <w:rPr>
          <w:rFonts w:eastAsia="Times New Roman"/>
          <w:b/>
          <w:bCs/>
          <w:i/>
          <w:iCs/>
          <w:color w:val="000000"/>
          <w:sz w:val="20"/>
          <w:szCs w:val="20"/>
        </w:rPr>
        <w:t>If we or our partners are required to obtain li</w:t>
      </w:r>
      <w:r>
        <w:rPr>
          <w:rFonts w:eastAsia="Times New Roman"/>
          <w:b/>
          <w:bCs/>
          <w:i/>
          <w:iCs/>
          <w:color w:val="000000"/>
          <w:sz w:val="20"/>
          <w:szCs w:val="20"/>
        </w:rPr>
        <w:t>censes from third parties, our revenues and royalties on any future commercialized products could be reduced.</w:t>
      </w:r>
    </w:p>
    <w:p w14:paraId="51006860" w14:textId="77777777" w:rsidR="00000000" w:rsidRDefault="000C49AD">
      <w:pPr>
        <w:jc w:val="both"/>
        <w:rPr>
          <w:rFonts w:eastAsia="Times New Roman"/>
        </w:rPr>
      </w:pPr>
    </w:p>
    <w:p w14:paraId="17B11BCB" w14:textId="77777777" w:rsidR="00000000" w:rsidRDefault="000C49AD">
      <w:pPr>
        <w:jc w:val="both"/>
        <w:rPr>
          <w:rFonts w:eastAsia="Times New Roman"/>
        </w:rPr>
      </w:pPr>
      <w:r>
        <w:rPr>
          <w:rFonts w:eastAsia="Times New Roman"/>
          <w:color w:val="000000"/>
          <w:sz w:val="20"/>
          <w:szCs w:val="20"/>
        </w:rPr>
        <w:t>The development of certain products based on our drug delivery technologies may require the use of raw materials (</w:t>
      </w:r>
      <w:r>
        <w:rPr>
          <w:rFonts w:eastAsia="Times New Roman"/>
          <w:i/>
          <w:iCs/>
          <w:color w:val="000000"/>
          <w:sz w:val="20"/>
          <w:szCs w:val="20"/>
        </w:rPr>
        <w:t>e.g.,</w:t>
      </w:r>
      <w:r>
        <w:rPr>
          <w:rFonts w:eastAsia="Times New Roman"/>
          <w:color w:val="000000"/>
          <w:sz w:val="20"/>
          <w:szCs w:val="20"/>
        </w:rPr>
        <w:t xml:space="preserve"> proprietary excipient), </w:t>
      </w:r>
      <w:r>
        <w:rPr>
          <w:rFonts w:eastAsia="Times New Roman"/>
          <w:color w:val="000000"/>
          <w:sz w:val="20"/>
          <w:szCs w:val="20"/>
        </w:rPr>
        <w:t>active ingredients, drugs (</w:t>
      </w:r>
      <w:r>
        <w:rPr>
          <w:rFonts w:eastAsia="Times New Roman"/>
          <w:i/>
          <w:iCs/>
          <w:color w:val="000000"/>
          <w:sz w:val="20"/>
          <w:szCs w:val="20"/>
        </w:rPr>
        <w:t>e.g.,</w:t>
      </w:r>
      <w:r>
        <w:rPr>
          <w:rFonts w:eastAsia="Times New Roman"/>
          <w:color w:val="000000"/>
          <w:sz w:val="20"/>
          <w:szCs w:val="20"/>
        </w:rPr>
        <w:t xml:space="preserve"> proprietary proteins) or technologies developed by third parties. The extent to which efforts by other researchers have resulted or will result in patents and the extent to which we or our partners are forced to obtain lice</w:t>
      </w:r>
      <w:r>
        <w:rPr>
          <w:rFonts w:eastAsia="Times New Roman"/>
          <w:color w:val="000000"/>
          <w:sz w:val="20"/>
          <w:szCs w:val="20"/>
        </w:rPr>
        <w:t>nses from others, if available, on commercially reasonable terms is currently unknown. If we or our partners must obtain licenses from third parties, fees may be required for such licenses, which could reduce the net revenues and royalties we receive on an</w:t>
      </w:r>
      <w:r>
        <w:rPr>
          <w:rFonts w:eastAsia="Times New Roman"/>
          <w:color w:val="000000"/>
          <w:sz w:val="20"/>
          <w:szCs w:val="20"/>
        </w:rPr>
        <w:t>y future commercialized products that incorporate our drug delivery technologies.</w:t>
      </w:r>
    </w:p>
    <w:p w14:paraId="00840A53" w14:textId="77777777" w:rsidR="00000000" w:rsidRDefault="000C49AD">
      <w:pPr>
        <w:jc w:val="both"/>
        <w:rPr>
          <w:rFonts w:eastAsia="Times New Roman"/>
        </w:rPr>
      </w:pPr>
    </w:p>
    <w:p w14:paraId="648CC1E1" w14:textId="77777777" w:rsidR="00000000" w:rsidRDefault="000C49AD">
      <w:pPr>
        <w:jc w:val="both"/>
        <w:rPr>
          <w:rFonts w:eastAsia="Times New Roman"/>
        </w:rPr>
      </w:pPr>
      <w:r>
        <w:rPr>
          <w:rFonts w:eastAsia="Times New Roman"/>
          <w:b/>
          <w:bCs/>
          <w:i/>
          <w:iCs/>
          <w:color w:val="000000"/>
          <w:sz w:val="20"/>
          <w:szCs w:val="20"/>
        </w:rPr>
        <w:t>Patent terms may be inadequate to protect our competitive position on our product candidate or future product candidates for an adequate amount of time.</w:t>
      </w:r>
    </w:p>
    <w:p w14:paraId="06F6C9A2" w14:textId="77777777" w:rsidR="00000000" w:rsidRDefault="000C49AD">
      <w:pPr>
        <w:jc w:val="both"/>
        <w:rPr>
          <w:rFonts w:eastAsia="Times New Roman"/>
        </w:rPr>
      </w:pPr>
    </w:p>
    <w:p w14:paraId="44A1F237" w14:textId="77777777" w:rsidR="00000000" w:rsidRDefault="000C49AD">
      <w:pPr>
        <w:jc w:val="both"/>
        <w:rPr>
          <w:rFonts w:eastAsia="Times New Roman"/>
        </w:rPr>
      </w:pPr>
      <w:r>
        <w:rPr>
          <w:rFonts w:eastAsia="Times New Roman"/>
          <w:color w:val="000000"/>
          <w:sz w:val="20"/>
          <w:szCs w:val="20"/>
        </w:rPr>
        <w:t>Patents have a li</w:t>
      </w:r>
      <w:r>
        <w:rPr>
          <w:rFonts w:eastAsia="Times New Roman"/>
          <w:color w:val="000000"/>
          <w:sz w:val="20"/>
          <w:szCs w:val="20"/>
        </w:rPr>
        <w:t>mited lifespan. In the U.S., if all maintenance fees are timely paid, the natural expiration of a patent is generally 20 years from its earliest U.S. non-provisional filing date. Various extensions may be available, but the life of a patent, and the protec</w:t>
      </w:r>
      <w:r>
        <w:rPr>
          <w:rFonts w:eastAsia="Times New Roman"/>
          <w:color w:val="000000"/>
          <w:sz w:val="20"/>
          <w:szCs w:val="20"/>
        </w:rPr>
        <w:t xml:space="preserve">tion it affords, is limited. Even if patents covering our product candidate and future product candidates are obtained, once the patent life has expired, we may be open to competition from competitive products, including generics or biosimilars. Given the </w:t>
      </w:r>
      <w:r>
        <w:rPr>
          <w:rFonts w:eastAsia="Times New Roman"/>
          <w:color w:val="000000"/>
          <w:sz w:val="20"/>
          <w:szCs w:val="20"/>
        </w:rPr>
        <w:t>amount of time required for the development, testing and regulatory review of new product candidates, patents protecting such candidates might expire before or shortly after such candidates are commercialized. As a result, our owned and licensed patent por</w:t>
      </w:r>
      <w:r>
        <w:rPr>
          <w:rFonts w:eastAsia="Times New Roman"/>
          <w:color w:val="000000"/>
          <w:sz w:val="20"/>
          <w:szCs w:val="20"/>
        </w:rPr>
        <w:t>tfolio may not provide us with sufficient rights to exclude others from commercializing products similar or identical to ours.</w:t>
      </w:r>
    </w:p>
    <w:p w14:paraId="13D601D3" w14:textId="77777777" w:rsidR="00000000" w:rsidRDefault="000C49AD">
      <w:pPr>
        <w:jc w:val="both"/>
        <w:rPr>
          <w:rFonts w:eastAsia="Times New Roman"/>
        </w:rPr>
      </w:pPr>
    </w:p>
    <w:p w14:paraId="1410A6F7" w14:textId="77777777" w:rsidR="00000000" w:rsidRDefault="000C49AD">
      <w:pPr>
        <w:jc w:val="both"/>
        <w:rPr>
          <w:rFonts w:eastAsia="Times New Roman"/>
        </w:rPr>
      </w:pPr>
      <w:r>
        <w:rPr>
          <w:rFonts w:eastAsia="Times New Roman"/>
          <w:b/>
          <w:bCs/>
          <w:i/>
          <w:iCs/>
          <w:color w:val="000000"/>
          <w:sz w:val="20"/>
          <w:szCs w:val="20"/>
        </w:rPr>
        <w:t>Obtaining and maintaining our patent protection depends on compliance with various procedural, document submission, fee payment</w:t>
      </w:r>
      <w:r>
        <w:rPr>
          <w:rFonts w:eastAsia="Times New Roman"/>
          <w:b/>
          <w:bCs/>
          <w:i/>
          <w:iCs/>
          <w:color w:val="000000"/>
          <w:sz w:val="20"/>
          <w:szCs w:val="20"/>
        </w:rPr>
        <w:t xml:space="preserve"> and other requirements imposed by governmental patent agencies, and our patent protection could be reduced or </w:t>
      </w:r>
    </w:p>
    <w:p w14:paraId="5DE204C1" w14:textId="77777777" w:rsidR="00000000" w:rsidRDefault="000C49AD">
      <w:pPr>
        <w:jc w:val="center"/>
        <w:divId w:val="2117167832"/>
        <w:rPr>
          <w:rFonts w:eastAsia="Times New Roman"/>
        </w:rPr>
      </w:pPr>
      <w:r>
        <w:rPr>
          <w:rFonts w:eastAsia="Times New Roman"/>
          <w:color w:val="000000"/>
          <w:sz w:val="20"/>
          <w:szCs w:val="20"/>
        </w:rPr>
        <w:t>-44-</w:t>
      </w:r>
    </w:p>
    <w:p w14:paraId="42DD54B4" w14:textId="77777777" w:rsidR="00000000" w:rsidRDefault="000C49AD">
      <w:pPr>
        <w:rPr>
          <w:rFonts w:eastAsia="Times New Roman"/>
        </w:rPr>
      </w:pPr>
      <w:r>
        <w:rPr>
          <w:rFonts w:eastAsia="Times New Roman"/>
        </w:rPr>
        <w:pict w14:anchorId="71B98E9D">
          <v:rect id="_x0000_i1068" style="width:0;height:1.5pt" o:hralign="center" o:hrstd="t" o:hr="t" fillcolor="#a0a0a0" stroked="f"/>
        </w:pict>
      </w:r>
    </w:p>
    <w:p w14:paraId="40074925" w14:textId="77777777" w:rsidR="00000000" w:rsidRDefault="000C49AD">
      <w:pPr>
        <w:divId w:val="1787847018"/>
        <w:rPr>
          <w:rFonts w:eastAsia="Times New Roman"/>
        </w:rPr>
      </w:pPr>
    </w:p>
    <w:p w14:paraId="728DDC6A" w14:textId="77777777" w:rsidR="00000000" w:rsidRDefault="000C49AD">
      <w:pPr>
        <w:jc w:val="both"/>
        <w:rPr>
          <w:rFonts w:eastAsia="Times New Roman"/>
        </w:rPr>
      </w:pPr>
      <w:r>
        <w:rPr>
          <w:rFonts w:eastAsia="Times New Roman"/>
          <w:b/>
          <w:bCs/>
          <w:i/>
          <w:iCs/>
          <w:color w:val="000000"/>
          <w:sz w:val="20"/>
          <w:szCs w:val="20"/>
        </w:rPr>
        <w:t>eliminated for non-compliance with these requirements.</w:t>
      </w:r>
    </w:p>
    <w:p w14:paraId="474DD5C1" w14:textId="77777777" w:rsidR="00000000" w:rsidRDefault="000C49AD">
      <w:pPr>
        <w:jc w:val="both"/>
        <w:rPr>
          <w:rFonts w:eastAsia="Times New Roman"/>
        </w:rPr>
      </w:pPr>
    </w:p>
    <w:p w14:paraId="100E21B6" w14:textId="77777777" w:rsidR="00000000" w:rsidRDefault="000C49AD">
      <w:pPr>
        <w:jc w:val="both"/>
        <w:rPr>
          <w:rFonts w:eastAsia="Times New Roman"/>
        </w:rPr>
      </w:pPr>
      <w:r>
        <w:rPr>
          <w:rFonts w:eastAsia="Times New Roman"/>
          <w:color w:val="000000"/>
          <w:sz w:val="20"/>
          <w:szCs w:val="20"/>
        </w:rPr>
        <w:t>Periodic maintenance fees, renewal fees, an</w:t>
      </w:r>
      <w:r>
        <w:rPr>
          <w:rFonts w:eastAsia="Times New Roman"/>
          <w:color w:val="000000"/>
          <w:sz w:val="20"/>
          <w:szCs w:val="20"/>
        </w:rPr>
        <w:t>nuity fees and various other governmental fees on patents and/or applications will be due to be paid to the USPTO and various governmental patent agencies outside of the U.S. in several stages over the lifetime of the patents and/or applications. We rely o</w:t>
      </w:r>
      <w:r>
        <w:rPr>
          <w:rFonts w:eastAsia="Times New Roman"/>
          <w:color w:val="000000"/>
          <w:sz w:val="20"/>
          <w:szCs w:val="20"/>
        </w:rPr>
        <w:t>n our outside counsel to coordinate payment of these fees due to patent agencies. The USPTO and various non-U.S. governmental patent agencies require compliance with a number of procedural, documentary, fee payment and other similar provisions during the p</w:t>
      </w:r>
      <w:r>
        <w:rPr>
          <w:rFonts w:eastAsia="Times New Roman"/>
          <w:color w:val="000000"/>
          <w:sz w:val="20"/>
          <w:szCs w:val="20"/>
        </w:rPr>
        <w:t xml:space="preserve">atent application process. We employ reputable law firms and other professionals to help us comply, and in many cases, an inadvertent lapse can be cured by payment of a late fee or by other means in accordance with the applicable rules. However, there are </w:t>
      </w:r>
      <w:r>
        <w:rPr>
          <w:rFonts w:eastAsia="Times New Roman"/>
          <w:color w:val="000000"/>
          <w:sz w:val="20"/>
          <w:szCs w:val="20"/>
        </w:rPr>
        <w:t>situations in which non-compliance can result in abandonment or lapse of the patent or patent application, resulting in partial or complete loss of patent rights in the relevant jurisdiction. In such an event, our competitors might be able to enter the mar</w:t>
      </w:r>
      <w:r>
        <w:rPr>
          <w:rFonts w:eastAsia="Times New Roman"/>
          <w:color w:val="000000"/>
          <w:sz w:val="20"/>
          <w:szCs w:val="20"/>
        </w:rPr>
        <w:t>ket and this circumstance would have a material adverse effect on our business.</w:t>
      </w:r>
    </w:p>
    <w:p w14:paraId="092FF95E" w14:textId="77777777" w:rsidR="00000000" w:rsidRDefault="000C49AD">
      <w:pPr>
        <w:jc w:val="both"/>
        <w:rPr>
          <w:rFonts w:eastAsia="Times New Roman"/>
        </w:rPr>
      </w:pPr>
    </w:p>
    <w:p w14:paraId="107E521C" w14:textId="77777777" w:rsidR="00000000" w:rsidRDefault="000C49AD">
      <w:pPr>
        <w:jc w:val="both"/>
        <w:rPr>
          <w:rFonts w:eastAsia="Times New Roman"/>
        </w:rPr>
      </w:pPr>
      <w:r>
        <w:rPr>
          <w:rFonts w:eastAsia="Times New Roman"/>
          <w:b/>
          <w:bCs/>
          <w:i/>
          <w:iCs/>
          <w:color w:val="000000"/>
          <w:sz w:val="20"/>
          <w:szCs w:val="20"/>
        </w:rPr>
        <w:t>We may not be able to protect our intellectual property rights throughout the world.</w:t>
      </w:r>
    </w:p>
    <w:p w14:paraId="5920B02C" w14:textId="77777777" w:rsidR="00000000" w:rsidRDefault="000C49AD">
      <w:pPr>
        <w:jc w:val="both"/>
        <w:rPr>
          <w:rFonts w:eastAsia="Times New Roman"/>
        </w:rPr>
      </w:pPr>
    </w:p>
    <w:p w14:paraId="56136412" w14:textId="77777777" w:rsidR="00000000" w:rsidRDefault="000C49AD">
      <w:pPr>
        <w:jc w:val="both"/>
        <w:rPr>
          <w:rFonts w:eastAsia="Times New Roman"/>
        </w:rPr>
      </w:pPr>
      <w:r>
        <w:rPr>
          <w:rFonts w:eastAsia="Times New Roman"/>
          <w:color w:val="000000"/>
          <w:sz w:val="20"/>
          <w:szCs w:val="20"/>
        </w:rPr>
        <w:t>Filing, prosecuting and defending patents on our product candidate and future product c</w:t>
      </w:r>
      <w:r>
        <w:rPr>
          <w:rFonts w:eastAsia="Times New Roman"/>
          <w:color w:val="000000"/>
          <w:sz w:val="20"/>
          <w:szCs w:val="20"/>
        </w:rPr>
        <w:t>andidates in all countries throughout the world would be prohibitively expensive, and intellectual property rights in some countries outside the U.S. can be less extensive than those in the U.S. Consequently, we may not be able to prevent third parties fro</w:t>
      </w:r>
      <w:r>
        <w:rPr>
          <w:rFonts w:eastAsia="Times New Roman"/>
          <w:color w:val="000000"/>
          <w:sz w:val="20"/>
          <w:szCs w:val="20"/>
        </w:rPr>
        <w:t>m practicing our inventions in all countries outside the U.S., or from selling or importing products made using our inventions in and into the U.S. or other jurisdictions. Competitors may use our technologies in jurisdictions where we have not obtained pat</w:t>
      </w:r>
      <w:r>
        <w:rPr>
          <w:rFonts w:eastAsia="Times New Roman"/>
          <w:color w:val="000000"/>
          <w:sz w:val="20"/>
          <w:szCs w:val="20"/>
        </w:rPr>
        <w:t>ent protection to develop their own products and may also export infringing products to territories where we have patent protection, but enforcement is not as strong as that in the U.S. These products may compete with our product candidate and future produ</w:t>
      </w:r>
      <w:r>
        <w:rPr>
          <w:rFonts w:eastAsia="Times New Roman"/>
          <w:color w:val="000000"/>
          <w:sz w:val="20"/>
          <w:szCs w:val="20"/>
        </w:rPr>
        <w:t>ct candidates and our patents or other intellectual property rights may not be effective or sufficient to prevent them from competing.</w:t>
      </w:r>
    </w:p>
    <w:p w14:paraId="40F2E972" w14:textId="77777777" w:rsidR="00000000" w:rsidRDefault="000C49AD">
      <w:pPr>
        <w:jc w:val="both"/>
        <w:rPr>
          <w:rFonts w:eastAsia="Times New Roman"/>
        </w:rPr>
      </w:pPr>
    </w:p>
    <w:p w14:paraId="41F28B43" w14:textId="77777777" w:rsidR="00000000" w:rsidRDefault="000C49AD">
      <w:pPr>
        <w:jc w:val="both"/>
        <w:rPr>
          <w:rFonts w:eastAsia="Times New Roman"/>
        </w:rPr>
      </w:pPr>
      <w:r>
        <w:rPr>
          <w:rFonts w:eastAsia="Times New Roman"/>
          <w:color w:val="000000"/>
          <w:sz w:val="20"/>
          <w:szCs w:val="20"/>
        </w:rPr>
        <w:t>Many companies have encountered significant problems in protecting and defending intellectual property rights in non-U.</w:t>
      </w:r>
      <w:r>
        <w:rPr>
          <w:rFonts w:eastAsia="Times New Roman"/>
          <w:color w:val="000000"/>
          <w:sz w:val="20"/>
          <w:szCs w:val="20"/>
        </w:rPr>
        <w:t>S. jurisdictions. The legal systems of certain countries, particularly certain developing countries, do not favor the enforcement of patents, trade secrets, and other intellectual property protection, which could make it difficult for us to stop the infrin</w:t>
      </w:r>
      <w:r>
        <w:rPr>
          <w:rFonts w:eastAsia="Times New Roman"/>
          <w:color w:val="000000"/>
          <w:sz w:val="20"/>
          <w:szCs w:val="20"/>
        </w:rPr>
        <w:t>gement of our patents or marketing of competing products in violation of our proprietary rights generally. Proceedings to enforce our patent rights in non-U.S. jurisdictions, whether or not successful, could result in substantial costs and divert our effor</w:t>
      </w:r>
      <w:r>
        <w:rPr>
          <w:rFonts w:eastAsia="Times New Roman"/>
          <w:color w:val="000000"/>
          <w:sz w:val="20"/>
          <w:szCs w:val="20"/>
        </w:rPr>
        <w:t>ts and attention from other aspects of our business, could put our patents at risk of being invalidated or interpreted narrowly and our patent applications at risk of not issuing and could provoke third parties to assert claims against us. We may not preva</w:t>
      </w:r>
      <w:r>
        <w:rPr>
          <w:rFonts w:eastAsia="Times New Roman"/>
          <w:color w:val="000000"/>
          <w:sz w:val="20"/>
          <w:szCs w:val="20"/>
        </w:rPr>
        <w:t>il in any lawsuits we initiate, and the damages or other remedies awarded, if any, may not be commercially meaningful. Accordingly, our efforts to enforce our intellectual property rights around the world may be inadequate to obtain a significant commercia</w:t>
      </w:r>
      <w:r>
        <w:rPr>
          <w:rFonts w:eastAsia="Times New Roman"/>
          <w:color w:val="000000"/>
          <w:sz w:val="20"/>
          <w:szCs w:val="20"/>
        </w:rPr>
        <w:t>l advantage from the intellectual property we develop or license.</w:t>
      </w:r>
    </w:p>
    <w:p w14:paraId="10D562CF" w14:textId="77777777" w:rsidR="00000000" w:rsidRDefault="000C49AD">
      <w:pPr>
        <w:jc w:val="both"/>
        <w:rPr>
          <w:rFonts w:eastAsia="Times New Roman"/>
        </w:rPr>
      </w:pPr>
    </w:p>
    <w:p w14:paraId="653C4E07" w14:textId="77777777" w:rsidR="00000000" w:rsidRDefault="000C49AD">
      <w:pPr>
        <w:jc w:val="both"/>
        <w:rPr>
          <w:rFonts w:eastAsia="Times New Roman"/>
        </w:rPr>
      </w:pPr>
      <w:r>
        <w:rPr>
          <w:rFonts w:eastAsia="Times New Roman"/>
          <w:b/>
          <w:bCs/>
          <w:color w:val="000000"/>
          <w:sz w:val="20"/>
          <w:szCs w:val="20"/>
        </w:rPr>
        <w:t>Risks Related to Acceptance, Sales, Marketing and Competition</w:t>
      </w:r>
    </w:p>
    <w:p w14:paraId="558A5089" w14:textId="77777777" w:rsidR="00000000" w:rsidRDefault="000C49AD">
      <w:pPr>
        <w:jc w:val="both"/>
        <w:rPr>
          <w:rFonts w:eastAsia="Times New Roman"/>
        </w:rPr>
      </w:pPr>
    </w:p>
    <w:p w14:paraId="36408A7C" w14:textId="77777777" w:rsidR="00000000" w:rsidRDefault="000C49AD">
      <w:pPr>
        <w:jc w:val="both"/>
        <w:rPr>
          <w:rFonts w:eastAsia="Times New Roman"/>
        </w:rPr>
      </w:pPr>
      <w:r>
        <w:rPr>
          <w:rFonts w:eastAsia="Times New Roman"/>
          <w:b/>
          <w:bCs/>
          <w:i/>
          <w:iCs/>
          <w:color w:val="000000"/>
          <w:sz w:val="20"/>
          <w:szCs w:val="20"/>
        </w:rPr>
        <w:t>If we are unable to establish effective sales, marketing and distribution capabilities for FT218, if approved, or enter into</w:t>
      </w:r>
      <w:r>
        <w:rPr>
          <w:rFonts w:eastAsia="Times New Roman"/>
          <w:b/>
          <w:bCs/>
          <w:i/>
          <w:iCs/>
          <w:color w:val="000000"/>
          <w:sz w:val="20"/>
          <w:szCs w:val="20"/>
        </w:rPr>
        <w:t xml:space="preserve"> agreements with third parties to market, sell and distribute our product candidate, if approved, or if we are unable to achieve market acceptance for FT218, our business, results of operations, financial condition and prospects will be materially adversel</w:t>
      </w:r>
      <w:r>
        <w:rPr>
          <w:rFonts w:eastAsia="Times New Roman"/>
          <w:b/>
          <w:bCs/>
          <w:i/>
          <w:iCs/>
          <w:color w:val="000000"/>
          <w:sz w:val="20"/>
          <w:szCs w:val="20"/>
        </w:rPr>
        <w:t>y affected.</w:t>
      </w:r>
    </w:p>
    <w:p w14:paraId="650D9468" w14:textId="77777777" w:rsidR="00000000" w:rsidRDefault="000C49AD">
      <w:pPr>
        <w:jc w:val="both"/>
        <w:rPr>
          <w:rFonts w:eastAsia="Times New Roman"/>
        </w:rPr>
      </w:pPr>
    </w:p>
    <w:p w14:paraId="5503400F" w14:textId="77777777" w:rsidR="00000000" w:rsidRDefault="000C49AD">
      <w:pPr>
        <w:jc w:val="both"/>
        <w:rPr>
          <w:rFonts w:eastAsia="Times New Roman"/>
        </w:rPr>
      </w:pPr>
      <w:r>
        <w:rPr>
          <w:rFonts w:eastAsia="Times New Roman"/>
          <w:color w:val="000000"/>
          <w:sz w:val="20"/>
          <w:szCs w:val="20"/>
        </w:rPr>
        <w:t>We are continuing to build the systems, processes, policies, relationships and materials necessary for the launch of FT218 in the U.S. for the treatment of cataplexy or EDS in adults with narcolepsy. If we receive regulatory approval to market or sell FT21</w:t>
      </w:r>
      <w:r>
        <w:rPr>
          <w:rFonts w:eastAsia="Times New Roman"/>
          <w:color w:val="000000"/>
          <w:sz w:val="20"/>
          <w:szCs w:val="20"/>
        </w:rPr>
        <w:t>8, but are unable to establish adequate sales, marketing and distribution capabilities, whether independently or with third parties, or if we are unable to do so on commercially reasonable terms, our business, results of operations, financial condition and</w:t>
      </w:r>
      <w:r>
        <w:rPr>
          <w:rFonts w:eastAsia="Times New Roman"/>
          <w:color w:val="000000"/>
          <w:sz w:val="20"/>
          <w:szCs w:val="20"/>
        </w:rPr>
        <w:t xml:space="preserve"> prospects will be materially adversely affected. We may encounter issues, delays or other challenges in launching or commercializing FT218. </w:t>
      </w:r>
    </w:p>
    <w:p w14:paraId="78BD56F6" w14:textId="77777777" w:rsidR="00000000" w:rsidRDefault="000C49AD">
      <w:pPr>
        <w:jc w:val="both"/>
        <w:rPr>
          <w:rFonts w:eastAsia="Times New Roman"/>
        </w:rPr>
      </w:pPr>
    </w:p>
    <w:p w14:paraId="12BE2191" w14:textId="77777777" w:rsidR="00000000" w:rsidRDefault="000C49AD">
      <w:pPr>
        <w:jc w:val="both"/>
        <w:rPr>
          <w:rFonts w:eastAsia="Times New Roman"/>
        </w:rPr>
      </w:pPr>
      <w:r>
        <w:rPr>
          <w:rFonts w:eastAsia="Times New Roman"/>
          <w:color w:val="000000"/>
          <w:sz w:val="20"/>
          <w:szCs w:val="20"/>
        </w:rPr>
        <w:t>We have limited experience in building and managing a commercial team, conducting a comprehensive market analysi</w:t>
      </w:r>
      <w:r>
        <w:rPr>
          <w:rFonts w:eastAsia="Times New Roman"/>
          <w:color w:val="000000"/>
          <w:sz w:val="20"/>
          <w:szCs w:val="20"/>
        </w:rPr>
        <w:t>s, obtaining state licenses and reimbursement, or managing distributors and a sales force for our medicines. For example, our results may be negatively impacted if we have not adequately sized our field teams or if our targeting strategy is inadequate or i</w:t>
      </w:r>
      <w:r>
        <w:rPr>
          <w:rFonts w:eastAsia="Times New Roman"/>
          <w:color w:val="000000"/>
          <w:sz w:val="20"/>
          <w:szCs w:val="20"/>
        </w:rPr>
        <w:t xml:space="preserve">f we encounter deficiencies or inefficiencies in our infrastructure or processes. We will be competing with many companies that currently have extensive and well-funded sales and marketing operations. As a result, our ability to successfully commercialize </w:t>
      </w:r>
      <w:r>
        <w:rPr>
          <w:rFonts w:eastAsia="Times New Roman"/>
          <w:color w:val="000000"/>
          <w:sz w:val="20"/>
          <w:szCs w:val="20"/>
        </w:rPr>
        <w:t>FT218 may involve more inherent risk, take longer, and cost more than it would if we were a company with substantial experience in launching medicines.</w:t>
      </w:r>
    </w:p>
    <w:p w14:paraId="231A7771" w14:textId="77777777" w:rsidR="00000000" w:rsidRDefault="000C49AD">
      <w:pPr>
        <w:jc w:val="both"/>
        <w:rPr>
          <w:rFonts w:eastAsia="Times New Roman"/>
        </w:rPr>
      </w:pPr>
    </w:p>
    <w:p w14:paraId="4964F3A1" w14:textId="77777777" w:rsidR="00000000" w:rsidRDefault="000C49AD">
      <w:pPr>
        <w:jc w:val="both"/>
        <w:rPr>
          <w:rFonts w:eastAsia="Times New Roman"/>
        </w:rPr>
      </w:pPr>
      <w:r>
        <w:rPr>
          <w:rFonts w:eastAsia="Times New Roman"/>
          <w:color w:val="000000"/>
          <w:sz w:val="20"/>
          <w:szCs w:val="20"/>
        </w:rPr>
        <w:t xml:space="preserve">We will have to compete with other pharmaceutical and biotechnology companies to recruit, hire, train </w:t>
      </w:r>
      <w:r>
        <w:rPr>
          <w:rFonts w:eastAsia="Times New Roman"/>
          <w:color w:val="000000"/>
          <w:sz w:val="20"/>
          <w:szCs w:val="20"/>
        </w:rPr>
        <w:t xml:space="preserve">and retain marketing and sales personnel. If we are unable to, or decide not to, further develop internal sales, marketing, and commercial distribution </w:t>
      </w:r>
    </w:p>
    <w:p w14:paraId="40E34F90" w14:textId="77777777" w:rsidR="00000000" w:rsidRDefault="000C49AD">
      <w:pPr>
        <w:jc w:val="center"/>
        <w:divId w:val="963929711"/>
        <w:rPr>
          <w:rFonts w:eastAsia="Times New Roman"/>
        </w:rPr>
      </w:pPr>
      <w:r>
        <w:rPr>
          <w:rFonts w:eastAsia="Times New Roman"/>
          <w:color w:val="000000"/>
          <w:sz w:val="20"/>
          <w:szCs w:val="20"/>
        </w:rPr>
        <w:t>-45-</w:t>
      </w:r>
    </w:p>
    <w:p w14:paraId="6B702C9D" w14:textId="77777777" w:rsidR="00000000" w:rsidRDefault="000C49AD">
      <w:pPr>
        <w:rPr>
          <w:rFonts w:eastAsia="Times New Roman"/>
        </w:rPr>
      </w:pPr>
      <w:r>
        <w:rPr>
          <w:rFonts w:eastAsia="Times New Roman"/>
        </w:rPr>
        <w:pict w14:anchorId="76A111C5">
          <v:rect id="_x0000_i1069" style="width:0;height:1.5pt" o:hralign="center" o:hrstd="t" o:hr="t" fillcolor="#a0a0a0" stroked="f"/>
        </w:pict>
      </w:r>
    </w:p>
    <w:p w14:paraId="496C730D" w14:textId="77777777" w:rsidR="00000000" w:rsidRDefault="000C49AD">
      <w:pPr>
        <w:divId w:val="1314602110"/>
        <w:rPr>
          <w:rFonts w:eastAsia="Times New Roman"/>
        </w:rPr>
      </w:pPr>
    </w:p>
    <w:p w14:paraId="6086A8D7" w14:textId="77777777" w:rsidR="00000000" w:rsidRDefault="000C49AD">
      <w:pPr>
        <w:jc w:val="both"/>
        <w:rPr>
          <w:rFonts w:eastAsia="Times New Roman"/>
        </w:rPr>
      </w:pPr>
      <w:r>
        <w:rPr>
          <w:rFonts w:eastAsia="Times New Roman"/>
          <w:color w:val="000000"/>
          <w:sz w:val="20"/>
          <w:szCs w:val="20"/>
        </w:rPr>
        <w:t>capabilities for FT218 in any country or region, we will lik</w:t>
      </w:r>
      <w:r>
        <w:rPr>
          <w:rFonts w:eastAsia="Times New Roman"/>
          <w:color w:val="000000"/>
          <w:sz w:val="20"/>
          <w:szCs w:val="20"/>
        </w:rPr>
        <w:t>ely pursue collaborative arrangements regarding the sales and marketing of FT218. However, there can be no assurance that we will be able to establish or maintain such collaborative arrangements, or if we are able to do so, that they will have effective sa</w:t>
      </w:r>
      <w:r>
        <w:rPr>
          <w:rFonts w:eastAsia="Times New Roman"/>
          <w:color w:val="000000"/>
          <w:sz w:val="20"/>
          <w:szCs w:val="20"/>
        </w:rPr>
        <w:t>les forces. Any revenue we receive will depend upon the efforts of such third parties. We would have little or no control over the marketing and sales efforts of such third parties, and our revenue from product sales may be lower than if we had commerciali</w:t>
      </w:r>
      <w:r>
        <w:rPr>
          <w:rFonts w:eastAsia="Times New Roman"/>
          <w:color w:val="000000"/>
          <w:sz w:val="20"/>
          <w:szCs w:val="20"/>
        </w:rPr>
        <w:t>zed FT218 ourselves. We also face competition in our search for third parties to assist us with the sales and marketing efforts for our medicines.</w:t>
      </w:r>
    </w:p>
    <w:p w14:paraId="29082842" w14:textId="77777777" w:rsidR="00000000" w:rsidRDefault="000C49AD">
      <w:pPr>
        <w:jc w:val="both"/>
        <w:rPr>
          <w:rFonts w:eastAsia="Times New Roman"/>
        </w:rPr>
      </w:pPr>
    </w:p>
    <w:p w14:paraId="38FD31E3" w14:textId="77777777" w:rsidR="00000000" w:rsidRDefault="000C49AD">
      <w:pPr>
        <w:jc w:val="both"/>
        <w:rPr>
          <w:rFonts w:eastAsia="Times New Roman"/>
        </w:rPr>
      </w:pPr>
      <w:r>
        <w:rPr>
          <w:rFonts w:eastAsia="Times New Roman"/>
          <w:color w:val="000000"/>
          <w:sz w:val="20"/>
          <w:szCs w:val="20"/>
        </w:rPr>
        <w:t>Any of these issues could impair our ability to successfully commercialize FT218 or to generate substantial</w:t>
      </w:r>
      <w:r>
        <w:rPr>
          <w:rFonts w:eastAsia="Times New Roman"/>
          <w:color w:val="000000"/>
          <w:sz w:val="20"/>
          <w:szCs w:val="20"/>
        </w:rPr>
        <w:t xml:space="preserve"> revenues or profits or to meet our expectations with respect to the amount or timing of revenues or profits. There is no guarantee that we will be successful in our launch or commercialization efforts with respect to FT218, if approved, or with respect to</w:t>
      </w:r>
      <w:r>
        <w:rPr>
          <w:rFonts w:eastAsia="Times New Roman"/>
          <w:color w:val="000000"/>
          <w:sz w:val="20"/>
          <w:szCs w:val="20"/>
        </w:rPr>
        <w:t xml:space="preserve"> any other product candidate that may be approved in the future. </w:t>
      </w:r>
    </w:p>
    <w:p w14:paraId="646F96FF" w14:textId="77777777" w:rsidR="00000000" w:rsidRDefault="000C49AD">
      <w:pPr>
        <w:jc w:val="both"/>
        <w:rPr>
          <w:rFonts w:eastAsia="Times New Roman"/>
        </w:rPr>
      </w:pPr>
    </w:p>
    <w:p w14:paraId="2800A40F" w14:textId="77777777" w:rsidR="00000000" w:rsidRDefault="000C49AD">
      <w:pPr>
        <w:jc w:val="both"/>
        <w:rPr>
          <w:rFonts w:eastAsia="Times New Roman"/>
        </w:rPr>
      </w:pPr>
      <w:r>
        <w:rPr>
          <w:rFonts w:eastAsia="Times New Roman"/>
          <w:b/>
          <w:bCs/>
          <w:i/>
          <w:iCs/>
          <w:color w:val="000000"/>
          <w:sz w:val="20"/>
          <w:szCs w:val="20"/>
        </w:rPr>
        <w:t xml:space="preserve">If the market opportunities for FT218 are smaller than we believe they are, and if we are not able to successfully identify patients and achieve significant market share, our revenues may </w:t>
      </w:r>
      <w:r>
        <w:rPr>
          <w:rFonts w:eastAsia="Times New Roman"/>
          <w:b/>
          <w:bCs/>
          <w:i/>
          <w:iCs/>
          <w:color w:val="000000"/>
          <w:sz w:val="20"/>
          <w:szCs w:val="20"/>
        </w:rPr>
        <w:t>be adversely affected and our business may suffer.</w:t>
      </w:r>
    </w:p>
    <w:p w14:paraId="3BA28ABF" w14:textId="77777777" w:rsidR="00000000" w:rsidRDefault="000C49AD">
      <w:pPr>
        <w:jc w:val="both"/>
        <w:rPr>
          <w:rFonts w:eastAsia="Times New Roman"/>
        </w:rPr>
      </w:pPr>
    </w:p>
    <w:p w14:paraId="65B19D2C" w14:textId="77777777" w:rsidR="00000000" w:rsidRDefault="000C49AD">
      <w:pPr>
        <w:jc w:val="both"/>
        <w:rPr>
          <w:rFonts w:eastAsia="Times New Roman"/>
        </w:rPr>
      </w:pPr>
      <w:r>
        <w:rPr>
          <w:rFonts w:eastAsia="Times New Roman"/>
          <w:color w:val="000000"/>
          <w:sz w:val="20"/>
          <w:szCs w:val="20"/>
        </w:rPr>
        <w:t>FT218 is an investigational formulation of sodium oxybate designed to be taken once at bedtime for the treatment of EDS or cataplexy in adults with narcolepsy. Our estimates of the market opportunities f</w:t>
      </w:r>
      <w:r>
        <w:rPr>
          <w:rFonts w:eastAsia="Times New Roman"/>
          <w:color w:val="000000"/>
          <w:sz w:val="20"/>
          <w:szCs w:val="20"/>
        </w:rPr>
        <w:t xml:space="preserve">or FT218 are based on the estimated </w:t>
      </w:r>
      <w:r>
        <w:rPr>
          <w:rFonts w:eastAsia="Times New Roman"/>
          <w:color w:val="000000"/>
          <w:sz w:val="20"/>
          <w:szCs w:val="20"/>
          <w:shd w:val="clear" w:color="auto" w:fill="FFFFFF"/>
        </w:rPr>
        <w:t xml:space="preserve">market size for the twice-nightly administration of sodium oxybate, which is the current standard of care for EDS or cataplexy in patients with narcolepsy, and our expectations with regard to FT218’s potential to take a </w:t>
      </w:r>
      <w:r>
        <w:rPr>
          <w:rFonts w:eastAsia="Times New Roman"/>
          <w:color w:val="000000"/>
          <w:sz w:val="20"/>
          <w:szCs w:val="20"/>
          <w:shd w:val="clear" w:color="auto" w:fill="FFFFFF"/>
        </w:rPr>
        <w:t>significant share of this market</w:t>
      </w:r>
      <w:r>
        <w:rPr>
          <w:rFonts w:eastAsia="Times New Roman"/>
          <w:color w:val="000000"/>
          <w:sz w:val="20"/>
          <w:szCs w:val="20"/>
        </w:rPr>
        <w:t xml:space="preserve">. </w:t>
      </w:r>
      <w:r>
        <w:rPr>
          <w:rFonts w:eastAsia="Times New Roman"/>
          <w:color w:val="000000"/>
          <w:sz w:val="20"/>
          <w:szCs w:val="20"/>
          <w:shd w:val="clear" w:color="auto" w:fill="FFFFFF"/>
        </w:rPr>
        <w:t xml:space="preserve">These estimates have been derived from a variety of sources, including scientific literature, surveys of clinics, patient foundations, or market research, and may prove to be incorrect. </w:t>
      </w:r>
      <w:r>
        <w:rPr>
          <w:rFonts w:eastAsia="Times New Roman"/>
          <w:color w:val="000000"/>
          <w:sz w:val="20"/>
          <w:szCs w:val="20"/>
        </w:rPr>
        <w:t xml:space="preserve">Further, new studies may change the estimated incidence or prevalence </w:t>
      </w:r>
      <w:r>
        <w:rPr>
          <w:rFonts w:eastAsia="Times New Roman"/>
          <w:color w:val="000000"/>
          <w:sz w:val="20"/>
          <w:szCs w:val="20"/>
        </w:rPr>
        <w:t>of these diseases. The potential target population for FT218 may turn out to be lower or more difficult to identify than expected. Even if we obtain significant market share for FT218 in this indication, because the potential target population for FT218 is</w:t>
      </w:r>
      <w:r>
        <w:rPr>
          <w:rFonts w:eastAsia="Times New Roman"/>
          <w:color w:val="000000"/>
          <w:sz w:val="20"/>
          <w:szCs w:val="20"/>
        </w:rPr>
        <w:t xml:space="preserve"> small, we may never achieve profitability without obtaining marketing approval for additional indications. </w:t>
      </w:r>
    </w:p>
    <w:p w14:paraId="69E78E61" w14:textId="77777777" w:rsidR="00000000" w:rsidRDefault="000C49AD">
      <w:pPr>
        <w:jc w:val="both"/>
        <w:rPr>
          <w:rFonts w:eastAsia="Times New Roman"/>
        </w:rPr>
      </w:pPr>
    </w:p>
    <w:p w14:paraId="734E0091" w14:textId="77777777" w:rsidR="00000000" w:rsidRDefault="000C49AD">
      <w:pPr>
        <w:jc w:val="both"/>
        <w:rPr>
          <w:rFonts w:eastAsia="Times New Roman"/>
        </w:rPr>
      </w:pPr>
      <w:r>
        <w:rPr>
          <w:rFonts w:eastAsia="Times New Roman"/>
          <w:color w:val="000000"/>
          <w:sz w:val="20"/>
          <w:szCs w:val="20"/>
        </w:rPr>
        <w:t>Any of these factors may negatively affect our ability to recognize revenues from sales of FT218 and our ability to achieve and maintain profitab</w:t>
      </w:r>
      <w:r>
        <w:rPr>
          <w:rFonts w:eastAsia="Times New Roman"/>
          <w:color w:val="000000"/>
          <w:sz w:val="20"/>
          <w:szCs w:val="20"/>
        </w:rPr>
        <w:t>ility and, as a consequence, our business may suffer.</w:t>
      </w:r>
    </w:p>
    <w:p w14:paraId="1278B902" w14:textId="77777777" w:rsidR="00000000" w:rsidRDefault="000C49AD">
      <w:pPr>
        <w:jc w:val="both"/>
        <w:rPr>
          <w:rFonts w:eastAsia="Times New Roman"/>
        </w:rPr>
      </w:pPr>
    </w:p>
    <w:p w14:paraId="3C5E3ECB" w14:textId="77777777" w:rsidR="00000000" w:rsidRDefault="000C49AD">
      <w:pPr>
        <w:jc w:val="both"/>
        <w:rPr>
          <w:rFonts w:eastAsia="Times New Roman"/>
        </w:rPr>
      </w:pPr>
      <w:r>
        <w:rPr>
          <w:rFonts w:eastAsia="Times New Roman"/>
          <w:b/>
          <w:bCs/>
          <w:i/>
          <w:iCs/>
          <w:color w:val="000000"/>
          <w:sz w:val="20"/>
          <w:szCs w:val="20"/>
        </w:rPr>
        <w:t>FT218, if approved, may not gain market acceptance.</w:t>
      </w:r>
    </w:p>
    <w:p w14:paraId="069BCD03" w14:textId="77777777" w:rsidR="00000000" w:rsidRDefault="000C49AD">
      <w:pPr>
        <w:jc w:val="both"/>
        <w:rPr>
          <w:rFonts w:eastAsia="Times New Roman"/>
        </w:rPr>
      </w:pPr>
    </w:p>
    <w:p w14:paraId="2214A8B6" w14:textId="77777777" w:rsidR="00000000" w:rsidRDefault="000C49AD">
      <w:pPr>
        <w:jc w:val="both"/>
        <w:rPr>
          <w:rFonts w:eastAsia="Times New Roman"/>
        </w:rPr>
      </w:pPr>
      <w:r>
        <w:rPr>
          <w:rFonts w:eastAsia="Times New Roman"/>
          <w:color w:val="000000"/>
          <w:sz w:val="20"/>
          <w:szCs w:val="20"/>
        </w:rPr>
        <w:t>FT218, if approved, may not gain market acceptance among physicians, patients, healthcare payor and medical communities. The degree of market acce</w:t>
      </w:r>
      <w:r>
        <w:rPr>
          <w:rFonts w:eastAsia="Times New Roman"/>
          <w:color w:val="000000"/>
          <w:sz w:val="20"/>
          <w:szCs w:val="20"/>
        </w:rPr>
        <w:t>ptance of FT218, if approved, will depend on a number of factors, including, but not limited to:</w:t>
      </w:r>
    </w:p>
    <w:p w14:paraId="0D98FF93" w14:textId="77777777" w:rsidR="00000000" w:rsidRDefault="000C49AD">
      <w:pPr>
        <w:jc w:val="both"/>
        <w:rPr>
          <w:rFonts w:eastAsia="Times New Roman"/>
        </w:rPr>
      </w:pPr>
    </w:p>
    <w:p w14:paraId="41915962" w14:textId="77777777" w:rsidR="00000000" w:rsidRDefault="000C49AD">
      <w:pPr>
        <w:ind w:hanging="360"/>
        <w:jc w:val="both"/>
        <w:rPr>
          <w:rFonts w:eastAsia="Times New Roman"/>
        </w:rPr>
      </w:pPr>
      <w:r>
        <w:rPr>
          <w:rFonts w:eastAsia="Times New Roman"/>
          <w:color w:val="000000"/>
          <w:sz w:val="20"/>
          <w:szCs w:val="20"/>
        </w:rPr>
        <w:t>•the clinical indications for which FT218 is approved and any restrictions placed upon the product in connection with its approval, such as a REMS or equival</w:t>
      </w:r>
      <w:r>
        <w:rPr>
          <w:rFonts w:eastAsia="Times New Roman"/>
          <w:color w:val="000000"/>
          <w:sz w:val="20"/>
          <w:szCs w:val="20"/>
        </w:rPr>
        <w:t>ent obligation by other regulatory authorities, patient registry requirements or labeling restrictions;</w:t>
      </w:r>
    </w:p>
    <w:p w14:paraId="001EDA2D" w14:textId="77777777" w:rsidR="00000000" w:rsidRDefault="000C49AD">
      <w:pPr>
        <w:ind w:hanging="360"/>
        <w:jc w:val="both"/>
        <w:rPr>
          <w:rFonts w:eastAsia="Times New Roman"/>
        </w:rPr>
      </w:pPr>
      <w:r>
        <w:rPr>
          <w:rFonts w:eastAsia="Times New Roman"/>
          <w:color w:val="000000"/>
          <w:sz w:val="20"/>
          <w:szCs w:val="20"/>
        </w:rPr>
        <w:t>•the prevalence of the disease or condition for which FT218 is approved and its diagnosis;</w:t>
      </w:r>
    </w:p>
    <w:p w14:paraId="3AA48E18" w14:textId="77777777" w:rsidR="00000000" w:rsidRDefault="000C49AD">
      <w:pPr>
        <w:ind w:hanging="360"/>
        <w:jc w:val="both"/>
        <w:rPr>
          <w:rFonts w:eastAsia="Times New Roman"/>
        </w:rPr>
      </w:pPr>
      <w:r>
        <w:rPr>
          <w:rFonts w:eastAsia="Times New Roman"/>
          <w:color w:val="000000"/>
          <w:sz w:val="20"/>
          <w:szCs w:val="20"/>
        </w:rPr>
        <w:t xml:space="preserve">•scheduling classification of sodium oxybate as a controlled </w:t>
      </w:r>
      <w:r>
        <w:rPr>
          <w:rFonts w:eastAsia="Times New Roman"/>
          <w:color w:val="000000"/>
          <w:sz w:val="20"/>
          <w:szCs w:val="20"/>
        </w:rPr>
        <w:t>substance regulated by the DEA;</w:t>
      </w:r>
    </w:p>
    <w:p w14:paraId="55EC0CD4" w14:textId="77777777" w:rsidR="00000000" w:rsidRDefault="000C49AD">
      <w:pPr>
        <w:ind w:hanging="360"/>
        <w:jc w:val="both"/>
        <w:rPr>
          <w:rFonts w:eastAsia="Times New Roman"/>
        </w:rPr>
      </w:pPr>
      <w:r>
        <w:rPr>
          <w:rFonts w:eastAsia="Times New Roman"/>
          <w:color w:val="000000"/>
          <w:sz w:val="20"/>
          <w:szCs w:val="20"/>
        </w:rPr>
        <w:t>•demonstration of the clinical safety and efficacy of the product or technology;</w:t>
      </w:r>
    </w:p>
    <w:p w14:paraId="5BB50EA2" w14:textId="77777777" w:rsidR="00000000" w:rsidRDefault="000C49AD">
      <w:pPr>
        <w:ind w:hanging="360"/>
        <w:jc w:val="both"/>
        <w:rPr>
          <w:rFonts w:eastAsia="Times New Roman"/>
        </w:rPr>
      </w:pPr>
      <w:r>
        <w:rPr>
          <w:rFonts w:eastAsia="Times New Roman"/>
          <w:color w:val="000000"/>
          <w:sz w:val="20"/>
          <w:szCs w:val="20"/>
        </w:rPr>
        <w:t>•the absence of evidence of undesirable side effects of the product or technology that delay or extend trials;</w:t>
      </w:r>
    </w:p>
    <w:p w14:paraId="4BFF5317"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acceptance by physicians and patients of each product as a safe and effective treatment;</w:t>
      </w:r>
    </w:p>
    <w:p w14:paraId="1D2364F6" w14:textId="77777777" w:rsidR="00000000" w:rsidRDefault="000C49AD">
      <w:pPr>
        <w:ind w:hanging="360"/>
        <w:jc w:val="both"/>
        <w:rPr>
          <w:rFonts w:eastAsia="Times New Roman"/>
        </w:rPr>
      </w:pPr>
      <w:r>
        <w:rPr>
          <w:rFonts w:eastAsia="Times New Roman"/>
          <w:color w:val="000000"/>
          <w:sz w:val="20"/>
          <w:szCs w:val="20"/>
        </w:rPr>
        <w:t>•availability of sufficient product inventory to meet demand;</w:t>
      </w:r>
    </w:p>
    <w:p w14:paraId="71E4EF68" w14:textId="77777777" w:rsidR="00000000" w:rsidRDefault="000C49AD">
      <w:pPr>
        <w:ind w:hanging="360"/>
        <w:jc w:val="both"/>
        <w:rPr>
          <w:rFonts w:eastAsia="Times New Roman"/>
        </w:rPr>
      </w:pPr>
      <w:r>
        <w:rPr>
          <w:rFonts w:eastAsia="Times New Roman"/>
          <w:color w:val="000000"/>
          <w:sz w:val="20"/>
          <w:szCs w:val="20"/>
        </w:rPr>
        <w:t>•physicians’ decisions relating to treatment practices based on availability;</w:t>
      </w:r>
    </w:p>
    <w:p w14:paraId="76C151E7" w14:textId="77777777" w:rsidR="00000000" w:rsidRDefault="000C49AD">
      <w:pPr>
        <w:ind w:hanging="360"/>
        <w:jc w:val="both"/>
        <w:rPr>
          <w:rFonts w:eastAsia="Times New Roman"/>
        </w:rPr>
      </w:pPr>
      <w:r>
        <w:rPr>
          <w:rFonts w:eastAsia="Times New Roman"/>
          <w:color w:val="000000"/>
          <w:sz w:val="20"/>
          <w:szCs w:val="20"/>
        </w:rPr>
        <w:t>•physician and patient asse</w:t>
      </w:r>
      <w:r>
        <w:rPr>
          <w:rFonts w:eastAsia="Times New Roman"/>
          <w:color w:val="000000"/>
          <w:sz w:val="20"/>
          <w:szCs w:val="20"/>
        </w:rPr>
        <w:t>ssment of the burdens associated with obtaining or maintaining the certifications required under the FT218 REMS, if approved;</w:t>
      </w:r>
    </w:p>
    <w:p w14:paraId="71700520" w14:textId="77777777" w:rsidR="00000000" w:rsidRDefault="000C49AD">
      <w:pPr>
        <w:ind w:hanging="360"/>
        <w:jc w:val="both"/>
        <w:rPr>
          <w:rFonts w:eastAsia="Times New Roman"/>
        </w:rPr>
      </w:pPr>
      <w:r>
        <w:rPr>
          <w:rFonts w:eastAsia="Times New Roman"/>
          <w:color w:val="000000"/>
          <w:sz w:val="20"/>
          <w:szCs w:val="20"/>
        </w:rPr>
        <w:t>•the lack of regulatory delays or other regulatory actions;</w:t>
      </w:r>
    </w:p>
    <w:p w14:paraId="7181805A" w14:textId="77777777" w:rsidR="00000000" w:rsidRDefault="000C49AD">
      <w:pPr>
        <w:ind w:hanging="360"/>
        <w:jc w:val="both"/>
        <w:rPr>
          <w:rFonts w:eastAsia="Times New Roman"/>
        </w:rPr>
      </w:pPr>
      <w:r>
        <w:rPr>
          <w:rFonts w:eastAsia="Times New Roman"/>
          <w:color w:val="000000"/>
          <w:sz w:val="20"/>
          <w:szCs w:val="20"/>
        </w:rPr>
        <w:t>•its cost-effectiveness and related access to payor coverage;</w:t>
      </w:r>
    </w:p>
    <w:p w14:paraId="1025F3E9" w14:textId="77777777" w:rsidR="00000000" w:rsidRDefault="000C49AD">
      <w:pPr>
        <w:ind w:hanging="360"/>
        <w:jc w:val="both"/>
        <w:rPr>
          <w:rFonts w:eastAsia="Times New Roman"/>
        </w:rPr>
      </w:pPr>
      <w:r>
        <w:rPr>
          <w:rFonts w:eastAsia="Times New Roman"/>
          <w:color w:val="000000"/>
          <w:sz w:val="20"/>
          <w:szCs w:val="20"/>
        </w:rPr>
        <w:t>•its pot</w:t>
      </w:r>
      <w:r>
        <w:rPr>
          <w:rFonts w:eastAsia="Times New Roman"/>
          <w:color w:val="000000"/>
          <w:sz w:val="20"/>
          <w:szCs w:val="20"/>
        </w:rPr>
        <w:t>ential advantage over alternative treatment methods;</w:t>
      </w:r>
    </w:p>
    <w:p w14:paraId="1B0AE4D3" w14:textId="77777777" w:rsidR="00000000" w:rsidRDefault="000C49AD">
      <w:pPr>
        <w:ind w:hanging="360"/>
        <w:jc w:val="both"/>
        <w:rPr>
          <w:rFonts w:eastAsia="Times New Roman"/>
        </w:rPr>
      </w:pPr>
      <w:r>
        <w:rPr>
          <w:rFonts w:eastAsia="Times New Roman"/>
          <w:color w:val="000000"/>
          <w:sz w:val="20"/>
          <w:szCs w:val="20"/>
        </w:rPr>
        <w:t>•the availability of third-party reimbursement or other assistance for patients who are uninsured or underinsured; and</w:t>
      </w:r>
    </w:p>
    <w:p w14:paraId="0BF92874" w14:textId="77777777" w:rsidR="00000000" w:rsidRDefault="000C49AD">
      <w:pPr>
        <w:ind w:hanging="360"/>
        <w:jc w:val="both"/>
        <w:rPr>
          <w:rFonts w:eastAsia="Times New Roman"/>
        </w:rPr>
      </w:pPr>
      <w:r>
        <w:rPr>
          <w:rFonts w:eastAsia="Times New Roman"/>
          <w:color w:val="000000"/>
          <w:sz w:val="20"/>
          <w:szCs w:val="20"/>
        </w:rPr>
        <w:t>•the marketing and distribution support it receives.</w:t>
      </w:r>
    </w:p>
    <w:p w14:paraId="7091ADA6" w14:textId="77777777" w:rsidR="00000000" w:rsidRDefault="000C49AD">
      <w:pPr>
        <w:jc w:val="both"/>
        <w:rPr>
          <w:rFonts w:eastAsia="Times New Roman"/>
        </w:rPr>
      </w:pPr>
    </w:p>
    <w:p w14:paraId="1FBFAC66" w14:textId="77777777" w:rsidR="00000000" w:rsidRDefault="000C49AD">
      <w:pPr>
        <w:jc w:val="both"/>
        <w:rPr>
          <w:rFonts w:eastAsia="Times New Roman"/>
        </w:rPr>
      </w:pPr>
      <w:r>
        <w:rPr>
          <w:rFonts w:eastAsia="Times New Roman"/>
          <w:color w:val="000000"/>
          <w:sz w:val="20"/>
          <w:szCs w:val="20"/>
        </w:rPr>
        <w:t xml:space="preserve">If FT218, if approved, fails </w:t>
      </w:r>
      <w:r>
        <w:rPr>
          <w:rFonts w:eastAsia="Times New Roman"/>
          <w:color w:val="000000"/>
          <w:sz w:val="20"/>
          <w:szCs w:val="20"/>
        </w:rPr>
        <w:t>to achieve market acceptance, our ability to generate revenue will be limited, which would have a material adverse effect on our business.</w:t>
      </w:r>
    </w:p>
    <w:p w14:paraId="17457889" w14:textId="77777777" w:rsidR="00000000" w:rsidRDefault="000C49AD">
      <w:pPr>
        <w:jc w:val="both"/>
        <w:rPr>
          <w:rFonts w:eastAsia="Times New Roman"/>
        </w:rPr>
      </w:pPr>
    </w:p>
    <w:p w14:paraId="5F2DCB14" w14:textId="77777777" w:rsidR="00000000" w:rsidRDefault="000C49AD">
      <w:pPr>
        <w:jc w:val="center"/>
        <w:divId w:val="589965390"/>
        <w:rPr>
          <w:rFonts w:eastAsia="Times New Roman"/>
        </w:rPr>
      </w:pPr>
      <w:r>
        <w:rPr>
          <w:rFonts w:eastAsia="Times New Roman"/>
          <w:color w:val="000000"/>
          <w:sz w:val="20"/>
          <w:szCs w:val="20"/>
        </w:rPr>
        <w:t>-46-</w:t>
      </w:r>
    </w:p>
    <w:p w14:paraId="7AD497A7" w14:textId="77777777" w:rsidR="00000000" w:rsidRDefault="000C49AD">
      <w:pPr>
        <w:rPr>
          <w:rFonts w:eastAsia="Times New Roman"/>
        </w:rPr>
      </w:pPr>
      <w:r>
        <w:rPr>
          <w:rFonts w:eastAsia="Times New Roman"/>
        </w:rPr>
        <w:pict w14:anchorId="1C33B2C5">
          <v:rect id="_x0000_i1070" style="width:0;height:1.5pt" o:hralign="center" o:hrstd="t" o:hr="t" fillcolor="#a0a0a0" stroked="f"/>
        </w:pict>
      </w:r>
    </w:p>
    <w:p w14:paraId="48CAD642" w14:textId="77777777" w:rsidR="00000000" w:rsidRDefault="000C49AD">
      <w:pPr>
        <w:divId w:val="1611863219"/>
        <w:rPr>
          <w:rFonts w:eastAsia="Times New Roman"/>
        </w:rPr>
      </w:pPr>
    </w:p>
    <w:p w14:paraId="288A6DBB" w14:textId="77777777" w:rsidR="00000000" w:rsidRDefault="000C49AD">
      <w:pPr>
        <w:jc w:val="both"/>
        <w:rPr>
          <w:rFonts w:eastAsia="Times New Roman"/>
        </w:rPr>
      </w:pPr>
      <w:r>
        <w:rPr>
          <w:rFonts w:eastAsia="Times New Roman"/>
          <w:b/>
          <w:bCs/>
          <w:i/>
          <w:iCs/>
          <w:color w:val="000000"/>
          <w:sz w:val="20"/>
          <w:szCs w:val="20"/>
        </w:rPr>
        <w:t>FT218, if approved, will be subject to ongoing enforcement of post-marke</w:t>
      </w:r>
      <w:r>
        <w:rPr>
          <w:rFonts w:eastAsia="Times New Roman"/>
          <w:b/>
          <w:bCs/>
          <w:i/>
          <w:iCs/>
          <w:color w:val="000000"/>
          <w:sz w:val="20"/>
          <w:szCs w:val="20"/>
        </w:rPr>
        <w:t>ting requirements and we could be subject to substantial penalties, including withdrawal of FT218 from the market, if we fail to comply with all regulatory requirements. In addition, the terms of the marketing approval of FT218, if approved, and ongoing re</w:t>
      </w:r>
      <w:r>
        <w:rPr>
          <w:rFonts w:eastAsia="Times New Roman"/>
          <w:b/>
          <w:bCs/>
          <w:i/>
          <w:iCs/>
          <w:color w:val="000000"/>
          <w:sz w:val="20"/>
          <w:szCs w:val="20"/>
        </w:rPr>
        <w:t>gulation of our product, may limit how we manufacture and market FT218 and compliance with such requirements may involve substantial resources, which could materially impair our ability to generate revenue.</w:t>
      </w:r>
    </w:p>
    <w:p w14:paraId="61A06AE9" w14:textId="77777777" w:rsidR="00000000" w:rsidRDefault="000C49AD">
      <w:pPr>
        <w:jc w:val="both"/>
        <w:rPr>
          <w:rFonts w:eastAsia="Times New Roman"/>
        </w:rPr>
      </w:pPr>
    </w:p>
    <w:p w14:paraId="62324D86" w14:textId="77777777" w:rsidR="00000000" w:rsidRDefault="000C49AD">
      <w:pPr>
        <w:jc w:val="both"/>
        <w:rPr>
          <w:rFonts w:eastAsia="Times New Roman"/>
        </w:rPr>
      </w:pPr>
      <w:r>
        <w:rPr>
          <w:rFonts w:eastAsia="Times New Roman"/>
          <w:color w:val="000000"/>
          <w:sz w:val="20"/>
          <w:szCs w:val="20"/>
        </w:rPr>
        <w:t>If approved, FT218, along with the manufacturin</w:t>
      </w:r>
      <w:r>
        <w:rPr>
          <w:rFonts w:eastAsia="Times New Roman"/>
          <w:color w:val="000000"/>
          <w:sz w:val="20"/>
          <w:szCs w:val="20"/>
        </w:rPr>
        <w:t>g processes, post-approval clinical data, labeling, advertising, and promotional activities for FT218, will be subject to continual requirements of and review by the FDA and other applicable regulatory authorities. These requirements include, but are not l</w:t>
      </w:r>
      <w:r>
        <w:rPr>
          <w:rFonts w:eastAsia="Times New Roman"/>
          <w:color w:val="000000"/>
          <w:sz w:val="20"/>
          <w:szCs w:val="20"/>
        </w:rPr>
        <w:t>imited to, restrictions governing promotion of an approved product, submissions of safety and other post-marketing information and reports, registration and listing requirements, cGMP requirements relating to manufacturing, quality control, quality assuran</w:t>
      </w:r>
      <w:r>
        <w:rPr>
          <w:rFonts w:eastAsia="Times New Roman"/>
          <w:color w:val="000000"/>
          <w:sz w:val="20"/>
          <w:szCs w:val="20"/>
        </w:rPr>
        <w:t>ce and corresponding maintenance of records and documents, and requirements regarding drug distribution and the distribution of samples to physicians and recordkeeping.</w:t>
      </w:r>
    </w:p>
    <w:p w14:paraId="3ED50890" w14:textId="77777777" w:rsidR="00000000" w:rsidRDefault="000C49AD">
      <w:pPr>
        <w:jc w:val="both"/>
        <w:rPr>
          <w:rFonts w:eastAsia="Times New Roman"/>
        </w:rPr>
      </w:pPr>
    </w:p>
    <w:p w14:paraId="0DB651F5" w14:textId="77777777" w:rsidR="00000000" w:rsidRDefault="000C49AD">
      <w:pPr>
        <w:jc w:val="both"/>
        <w:rPr>
          <w:rFonts w:eastAsia="Times New Roman"/>
        </w:rPr>
      </w:pPr>
      <w:r>
        <w:rPr>
          <w:rFonts w:eastAsia="Times New Roman"/>
          <w:color w:val="000000"/>
          <w:sz w:val="20"/>
          <w:szCs w:val="20"/>
        </w:rPr>
        <w:t>In the U.S., the FDA and other federal and state agencies, including the Department o</w:t>
      </w:r>
      <w:r>
        <w:rPr>
          <w:rFonts w:eastAsia="Times New Roman"/>
          <w:color w:val="000000"/>
          <w:sz w:val="20"/>
          <w:szCs w:val="20"/>
        </w:rPr>
        <w:t>f Justice, closely regulate compliance with all requirements governing prescription drug products, including requirements pertaining to marketing and promotion of drugs in accordance with the provisions of the approved labeling and manufacturing of product</w:t>
      </w:r>
      <w:r>
        <w:rPr>
          <w:rFonts w:eastAsia="Times New Roman"/>
          <w:color w:val="000000"/>
          <w:sz w:val="20"/>
          <w:szCs w:val="20"/>
        </w:rPr>
        <w:t>s in accordance with cGMP requirements. Violations of such requirements may lead to investigations alleging violations of the FDCA and other statutes, including the FDA and other federal and state healthcare fraud and abuse laws as well as state consumer p</w:t>
      </w:r>
      <w:r>
        <w:rPr>
          <w:rFonts w:eastAsia="Times New Roman"/>
          <w:color w:val="000000"/>
          <w:sz w:val="20"/>
          <w:szCs w:val="20"/>
        </w:rPr>
        <w:t>rotection laws. Our failure to comply with all regulatory requirements, and later discovery of previously unknown adverse events or other problems with our products, manufacturers, or manufacturing processes, may yield various results, including:</w:t>
      </w:r>
    </w:p>
    <w:p w14:paraId="2672EF15" w14:textId="77777777" w:rsidR="00000000" w:rsidRDefault="000C49AD">
      <w:pPr>
        <w:jc w:val="both"/>
        <w:rPr>
          <w:rFonts w:eastAsia="Times New Roman"/>
        </w:rPr>
      </w:pPr>
    </w:p>
    <w:p w14:paraId="224AD29F" w14:textId="77777777" w:rsidR="00000000" w:rsidRDefault="000C49AD">
      <w:pPr>
        <w:ind w:hanging="360"/>
        <w:jc w:val="both"/>
        <w:rPr>
          <w:rFonts w:eastAsia="Times New Roman"/>
        </w:rPr>
      </w:pPr>
      <w:r>
        <w:rPr>
          <w:rFonts w:eastAsia="Times New Roman"/>
          <w:color w:val="000000"/>
          <w:sz w:val="20"/>
          <w:szCs w:val="20"/>
        </w:rPr>
        <w:t>•litiga</w:t>
      </w:r>
      <w:r>
        <w:rPr>
          <w:rFonts w:eastAsia="Times New Roman"/>
          <w:color w:val="000000"/>
          <w:sz w:val="20"/>
          <w:szCs w:val="20"/>
        </w:rPr>
        <w:t>tion involving patients taking our products;</w:t>
      </w:r>
    </w:p>
    <w:p w14:paraId="2B7ED702" w14:textId="77777777" w:rsidR="00000000" w:rsidRDefault="000C49AD">
      <w:pPr>
        <w:ind w:hanging="360"/>
        <w:jc w:val="both"/>
        <w:rPr>
          <w:rFonts w:eastAsia="Times New Roman"/>
        </w:rPr>
      </w:pPr>
      <w:r>
        <w:rPr>
          <w:rFonts w:eastAsia="Times New Roman"/>
          <w:color w:val="000000"/>
          <w:sz w:val="20"/>
          <w:szCs w:val="20"/>
        </w:rPr>
        <w:t>•restrictions on such products, manufacturers, or manufacturing processes;</w:t>
      </w:r>
    </w:p>
    <w:p w14:paraId="3C0B38E0" w14:textId="77777777" w:rsidR="00000000" w:rsidRDefault="000C49AD">
      <w:pPr>
        <w:ind w:hanging="360"/>
        <w:jc w:val="both"/>
        <w:rPr>
          <w:rFonts w:eastAsia="Times New Roman"/>
        </w:rPr>
      </w:pPr>
      <w:r>
        <w:rPr>
          <w:rFonts w:eastAsia="Times New Roman"/>
          <w:color w:val="000000"/>
          <w:sz w:val="20"/>
          <w:szCs w:val="20"/>
        </w:rPr>
        <w:t>•restrictions on the labeling or marketing of a product;</w:t>
      </w:r>
    </w:p>
    <w:p w14:paraId="1591B85A" w14:textId="77777777" w:rsidR="00000000" w:rsidRDefault="000C49AD">
      <w:pPr>
        <w:ind w:hanging="360"/>
        <w:jc w:val="both"/>
        <w:rPr>
          <w:rFonts w:eastAsia="Times New Roman"/>
        </w:rPr>
      </w:pPr>
      <w:r>
        <w:rPr>
          <w:rFonts w:eastAsia="Times New Roman"/>
          <w:color w:val="000000"/>
          <w:sz w:val="20"/>
          <w:szCs w:val="20"/>
        </w:rPr>
        <w:t>•restrictions on product distribution or use;</w:t>
      </w:r>
    </w:p>
    <w:p w14:paraId="125A1968" w14:textId="77777777" w:rsidR="00000000" w:rsidRDefault="000C49AD">
      <w:pPr>
        <w:ind w:hanging="360"/>
        <w:jc w:val="both"/>
        <w:rPr>
          <w:rFonts w:eastAsia="Times New Roman"/>
        </w:rPr>
      </w:pPr>
      <w:r>
        <w:rPr>
          <w:rFonts w:eastAsia="Times New Roman"/>
          <w:color w:val="000000"/>
          <w:sz w:val="20"/>
          <w:szCs w:val="20"/>
        </w:rPr>
        <w:t>•requirements to conduct post-mar</w:t>
      </w:r>
      <w:r>
        <w:rPr>
          <w:rFonts w:eastAsia="Times New Roman"/>
          <w:color w:val="000000"/>
          <w:sz w:val="20"/>
          <w:szCs w:val="20"/>
        </w:rPr>
        <w:t>keting studies or clinical trials;</w:t>
      </w:r>
    </w:p>
    <w:p w14:paraId="258D73EA" w14:textId="77777777" w:rsidR="00000000" w:rsidRDefault="000C49AD">
      <w:pPr>
        <w:ind w:hanging="360"/>
        <w:jc w:val="both"/>
        <w:rPr>
          <w:rFonts w:eastAsia="Times New Roman"/>
        </w:rPr>
      </w:pPr>
      <w:r>
        <w:rPr>
          <w:rFonts w:eastAsia="Times New Roman"/>
          <w:color w:val="000000"/>
          <w:sz w:val="20"/>
          <w:szCs w:val="20"/>
        </w:rPr>
        <w:t>•warning or untitled letters;</w:t>
      </w:r>
    </w:p>
    <w:p w14:paraId="3EA49646" w14:textId="77777777" w:rsidR="00000000" w:rsidRDefault="000C49AD">
      <w:pPr>
        <w:ind w:hanging="360"/>
        <w:jc w:val="both"/>
        <w:rPr>
          <w:rFonts w:eastAsia="Times New Roman"/>
        </w:rPr>
      </w:pPr>
      <w:r>
        <w:rPr>
          <w:rFonts w:eastAsia="Times New Roman"/>
          <w:color w:val="000000"/>
          <w:sz w:val="20"/>
          <w:szCs w:val="20"/>
        </w:rPr>
        <w:t>•withdrawal of the products from the market;</w:t>
      </w:r>
    </w:p>
    <w:p w14:paraId="4B25D318"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refusal to approve pending applications or supplements to approved applications that we submit;</w:t>
      </w:r>
    </w:p>
    <w:p w14:paraId="05202D7E" w14:textId="77777777" w:rsidR="00000000" w:rsidRDefault="000C49AD">
      <w:pPr>
        <w:ind w:hanging="360"/>
        <w:jc w:val="both"/>
        <w:rPr>
          <w:rFonts w:eastAsia="Times New Roman"/>
        </w:rPr>
      </w:pPr>
      <w:r>
        <w:rPr>
          <w:rFonts w:eastAsia="Times New Roman"/>
          <w:color w:val="000000"/>
          <w:sz w:val="20"/>
          <w:szCs w:val="20"/>
        </w:rPr>
        <w:t>•voluntary recall of products;</w:t>
      </w:r>
    </w:p>
    <w:p w14:paraId="3E7DF239" w14:textId="77777777" w:rsidR="00000000" w:rsidRDefault="000C49AD">
      <w:pPr>
        <w:ind w:hanging="360"/>
        <w:jc w:val="both"/>
        <w:rPr>
          <w:rFonts w:eastAsia="Times New Roman"/>
        </w:rPr>
      </w:pPr>
      <w:r>
        <w:rPr>
          <w:rFonts w:eastAsia="Times New Roman"/>
          <w:color w:val="000000"/>
          <w:sz w:val="20"/>
          <w:szCs w:val="20"/>
        </w:rPr>
        <w:t>•fines, restitution, or disgorgement of profits or revenues;</w:t>
      </w:r>
    </w:p>
    <w:p w14:paraId="00C23812" w14:textId="77777777" w:rsidR="00000000" w:rsidRDefault="000C49AD">
      <w:pPr>
        <w:ind w:hanging="360"/>
        <w:jc w:val="both"/>
        <w:rPr>
          <w:rFonts w:eastAsia="Times New Roman"/>
        </w:rPr>
      </w:pPr>
      <w:r>
        <w:rPr>
          <w:rFonts w:eastAsia="Times New Roman"/>
          <w:color w:val="000000"/>
          <w:sz w:val="20"/>
          <w:szCs w:val="20"/>
        </w:rPr>
        <w:t>•suspension or withdrawal of marketing approvals;</w:t>
      </w:r>
    </w:p>
    <w:p w14:paraId="35EDC954" w14:textId="77777777" w:rsidR="00000000" w:rsidRDefault="000C49AD">
      <w:pPr>
        <w:ind w:hanging="360"/>
        <w:jc w:val="both"/>
        <w:rPr>
          <w:rFonts w:eastAsia="Times New Roman"/>
        </w:rPr>
      </w:pPr>
      <w:r>
        <w:rPr>
          <w:rFonts w:eastAsia="Times New Roman"/>
          <w:color w:val="000000"/>
          <w:sz w:val="20"/>
          <w:szCs w:val="20"/>
        </w:rPr>
        <w:t>•damage to relatio</w:t>
      </w:r>
      <w:r>
        <w:rPr>
          <w:rFonts w:eastAsia="Times New Roman"/>
          <w:color w:val="000000"/>
          <w:sz w:val="20"/>
          <w:szCs w:val="20"/>
        </w:rPr>
        <w:t>nships with any potential collaborators;</w:t>
      </w:r>
    </w:p>
    <w:p w14:paraId="7E517D98" w14:textId="77777777" w:rsidR="00000000" w:rsidRDefault="000C49AD">
      <w:pPr>
        <w:ind w:hanging="360"/>
        <w:jc w:val="both"/>
        <w:rPr>
          <w:rFonts w:eastAsia="Times New Roman"/>
        </w:rPr>
      </w:pPr>
      <w:r>
        <w:rPr>
          <w:rFonts w:eastAsia="Times New Roman"/>
          <w:color w:val="000000"/>
          <w:sz w:val="20"/>
          <w:szCs w:val="20"/>
        </w:rPr>
        <w:t>•unfavorable press coverage and damage to our reputation;</w:t>
      </w:r>
    </w:p>
    <w:p w14:paraId="174C32F9" w14:textId="77777777" w:rsidR="00000000" w:rsidRDefault="000C49AD">
      <w:pPr>
        <w:ind w:hanging="360"/>
        <w:jc w:val="both"/>
        <w:rPr>
          <w:rFonts w:eastAsia="Times New Roman"/>
        </w:rPr>
      </w:pPr>
      <w:r>
        <w:rPr>
          <w:rFonts w:eastAsia="Times New Roman"/>
          <w:color w:val="000000"/>
          <w:sz w:val="20"/>
          <w:szCs w:val="20"/>
        </w:rPr>
        <w:t>•refusal to permit the import or export of our products;</w:t>
      </w:r>
    </w:p>
    <w:p w14:paraId="614C2C95" w14:textId="77777777" w:rsidR="00000000" w:rsidRDefault="000C49AD">
      <w:pPr>
        <w:ind w:hanging="360"/>
        <w:jc w:val="both"/>
        <w:rPr>
          <w:rFonts w:eastAsia="Times New Roman"/>
        </w:rPr>
      </w:pPr>
      <w:r>
        <w:rPr>
          <w:rFonts w:eastAsia="Times New Roman"/>
          <w:color w:val="000000"/>
          <w:sz w:val="20"/>
          <w:szCs w:val="20"/>
        </w:rPr>
        <w:t>•product seizure; or</w:t>
      </w:r>
    </w:p>
    <w:p w14:paraId="42573DD3" w14:textId="77777777" w:rsidR="00000000" w:rsidRDefault="000C49AD">
      <w:pPr>
        <w:ind w:hanging="360"/>
        <w:jc w:val="both"/>
        <w:rPr>
          <w:rFonts w:eastAsia="Times New Roman"/>
        </w:rPr>
      </w:pPr>
      <w:r>
        <w:rPr>
          <w:rFonts w:eastAsia="Times New Roman"/>
          <w:color w:val="000000"/>
          <w:sz w:val="20"/>
          <w:szCs w:val="20"/>
        </w:rPr>
        <w:t>•</w:t>
      </w:r>
      <w:r>
        <w:rPr>
          <w:rFonts w:eastAsia="Times New Roman"/>
          <w:color w:val="000000"/>
          <w:sz w:val="20"/>
          <w:szCs w:val="20"/>
        </w:rPr>
        <w:t>injunctions or the imposition of civil or criminal penalties.</w:t>
      </w:r>
    </w:p>
    <w:p w14:paraId="27EB9E7F" w14:textId="77777777" w:rsidR="00000000" w:rsidRDefault="000C49AD">
      <w:pPr>
        <w:jc w:val="both"/>
        <w:rPr>
          <w:rFonts w:eastAsia="Times New Roman"/>
        </w:rPr>
      </w:pPr>
    </w:p>
    <w:p w14:paraId="152C359F" w14:textId="77777777" w:rsidR="00000000" w:rsidRDefault="000C49AD">
      <w:pPr>
        <w:jc w:val="both"/>
        <w:rPr>
          <w:rFonts w:eastAsia="Times New Roman"/>
        </w:rPr>
      </w:pPr>
      <w:r>
        <w:rPr>
          <w:rFonts w:eastAsia="Times New Roman"/>
          <w:color w:val="000000"/>
          <w:sz w:val="20"/>
          <w:szCs w:val="20"/>
        </w:rPr>
        <w:t>Non-compliance by us or any future collaborator with regulatory requirements, including safety monitoring or pharmacovigilance, and with requirements related to the development of products for</w:t>
      </w:r>
      <w:r>
        <w:rPr>
          <w:rFonts w:eastAsia="Times New Roman"/>
          <w:color w:val="000000"/>
          <w:sz w:val="20"/>
          <w:szCs w:val="20"/>
        </w:rPr>
        <w:t xml:space="preserve"> the pediatric population can also result in significant financial penalties. Similarly, failure to comply with applicable regulatory requirements regarding the protection of personal information can also lead to significant penalties and sanctions.</w:t>
      </w:r>
    </w:p>
    <w:p w14:paraId="5C11D32D" w14:textId="77777777" w:rsidR="00000000" w:rsidRDefault="000C49AD">
      <w:pPr>
        <w:jc w:val="both"/>
        <w:rPr>
          <w:rFonts w:eastAsia="Times New Roman"/>
        </w:rPr>
      </w:pPr>
    </w:p>
    <w:p w14:paraId="32DF4AF4" w14:textId="77777777" w:rsidR="00000000" w:rsidRDefault="000C49AD">
      <w:pPr>
        <w:jc w:val="both"/>
        <w:rPr>
          <w:rFonts w:eastAsia="Times New Roman"/>
        </w:rPr>
      </w:pPr>
      <w:r>
        <w:rPr>
          <w:rFonts w:eastAsia="Times New Roman"/>
          <w:color w:val="000000"/>
          <w:sz w:val="20"/>
          <w:szCs w:val="20"/>
        </w:rPr>
        <w:t>In a</w:t>
      </w:r>
      <w:r>
        <w:rPr>
          <w:rFonts w:eastAsia="Times New Roman"/>
          <w:color w:val="000000"/>
          <w:sz w:val="20"/>
          <w:szCs w:val="20"/>
        </w:rPr>
        <w:t>ddition, we and our CDMOs will continue to expend time, money, and effort in all areas of regulatory compliance, including manufacturing, production, product surveillance, quality control and distribution. Under the DSCSA, for certain commercial prescripti</w:t>
      </w:r>
      <w:r>
        <w:rPr>
          <w:rFonts w:eastAsia="Times New Roman"/>
          <w:color w:val="000000"/>
          <w:sz w:val="20"/>
          <w:szCs w:val="20"/>
        </w:rPr>
        <w:t>on drug products, manufacturers and other parties involved in the supply chain must also meet chain of distribution requirements and build electronic, interoperable systems for product tracking and tracing and for notifying the FDA of counterfeit, diverted</w:t>
      </w:r>
      <w:r>
        <w:rPr>
          <w:rFonts w:eastAsia="Times New Roman"/>
          <w:color w:val="000000"/>
          <w:sz w:val="20"/>
          <w:szCs w:val="20"/>
        </w:rPr>
        <w:t>, stolen, and intentionally adulterated products or other products that are otherwise unfit for distribution in the U.S. In addition, the distribution of prescription pharmaceutical products, including samples, is subject to the PDMA, which regulations the</w:t>
      </w:r>
      <w:r>
        <w:rPr>
          <w:rFonts w:eastAsia="Times New Roman"/>
          <w:color w:val="000000"/>
          <w:sz w:val="20"/>
          <w:szCs w:val="20"/>
        </w:rPr>
        <w:t xml:space="preserve"> distribution of drugs and drug samples at the federal level, and sets minimum standards for the registration and regulation of drug distributors by the states. Both the PDMA and state laws limit the distribution of prescription pharmaceutical product samp</w:t>
      </w:r>
      <w:r>
        <w:rPr>
          <w:rFonts w:eastAsia="Times New Roman"/>
          <w:color w:val="000000"/>
          <w:sz w:val="20"/>
          <w:szCs w:val="20"/>
        </w:rPr>
        <w:t>les and impose requirements to ensure accountability in distribution. Prescription drug products must also meet applicable child-resistant packaging requirements under the U.S. Poison Prevention Packaging Act. We, our CDMOs and other third parties upon who</w:t>
      </w:r>
      <w:r>
        <w:rPr>
          <w:rFonts w:eastAsia="Times New Roman"/>
          <w:color w:val="000000"/>
          <w:sz w:val="20"/>
          <w:szCs w:val="20"/>
        </w:rPr>
        <w:t>m we rely will be subject to applicable controlled substances laws, regulations and requirements. If FT218 is approved and we are not able to comply with post-approval regulatory requirements, we could have the marketing approvals for FT218 withdrawn by re</w:t>
      </w:r>
      <w:r>
        <w:rPr>
          <w:rFonts w:eastAsia="Times New Roman"/>
          <w:color w:val="000000"/>
          <w:sz w:val="20"/>
          <w:szCs w:val="20"/>
        </w:rPr>
        <w:t>gulatory authorities and our ability to market FT218 could be limited, which could adversely affect our ability to achieve or sustain profitability and we could be subject to substantial penalties. As a result, the cost of compliance with post-approval reg</w:t>
      </w:r>
      <w:r>
        <w:rPr>
          <w:rFonts w:eastAsia="Times New Roman"/>
          <w:color w:val="000000"/>
          <w:sz w:val="20"/>
          <w:szCs w:val="20"/>
        </w:rPr>
        <w:t>ulations may have a negative effect on our operating results and financial condition.</w:t>
      </w:r>
    </w:p>
    <w:p w14:paraId="3B4B31CE" w14:textId="77777777" w:rsidR="00000000" w:rsidRDefault="000C49AD">
      <w:pPr>
        <w:jc w:val="center"/>
        <w:divId w:val="228079507"/>
        <w:rPr>
          <w:rFonts w:eastAsia="Times New Roman"/>
        </w:rPr>
      </w:pPr>
      <w:r>
        <w:rPr>
          <w:rFonts w:eastAsia="Times New Roman"/>
          <w:color w:val="000000"/>
          <w:sz w:val="20"/>
          <w:szCs w:val="20"/>
        </w:rPr>
        <w:t>-47-</w:t>
      </w:r>
    </w:p>
    <w:p w14:paraId="4EC28A65" w14:textId="77777777" w:rsidR="00000000" w:rsidRDefault="000C49AD">
      <w:pPr>
        <w:rPr>
          <w:rFonts w:eastAsia="Times New Roman"/>
        </w:rPr>
      </w:pPr>
      <w:r>
        <w:rPr>
          <w:rFonts w:eastAsia="Times New Roman"/>
        </w:rPr>
        <w:pict w14:anchorId="065E0151">
          <v:rect id="_x0000_i1071" style="width:0;height:1.5pt" o:hralign="center" o:hrstd="t" o:hr="t" fillcolor="#a0a0a0" stroked="f"/>
        </w:pict>
      </w:r>
    </w:p>
    <w:p w14:paraId="18442760" w14:textId="77777777" w:rsidR="00000000" w:rsidRDefault="000C49AD">
      <w:pPr>
        <w:divId w:val="1678463570"/>
        <w:rPr>
          <w:rFonts w:eastAsia="Times New Roman"/>
        </w:rPr>
      </w:pPr>
    </w:p>
    <w:p w14:paraId="09A749D2" w14:textId="77777777" w:rsidR="00000000" w:rsidRDefault="000C49AD">
      <w:pPr>
        <w:divId w:val="1569076270"/>
        <w:rPr>
          <w:rFonts w:eastAsia="Times New Roman"/>
        </w:rPr>
      </w:pPr>
    </w:p>
    <w:p w14:paraId="71C7BCC0" w14:textId="77777777" w:rsidR="00000000" w:rsidRDefault="000C49AD">
      <w:pPr>
        <w:jc w:val="both"/>
        <w:rPr>
          <w:rFonts w:eastAsia="Times New Roman"/>
        </w:rPr>
      </w:pPr>
      <w:r>
        <w:rPr>
          <w:rFonts w:eastAsia="Times New Roman"/>
          <w:b/>
          <w:bCs/>
          <w:i/>
          <w:iCs/>
          <w:color w:val="000000"/>
          <w:sz w:val="20"/>
          <w:szCs w:val="20"/>
        </w:rPr>
        <w:t>If our competitors develop and market technologies or products that are safer or more effective than ours, or obtain regulat</w:t>
      </w:r>
      <w:r>
        <w:rPr>
          <w:rFonts w:eastAsia="Times New Roman"/>
          <w:b/>
          <w:bCs/>
          <w:i/>
          <w:iCs/>
          <w:color w:val="000000"/>
          <w:sz w:val="20"/>
          <w:szCs w:val="20"/>
        </w:rPr>
        <w:t>ory approval and market such products before we do, our commercial opportunity will be diminished or eliminated.</w:t>
      </w:r>
    </w:p>
    <w:p w14:paraId="16A10C30" w14:textId="77777777" w:rsidR="00000000" w:rsidRDefault="000C49AD">
      <w:pPr>
        <w:jc w:val="both"/>
        <w:rPr>
          <w:rFonts w:eastAsia="Times New Roman"/>
        </w:rPr>
      </w:pPr>
    </w:p>
    <w:p w14:paraId="3B5D396C" w14:textId="77777777" w:rsidR="00000000" w:rsidRDefault="000C49AD">
      <w:pPr>
        <w:jc w:val="both"/>
        <w:rPr>
          <w:rFonts w:eastAsia="Times New Roman"/>
        </w:rPr>
      </w:pPr>
      <w:r>
        <w:rPr>
          <w:rFonts w:eastAsia="Times New Roman"/>
          <w:color w:val="000000"/>
          <w:sz w:val="20"/>
          <w:szCs w:val="20"/>
        </w:rPr>
        <w:t>Competition in the pharmaceutical and biotechnology industry is intense and is expected to increase. We compete with academic laboratories, r</w:t>
      </w:r>
      <w:r>
        <w:rPr>
          <w:rFonts w:eastAsia="Times New Roman"/>
          <w:color w:val="000000"/>
          <w:sz w:val="20"/>
          <w:szCs w:val="20"/>
        </w:rPr>
        <w:t>esearch institutions, universities, joint ventures and other pharmaceutical and biotechnology companies, including companies developing drug delivery technologies or niche brand or generic specialty pharmaceutical products. Some of these competitors may al</w:t>
      </w:r>
      <w:r>
        <w:rPr>
          <w:rFonts w:eastAsia="Times New Roman"/>
          <w:color w:val="000000"/>
          <w:sz w:val="20"/>
          <w:szCs w:val="20"/>
        </w:rPr>
        <w:t>so be our business partners.</w:t>
      </w:r>
    </w:p>
    <w:p w14:paraId="0270AF9E" w14:textId="77777777" w:rsidR="00000000" w:rsidRDefault="000C49AD">
      <w:pPr>
        <w:jc w:val="both"/>
        <w:rPr>
          <w:rFonts w:eastAsia="Times New Roman"/>
        </w:rPr>
      </w:pPr>
    </w:p>
    <w:p w14:paraId="380DE989" w14:textId="77777777" w:rsidR="00000000" w:rsidRDefault="000C49AD">
      <w:pPr>
        <w:jc w:val="both"/>
        <w:rPr>
          <w:rFonts w:eastAsia="Times New Roman"/>
        </w:rPr>
      </w:pPr>
      <w:r>
        <w:rPr>
          <w:rFonts w:eastAsia="Times New Roman"/>
          <w:color w:val="000000"/>
          <w:sz w:val="20"/>
          <w:szCs w:val="20"/>
        </w:rPr>
        <w:t>If the FDA approves a competitor’s application for a product candidate before our application for a similar product candidate, and grants such competitor a period of exclusivity, the FDA may take the position that it cannot a</w:t>
      </w:r>
      <w:r>
        <w:rPr>
          <w:rFonts w:eastAsia="Times New Roman"/>
          <w:color w:val="000000"/>
          <w:sz w:val="20"/>
          <w:szCs w:val="20"/>
        </w:rPr>
        <w:t>pprove our 505(b)(2) application for a similar product candidate until the exclusivity period expires. Additionally, even if our 505(b)(2) application for a product candidate is approved first, and we receive a period of statutory marketing exclusivity, we</w:t>
      </w:r>
      <w:r>
        <w:rPr>
          <w:rFonts w:eastAsia="Times New Roman"/>
          <w:color w:val="000000"/>
          <w:sz w:val="20"/>
          <w:szCs w:val="20"/>
        </w:rPr>
        <w:t xml:space="preserve"> may still be subject to competition from other companies with approved products or approved 505(b)(2) NDAs for different conditions of use that would not be restricted by a grant of exclusivity to us.</w:t>
      </w:r>
    </w:p>
    <w:p w14:paraId="08C4FBE6" w14:textId="77777777" w:rsidR="00000000" w:rsidRDefault="000C49AD">
      <w:pPr>
        <w:jc w:val="both"/>
        <w:rPr>
          <w:rFonts w:eastAsia="Times New Roman"/>
        </w:rPr>
      </w:pPr>
    </w:p>
    <w:p w14:paraId="080069D8" w14:textId="77777777" w:rsidR="00000000" w:rsidRDefault="000C49AD">
      <w:pPr>
        <w:jc w:val="both"/>
        <w:rPr>
          <w:rFonts w:eastAsia="Times New Roman"/>
        </w:rPr>
      </w:pPr>
      <w:r>
        <w:rPr>
          <w:rFonts w:eastAsia="Times New Roman"/>
          <w:color w:val="000000"/>
          <w:sz w:val="20"/>
          <w:szCs w:val="20"/>
        </w:rPr>
        <w:t>Many of our competitors have substantially greater f</w:t>
      </w:r>
      <w:r>
        <w:rPr>
          <w:rFonts w:eastAsia="Times New Roman"/>
          <w:color w:val="000000"/>
          <w:sz w:val="20"/>
          <w:szCs w:val="20"/>
        </w:rPr>
        <w:t>inancial, technological, manufacturing, marketing, managerial and research and development resources and experience than we do. Furthermore, acquisitions of competing companies by large pharmaceutical companies could enhance our competitors’ resources. Acc</w:t>
      </w:r>
      <w:r>
        <w:rPr>
          <w:rFonts w:eastAsia="Times New Roman"/>
          <w:color w:val="000000"/>
          <w:sz w:val="20"/>
          <w:szCs w:val="20"/>
        </w:rPr>
        <w:t>ordingly, our competitors may be able to develop, obtain regulatory approval and gain market share for their products more rapidly than us.</w:t>
      </w:r>
    </w:p>
    <w:p w14:paraId="12E93B4B" w14:textId="77777777" w:rsidR="00000000" w:rsidRDefault="000C49AD">
      <w:pPr>
        <w:divId w:val="1636719279"/>
        <w:rPr>
          <w:rFonts w:eastAsia="Times New Roman"/>
        </w:rPr>
      </w:pPr>
    </w:p>
    <w:p w14:paraId="18946C16" w14:textId="77777777" w:rsidR="00000000" w:rsidRDefault="000C49AD">
      <w:pPr>
        <w:jc w:val="both"/>
        <w:rPr>
          <w:rFonts w:eastAsia="Times New Roman"/>
        </w:rPr>
      </w:pPr>
      <w:r>
        <w:rPr>
          <w:rFonts w:eastAsia="Times New Roman"/>
          <w:b/>
          <w:bCs/>
          <w:i/>
          <w:iCs/>
          <w:color w:val="000000"/>
          <w:sz w:val="20"/>
          <w:szCs w:val="20"/>
        </w:rPr>
        <w:t>If the FDA or other applicable regulatory authorities approve generic products that compete with any of our produc</w:t>
      </w:r>
      <w:r>
        <w:rPr>
          <w:rFonts w:eastAsia="Times New Roman"/>
          <w:b/>
          <w:bCs/>
          <w:i/>
          <w:iCs/>
          <w:color w:val="000000"/>
          <w:sz w:val="20"/>
          <w:szCs w:val="20"/>
        </w:rPr>
        <w:t>t candidates, the sales of our product candidates, if approved, could be adversely affected.</w:t>
      </w:r>
    </w:p>
    <w:p w14:paraId="1103588B" w14:textId="77777777" w:rsidR="00000000" w:rsidRDefault="000C49AD">
      <w:pPr>
        <w:jc w:val="both"/>
        <w:rPr>
          <w:rFonts w:eastAsia="Times New Roman"/>
        </w:rPr>
      </w:pPr>
    </w:p>
    <w:p w14:paraId="48688A16" w14:textId="77777777" w:rsidR="00000000" w:rsidRDefault="000C49AD">
      <w:pPr>
        <w:jc w:val="both"/>
        <w:rPr>
          <w:rFonts w:eastAsia="Times New Roman"/>
        </w:rPr>
      </w:pPr>
      <w:r>
        <w:rPr>
          <w:rFonts w:eastAsia="Times New Roman"/>
          <w:color w:val="000000"/>
          <w:sz w:val="20"/>
          <w:szCs w:val="20"/>
        </w:rPr>
        <w:t>Once an NDA, including a 505(b)(2) NDA, is approved, the product covered becomes a “listed drug” which can be cited by potential competitors in support of approval of an ANDA or subsequent 505(b)(2) application. FDA regulations and other applicable regulat</w:t>
      </w:r>
      <w:r>
        <w:rPr>
          <w:rFonts w:eastAsia="Times New Roman"/>
          <w:color w:val="000000"/>
          <w:sz w:val="20"/>
          <w:szCs w:val="20"/>
        </w:rPr>
        <w:t>ions and policies provide incentives to manufacturers to create modified versions of a drug to facilitate the approval of an ANDA or other application for similar substitutes. If these manufacturers demonstrate that their product has the same active ingred</w:t>
      </w:r>
      <w:r>
        <w:rPr>
          <w:rFonts w:eastAsia="Times New Roman"/>
          <w:color w:val="000000"/>
          <w:sz w:val="20"/>
          <w:szCs w:val="20"/>
        </w:rPr>
        <w:t xml:space="preserve">ient(s), dosage form, strength, route of administration, and conditions of use, or labeling, as our products or product candidates, they might only be required to conduct a relatively inexpensive study to show that their generic product is absorbed in the </w:t>
      </w:r>
      <w:r>
        <w:rPr>
          <w:rFonts w:eastAsia="Times New Roman"/>
          <w:color w:val="000000"/>
          <w:sz w:val="20"/>
          <w:szCs w:val="20"/>
        </w:rPr>
        <w:t>body at the same rate and to the same extent as, or is bioequivalent to, our products or product candidates. In some cases, even this limited bioequivalence testing can be waived by the FDA. Laws have also been enacted to facilitate the development of gene</w:t>
      </w:r>
      <w:r>
        <w:rPr>
          <w:rFonts w:eastAsia="Times New Roman"/>
          <w:color w:val="000000"/>
          <w:sz w:val="20"/>
          <w:szCs w:val="20"/>
        </w:rPr>
        <w:t>ric drugs based off recently approved NDAs. The Creating and Restoring Equal Access to Equivalent Samples Act (“CREATES Act”) was enacted in 2019 requiring sponsors of approved NDAs to provide sufficient quantities of product samples on commercially reason</w:t>
      </w:r>
      <w:r>
        <w:rPr>
          <w:rFonts w:eastAsia="Times New Roman"/>
          <w:color w:val="000000"/>
          <w:sz w:val="20"/>
          <w:szCs w:val="20"/>
        </w:rPr>
        <w:t>able, market-based terms to entities developing generic drugs. The law establishes a private right of action allowing developers to sue listed drug holders that refuse to sell them product samples needed to support their applications. If we are required to</w:t>
      </w:r>
      <w:r>
        <w:rPr>
          <w:rFonts w:eastAsia="Times New Roman"/>
          <w:color w:val="000000"/>
          <w:sz w:val="20"/>
          <w:szCs w:val="20"/>
        </w:rPr>
        <w:t xml:space="preserve"> provide product samples or allocate additional resources to responding to such requests or any legal challenges under this law, our business could be adversely impacted. Competition from generic equivalents to our products or product candidates could subs</w:t>
      </w:r>
      <w:r>
        <w:rPr>
          <w:rFonts w:eastAsia="Times New Roman"/>
          <w:color w:val="000000"/>
          <w:sz w:val="20"/>
          <w:szCs w:val="20"/>
        </w:rPr>
        <w:t>tantially limit our ability to generate revenues and therefore to obtain a return on the investments we have made in our products or product candidates.</w:t>
      </w:r>
    </w:p>
    <w:p w14:paraId="6D8653AB" w14:textId="77777777" w:rsidR="00000000" w:rsidRDefault="000C49AD">
      <w:pPr>
        <w:jc w:val="both"/>
        <w:rPr>
          <w:rFonts w:eastAsia="Times New Roman"/>
        </w:rPr>
      </w:pPr>
    </w:p>
    <w:p w14:paraId="5544B39E" w14:textId="77777777" w:rsidR="00000000" w:rsidRDefault="000C49AD">
      <w:pPr>
        <w:jc w:val="both"/>
        <w:rPr>
          <w:rFonts w:eastAsia="Times New Roman"/>
        </w:rPr>
      </w:pPr>
      <w:r>
        <w:rPr>
          <w:rFonts w:eastAsia="Times New Roman"/>
          <w:b/>
          <w:bCs/>
          <w:i/>
          <w:iCs/>
          <w:color w:val="000000"/>
          <w:sz w:val="20"/>
          <w:szCs w:val="20"/>
        </w:rPr>
        <w:t>If we cannot keep pace with the rapid technological change in our industry, we may lose business, and</w:t>
      </w:r>
      <w:r>
        <w:rPr>
          <w:rFonts w:eastAsia="Times New Roman"/>
          <w:b/>
          <w:bCs/>
          <w:i/>
          <w:iCs/>
          <w:color w:val="000000"/>
          <w:sz w:val="20"/>
          <w:szCs w:val="20"/>
        </w:rPr>
        <w:t xml:space="preserve"> our product candidates, if approved, and technologies could become obsolete or noncompetitive.</w:t>
      </w:r>
    </w:p>
    <w:p w14:paraId="47AB8ED6" w14:textId="77777777" w:rsidR="00000000" w:rsidRDefault="000C49AD">
      <w:pPr>
        <w:jc w:val="both"/>
        <w:rPr>
          <w:rFonts w:eastAsia="Times New Roman"/>
        </w:rPr>
      </w:pPr>
    </w:p>
    <w:p w14:paraId="1B938ACD" w14:textId="77777777" w:rsidR="00000000" w:rsidRDefault="000C49AD">
      <w:pPr>
        <w:jc w:val="both"/>
        <w:rPr>
          <w:rFonts w:eastAsia="Times New Roman"/>
        </w:rPr>
      </w:pPr>
      <w:r>
        <w:rPr>
          <w:rFonts w:eastAsia="Times New Roman"/>
          <w:color w:val="000000"/>
          <w:sz w:val="20"/>
          <w:szCs w:val="20"/>
        </w:rPr>
        <w:t>Our success also depends, in part, on maintaining a competitive position in the development of products and technologies in a rapidly evolving field. Major te</w:t>
      </w:r>
      <w:r>
        <w:rPr>
          <w:rFonts w:eastAsia="Times New Roman"/>
          <w:color w:val="000000"/>
          <w:sz w:val="20"/>
          <w:szCs w:val="20"/>
        </w:rPr>
        <w:t>chnological changes can happen quickly in the biotechnology and pharmaceutical industries. If we cannot maintain competitive products and technologies, our competitors may succeed in developing competing technologies or obtaining regulatory approval for pr</w:t>
      </w:r>
      <w:r>
        <w:rPr>
          <w:rFonts w:eastAsia="Times New Roman"/>
          <w:color w:val="000000"/>
          <w:sz w:val="20"/>
          <w:szCs w:val="20"/>
        </w:rPr>
        <w:t>oducts before us, and the products of our competitors may gain market acceptance more rapidly than our product candidate and future product candidates. Such rapid technological change, or the development by our competitors of technologically improved or di</w:t>
      </w:r>
      <w:r>
        <w:rPr>
          <w:rFonts w:eastAsia="Times New Roman"/>
          <w:color w:val="000000"/>
          <w:sz w:val="20"/>
          <w:szCs w:val="20"/>
        </w:rPr>
        <w:t>fferent products, could render our product candidate and future product candidates or technologies obsolete or noncompetitive.</w:t>
      </w:r>
    </w:p>
    <w:p w14:paraId="064092E6" w14:textId="77777777" w:rsidR="00000000" w:rsidRDefault="000C49AD">
      <w:pPr>
        <w:jc w:val="both"/>
        <w:rPr>
          <w:rFonts w:eastAsia="Times New Roman"/>
        </w:rPr>
      </w:pPr>
    </w:p>
    <w:p w14:paraId="76502C69" w14:textId="77777777" w:rsidR="00000000" w:rsidRDefault="000C49AD">
      <w:pPr>
        <w:jc w:val="both"/>
        <w:rPr>
          <w:rFonts w:eastAsia="Times New Roman"/>
        </w:rPr>
      </w:pPr>
      <w:r>
        <w:rPr>
          <w:rFonts w:eastAsia="Times New Roman"/>
          <w:b/>
          <w:bCs/>
          <w:color w:val="000000"/>
          <w:sz w:val="20"/>
          <w:szCs w:val="20"/>
        </w:rPr>
        <w:t>Risks Related to Our Business and Industry</w:t>
      </w:r>
    </w:p>
    <w:p w14:paraId="7CC4B472" w14:textId="77777777" w:rsidR="00000000" w:rsidRDefault="000C49AD">
      <w:pPr>
        <w:jc w:val="both"/>
        <w:rPr>
          <w:rFonts w:eastAsia="Times New Roman"/>
        </w:rPr>
      </w:pPr>
    </w:p>
    <w:p w14:paraId="214B86CE" w14:textId="77777777" w:rsidR="00000000" w:rsidRDefault="000C49AD">
      <w:pPr>
        <w:jc w:val="both"/>
        <w:rPr>
          <w:rFonts w:eastAsia="Times New Roman"/>
        </w:rPr>
      </w:pPr>
      <w:r>
        <w:rPr>
          <w:rFonts w:eastAsia="Times New Roman"/>
          <w:b/>
          <w:bCs/>
          <w:i/>
          <w:iCs/>
          <w:color w:val="000000"/>
          <w:sz w:val="20"/>
          <w:szCs w:val="20"/>
        </w:rPr>
        <w:t>COVID-19 may materially and adversely affect our business and our financial result</w:t>
      </w:r>
      <w:r>
        <w:rPr>
          <w:rFonts w:eastAsia="Times New Roman"/>
          <w:b/>
          <w:bCs/>
          <w:i/>
          <w:iCs/>
          <w:color w:val="000000"/>
          <w:sz w:val="20"/>
          <w:szCs w:val="20"/>
        </w:rPr>
        <w:t>s.</w:t>
      </w:r>
    </w:p>
    <w:p w14:paraId="697F5D62" w14:textId="77777777" w:rsidR="00000000" w:rsidRDefault="000C49AD">
      <w:pPr>
        <w:jc w:val="both"/>
        <w:rPr>
          <w:rFonts w:eastAsia="Times New Roman"/>
        </w:rPr>
      </w:pPr>
    </w:p>
    <w:p w14:paraId="562E5C8E" w14:textId="77777777" w:rsidR="00000000" w:rsidRDefault="000C49AD">
      <w:pPr>
        <w:jc w:val="both"/>
        <w:rPr>
          <w:rFonts w:eastAsia="Times New Roman"/>
        </w:rPr>
      </w:pPr>
      <w:r>
        <w:rPr>
          <w:rFonts w:eastAsia="Times New Roman"/>
          <w:color w:val="000000"/>
          <w:sz w:val="20"/>
          <w:szCs w:val="20"/>
        </w:rPr>
        <w:t xml:space="preserve">The COVID-19 pandemic has spread globally. The continued spread of COVID-19 could adversely impact our operations, including our ability to fully enroll and complete RESTORE, our OLE/switch study of FT218, initiate and complete any future </w:t>
      </w:r>
    </w:p>
    <w:p w14:paraId="4BA19943" w14:textId="77777777" w:rsidR="00000000" w:rsidRDefault="000C49AD">
      <w:pPr>
        <w:jc w:val="center"/>
        <w:divId w:val="444890663"/>
        <w:rPr>
          <w:rFonts w:eastAsia="Times New Roman"/>
        </w:rPr>
      </w:pPr>
      <w:r>
        <w:rPr>
          <w:rFonts w:eastAsia="Times New Roman"/>
          <w:color w:val="000000"/>
          <w:sz w:val="20"/>
          <w:szCs w:val="20"/>
        </w:rPr>
        <w:t>-48-</w:t>
      </w:r>
    </w:p>
    <w:p w14:paraId="11818BD7" w14:textId="77777777" w:rsidR="00000000" w:rsidRDefault="000C49AD">
      <w:pPr>
        <w:rPr>
          <w:rFonts w:eastAsia="Times New Roman"/>
        </w:rPr>
      </w:pPr>
      <w:r>
        <w:rPr>
          <w:rFonts w:eastAsia="Times New Roman"/>
        </w:rPr>
        <w:pict w14:anchorId="5F653A6B">
          <v:rect id="_x0000_i1072" style="width:0;height:1.5pt" o:hralign="center" o:hrstd="t" o:hr="t" fillcolor="#a0a0a0" stroked="f"/>
        </w:pict>
      </w:r>
    </w:p>
    <w:p w14:paraId="31DE6B2F" w14:textId="77777777" w:rsidR="00000000" w:rsidRDefault="000C49AD">
      <w:pPr>
        <w:divId w:val="1732463410"/>
        <w:rPr>
          <w:rFonts w:eastAsia="Times New Roman"/>
        </w:rPr>
      </w:pPr>
    </w:p>
    <w:p w14:paraId="3CC2A6C4" w14:textId="77777777" w:rsidR="00000000" w:rsidRDefault="000C49AD">
      <w:pPr>
        <w:jc w:val="both"/>
        <w:rPr>
          <w:rFonts w:eastAsia="Times New Roman"/>
        </w:rPr>
      </w:pPr>
      <w:r>
        <w:rPr>
          <w:rFonts w:eastAsia="Times New Roman"/>
          <w:color w:val="000000"/>
          <w:sz w:val="20"/>
          <w:szCs w:val="20"/>
        </w:rPr>
        <w:t xml:space="preserve">clinical trials, manufacture sufficient supply of our FT218 at sufficient scale for commercialization, if approved. We submitted our 505(b)(2) NDA for FT218 in December 2020. </w:t>
      </w:r>
    </w:p>
    <w:p w14:paraId="12848BFE" w14:textId="77777777" w:rsidR="00000000" w:rsidRDefault="000C49AD">
      <w:pPr>
        <w:jc w:val="both"/>
        <w:rPr>
          <w:rFonts w:eastAsia="Times New Roman"/>
        </w:rPr>
      </w:pPr>
    </w:p>
    <w:p w14:paraId="01FB3A23" w14:textId="77777777" w:rsidR="00000000" w:rsidRDefault="000C49AD">
      <w:pPr>
        <w:jc w:val="both"/>
        <w:rPr>
          <w:rFonts w:eastAsia="Times New Roman"/>
        </w:rPr>
      </w:pPr>
      <w:r>
        <w:rPr>
          <w:rFonts w:eastAsia="Times New Roman"/>
          <w:color w:val="000000"/>
          <w:sz w:val="20"/>
          <w:szCs w:val="20"/>
        </w:rPr>
        <w:t>In addition, COVID-19 has resulted in signific</w:t>
      </w:r>
      <w:r>
        <w:rPr>
          <w:rFonts w:eastAsia="Times New Roman"/>
          <w:color w:val="000000"/>
          <w:sz w:val="20"/>
          <w:szCs w:val="20"/>
        </w:rPr>
        <w:t>ant governmental measures being implemented to control the spread of the virus, including quarantines, travel restrictions, social distancing and business shutdowns. We have taken temporary precautionary measures intended to help minimize the risk of the v</w:t>
      </w:r>
      <w:r>
        <w:rPr>
          <w:rFonts w:eastAsia="Times New Roman"/>
          <w:color w:val="000000"/>
          <w:sz w:val="20"/>
          <w:szCs w:val="20"/>
        </w:rPr>
        <w:t>irus to our employees, including temporarily allowing employees to work remotely. We have suspended non-essential travel worldwide for our employees and are discouraging employee attendance at large gatherings. These measures could negatively affect our bu</w:t>
      </w:r>
      <w:r>
        <w:rPr>
          <w:rFonts w:eastAsia="Times New Roman"/>
          <w:color w:val="000000"/>
          <w:sz w:val="20"/>
          <w:szCs w:val="20"/>
        </w:rPr>
        <w:t>siness. For instance, temporarily allowing employees to work remotely may induce absenteeism, disrupt our operations or increase the risk of a cybersecurity incident. COVID-19 has also caused volatility in the global financial markets and threatened a slow</w:t>
      </w:r>
      <w:r>
        <w:rPr>
          <w:rFonts w:eastAsia="Times New Roman"/>
          <w:color w:val="000000"/>
          <w:sz w:val="20"/>
          <w:szCs w:val="20"/>
        </w:rPr>
        <w:t>down in the global economy, which may negatively affect our ability to raise additional capital on attractive terms or at all.</w:t>
      </w:r>
    </w:p>
    <w:p w14:paraId="1DF2004C" w14:textId="77777777" w:rsidR="00000000" w:rsidRDefault="000C49AD">
      <w:pPr>
        <w:jc w:val="both"/>
        <w:rPr>
          <w:rFonts w:eastAsia="Times New Roman"/>
        </w:rPr>
      </w:pPr>
    </w:p>
    <w:p w14:paraId="68022433" w14:textId="77777777" w:rsidR="00000000" w:rsidRDefault="000C49AD">
      <w:pPr>
        <w:jc w:val="both"/>
        <w:rPr>
          <w:rFonts w:eastAsia="Times New Roman"/>
        </w:rPr>
      </w:pPr>
      <w:r>
        <w:rPr>
          <w:rFonts w:eastAsia="Times New Roman"/>
          <w:color w:val="000000"/>
          <w:sz w:val="20"/>
          <w:szCs w:val="20"/>
        </w:rPr>
        <w:t xml:space="preserve">Since the beginning of the COVID-19 pandemic, three vaccines for COVID-19 have received Emergency Use Authorization by the FDA </w:t>
      </w:r>
      <w:r>
        <w:rPr>
          <w:rFonts w:eastAsia="Times New Roman"/>
          <w:color w:val="000000"/>
          <w:sz w:val="20"/>
          <w:szCs w:val="20"/>
        </w:rPr>
        <w:t>and two of those later received marketing approval. Additional vaccines may be authorized in the future. The resultant demand for vaccines and potential for manufacturing facilities and materials to be commandeered under the Defense Production Act of 1950,</w:t>
      </w:r>
      <w:r>
        <w:rPr>
          <w:rFonts w:eastAsia="Times New Roman"/>
          <w:color w:val="000000"/>
          <w:sz w:val="20"/>
          <w:szCs w:val="20"/>
        </w:rPr>
        <w:t xml:space="preserve"> or equivalent foreign legislation, may make it more difficult to obtain materials or manufacturing slots for the products needed for our OLE/switch clinical trial and future commercialization of FT218, if approved, which could lead to delays in these acti</w:t>
      </w:r>
      <w:r>
        <w:rPr>
          <w:rFonts w:eastAsia="Times New Roman"/>
          <w:color w:val="000000"/>
          <w:sz w:val="20"/>
          <w:szCs w:val="20"/>
        </w:rPr>
        <w:t>vities.</w:t>
      </w:r>
    </w:p>
    <w:p w14:paraId="35339909" w14:textId="77777777" w:rsidR="00000000" w:rsidRDefault="000C49AD">
      <w:pPr>
        <w:jc w:val="both"/>
        <w:rPr>
          <w:rFonts w:eastAsia="Times New Roman"/>
        </w:rPr>
      </w:pPr>
    </w:p>
    <w:p w14:paraId="1782C650" w14:textId="77777777" w:rsidR="00000000" w:rsidRDefault="000C49AD">
      <w:pPr>
        <w:jc w:val="both"/>
        <w:rPr>
          <w:rFonts w:eastAsia="Times New Roman"/>
        </w:rPr>
      </w:pPr>
      <w:r>
        <w:rPr>
          <w:rFonts w:eastAsia="Times New Roman"/>
          <w:color w:val="000000"/>
          <w:sz w:val="20"/>
          <w:szCs w:val="20"/>
        </w:rPr>
        <w:t>The extent to which COVID-19 may impact our business will depend on future developments, which are highly uncertain and cannot be predicted with confidence, such as the duration of the pandemic, the severity of COVID-19, the identification of new</w:t>
      </w:r>
      <w:r>
        <w:rPr>
          <w:rFonts w:eastAsia="Times New Roman"/>
          <w:color w:val="000000"/>
          <w:sz w:val="20"/>
          <w:szCs w:val="20"/>
        </w:rPr>
        <w:t xml:space="preserve"> variations of the virus or the effectiveness of actions to contain and treat COVID-19, particularly in the geographies where we or our third party suppliers and CDMOs, or CROs operate. We cannot presently predict the scope and severity of any potential bu</w:t>
      </w:r>
      <w:r>
        <w:rPr>
          <w:rFonts w:eastAsia="Times New Roman"/>
          <w:color w:val="000000"/>
          <w:sz w:val="20"/>
          <w:szCs w:val="20"/>
        </w:rPr>
        <w:t>siness shutdowns or disruptions. If we or any of the third parties with whom we engage, however, were to experience shutdowns or other business disruptions, our ability to conduct our business in the manner and on the timelines presently planned could be m</w:t>
      </w:r>
      <w:r>
        <w:rPr>
          <w:rFonts w:eastAsia="Times New Roman"/>
          <w:color w:val="000000"/>
          <w:sz w:val="20"/>
          <w:szCs w:val="20"/>
        </w:rPr>
        <w:t>aterially and negatively affected, which could have a material adverse impact on our business and our results of operations and financial condition.</w:t>
      </w:r>
    </w:p>
    <w:p w14:paraId="0EFEAEF3" w14:textId="77777777" w:rsidR="00000000" w:rsidRDefault="000C49AD">
      <w:pPr>
        <w:jc w:val="both"/>
        <w:rPr>
          <w:rFonts w:eastAsia="Times New Roman"/>
        </w:rPr>
      </w:pPr>
    </w:p>
    <w:p w14:paraId="5B8A697B" w14:textId="77777777" w:rsidR="00000000" w:rsidRDefault="000C49AD">
      <w:pPr>
        <w:jc w:val="both"/>
        <w:rPr>
          <w:rFonts w:eastAsia="Times New Roman"/>
        </w:rPr>
      </w:pPr>
      <w:r>
        <w:rPr>
          <w:rFonts w:eastAsia="Times New Roman"/>
          <w:b/>
          <w:bCs/>
          <w:i/>
          <w:iCs/>
          <w:color w:val="000000"/>
          <w:sz w:val="20"/>
          <w:szCs w:val="20"/>
        </w:rPr>
        <w:t>If we need to take further restructuring actions, necessary third-party consents may not be granted.</w:t>
      </w:r>
    </w:p>
    <w:p w14:paraId="67FD7F47" w14:textId="77777777" w:rsidR="00000000" w:rsidRDefault="000C49AD">
      <w:pPr>
        <w:jc w:val="both"/>
        <w:rPr>
          <w:rFonts w:eastAsia="Times New Roman"/>
        </w:rPr>
      </w:pPr>
    </w:p>
    <w:p w14:paraId="0308C0B5" w14:textId="77777777" w:rsidR="00000000" w:rsidRDefault="000C49AD">
      <w:pPr>
        <w:jc w:val="both"/>
        <w:rPr>
          <w:rFonts w:eastAsia="Times New Roman"/>
        </w:rPr>
      </w:pPr>
      <w:r>
        <w:rPr>
          <w:rFonts w:eastAsia="Times New Roman"/>
          <w:color w:val="000000"/>
          <w:sz w:val="20"/>
          <w:szCs w:val="20"/>
        </w:rPr>
        <w:t>In</w:t>
      </w:r>
      <w:r>
        <w:rPr>
          <w:rFonts w:eastAsia="Times New Roman"/>
          <w:color w:val="000000"/>
          <w:sz w:val="20"/>
          <w:szCs w:val="20"/>
        </w:rPr>
        <w:t xml:space="preserve"> February 2019, we announced a restructuring plan intended to achieve future cost savings through, among other actions, a reduction of our overall workforce by approximately 50 percent. Our management may determine we need to take further restructuring act</w:t>
      </w:r>
      <w:r>
        <w:rPr>
          <w:rFonts w:eastAsia="Times New Roman"/>
          <w:color w:val="000000"/>
          <w:sz w:val="20"/>
          <w:szCs w:val="20"/>
        </w:rPr>
        <w:t xml:space="preserve">ions to achieve additional cost savings, to generate additional capital needed for our business strategy, or for other purposes. Certain restructuring scenarios that management consider could require obtaining the consent of third parties, such as holders </w:t>
      </w:r>
      <w:r>
        <w:rPr>
          <w:rFonts w:eastAsia="Times New Roman"/>
          <w:color w:val="000000"/>
          <w:sz w:val="20"/>
          <w:szCs w:val="20"/>
        </w:rPr>
        <w:t>of our Exchangeable Senior Notes due February 2023 (the “February 2023 Notes”). For example, the voluntary bankruptcy filing by Avadel Specialty Pharmaceuticals LLC (“Specialty Pharma”) required the consent of holders of a majority in principal amount of o</w:t>
      </w:r>
      <w:r>
        <w:rPr>
          <w:rFonts w:eastAsia="Times New Roman"/>
          <w:color w:val="000000"/>
          <w:sz w:val="20"/>
          <w:szCs w:val="20"/>
        </w:rPr>
        <w:t>ur February 2023 Notes in order to avoid a default under the Indenture governing such February 2023 Notes. While we were successful in obtaining that consent, there can be no assurance we will be successful in obtaining additional consents in the future fr</w:t>
      </w:r>
      <w:r>
        <w:rPr>
          <w:rFonts w:eastAsia="Times New Roman"/>
          <w:color w:val="000000"/>
          <w:sz w:val="20"/>
          <w:szCs w:val="20"/>
        </w:rPr>
        <w:t>om such holders or from other third parties whose consents may be required. Failure to obtain these third-party consents would prevent us from taking additional restructuring actions, which could have a material adverse effect on our cash flow, financial r</w:t>
      </w:r>
      <w:r>
        <w:rPr>
          <w:rFonts w:eastAsia="Times New Roman"/>
          <w:color w:val="000000"/>
          <w:sz w:val="20"/>
          <w:szCs w:val="20"/>
        </w:rPr>
        <w:t>esources and ability to successfully pursue our business strategy.</w:t>
      </w:r>
    </w:p>
    <w:p w14:paraId="01D5812D" w14:textId="77777777" w:rsidR="00000000" w:rsidRDefault="000C49AD">
      <w:pPr>
        <w:jc w:val="both"/>
        <w:divId w:val="1713338825"/>
        <w:rPr>
          <w:rFonts w:eastAsia="Times New Roman"/>
        </w:rPr>
      </w:pPr>
      <w:r>
        <w:rPr>
          <w:rFonts w:eastAsia="Times New Roman"/>
          <w:b/>
          <w:bCs/>
          <w:color w:val="000000"/>
          <w:sz w:val="20"/>
          <w:szCs w:val="20"/>
        </w:rPr>
        <w:t>Risks Related to Litigation and Legal Matters</w:t>
      </w:r>
    </w:p>
    <w:p w14:paraId="76C94F46" w14:textId="77777777" w:rsidR="00000000" w:rsidRDefault="000C49AD">
      <w:pPr>
        <w:jc w:val="both"/>
        <w:divId w:val="1166672012"/>
        <w:rPr>
          <w:rFonts w:eastAsia="Times New Roman"/>
        </w:rPr>
      </w:pPr>
      <w:r>
        <w:rPr>
          <w:rFonts w:eastAsia="Times New Roman"/>
          <w:b/>
          <w:bCs/>
          <w:i/>
          <w:iCs/>
          <w:color w:val="000000"/>
          <w:sz w:val="20"/>
          <w:szCs w:val="20"/>
        </w:rPr>
        <w:t>We may become involved in lawsuits to protect or enforce our patents or other intellectual property, which could be expensive, time consuming a</w:t>
      </w:r>
      <w:r>
        <w:rPr>
          <w:rFonts w:eastAsia="Times New Roman"/>
          <w:b/>
          <w:bCs/>
          <w:i/>
          <w:iCs/>
          <w:color w:val="000000"/>
          <w:sz w:val="20"/>
          <w:szCs w:val="20"/>
        </w:rPr>
        <w:t>nd unsuccessful.</w:t>
      </w:r>
    </w:p>
    <w:p w14:paraId="23F31C8C" w14:textId="77777777" w:rsidR="00000000" w:rsidRDefault="000C49AD">
      <w:pPr>
        <w:jc w:val="both"/>
        <w:divId w:val="102043219"/>
        <w:rPr>
          <w:rFonts w:eastAsia="Times New Roman"/>
        </w:rPr>
      </w:pPr>
      <w:r>
        <w:rPr>
          <w:rFonts w:eastAsia="Times New Roman"/>
          <w:color w:val="000000"/>
          <w:sz w:val="20"/>
          <w:szCs w:val="20"/>
        </w:rPr>
        <w:t>Competitors may infringe our patents or other intellectual property. If we were to initiate legal proceedings against a third party to enforce a patent covering our product candidate or future product candidates, the defendant could counterclaim that the p</w:t>
      </w:r>
      <w:r>
        <w:rPr>
          <w:rFonts w:eastAsia="Times New Roman"/>
          <w:color w:val="000000"/>
          <w:sz w:val="20"/>
          <w:szCs w:val="20"/>
        </w:rPr>
        <w:t>atent is invalid and/or unenforceable. In patent litigation in the U.S., defendant counterclaims alleging invalidity and/or unenforceability are commonplace. Grounds for a validity challenge could be an alleged failure to meet any of several statutory requ</w:t>
      </w:r>
      <w:r>
        <w:rPr>
          <w:rFonts w:eastAsia="Times New Roman"/>
          <w:color w:val="000000"/>
          <w:sz w:val="20"/>
          <w:szCs w:val="20"/>
        </w:rPr>
        <w:t>irements, including lack of novelty, obviousness, written description or non-enablement. Grounds for an unenforceability assertion could be an allegation that someone connected with prosecution of the patent withheld relevant information from the USPTO, or</w:t>
      </w:r>
      <w:r>
        <w:rPr>
          <w:rFonts w:eastAsia="Times New Roman"/>
          <w:color w:val="000000"/>
          <w:sz w:val="20"/>
          <w:szCs w:val="20"/>
        </w:rPr>
        <w:t xml:space="preserve"> made a misleading statement, during prosecution. There is risk that a court could rule in favor of the defendant with respect to such a counterclaim of patent invalidity and/or unenforceability.</w:t>
      </w:r>
    </w:p>
    <w:p w14:paraId="409AFD41" w14:textId="77777777" w:rsidR="00000000" w:rsidRDefault="000C49AD">
      <w:pPr>
        <w:jc w:val="both"/>
        <w:rPr>
          <w:rFonts w:eastAsia="Times New Roman"/>
        </w:rPr>
      </w:pPr>
    </w:p>
    <w:p w14:paraId="14F26AA7" w14:textId="77777777" w:rsidR="00000000" w:rsidRDefault="000C49AD">
      <w:pPr>
        <w:jc w:val="both"/>
        <w:rPr>
          <w:rFonts w:eastAsia="Times New Roman"/>
        </w:rPr>
      </w:pPr>
      <w:r>
        <w:rPr>
          <w:rFonts w:eastAsia="Times New Roman"/>
          <w:color w:val="000000"/>
          <w:sz w:val="20"/>
          <w:szCs w:val="20"/>
        </w:rPr>
        <w:t>Interference or derivation proceedings provoked by third p</w:t>
      </w:r>
      <w:r>
        <w:rPr>
          <w:rFonts w:eastAsia="Times New Roman"/>
          <w:color w:val="000000"/>
          <w:sz w:val="20"/>
          <w:szCs w:val="20"/>
        </w:rPr>
        <w:t xml:space="preserve">arties or brought by us or declared by the USPTO may be necessary to determine the priority of inventions with respect to our patents or patent applications. An unfavorable outcome could require </w:t>
      </w:r>
    </w:p>
    <w:p w14:paraId="32F23973" w14:textId="77777777" w:rsidR="00000000" w:rsidRDefault="000C49AD">
      <w:pPr>
        <w:jc w:val="center"/>
        <w:divId w:val="587422154"/>
        <w:rPr>
          <w:rFonts w:eastAsia="Times New Roman"/>
        </w:rPr>
      </w:pPr>
      <w:r>
        <w:rPr>
          <w:rFonts w:eastAsia="Times New Roman"/>
          <w:color w:val="000000"/>
          <w:sz w:val="20"/>
          <w:szCs w:val="20"/>
        </w:rPr>
        <w:t>-49-</w:t>
      </w:r>
    </w:p>
    <w:p w14:paraId="1192ADC6" w14:textId="77777777" w:rsidR="00000000" w:rsidRDefault="000C49AD">
      <w:pPr>
        <w:rPr>
          <w:rFonts w:eastAsia="Times New Roman"/>
        </w:rPr>
      </w:pPr>
      <w:r>
        <w:rPr>
          <w:rFonts w:eastAsia="Times New Roman"/>
        </w:rPr>
        <w:pict w14:anchorId="497F0B57">
          <v:rect id="_x0000_i1073" style="width:0;height:1.5pt" o:hralign="center" o:hrstd="t" o:hr="t" fillcolor="#a0a0a0" stroked="f"/>
        </w:pict>
      </w:r>
    </w:p>
    <w:p w14:paraId="432132DC" w14:textId="77777777" w:rsidR="00000000" w:rsidRDefault="000C49AD">
      <w:pPr>
        <w:divId w:val="1372801531"/>
        <w:rPr>
          <w:rFonts w:eastAsia="Times New Roman"/>
        </w:rPr>
      </w:pPr>
    </w:p>
    <w:p w14:paraId="6BA90905" w14:textId="77777777" w:rsidR="00000000" w:rsidRDefault="000C49AD">
      <w:pPr>
        <w:jc w:val="both"/>
        <w:rPr>
          <w:rFonts w:eastAsia="Times New Roman"/>
        </w:rPr>
      </w:pPr>
      <w:r>
        <w:rPr>
          <w:rFonts w:eastAsia="Times New Roman"/>
          <w:color w:val="000000"/>
          <w:sz w:val="20"/>
          <w:szCs w:val="20"/>
        </w:rPr>
        <w:t>us to cease usin</w:t>
      </w:r>
      <w:r>
        <w:rPr>
          <w:rFonts w:eastAsia="Times New Roman"/>
          <w:color w:val="000000"/>
          <w:sz w:val="20"/>
          <w:szCs w:val="20"/>
        </w:rPr>
        <w:t xml:space="preserve">g the related technology or to attempt to license rights to it from the prevailing party. Our business could be harmed if the prevailing party does not offer us a license on commercially reasonable terms or at all, or if a non-exclusive license is offered </w:t>
      </w:r>
      <w:r>
        <w:rPr>
          <w:rFonts w:eastAsia="Times New Roman"/>
          <w:color w:val="000000"/>
          <w:sz w:val="20"/>
          <w:szCs w:val="20"/>
        </w:rPr>
        <w:t xml:space="preserve">and our competitors gain access to the same technology. Our defense of litigation or interference or derivation proceedings may fail and, even if successful, may result in substantial costs and distract our management and other employees. In addition, the </w:t>
      </w:r>
      <w:r>
        <w:rPr>
          <w:rFonts w:eastAsia="Times New Roman"/>
          <w:color w:val="000000"/>
          <w:sz w:val="20"/>
          <w:szCs w:val="20"/>
        </w:rPr>
        <w:t>uncertainties associated with litigation could have a material adverse effect on our ability to raise the funds necessary to continue our clinical trials, continue our research programs, license necessary technology from third parties, or enter into develo</w:t>
      </w:r>
      <w:r>
        <w:rPr>
          <w:rFonts w:eastAsia="Times New Roman"/>
          <w:color w:val="000000"/>
          <w:sz w:val="20"/>
          <w:szCs w:val="20"/>
        </w:rPr>
        <w:t>pment partnerships that would help us bring our product candidate and future product candidates to market.</w:t>
      </w:r>
    </w:p>
    <w:p w14:paraId="4ECC029F" w14:textId="77777777" w:rsidR="00000000" w:rsidRDefault="000C49AD">
      <w:pPr>
        <w:jc w:val="both"/>
        <w:rPr>
          <w:rFonts w:eastAsia="Times New Roman"/>
        </w:rPr>
      </w:pPr>
    </w:p>
    <w:p w14:paraId="038D66B5" w14:textId="77777777" w:rsidR="00000000" w:rsidRDefault="000C49AD">
      <w:pPr>
        <w:jc w:val="both"/>
        <w:rPr>
          <w:rFonts w:eastAsia="Times New Roman"/>
        </w:rPr>
      </w:pPr>
      <w:r>
        <w:rPr>
          <w:rFonts w:eastAsia="Times New Roman"/>
          <w:color w:val="000000"/>
          <w:sz w:val="20"/>
          <w:szCs w:val="20"/>
        </w:rPr>
        <w:t>Because of the substantial amount of discovery that can occur in connection with intellectual property-related litigation and/or administrative pro</w:t>
      </w:r>
      <w:r>
        <w:rPr>
          <w:rFonts w:eastAsia="Times New Roman"/>
          <w:color w:val="000000"/>
          <w:sz w:val="20"/>
          <w:szCs w:val="20"/>
        </w:rPr>
        <w:t xml:space="preserve">ceedings, there is a risk that some of our confidential information could be compromised by disclosure during this type of litigation/proceeding. There could also be public announcements of the results of hearings, motions, or other interim proceedings or </w:t>
      </w:r>
      <w:r>
        <w:rPr>
          <w:rFonts w:eastAsia="Times New Roman"/>
          <w:color w:val="000000"/>
          <w:sz w:val="20"/>
          <w:szCs w:val="20"/>
        </w:rPr>
        <w:t>developments. If securities analysts or investors perceive these results to be negative, it could have a material adverse effect on the price of our common stock.</w:t>
      </w:r>
    </w:p>
    <w:p w14:paraId="62A9D22B" w14:textId="77777777" w:rsidR="00000000" w:rsidRDefault="000C49AD">
      <w:pPr>
        <w:jc w:val="both"/>
        <w:rPr>
          <w:rFonts w:eastAsia="Times New Roman"/>
        </w:rPr>
      </w:pPr>
    </w:p>
    <w:p w14:paraId="27F0A01A" w14:textId="77777777" w:rsidR="00000000" w:rsidRDefault="000C49AD">
      <w:pPr>
        <w:jc w:val="both"/>
        <w:rPr>
          <w:rFonts w:eastAsia="Times New Roman"/>
        </w:rPr>
      </w:pPr>
      <w:r>
        <w:rPr>
          <w:rFonts w:eastAsia="Times New Roman"/>
          <w:b/>
          <w:bCs/>
          <w:i/>
          <w:iCs/>
          <w:color w:val="000000"/>
          <w:sz w:val="20"/>
          <w:szCs w:val="20"/>
        </w:rPr>
        <w:t>We may be subject to claims that our employees, consultants or independent contractors have</w:t>
      </w:r>
      <w:r>
        <w:rPr>
          <w:rFonts w:eastAsia="Times New Roman"/>
          <w:b/>
          <w:bCs/>
          <w:i/>
          <w:iCs/>
          <w:color w:val="000000"/>
          <w:sz w:val="20"/>
          <w:szCs w:val="20"/>
        </w:rPr>
        <w:t xml:space="preserve"> wrongfully used or disclosed confidential information of third parties or that our employees have wrongfully used or disclosed alleged trade secrets of their former employers.</w:t>
      </w:r>
    </w:p>
    <w:p w14:paraId="553ACF2C" w14:textId="77777777" w:rsidR="00000000" w:rsidRDefault="000C49AD">
      <w:pPr>
        <w:jc w:val="both"/>
        <w:rPr>
          <w:rFonts w:eastAsia="Times New Roman"/>
        </w:rPr>
      </w:pPr>
    </w:p>
    <w:p w14:paraId="4C2AC0FF" w14:textId="77777777" w:rsidR="00000000" w:rsidRDefault="000C49AD">
      <w:pPr>
        <w:jc w:val="both"/>
        <w:rPr>
          <w:rFonts w:eastAsia="Times New Roman"/>
        </w:rPr>
      </w:pPr>
      <w:r>
        <w:rPr>
          <w:rFonts w:eastAsia="Times New Roman"/>
          <w:color w:val="000000"/>
          <w:sz w:val="20"/>
          <w:szCs w:val="20"/>
        </w:rPr>
        <w:t>We employ or may employ individuals who were previously employed at universit</w:t>
      </w:r>
      <w:r>
        <w:rPr>
          <w:rFonts w:eastAsia="Times New Roman"/>
          <w:color w:val="000000"/>
          <w:sz w:val="20"/>
          <w:szCs w:val="20"/>
        </w:rPr>
        <w:t>ies or other biotechnology or pharmaceutical companies, including our competitors or potential competitors. Although we endeavor to ensure that our employees, consultants and independent contractors do not use the proprietary information or know-how of oth</w:t>
      </w:r>
      <w:r>
        <w:rPr>
          <w:rFonts w:eastAsia="Times New Roman"/>
          <w:color w:val="000000"/>
          <w:sz w:val="20"/>
          <w:szCs w:val="20"/>
        </w:rPr>
        <w:t>ers in their work for us, we may be subject to claims that we or our employees, consultants or independent contractors have inadvertently or otherwise used or disclosed intellectual property, including trade secrets or other proprietary information, of any</w:t>
      </w:r>
      <w:r>
        <w:rPr>
          <w:rFonts w:eastAsia="Times New Roman"/>
          <w:color w:val="000000"/>
          <w:sz w:val="20"/>
          <w:szCs w:val="20"/>
        </w:rPr>
        <w:t xml:space="preserve"> of our employee’s former employer or other third parties. Litigation may be necessary to defend against these claims. If we fail in defending any such claims, in addition to paying any awarded monetary damages, we may lose valuable intellectual property r</w:t>
      </w:r>
      <w:r>
        <w:rPr>
          <w:rFonts w:eastAsia="Times New Roman"/>
          <w:color w:val="000000"/>
          <w:sz w:val="20"/>
          <w:szCs w:val="20"/>
        </w:rPr>
        <w:t>ights or personnel, which could adversely impact our business. Even if we are successful in defending against such claims, litigation could result in substantial costs and/or be a distraction to management and other employees.</w:t>
      </w:r>
    </w:p>
    <w:p w14:paraId="1F3AD3B3" w14:textId="77777777" w:rsidR="00000000" w:rsidRDefault="000C49AD">
      <w:pPr>
        <w:jc w:val="both"/>
        <w:rPr>
          <w:rFonts w:eastAsia="Times New Roman"/>
        </w:rPr>
      </w:pPr>
    </w:p>
    <w:p w14:paraId="2ED8446F" w14:textId="77777777" w:rsidR="00000000" w:rsidRDefault="000C49AD">
      <w:pPr>
        <w:jc w:val="both"/>
        <w:rPr>
          <w:rFonts w:eastAsia="Times New Roman"/>
        </w:rPr>
      </w:pPr>
      <w:r>
        <w:rPr>
          <w:rFonts w:eastAsia="Times New Roman"/>
          <w:b/>
          <w:bCs/>
          <w:i/>
          <w:iCs/>
          <w:color w:val="000000"/>
          <w:sz w:val="20"/>
          <w:szCs w:val="20"/>
        </w:rPr>
        <w:t>We and companies to which w</w:t>
      </w:r>
      <w:r>
        <w:rPr>
          <w:rFonts w:eastAsia="Times New Roman"/>
          <w:b/>
          <w:bCs/>
          <w:i/>
          <w:iCs/>
          <w:color w:val="000000"/>
          <w:sz w:val="20"/>
          <w:szCs w:val="20"/>
        </w:rPr>
        <w:t>e have licensed, or will license our future products or drug delivery technologies and subcontractors we engage or may engage for services related to the development and manufacturing of our lead product candidate or future product candidates are subject t</w:t>
      </w:r>
      <w:r>
        <w:rPr>
          <w:rFonts w:eastAsia="Times New Roman"/>
          <w:b/>
          <w:bCs/>
          <w:i/>
          <w:iCs/>
          <w:color w:val="000000"/>
          <w:sz w:val="20"/>
          <w:szCs w:val="20"/>
        </w:rPr>
        <w:t>o extensive regulation by the FDA and other regulatory authorities. Our and their failure to meet strict regulatory requirements could adversely affect our business.</w:t>
      </w:r>
    </w:p>
    <w:p w14:paraId="39C617F6" w14:textId="77777777" w:rsidR="00000000" w:rsidRDefault="000C49AD">
      <w:pPr>
        <w:jc w:val="both"/>
        <w:rPr>
          <w:rFonts w:eastAsia="Times New Roman"/>
        </w:rPr>
      </w:pPr>
    </w:p>
    <w:p w14:paraId="7F9216B3" w14:textId="77777777" w:rsidR="00000000" w:rsidRDefault="000C49AD">
      <w:pPr>
        <w:jc w:val="both"/>
        <w:rPr>
          <w:rFonts w:eastAsia="Times New Roman"/>
        </w:rPr>
      </w:pPr>
      <w:r>
        <w:rPr>
          <w:rFonts w:eastAsia="Times New Roman"/>
          <w:color w:val="000000"/>
          <w:sz w:val="20"/>
          <w:szCs w:val="20"/>
        </w:rPr>
        <w:t>We, and companies to which we will license our future products or drug delivery technolo</w:t>
      </w:r>
      <w:r>
        <w:rPr>
          <w:rFonts w:eastAsia="Times New Roman"/>
          <w:color w:val="000000"/>
          <w:sz w:val="20"/>
          <w:szCs w:val="20"/>
        </w:rPr>
        <w:t>gies, as well as companies acting as subcontractors for our product developments, including but not limited to non-clinical, pre-clinical and clinical studies, and manufacturing, are subject to extensive regulation by the FDA, other U.S. authorities and eq</w:t>
      </w:r>
      <w:r>
        <w:rPr>
          <w:rFonts w:eastAsia="Times New Roman"/>
          <w:color w:val="000000"/>
          <w:sz w:val="20"/>
          <w:szCs w:val="20"/>
        </w:rPr>
        <w:t>uivalent non-U.S. regulatory authorities, particularly the European Commission and the competent authorities of EU Member States. Those regulatory authorities may conduct periodic audits or inspections of the applicable facilities to monitor compliance wit</w:t>
      </w:r>
      <w:r>
        <w:rPr>
          <w:rFonts w:eastAsia="Times New Roman"/>
          <w:color w:val="000000"/>
          <w:sz w:val="20"/>
          <w:szCs w:val="20"/>
        </w:rPr>
        <w:t>h regulatory standards and we remain responsible for the compliance of our subcontractors. If the FDA or another regulatory authority finds failure to comply with applicable regulations, the authority may institute a wide variety of enforcement actions, in</w:t>
      </w:r>
      <w:r>
        <w:rPr>
          <w:rFonts w:eastAsia="Times New Roman"/>
          <w:color w:val="000000"/>
          <w:sz w:val="20"/>
          <w:szCs w:val="20"/>
        </w:rPr>
        <w:t>cluding:</w:t>
      </w:r>
    </w:p>
    <w:p w14:paraId="227DC52B" w14:textId="77777777" w:rsidR="00000000" w:rsidRDefault="000C49AD">
      <w:pPr>
        <w:divId w:val="112867440"/>
        <w:rPr>
          <w:rFonts w:eastAsia="Times New Roman"/>
        </w:rPr>
      </w:pPr>
    </w:p>
    <w:p w14:paraId="4E01CB14" w14:textId="77777777" w:rsidR="00000000" w:rsidRDefault="000C49AD">
      <w:pPr>
        <w:ind w:hanging="360"/>
        <w:divId w:val="736905338"/>
        <w:rPr>
          <w:rFonts w:eastAsia="Times New Roman"/>
        </w:rPr>
      </w:pPr>
      <w:r>
        <w:rPr>
          <w:rFonts w:eastAsia="Times New Roman"/>
          <w:color w:val="000000"/>
          <w:sz w:val="20"/>
          <w:szCs w:val="20"/>
        </w:rPr>
        <w:t>•warning letters or untitled letters;</w:t>
      </w:r>
    </w:p>
    <w:p w14:paraId="35D88A8B" w14:textId="77777777" w:rsidR="00000000" w:rsidRDefault="000C49AD">
      <w:pPr>
        <w:ind w:hanging="360"/>
        <w:divId w:val="256594236"/>
        <w:rPr>
          <w:rFonts w:eastAsia="Times New Roman"/>
        </w:rPr>
      </w:pPr>
      <w:r>
        <w:rPr>
          <w:rFonts w:eastAsia="Times New Roman"/>
          <w:color w:val="000000"/>
          <w:sz w:val="20"/>
          <w:szCs w:val="20"/>
        </w:rPr>
        <w:t>•fines and civil penalties;</w:t>
      </w:r>
    </w:p>
    <w:p w14:paraId="4F47CCE3" w14:textId="77777777" w:rsidR="00000000" w:rsidRDefault="000C49AD">
      <w:pPr>
        <w:ind w:hanging="360"/>
        <w:divId w:val="304969809"/>
        <w:rPr>
          <w:rFonts w:eastAsia="Times New Roman"/>
        </w:rPr>
      </w:pPr>
      <w:r>
        <w:rPr>
          <w:rFonts w:eastAsia="Times New Roman"/>
          <w:color w:val="000000"/>
          <w:sz w:val="20"/>
          <w:szCs w:val="20"/>
        </w:rPr>
        <w:t>•delays in clearing or approving, or refusal to clear or approve, products;</w:t>
      </w:r>
    </w:p>
    <w:p w14:paraId="108C0ADE" w14:textId="77777777" w:rsidR="00000000" w:rsidRDefault="000C49AD">
      <w:pPr>
        <w:ind w:hanging="360"/>
        <w:divId w:val="1486512876"/>
        <w:rPr>
          <w:rFonts w:eastAsia="Times New Roman"/>
        </w:rPr>
      </w:pPr>
      <w:r>
        <w:rPr>
          <w:rFonts w:eastAsia="Times New Roman"/>
          <w:color w:val="000000"/>
          <w:sz w:val="20"/>
          <w:szCs w:val="20"/>
        </w:rPr>
        <w:t>•</w:t>
      </w:r>
      <w:r>
        <w:rPr>
          <w:rFonts w:eastAsia="Times New Roman"/>
          <w:color w:val="000000"/>
          <w:sz w:val="20"/>
          <w:szCs w:val="20"/>
        </w:rPr>
        <w:t>withdrawal, suspension or variation of approval of products; product recall or seizure;</w:t>
      </w:r>
    </w:p>
    <w:p w14:paraId="6789976D" w14:textId="77777777" w:rsidR="00000000" w:rsidRDefault="000C49AD">
      <w:pPr>
        <w:ind w:hanging="360"/>
        <w:divId w:val="540558925"/>
        <w:rPr>
          <w:rFonts w:eastAsia="Times New Roman"/>
        </w:rPr>
      </w:pPr>
      <w:r>
        <w:rPr>
          <w:rFonts w:eastAsia="Times New Roman"/>
          <w:color w:val="000000"/>
          <w:sz w:val="20"/>
          <w:szCs w:val="20"/>
        </w:rPr>
        <w:t>•orders to the competent authorities of EU Member States to withdraw or vary national authorization;</w:t>
      </w:r>
    </w:p>
    <w:p w14:paraId="248313F4" w14:textId="77777777" w:rsidR="00000000" w:rsidRDefault="000C49AD">
      <w:pPr>
        <w:ind w:hanging="360"/>
        <w:divId w:val="505480268"/>
        <w:rPr>
          <w:rFonts w:eastAsia="Times New Roman"/>
        </w:rPr>
      </w:pPr>
      <w:r>
        <w:rPr>
          <w:rFonts w:eastAsia="Times New Roman"/>
          <w:color w:val="000000"/>
          <w:sz w:val="20"/>
          <w:szCs w:val="20"/>
        </w:rPr>
        <w:t>•orders for physician notification or device repair, replacement or</w:t>
      </w:r>
      <w:r>
        <w:rPr>
          <w:rFonts w:eastAsia="Times New Roman"/>
          <w:color w:val="000000"/>
          <w:sz w:val="20"/>
          <w:szCs w:val="20"/>
        </w:rPr>
        <w:t xml:space="preserve"> refund;</w:t>
      </w:r>
    </w:p>
    <w:p w14:paraId="53A14BEF" w14:textId="77777777" w:rsidR="00000000" w:rsidRDefault="000C49AD">
      <w:pPr>
        <w:ind w:hanging="360"/>
        <w:divId w:val="1734892534"/>
        <w:rPr>
          <w:rFonts w:eastAsia="Times New Roman"/>
        </w:rPr>
      </w:pPr>
      <w:r>
        <w:rPr>
          <w:rFonts w:eastAsia="Times New Roman"/>
          <w:color w:val="000000"/>
          <w:sz w:val="20"/>
          <w:szCs w:val="20"/>
        </w:rPr>
        <w:t>•interruption of production;</w:t>
      </w:r>
    </w:p>
    <w:p w14:paraId="6DEAF6EC" w14:textId="77777777" w:rsidR="00000000" w:rsidRDefault="000C49AD">
      <w:pPr>
        <w:ind w:hanging="360"/>
        <w:jc w:val="both"/>
        <w:rPr>
          <w:rFonts w:eastAsia="Times New Roman"/>
        </w:rPr>
      </w:pPr>
      <w:r>
        <w:rPr>
          <w:rFonts w:eastAsia="Times New Roman"/>
          <w:color w:val="000000"/>
          <w:sz w:val="20"/>
          <w:szCs w:val="20"/>
        </w:rPr>
        <w:t>•operating restrictions;</w:t>
      </w:r>
    </w:p>
    <w:p w14:paraId="6A0FB989" w14:textId="77777777" w:rsidR="00000000" w:rsidRDefault="000C49AD">
      <w:pPr>
        <w:ind w:hanging="360"/>
        <w:jc w:val="both"/>
        <w:rPr>
          <w:rFonts w:eastAsia="Times New Roman"/>
        </w:rPr>
      </w:pPr>
      <w:r>
        <w:rPr>
          <w:rFonts w:eastAsia="Times New Roman"/>
          <w:color w:val="000000"/>
          <w:sz w:val="20"/>
          <w:szCs w:val="20"/>
        </w:rPr>
        <w:t>•injunctions; and</w:t>
      </w:r>
    </w:p>
    <w:p w14:paraId="784DBC12" w14:textId="77777777" w:rsidR="00000000" w:rsidRDefault="000C49AD">
      <w:pPr>
        <w:ind w:hanging="360"/>
        <w:jc w:val="both"/>
        <w:rPr>
          <w:rFonts w:eastAsia="Times New Roman"/>
        </w:rPr>
      </w:pPr>
      <w:r>
        <w:rPr>
          <w:rFonts w:eastAsia="Times New Roman"/>
          <w:color w:val="000000"/>
          <w:sz w:val="20"/>
          <w:szCs w:val="20"/>
        </w:rPr>
        <w:t>•criminal prosecution.</w:t>
      </w:r>
    </w:p>
    <w:p w14:paraId="5934EFAE" w14:textId="77777777" w:rsidR="00000000" w:rsidRDefault="000C49AD">
      <w:pPr>
        <w:jc w:val="both"/>
        <w:rPr>
          <w:rFonts w:eastAsia="Times New Roman"/>
        </w:rPr>
      </w:pPr>
    </w:p>
    <w:p w14:paraId="5EDBCAD7" w14:textId="77777777" w:rsidR="00000000" w:rsidRDefault="000C49AD">
      <w:pPr>
        <w:jc w:val="both"/>
        <w:rPr>
          <w:rFonts w:eastAsia="Times New Roman"/>
        </w:rPr>
      </w:pPr>
      <w:r>
        <w:rPr>
          <w:rFonts w:eastAsia="Times New Roman"/>
          <w:color w:val="000000"/>
          <w:sz w:val="20"/>
          <w:szCs w:val="20"/>
        </w:rPr>
        <w:t xml:space="preserve">Any adverse action by a competent regulatory agency could lead to unanticipated expenditures to address or defend such action and may impair our ability to produce and market applicable products, which could significantly impact our revenues and royalties </w:t>
      </w:r>
      <w:r>
        <w:rPr>
          <w:rFonts w:eastAsia="Times New Roman"/>
          <w:color w:val="000000"/>
          <w:sz w:val="20"/>
          <w:szCs w:val="20"/>
        </w:rPr>
        <w:t>that we would be eligible to receive from our potential customers.</w:t>
      </w:r>
    </w:p>
    <w:p w14:paraId="310171C6" w14:textId="77777777" w:rsidR="00000000" w:rsidRDefault="000C49AD">
      <w:pPr>
        <w:jc w:val="both"/>
        <w:rPr>
          <w:rFonts w:eastAsia="Times New Roman"/>
        </w:rPr>
      </w:pPr>
    </w:p>
    <w:p w14:paraId="1F768057" w14:textId="77777777" w:rsidR="00000000" w:rsidRDefault="000C49AD">
      <w:pPr>
        <w:jc w:val="both"/>
        <w:rPr>
          <w:rFonts w:eastAsia="Times New Roman"/>
        </w:rPr>
      </w:pPr>
      <w:r>
        <w:rPr>
          <w:rFonts w:eastAsia="Times New Roman"/>
          <w:b/>
          <w:bCs/>
          <w:i/>
          <w:iCs/>
          <w:color w:val="000000"/>
          <w:sz w:val="20"/>
          <w:szCs w:val="20"/>
        </w:rPr>
        <w:t>We may face product liability claims related to clinical trials for our product candidate or future product candidates or their misuse.</w:t>
      </w:r>
    </w:p>
    <w:p w14:paraId="2026410E" w14:textId="77777777" w:rsidR="00000000" w:rsidRDefault="000C49AD">
      <w:pPr>
        <w:jc w:val="both"/>
        <w:rPr>
          <w:rFonts w:eastAsia="Times New Roman"/>
        </w:rPr>
      </w:pPr>
    </w:p>
    <w:p w14:paraId="769A7972" w14:textId="77777777" w:rsidR="00000000" w:rsidRDefault="000C49AD">
      <w:pPr>
        <w:jc w:val="center"/>
        <w:divId w:val="89130883"/>
        <w:rPr>
          <w:rFonts w:eastAsia="Times New Roman"/>
        </w:rPr>
      </w:pPr>
      <w:r>
        <w:rPr>
          <w:rFonts w:eastAsia="Times New Roman"/>
          <w:color w:val="000000"/>
          <w:sz w:val="20"/>
          <w:szCs w:val="20"/>
        </w:rPr>
        <w:t>-50-</w:t>
      </w:r>
    </w:p>
    <w:p w14:paraId="1F31EF92" w14:textId="77777777" w:rsidR="00000000" w:rsidRDefault="000C49AD">
      <w:pPr>
        <w:rPr>
          <w:rFonts w:eastAsia="Times New Roman"/>
        </w:rPr>
      </w:pPr>
      <w:r>
        <w:rPr>
          <w:rFonts w:eastAsia="Times New Roman"/>
        </w:rPr>
        <w:pict w14:anchorId="29E2D4BC">
          <v:rect id="_x0000_i1074" style="width:0;height:1.5pt" o:hralign="center" o:hrstd="t" o:hr="t" fillcolor="#a0a0a0" stroked="f"/>
        </w:pict>
      </w:r>
    </w:p>
    <w:p w14:paraId="59C06FE8" w14:textId="77777777" w:rsidR="00000000" w:rsidRDefault="000C49AD">
      <w:pPr>
        <w:divId w:val="1651786140"/>
        <w:rPr>
          <w:rFonts w:eastAsia="Times New Roman"/>
        </w:rPr>
      </w:pPr>
    </w:p>
    <w:p w14:paraId="4691F624" w14:textId="77777777" w:rsidR="00000000" w:rsidRDefault="000C49AD">
      <w:pPr>
        <w:jc w:val="both"/>
        <w:rPr>
          <w:rFonts w:eastAsia="Times New Roman"/>
        </w:rPr>
      </w:pPr>
      <w:r>
        <w:rPr>
          <w:rFonts w:eastAsia="Times New Roman"/>
          <w:color w:val="000000"/>
          <w:sz w:val="20"/>
          <w:szCs w:val="20"/>
        </w:rPr>
        <w:t>The te</w:t>
      </w:r>
      <w:r>
        <w:rPr>
          <w:rFonts w:eastAsia="Times New Roman"/>
          <w:color w:val="000000"/>
          <w:sz w:val="20"/>
          <w:szCs w:val="20"/>
        </w:rPr>
        <w:t>sting, including through clinical trials, manufacturing and marketing, and the use of our product candidate and future product candidates may expose us to potential product liability and other claims. If any such claims against us are successful, we may be</w:t>
      </w:r>
      <w:r>
        <w:rPr>
          <w:rFonts w:eastAsia="Times New Roman"/>
          <w:color w:val="000000"/>
          <w:sz w:val="20"/>
          <w:szCs w:val="20"/>
        </w:rPr>
        <w:t xml:space="preserve"> required to make significant compensation payments. Any indemnification that we have obtained, or may obtain, from CROs or pharmaceutical and biotechnology companies or hospitals conducting human clinical trials on our behalf may not protect us from produ</w:t>
      </w:r>
      <w:r>
        <w:rPr>
          <w:rFonts w:eastAsia="Times New Roman"/>
          <w:color w:val="000000"/>
          <w:sz w:val="20"/>
          <w:szCs w:val="20"/>
        </w:rPr>
        <w:t>ct liability claims or from the costs of related litigation. Insurance coverage is expensive and difficult to obtain, and we may be unable to obtain coverage in the future on acceptable terms, if at all. We currently maintain general liability insurance an</w:t>
      </w:r>
      <w:r>
        <w:rPr>
          <w:rFonts w:eastAsia="Times New Roman"/>
          <w:color w:val="000000"/>
          <w:sz w:val="20"/>
          <w:szCs w:val="20"/>
        </w:rPr>
        <w:t xml:space="preserve">d product liability insurance. We cannot be certain that the coverage limits of our insurance policies or those of our strategic partners will be adequate. If we are unable to obtain sufficient insurance at an acceptable cost, a product liability claim or </w:t>
      </w:r>
      <w:r>
        <w:rPr>
          <w:rFonts w:eastAsia="Times New Roman"/>
          <w:color w:val="000000"/>
          <w:sz w:val="20"/>
          <w:szCs w:val="20"/>
        </w:rPr>
        <w:t>recall could adversely affect our financial condition.</w:t>
      </w:r>
    </w:p>
    <w:p w14:paraId="689C9B44" w14:textId="77777777" w:rsidR="00000000" w:rsidRDefault="000C49AD">
      <w:pPr>
        <w:jc w:val="both"/>
        <w:rPr>
          <w:rFonts w:eastAsia="Times New Roman"/>
        </w:rPr>
      </w:pPr>
    </w:p>
    <w:p w14:paraId="5AFD77E3" w14:textId="77777777" w:rsidR="00000000" w:rsidRDefault="000C49AD">
      <w:pPr>
        <w:jc w:val="both"/>
        <w:rPr>
          <w:rFonts w:eastAsia="Times New Roman"/>
        </w:rPr>
      </w:pPr>
      <w:r>
        <w:rPr>
          <w:rFonts w:eastAsia="Times New Roman"/>
          <w:color w:val="000000"/>
          <w:sz w:val="20"/>
          <w:szCs w:val="20"/>
        </w:rPr>
        <w:t>Similarly, any indemnification we have obtained, or may obtain, from pharmaceutical and biotechnology companies with whom we are developing, or will develop, our future products may not protect us fr</w:t>
      </w:r>
      <w:r>
        <w:rPr>
          <w:rFonts w:eastAsia="Times New Roman"/>
          <w:color w:val="000000"/>
          <w:sz w:val="20"/>
          <w:szCs w:val="20"/>
        </w:rPr>
        <w:t>om product liability claims from the consumers of those products or from the costs of related litigation.</w:t>
      </w:r>
    </w:p>
    <w:p w14:paraId="48ED26CA" w14:textId="77777777" w:rsidR="00000000" w:rsidRDefault="000C49AD">
      <w:pPr>
        <w:jc w:val="both"/>
        <w:rPr>
          <w:rFonts w:eastAsia="Times New Roman"/>
        </w:rPr>
      </w:pPr>
    </w:p>
    <w:p w14:paraId="4CF5FFBB" w14:textId="77777777" w:rsidR="00000000" w:rsidRDefault="000C49AD">
      <w:pPr>
        <w:jc w:val="both"/>
        <w:rPr>
          <w:rFonts w:eastAsia="Times New Roman"/>
        </w:rPr>
      </w:pPr>
      <w:r>
        <w:rPr>
          <w:rFonts w:eastAsia="Times New Roman"/>
          <w:b/>
          <w:bCs/>
          <w:i/>
          <w:iCs/>
          <w:color w:val="000000"/>
          <w:sz w:val="20"/>
          <w:szCs w:val="20"/>
        </w:rPr>
        <w:t>If we use hazardous biological and/or chemical materials in a manner that causes injury, we may be liable for significant damages.</w:t>
      </w:r>
    </w:p>
    <w:p w14:paraId="14607570" w14:textId="77777777" w:rsidR="00000000" w:rsidRDefault="000C49AD">
      <w:pPr>
        <w:jc w:val="both"/>
        <w:rPr>
          <w:rFonts w:eastAsia="Times New Roman"/>
        </w:rPr>
      </w:pPr>
    </w:p>
    <w:p w14:paraId="53860E9F" w14:textId="77777777" w:rsidR="00000000" w:rsidRDefault="000C49AD">
      <w:pPr>
        <w:jc w:val="both"/>
        <w:rPr>
          <w:rFonts w:eastAsia="Times New Roman"/>
        </w:rPr>
      </w:pPr>
      <w:r>
        <w:rPr>
          <w:rFonts w:eastAsia="Times New Roman"/>
          <w:color w:val="000000"/>
          <w:sz w:val="20"/>
          <w:szCs w:val="20"/>
        </w:rPr>
        <w:t>Our R&amp;D activit</w:t>
      </w:r>
      <w:r>
        <w:rPr>
          <w:rFonts w:eastAsia="Times New Roman"/>
          <w:color w:val="000000"/>
          <w:sz w:val="20"/>
          <w:szCs w:val="20"/>
        </w:rPr>
        <w:t>ies involve the controlled use of potentially harmful biological and/or chemical materials, and are subject to U.S., state, EU, national and local laws and regulations governing the use, storage, handling and disposal of those materials and specified waste</w:t>
      </w:r>
      <w:r>
        <w:rPr>
          <w:rFonts w:eastAsia="Times New Roman"/>
          <w:color w:val="000000"/>
          <w:sz w:val="20"/>
          <w:szCs w:val="20"/>
        </w:rPr>
        <w:t xml:space="preserve"> products. We cannot completely eliminate the risk of accidental contamination or injury from the use, storage, handling or disposal of these materials, including fires and/or explosions, storage tank leaks and ruptures and discharges or releases of toxic </w:t>
      </w:r>
      <w:r>
        <w:rPr>
          <w:rFonts w:eastAsia="Times New Roman"/>
          <w:color w:val="000000"/>
          <w:sz w:val="20"/>
          <w:szCs w:val="20"/>
        </w:rPr>
        <w:t>or hazardous substances. These operating risks can cause personal injury, property damage and environmental contamination, and may result in the shutdown of affected facilities and the imposition of civil or criminal penalties. The occurrence of any of the</w:t>
      </w:r>
      <w:r>
        <w:rPr>
          <w:rFonts w:eastAsia="Times New Roman"/>
          <w:color w:val="000000"/>
          <w:sz w:val="20"/>
          <w:szCs w:val="20"/>
        </w:rPr>
        <w:t>se events may significantly reduce the productivity and profitability of a particular manufacturing facility and adversely affect our operating results.</w:t>
      </w:r>
    </w:p>
    <w:p w14:paraId="58EBC7CC" w14:textId="77777777" w:rsidR="00000000" w:rsidRDefault="000C49AD">
      <w:pPr>
        <w:jc w:val="both"/>
        <w:rPr>
          <w:rFonts w:eastAsia="Times New Roman"/>
        </w:rPr>
      </w:pPr>
    </w:p>
    <w:p w14:paraId="685CB55F" w14:textId="77777777" w:rsidR="00000000" w:rsidRDefault="000C49AD">
      <w:pPr>
        <w:jc w:val="both"/>
        <w:rPr>
          <w:rFonts w:eastAsia="Times New Roman"/>
        </w:rPr>
      </w:pPr>
      <w:r>
        <w:rPr>
          <w:rFonts w:eastAsia="Times New Roman"/>
          <w:color w:val="000000"/>
          <w:sz w:val="20"/>
          <w:szCs w:val="20"/>
        </w:rPr>
        <w:t>We currently maintain property, business interruption and casualty insurance with limits that we beli</w:t>
      </w:r>
      <w:r>
        <w:rPr>
          <w:rFonts w:eastAsia="Times New Roman"/>
          <w:color w:val="000000"/>
          <w:sz w:val="20"/>
          <w:szCs w:val="20"/>
        </w:rPr>
        <w:t>eve to be commercially reasonable but may be inadequate to cover any actual liability or damages.</w:t>
      </w:r>
    </w:p>
    <w:p w14:paraId="47A6FCAA" w14:textId="77777777" w:rsidR="00000000" w:rsidRDefault="000C49AD">
      <w:pPr>
        <w:jc w:val="both"/>
        <w:divId w:val="1499922677"/>
        <w:rPr>
          <w:rFonts w:eastAsia="Times New Roman"/>
        </w:rPr>
      </w:pPr>
      <w:r>
        <w:rPr>
          <w:rFonts w:eastAsia="Times New Roman"/>
          <w:b/>
          <w:bCs/>
          <w:color w:val="000000"/>
          <w:sz w:val="20"/>
          <w:szCs w:val="20"/>
        </w:rPr>
        <w:t>Risks Related to Ownership of Our Securities</w:t>
      </w:r>
    </w:p>
    <w:p w14:paraId="6C37E8F6" w14:textId="77777777" w:rsidR="00000000" w:rsidRDefault="000C49AD">
      <w:pPr>
        <w:jc w:val="both"/>
        <w:divId w:val="1104571322"/>
        <w:rPr>
          <w:rFonts w:eastAsia="Times New Roman"/>
        </w:rPr>
      </w:pPr>
      <w:r>
        <w:rPr>
          <w:rFonts w:eastAsia="Times New Roman"/>
          <w:b/>
          <w:bCs/>
          <w:i/>
          <w:iCs/>
          <w:color w:val="000000"/>
          <w:sz w:val="20"/>
          <w:szCs w:val="20"/>
        </w:rPr>
        <w:t>The price of ADSs representing our ordinary shares has been volatile and may continue to be volatile.</w:t>
      </w:r>
    </w:p>
    <w:p w14:paraId="37F11217" w14:textId="77777777" w:rsidR="00000000" w:rsidRDefault="000C49AD">
      <w:pPr>
        <w:jc w:val="both"/>
        <w:rPr>
          <w:rFonts w:eastAsia="Times New Roman"/>
        </w:rPr>
      </w:pPr>
    </w:p>
    <w:p w14:paraId="364FC569" w14:textId="77777777" w:rsidR="00000000" w:rsidRDefault="000C49AD">
      <w:pPr>
        <w:jc w:val="both"/>
        <w:rPr>
          <w:rFonts w:eastAsia="Times New Roman"/>
        </w:rPr>
      </w:pPr>
      <w:r>
        <w:rPr>
          <w:rFonts w:eastAsia="Times New Roman"/>
          <w:color w:val="000000"/>
          <w:sz w:val="20"/>
          <w:szCs w:val="20"/>
        </w:rPr>
        <w:t>The tradi</w:t>
      </w:r>
      <w:r>
        <w:rPr>
          <w:rFonts w:eastAsia="Times New Roman"/>
          <w:color w:val="000000"/>
          <w:sz w:val="20"/>
          <w:szCs w:val="20"/>
        </w:rPr>
        <w:t xml:space="preserve">ng price of ADSs has been, and is likely to continue to be, highly volatile. The market value of an investment in ADSs may fall sharply at any time due to this volatility. During the year ended December 31, 2021, the closing sale price of ADSs as reported </w:t>
      </w:r>
      <w:r>
        <w:rPr>
          <w:rFonts w:eastAsia="Times New Roman"/>
          <w:color w:val="000000"/>
          <w:sz w:val="20"/>
          <w:szCs w:val="20"/>
        </w:rPr>
        <w:t>on the Nasdaq Global Market ranged from $6.49 to $11.18. During the year ended December 31, 2020, the closing sale price of ADSs as reported on the Nasdaq Global Market ranged from $4.06 to $11.75. The market prices for securities of drug delivery, special</w:t>
      </w:r>
      <w:r>
        <w:rPr>
          <w:rFonts w:eastAsia="Times New Roman"/>
          <w:color w:val="000000"/>
          <w:sz w:val="20"/>
          <w:szCs w:val="20"/>
        </w:rPr>
        <w:t>ty pharma, biotechnology and pharmaceutical companies historically have been highly volatile. Factors that could adversely affect our share price include, among others:</w:t>
      </w:r>
    </w:p>
    <w:p w14:paraId="2D552ACE" w14:textId="77777777" w:rsidR="00000000" w:rsidRDefault="000C49AD">
      <w:pPr>
        <w:divId w:val="1853448931"/>
        <w:rPr>
          <w:rFonts w:eastAsia="Times New Roman"/>
        </w:rPr>
      </w:pPr>
    </w:p>
    <w:p w14:paraId="3757FCA0" w14:textId="77777777" w:rsidR="00000000" w:rsidRDefault="000C49AD">
      <w:pPr>
        <w:ind w:hanging="360"/>
        <w:divId w:val="865868263"/>
        <w:rPr>
          <w:rFonts w:eastAsia="Times New Roman"/>
        </w:rPr>
      </w:pPr>
      <w:r>
        <w:rPr>
          <w:rFonts w:eastAsia="Times New Roman"/>
          <w:color w:val="000000"/>
          <w:sz w:val="20"/>
          <w:szCs w:val="20"/>
        </w:rPr>
        <w:t>•fluctuations in our operating results;</w:t>
      </w:r>
    </w:p>
    <w:p w14:paraId="45834D28" w14:textId="77777777" w:rsidR="00000000" w:rsidRDefault="000C49AD">
      <w:pPr>
        <w:ind w:hanging="360"/>
        <w:divId w:val="1324118240"/>
        <w:rPr>
          <w:rFonts w:eastAsia="Times New Roman"/>
        </w:rPr>
      </w:pPr>
      <w:r>
        <w:rPr>
          <w:rFonts w:eastAsia="Times New Roman"/>
          <w:color w:val="000000"/>
          <w:sz w:val="20"/>
          <w:szCs w:val="20"/>
        </w:rPr>
        <w:t>•announcements of technological partnerships,</w:t>
      </w:r>
      <w:r>
        <w:rPr>
          <w:rFonts w:eastAsia="Times New Roman"/>
          <w:color w:val="000000"/>
          <w:sz w:val="20"/>
          <w:szCs w:val="20"/>
        </w:rPr>
        <w:t xml:space="preserve"> innovations or new products by us or our competitors;</w:t>
      </w:r>
    </w:p>
    <w:p w14:paraId="5933D8DD" w14:textId="77777777" w:rsidR="00000000" w:rsidRDefault="000C49AD">
      <w:pPr>
        <w:ind w:hanging="360"/>
        <w:divId w:val="1831362952"/>
        <w:rPr>
          <w:rFonts w:eastAsia="Times New Roman"/>
        </w:rPr>
      </w:pPr>
      <w:r>
        <w:rPr>
          <w:rFonts w:eastAsia="Times New Roman"/>
          <w:color w:val="000000"/>
          <w:sz w:val="20"/>
          <w:szCs w:val="20"/>
        </w:rPr>
        <w:t>•actions with respect to the acquisition of new or complementary businesses;</w:t>
      </w:r>
    </w:p>
    <w:p w14:paraId="35136E41" w14:textId="77777777" w:rsidR="00000000" w:rsidRDefault="000C49AD">
      <w:pPr>
        <w:ind w:hanging="360"/>
        <w:divId w:val="1165319729"/>
        <w:rPr>
          <w:rFonts w:eastAsia="Times New Roman"/>
        </w:rPr>
      </w:pPr>
      <w:r>
        <w:rPr>
          <w:rFonts w:eastAsia="Times New Roman"/>
          <w:color w:val="000000"/>
          <w:sz w:val="20"/>
          <w:szCs w:val="20"/>
        </w:rPr>
        <w:t>•governmental regulations;</w:t>
      </w:r>
    </w:p>
    <w:p w14:paraId="45797088" w14:textId="77777777" w:rsidR="00000000" w:rsidRDefault="000C49AD">
      <w:pPr>
        <w:ind w:hanging="360"/>
        <w:divId w:val="887956326"/>
        <w:rPr>
          <w:rFonts w:eastAsia="Times New Roman"/>
        </w:rPr>
      </w:pPr>
      <w:r>
        <w:rPr>
          <w:rFonts w:eastAsia="Times New Roman"/>
          <w:color w:val="000000"/>
          <w:sz w:val="20"/>
          <w:szCs w:val="20"/>
        </w:rPr>
        <w:t>•</w:t>
      </w:r>
      <w:r>
        <w:rPr>
          <w:rFonts w:eastAsia="Times New Roman"/>
          <w:color w:val="000000"/>
          <w:sz w:val="20"/>
          <w:szCs w:val="20"/>
        </w:rPr>
        <w:t>developments in patent or other proprietary rights owned by us or others;</w:t>
      </w:r>
    </w:p>
    <w:p w14:paraId="5EDEDEBB" w14:textId="77777777" w:rsidR="00000000" w:rsidRDefault="000C49AD">
      <w:pPr>
        <w:ind w:hanging="360"/>
        <w:jc w:val="both"/>
        <w:rPr>
          <w:rFonts w:eastAsia="Times New Roman"/>
        </w:rPr>
      </w:pPr>
      <w:r>
        <w:rPr>
          <w:rFonts w:eastAsia="Times New Roman"/>
          <w:color w:val="000000"/>
          <w:sz w:val="20"/>
          <w:szCs w:val="20"/>
        </w:rPr>
        <w:t>•public concern as to the safety of drug delivery technologies developed by us or drugs developed by others using our platform;</w:t>
      </w:r>
    </w:p>
    <w:p w14:paraId="27139728" w14:textId="77777777" w:rsidR="00000000" w:rsidRDefault="000C49AD">
      <w:pPr>
        <w:ind w:hanging="360"/>
        <w:divId w:val="90244239"/>
        <w:rPr>
          <w:rFonts w:eastAsia="Times New Roman"/>
        </w:rPr>
      </w:pPr>
      <w:r>
        <w:rPr>
          <w:rFonts w:eastAsia="Times New Roman"/>
          <w:color w:val="000000"/>
          <w:sz w:val="20"/>
          <w:szCs w:val="20"/>
        </w:rPr>
        <w:t>•the results of pre-clinical testing and clinical stud</w:t>
      </w:r>
      <w:r>
        <w:rPr>
          <w:rFonts w:eastAsia="Times New Roman"/>
          <w:color w:val="000000"/>
          <w:sz w:val="20"/>
          <w:szCs w:val="20"/>
        </w:rPr>
        <w:t>ies or trials by us or our competitors;</w:t>
      </w:r>
    </w:p>
    <w:p w14:paraId="359AB099" w14:textId="77777777" w:rsidR="00000000" w:rsidRDefault="000C49AD">
      <w:pPr>
        <w:ind w:hanging="360"/>
        <w:jc w:val="both"/>
        <w:rPr>
          <w:rFonts w:eastAsia="Times New Roman"/>
        </w:rPr>
      </w:pPr>
      <w:r>
        <w:rPr>
          <w:rFonts w:eastAsia="Times New Roman"/>
          <w:color w:val="000000"/>
          <w:sz w:val="20"/>
          <w:szCs w:val="20"/>
        </w:rPr>
        <w:t>•adverse events related to our product candidate or future product candidates;</w:t>
      </w:r>
    </w:p>
    <w:p w14:paraId="0A75B9F9" w14:textId="77777777" w:rsidR="00000000" w:rsidRDefault="000C49AD">
      <w:pPr>
        <w:ind w:hanging="360"/>
        <w:divId w:val="1879470272"/>
        <w:rPr>
          <w:rFonts w:eastAsia="Times New Roman"/>
        </w:rPr>
      </w:pPr>
      <w:r>
        <w:rPr>
          <w:rFonts w:eastAsia="Times New Roman"/>
          <w:color w:val="000000"/>
          <w:sz w:val="20"/>
          <w:szCs w:val="20"/>
        </w:rPr>
        <w:t>•lack of efficacy of our product candidate or future product candidates;</w:t>
      </w:r>
    </w:p>
    <w:p w14:paraId="616C3782" w14:textId="77777777" w:rsidR="00000000" w:rsidRDefault="000C49AD">
      <w:pPr>
        <w:ind w:hanging="360"/>
        <w:divId w:val="289283691"/>
        <w:rPr>
          <w:rFonts w:eastAsia="Times New Roman"/>
        </w:rPr>
      </w:pPr>
      <w:r>
        <w:rPr>
          <w:rFonts w:eastAsia="Times New Roman"/>
          <w:color w:val="000000"/>
          <w:sz w:val="20"/>
          <w:szCs w:val="20"/>
        </w:rPr>
        <w:t>•litigation;</w:t>
      </w:r>
    </w:p>
    <w:p w14:paraId="0F9A5CF5" w14:textId="77777777" w:rsidR="00000000" w:rsidRDefault="000C49AD">
      <w:pPr>
        <w:ind w:hanging="360"/>
        <w:jc w:val="both"/>
        <w:rPr>
          <w:rFonts w:eastAsia="Times New Roman"/>
        </w:rPr>
      </w:pPr>
      <w:r>
        <w:rPr>
          <w:rFonts w:eastAsia="Times New Roman"/>
          <w:color w:val="000000"/>
          <w:sz w:val="20"/>
          <w:szCs w:val="20"/>
        </w:rPr>
        <w:t xml:space="preserve">•decisions by our pharmaceutical and biotechnology </w:t>
      </w:r>
      <w:r>
        <w:rPr>
          <w:rFonts w:eastAsia="Times New Roman"/>
          <w:color w:val="000000"/>
          <w:sz w:val="20"/>
          <w:szCs w:val="20"/>
        </w:rPr>
        <w:t>company partners relating to the products that may incorporate our technologies;</w:t>
      </w:r>
    </w:p>
    <w:p w14:paraId="2FECD79B" w14:textId="77777777" w:rsidR="00000000" w:rsidRDefault="000C49AD">
      <w:pPr>
        <w:ind w:hanging="360"/>
        <w:divId w:val="194006493"/>
        <w:rPr>
          <w:rFonts w:eastAsia="Times New Roman"/>
        </w:rPr>
      </w:pPr>
      <w:r>
        <w:rPr>
          <w:rFonts w:eastAsia="Times New Roman"/>
          <w:color w:val="000000"/>
          <w:sz w:val="20"/>
          <w:szCs w:val="20"/>
        </w:rPr>
        <w:t xml:space="preserve">•the perception by the market of specialty pharma, biotechnology, and high technology companies generally; </w:t>
      </w:r>
    </w:p>
    <w:p w14:paraId="2C181C6B" w14:textId="77777777" w:rsidR="00000000" w:rsidRDefault="000C49AD">
      <w:pPr>
        <w:ind w:hanging="360"/>
        <w:divId w:val="1103570638"/>
        <w:rPr>
          <w:rFonts w:eastAsia="Times New Roman"/>
        </w:rPr>
      </w:pPr>
      <w:r>
        <w:rPr>
          <w:rFonts w:eastAsia="Times New Roman"/>
          <w:color w:val="000000"/>
          <w:sz w:val="20"/>
          <w:szCs w:val="20"/>
        </w:rPr>
        <w:t>•general market conditions, including the impact of the current fin</w:t>
      </w:r>
      <w:r>
        <w:rPr>
          <w:rFonts w:eastAsia="Times New Roman"/>
          <w:color w:val="000000"/>
          <w:sz w:val="20"/>
          <w:szCs w:val="20"/>
        </w:rPr>
        <w:t>ancial environment; and</w:t>
      </w:r>
    </w:p>
    <w:p w14:paraId="3406F6CF" w14:textId="77777777" w:rsidR="00000000" w:rsidRDefault="000C49AD">
      <w:pPr>
        <w:ind w:hanging="360"/>
        <w:divId w:val="786392999"/>
        <w:rPr>
          <w:rFonts w:eastAsia="Times New Roman"/>
        </w:rPr>
      </w:pPr>
      <w:r>
        <w:rPr>
          <w:rFonts w:eastAsia="Times New Roman"/>
          <w:color w:val="000000"/>
          <w:sz w:val="20"/>
          <w:szCs w:val="20"/>
        </w:rPr>
        <w:t>•the dilutive impact of any new equity or convertible debt securities we may issue or have issued.</w:t>
      </w:r>
    </w:p>
    <w:p w14:paraId="0A37370C" w14:textId="77777777" w:rsidR="00000000" w:rsidRDefault="000C49AD">
      <w:pPr>
        <w:divId w:val="567769010"/>
        <w:rPr>
          <w:rFonts w:eastAsia="Times New Roman"/>
        </w:rPr>
      </w:pPr>
    </w:p>
    <w:p w14:paraId="034784A8" w14:textId="77777777" w:rsidR="00000000" w:rsidRDefault="000C49AD">
      <w:pPr>
        <w:jc w:val="center"/>
        <w:divId w:val="529680951"/>
        <w:rPr>
          <w:rFonts w:eastAsia="Times New Roman"/>
        </w:rPr>
      </w:pPr>
      <w:r>
        <w:rPr>
          <w:rFonts w:eastAsia="Times New Roman"/>
          <w:color w:val="000000"/>
          <w:sz w:val="20"/>
          <w:szCs w:val="20"/>
        </w:rPr>
        <w:t>-51-</w:t>
      </w:r>
    </w:p>
    <w:p w14:paraId="69B8C478" w14:textId="77777777" w:rsidR="00000000" w:rsidRDefault="000C49AD">
      <w:pPr>
        <w:rPr>
          <w:rFonts w:eastAsia="Times New Roman"/>
        </w:rPr>
      </w:pPr>
      <w:r>
        <w:rPr>
          <w:rFonts w:eastAsia="Times New Roman"/>
        </w:rPr>
        <w:pict w14:anchorId="7E07F8C0">
          <v:rect id="_x0000_i1075" style="width:0;height:1.5pt" o:hralign="center" o:hrstd="t" o:hr="t" fillcolor="#a0a0a0" stroked="f"/>
        </w:pict>
      </w:r>
    </w:p>
    <w:p w14:paraId="70562C93" w14:textId="77777777" w:rsidR="00000000" w:rsidRDefault="000C49AD">
      <w:pPr>
        <w:divId w:val="1943032357"/>
        <w:rPr>
          <w:rFonts w:eastAsia="Times New Roman"/>
        </w:rPr>
      </w:pPr>
    </w:p>
    <w:p w14:paraId="34F8F359" w14:textId="77777777" w:rsidR="00000000" w:rsidRDefault="000C49AD">
      <w:pPr>
        <w:divId w:val="418604759"/>
        <w:rPr>
          <w:rFonts w:eastAsia="Times New Roman"/>
        </w:rPr>
      </w:pPr>
      <w:r>
        <w:rPr>
          <w:rFonts w:eastAsia="Times New Roman"/>
          <w:b/>
          <w:bCs/>
          <w:color w:val="000000"/>
          <w:sz w:val="20"/>
          <w:szCs w:val="20"/>
        </w:rPr>
        <w:t>Risks Related to the 2023 Notes</w:t>
      </w:r>
    </w:p>
    <w:p w14:paraId="4D9C5F32" w14:textId="77777777" w:rsidR="00000000" w:rsidRDefault="000C49AD">
      <w:pPr>
        <w:divId w:val="1890258234"/>
        <w:rPr>
          <w:rFonts w:eastAsia="Times New Roman"/>
        </w:rPr>
      </w:pPr>
    </w:p>
    <w:p w14:paraId="02FCCE0B" w14:textId="77777777" w:rsidR="00000000" w:rsidRDefault="000C49AD">
      <w:pPr>
        <w:jc w:val="both"/>
        <w:rPr>
          <w:rFonts w:eastAsia="Times New Roman"/>
        </w:rPr>
      </w:pPr>
      <w:r>
        <w:rPr>
          <w:rFonts w:eastAsia="Times New Roman"/>
          <w:b/>
          <w:bCs/>
          <w:i/>
          <w:iCs/>
          <w:color w:val="000000"/>
          <w:sz w:val="20"/>
          <w:szCs w:val="20"/>
        </w:rPr>
        <w:t>Servicing our February 2023 Notes and our October 2023 Notes (as defined below) may require a significant amount of cash, and we may not have sufficient cash or the ability to raise the funds necessary to settle exchanges of the 2023 Notes in cash, repay t</w:t>
      </w:r>
      <w:r>
        <w:rPr>
          <w:rFonts w:eastAsia="Times New Roman"/>
          <w:b/>
          <w:bCs/>
          <w:i/>
          <w:iCs/>
          <w:color w:val="000000"/>
          <w:sz w:val="20"/>
          <w:szCs w:val="20"/>
        </w:rPr>
        <w:t>he Notes at maturity, or repurchase the 2023 Notes as required following a fundamental change.</w:t>
      </w:r>
    </w:p>
    <w:p w14:paraId="37793D69" w14:textId="77777777" w:rsidR="00000000" w:rsidRDefault="000C49AD">
      <w:pPr>
        <w:jc w:val="both"/>
        <w:rPr>
          <w:rFonts w:eastAsia="Times New Roman"/>
        </w:rPr>
      </w:pPr>
    </w:p>
    <w:p w14:paraId="4135AE94" w14:textId="77777777" w:rsidR="00000000" w:rsidRDefault="000C49AD">
      <w:pPr>
        <w:jc w:val="both"/>
        <w:rPr>
          <w:rFonts w:eastAsia="Times New Roman"/>
        </w:rPr>
      </w:pPr>
      <w:r>
        <w:rPr>
          <w:rFonts w:eastAsia="Times New Roman"/>
          <w:color w:val="000000"/>
          <w:sz w:val="20"/>
          <w:szCs w:val="20"/>
        </w:rPr>
        <w:t xml:space="preserve">In February 2018, we issued $143,750 aggregate principal amount of our February 2023 Notes. Prior to February 2023, the February 2023 Notes are convertible at </w:t>
      </w:r>
      <w:r>
        <w:rPr>
          <w:rFonts w:eastAsia="Times New Roman"/>
          <w:color w:val="000000"/>
          <w:sz w:val="20"/>
          <w:szCs w:val="20"/>
        </w:rPr>
        <w:t xml:space="preserve">the option of the holders only under certain conditions or upon the occurrence of certain events. On March 16, 2022, we executed an agreement to exchange $117,375 of the February 2023 Notes for a new series of Exchangeable Senior Notes due October 2, 2023 </w:t>
      </w:r>
      <w:r>
        <w:rPr>
          <w:rFonts w:eastAsia="Times New Roman"/>
          <w:color w:val="000000"/>
          <w:sz w:val="20"/>
          <w:szCs w:val="20"/>
        </w:rPr>
        <w:t xml:space="preserve">(the “October 2023 Notes”). We refer to the February 2023 Notes and the October 2023 Notes as the “2023 Notes”. </w:t>
      </w:r>
    </w:p>
    <w:p w14:paraId="43772E8B" w14:textId="77777777" w:rsidR="00000000" w:rsidRDefault="000C49AD">
      <w:pPr>
        <w:jc w:val="both"/>
        <w:rPr>
          <w:rFonts w:eastAsia="Times New Roman"/>
        </w:rPr>
      </w:pPr>
    </w:p>
    <w:p w14:paraId="4E416EF9" w14:textId="77777777" w:rsidR="00000000" w:rsidRDefault="000C49AD">
      <w:pPr>
        <w:jc w:val="both"/>
        <w:rPr>
          <w:rFonts w:eastAsia="Times New Roman"/>
        </w:rPr>
      </w:pPr>
      <w:r>
        <w:rPr>
          <w:rFonts w:eastAsia="Times New Roman"/>
          <w:color w:val="000000"/>
          <w:sz w:val="20"/>
          <w:szCs w:val="20"/>
        </w:rPr>
        <w:t>If holders of the 2023 Notes elect to exchange their 2023 Notes, unless we elect to deliver solely our ADSs to settle such exchanges, we will</w:t>
      </w:r>
      <w:r>
        <w:rPr>
          <w:rFonts w:eastAsia="Times New Roman"/>
          <w:color w:val="000000"/>
          <w:sz w:val="20"/>
          <w:szCs w:val="20"/>
        </w:rPr>
        <w:t xml:space="preserve"> be required to make cash payments in respect of the 2023 Notes being exchanged. Holders of the 2023 Notes also have the right to require us to repurchase all or a portion of their 2023 Notes upon the occurrence of a fundamental change (as defined in the a</w:t>
      </w:r>
      <w:r>
        <w:rPr>
          <w:rFonts w:eastAsia="Times New Roman"/>
          <w:color w:val="000000"/>
          <w:sz w:val="20"/>
          <w:szCs w:val="20"/>
        </w:rPr>
        <w:t>pplicable indenture governing the 2023 Notes) at a repurchase price equal to 100% of the principal amount of the 2023 Notes to be repurchased, plus accrued and unpaid interest. If the 2023 Notes have not previously been exchanged or repurchased, we will be</w:t>
      </w:r>
      <w:r>
        <w:rPr>
          <w:rFonts w:eastAsia="Times New Roman"/>
          <w:color w:val="000000"/>
          <w:sz w:val="20"/>
          <w:szCs w:val="20"/>
        </w:rPr>
        <w:t xml:space="preserve"> required to repay the 2023 Notes in cash at maturity. Our ability to make cash payments in connection with exchanges of the 2023 Notes, repurchase the 2023 Notes in the event of a fundamental change, or to repay or refinance the 2023 Notes at maturity wil</w:t>
      </w:r>
      <w:r>
        <w:rPr>
          <w:rFonts w:eastAsia="Times New Roman"/>
          <w:color w:val="000000"/>
          <w:sz w:val="20"/>
          <w:szCs w:val="20"/>
        </w:rPr>
        <w:t>l depend on market conditions and our future performance, which is subject to economic, financial, competitive, and other factors many of which are beyond our control. We had limited net income in 2020 and incurred a net loss in 2021. As a result, we may n</w:t>
      </w:r>
      <w:r>
        <w:rPr>
          <w:rFonts w:eastAsia="Times New Roman"/>
          <w:color w:val="000000"/>
          <w:sz w:val="20"/>
          <w:szCs w:val="20"/>
        </w:rPr>
        <w:t>ot have enough available cash or be able to obtain financing at the time we are required to repurchase or repay the 2023 Notes or in the event we elect to pay cash with respect to 2023 Notes being exchanged.</w:t>
      </w:r>
    </w:p>
    <w:p w14:paraId="3F4B368D" w14:textId="77777777" w:rsidR="00000000" w:rsidRDefault="000C49AD">
      <w:pPr>
        <w:divId w:val="1849367037"/>
        <w:rPr>
          <w:rFonts w:eastAsia="Times New Roman"/>
        </w:rPr>
      </w:pPr>
    </w:p>
    <w:p w14:paraId="43788EDF" w14:textId="77777777" w:rsidR="00000000" w:rsidRDefault="000C49AD">
      <w:pPr>
        <w:jc w:val="both"/>
        <w:divId w:val="254242139"/>
        <w:rPr>
          <w:rFonts w:eastAsia="Times New Roman"/>
        </w:rPr>
      </w:pPr>
      <w:r>
        <w:rPr>
          <w:rFonts w:eastAsia="Times New Roman"/>
          <w:b/>
          <w:bCs/>
          <w:i/>
          <w:iCs/>
          <w:color w:val="000000"/>
          <w:sz w:val="20"/>
          <w:szCs w:val="20"/>
        </w:rPr>
        <w:t>The conditional exchange feature of the 2023 N</w:t>
      </w:r>
      <w:r>
        <w:rPr>
          <w:rFonts w:eastAsia="Times New Roman"/>
          <w:b/>
          <w:bCs/>
          <w:i/>
          <w:iCs/>
          <w:color w:val="000000"/>
          <w:sz w:val="20"/>
          <w:szCs w:val="20"/>
        </w:rPr>
        <w:t>otes, if triggered, may adversely affect our financial condition and operating results.</w:t>
      </w:r>
    </w:p>
    <w:p w14:paraId="030DDE14" w14:textId="77777777" w:rsidR="00000000" w:rsidRDefault="000C49AD">
      <w:pPr>
        <w:jc w:val="both"/>
        <w:divId w:val="1860925762"/>
        <w:rPr>
          <w:rFonts w:eastAsia="Times New Roman"/>
        </w:rPr>
      </w:pPr>
      <w:r>
        <w:rPr>
          <w:rFonts w:eastAsia="Times New Roman"/>
          <w:color w:val="000000"/>
          <w:sz w:val="20"/>
          <w:szCs w:val="20"/>
        </w:rPr>
        <w:t>In the event the conditional exchange feature of the 2023 Notes is triggered, holders of 2023 Notes will be entitled to exchange the 2023 Notes at any time during speci</w:t>
      </w:r>
      <w:r>
        <w:rPr>
          <w:rFonts w:eastAsia="Times New Roman"/>
          <w:color w:val="000000"/>
          <w:sz w:val="20"/>
          <w:szCs w:val="20"/>
        </w:rPr>
        <w:t>fied periods at their option. If one or more holders elect to exchange their 2023 Notes, unless we elect to satisfy our exchange obligation by causing to be delivered solely ADSs (other than paying cash in lieu of any fractional ADSs), we would be required</w:t>
      </w:r>
      <w:r>
        <w:rPr>
          <w:rFonts w:eastAsia="Times New Roman"/>
          <w:color w:val="000000"/>
          <w:sz w:val="20"/>
          <w:szCs w:val="20"/>
        </w:rPr>
        <w:t xml:space="preserve"> to settle a portion or all of our exchange obligation through the payment of cash, which could adversely affect our liquidity. In addition, even if holders do not elect to exchange their 2023 Notes, we could be required under applicable accounting rules t</w:t>
      </w:r>
      <w:r>
        <w:rPr>
          <w:rFonts w:eastAsia="Times New Roman"/>
          <w:color w:val="000000"/>
          <w:sz w:val="20"/>
          <w:szCs w:val="20"/>
        </w:rPr>
        <w:t>o reclassify all or a portion of the outstanding principal of the 2023 Notes as a current rather than long-term liability, which would result in a material reduction of our net working capital.</w:t>
      </w:r>
    </w:p>
    <w:p w14:paraId="460D494E" w14:textId="77777777" w:rsidR="00000000" w:rsidRDefault="000C49AD">
      <w:pPr>
        <w:jc w:val="both"/>
        <w:divId w:val="265386898"/>
        <w:rPr>
          <w:rFonts w:eastAsia="Times New Roman"/>
        </w:rPr>
      </w:pPr>
      <w:r>
        <w:rPr>
          <w:rFonts w:eastAsia="Times New Roman"/>
          <w:b/>
          <w:bCs/>
          <w:i/>
          <w:iCs/>
          <w:color w:val="000000"/>
          <w:sz w:val="20"/>
          <w:szCs w:val="20"/>
        </w:rPr>
        <w:t>The accounting method for convertible and exchangeable debt securities that may be settled in cash, such as the 2023 Notes, could have a material effect on our reported financial results.</w:t>
      </w:r>
    </w:p>
    <w:p w14:paraId="06C21D58" w14:textId="77777777" w:rsidR="00000000" w:rsidRDefault="000C49AD">
      <w:pPr>
        <w:jc w:val="both"/>
        <w:rPr>
          <w:rFonts w:eastAsia="Times New Roman"/>
        </w:rPr>
      </w:pPr>
      <w:r>
        <w:rPr>
          <w:rFonts w:eastAsia="Times New Roman"/>
          <w:color w:val="000000"/>
          <w:sz w:val="20"/>
          <w:szCs w:val="20"/>
        </w:rPr>
        <w:t>In accordance with Financial Accounting Standards Board (“FASB”) Acc</w:t>
      </w:r>
      <w:r>
        <w:rPr>
          <w:rFonts w:eastAsia="Times New Roman"/>
          <w:color w:val="000000"/>
          <w:sz w:val="20"/>
          <w:szCs w:val="20"/>
        </w:rPr>
        <w:t xml:space="preserve">ounting Standards Codification (“ASC”) Topic 470, Debt, an entity must separately account for the liability and equity components of convertible debt instruments (such as the 2023 Notes) that may be settled entirely or partially in cash upon conversion in </w:t>
      </w:r>
      <w:r>
        <w:rPr>
          <w:rFonts w:eastAsia="Times New Roman"/>
          <w:color w:val="000000"/>
          <w:sz w:val="20"/>
          <w:szCs w:val="20"/>
        </w:rPr>
        <w:t>a manner that reflects the issuer’s economic interest cost. ASC 470-20 requires the value of the conversion option of the 2023 Notes, representing the equity component, to be recorded as additional paid-in capital within stockholders’ equity in our consoli</w:t>
      </w:r>
      <w:r>
        <w:rPr>
          <w:rFonts w:eastAsia="Times New Roman"/>
          <w:color w:val="000000"/>
          <w:sz w:val="20"/>
          <w:szCs w:val="20"/>
        </w:rPr>
        <w:t>dated balance sheets and as a discount to the 2023 Notes, which reduces their initial carrying value. In addition, under the treasury stock method, if the conversion value of the 2023 Notes exceeds their principal amount for a reporting period, then we wil</w:t>
      </w:r>
      <w:r>
        <w:rPr>
          <w:rFonts w:eastAsia="Times New Roman"/>
          <w:color w:val="000000"/>
          <w:sz w:val="20"/>
          <w:szCs w:val="20"/>
        </w:rPr>
        <w:t>l calculate our diluted earnings per share assuming that all the 2023 Notes were converted and that we issued shares of our common stock to settle the excess. However, if reflecting the 2023 Notes in diluted earnings per share in this manner is anti-diluti</w:t>
      </w:r>
      <w:r>
        <w:rPr>
          <w:rFonts w:eastAsia="Times New Roman"/>
          <w:color w:val="000000"/>
          <w:sz w:val="20"/>
          <w:szCs w:val="20"/>
        </w:rPr>
        <w:t>ve, or if the conversion value of the 2023 Notes does not exceed their principal amount for a reporting period, then the shares of common stock underlying the 2023 Notes will not be reflected in our diluted earnings per share.</w:t>
      </w:r>
    </w:p>
    <w:p w14:paraId="5FEC6194" w14:textId="77777777" w:rsidR="00000000" w:rsidRDefault="000C49AD">
      <w:pPr>
        <w:jc w:val="both"/>
        <w:rPr>
          <w:rFonts w:eastAsia="Times New Roman"/>
        </w:rPr>
      </w:pPr>
    </w:p>
    <w:p w14:paraId="0A6855D7" w14:textId="77777777" w:rsidR="00000000" w:rsidRDefault="000C49AD">
      <w:pPr>
        <w:jc w:val="both"/>
        <w:rPr>
          <w:rFonts w:eastAsia="Times New Roman"/>
        </w:rPr>
      </w:pPr>
      <w:r>
        <w:rPr>
          <w:rFonts w:eastAsia="Times New Roman"/>
          <w:color w:val="000000"/>
          <w:sz w:val="20"/>
          <w:szCs w:val="20"/>
        </w:rPr>
        <w:t>In August 2020, the FASB is</w:t>
      </w:r>
      <w:r>
        <w:rPr>
          <w:rFonts w:eastAsia="Times New Roman"/>
          <w:color w:val="000000"/>
          <w:sz w:val="20"/>
          <w:szCs w:val="20"/>
        </w:rPr>
        <w:t>sued Accounting Standards Update (“ASU”) 2020-06, Debt - Debt with Conversion and Other Options (Subtopic 470-20) and Derivatives and Hedging - Contracts in Entity's Own Equity (Subtopic 815-40): Accounting for Convertible Instruments and Contracts in an E</w:t>
      </w:r>
      <w:r>
        <w:rPr>
          <w:rFonts w:eastAsia="Times New Roman"/>
          <w:color w:val="000000"/>
          <w:sz w:val="20"/>
          <w:szCs w:val="20"/>
        </w:rPr>
        <w:t>ntity's Own Equity (“ASU 2020-06”), which eliminates the beneficial conversion and cash conversion accounting models for convertible instruments. This would reduce non-cash interest expense, and thereby decrease net loss (or increase net income). Additiona</w:t>
      </w:r>
      <w:r>
        <w:rPr>
          <w:rFonts w:eastAsia="Times New Roman"/>
          <w:color w:val="000000"/>
          <w:sz w:val="20"/>
          <w:szCs w:val="20"/>
        </w:rPr>
        <w:t>lly, the treasury stock method for calculating earnings per share will no longer be allowed for convertible debt instruments whose principal amount may be settled using shares and the if-converted method will be required.</w:t>
      </w:r>
    </w:p>
    <w:p w14:paraId="5FB1E23C" w14:textId="77777777" w:rsidR="00000000" w:rsidRDefault="000C49AD">
      <w:pPr>
        <w:jc w:val="both"/>
        <w:rPr>
          <w:rFonts w:eastAsia="Times New Roman"/>
        </w:rPr>
      </w:pPr>
    </w:p>
    <w:p w14:paraId="4640FC6D" w14:textId="77777777" w:rsidR="00000000" w:rsidRDefault="000C49AD">
      <w:pPr>
        <w:jc w:val="center"/>
        <w:divId w:val="1296258017"/>
        <w:rPr>
          <w:rFonts w:eastAsia="Times New Roman"/>
        </w:rPr>
      </w:pPr>
      <w:r>
        <w:rPr>
          <w:rFonts w:eastAsia="Times New Roman"/>
          <w:color w:val="000000"/>
          <w:sz w:val="20"/>
          <w:szCs w:val="20"/>
        </w:rPr>
        <w:t>-52-</w:t>
      </w:r>
    </w:p>
    <w:p w14:paraId="4620B944" w14:textId="77777777" w:rsidR="00000000" w:rsidRDefault="000C49AD">
      <w:pPr>
        <w:rPr>
          <w:rFonts w:eastAsia="Times New Roman"/>
        </w:rPr>
      </w:pPr>
      <w:r>
        <w:rPr>
          <w:rFonts w:eastAsia="Times New Roman"/>
        </w:rPr>
        <w:pict w14:anchorId="12DED065">
          <v:rect id="_x0000_i1076" style="width:0;height:1.5pt" o:hralign="center" o:hrstd="t" o:hr="t" fillcolor="#a0a0a0" stroked="f"/>
        </w:pict>
      </w:r>
    </w:p>
    <w:p w14:paraId="70702D1B" w14:textId="77777777" w:rsidR="00000000" w:rsidRDefault="000C49AD">
      <w:pPr>
        <w:divId w:val="551649212"/>
        <w:rPr>
          <w:rFonts w:eastAsia="Times New Roman"/>
        </w:rPr>
      </w:pPr>
    </w:p>
    <w:p w14:paraId="1A7F68FC" w14:textId="77777777" w:rsidR="00000000" w:rsidRDefault="000C49AD">
      <w:pPr>
        <w:jc w:val="both"/>
        <w:rPr>
          <w:rFonts w:eastAsia="Times New Roman"/>
        </w:rPr>
      </w:pPr>
      <w:r>
        <w:rPr>
          <w:rFonts w:eastAsia="Times New Roman"/>
          <w:color w:val="000000"/>
          <w:sz w:val="20"/>
          <w:szCs w:val="20"/>
        </w:rPr>
        <w:t>We elected to early adopt ASU 2020-06 beginning with our fiscal year ending December 31, 2021, including any interim periods within that fiscal year. Under ASU 2020-06, the 2023 Notes will be subject to the “if-converted” method for calculating</w:t>
      </w:r>
      <w:r>
        <w:rPr>
          <w:rFonts w:eastAsia="Times New Roman"/>
          <w:color w:val="000000"/>
          <w:sz w:val="20"/>
          <w:szCs w:val="20"/>
        </w:rPr>
        <w:t xml:space="preserve"> diluted earnings per share. Accordingly, under the “if-converted” method, diluted earnings per share will be calculated assuming that all of the Convertible Notes were converted solely into shares of common stock at the beginning of the reporting period, </w:t>
      </w:r>
      <w:r>
        <w:rPr>
          <w:rFonts w:eastAsia="Times New Roman"/>
          <w:color w:val="000000"/>
          <w:sz w:val="20"/>
          <w:szCs w:val="20"/>
        </w:rPr>
        <w:t>unless the result would be anti-dilutive. This new method of calculating earnings per share may adversely affect our reported financial condition and results.</w:t>
      </w:r>
    </w:p>
    <w:p w14:paraId="24EB4EE9" w14:textId="77777777" w:rsidR="00000000" w:rsidRDefault="000C49AD">
      <w:pPr>
        <w:jc w:val="both"/>
        <w:rPr>
          <w:rFonts w:eastAsia="Times New Roman"/>
        </w:rPr>
      </w:pPr>
    </w:p>
    <w:p w14:paraId="723EFF6F" w14:textId="77777777" w:rsidR="00000000" w:rsidRDefault="000C49AD">
      <w:pPr>
        <w:jc w:val="both"/>
        <w:rPr>
          <w:rFonts w:eastAsia="Times New Roman"/>
        </w:rPr>
      </w:pPr>
      <w:r>
        <w:rPr>
          <w:rFonts w:eastAsia="Times New Roman"/>
          <w:color w:val="000000"/>
          <w:sz w:val="20"/>
          <w:szCs w:val="20"/>
        </w:rPr>
        <w:t>If any of the conditions to the convertibility of the 2023 Notes is satisfied, then we may be r</w:t>
      </w:r>
      <w:r>
        <w:rPr>
          <w:rFonts w:eastAsia="Times New Roman"/>
          <w:color w:val="000000"/>
          <w:sz w:val="20"/>
          <w:szCs w:val="20"/>
        </w:rPr>
        <w:t>equired under applicable accounting standards to reclassify the liability carrying value of the 2023 Notes as a current, rather than a long-term, liability. This reclassification could be required even if no noteholders convert their 2023 Notes and could m</w:t>
      </w:r>
      <w:r>
        <w:rPr>
          <w:rFonts w:eastAsia="Times New Roman"/>
          <w:color w:val="000000"/>
          <w:sz w:val="20"/>
          <w:szCs w:val="20"/>
        </w:rPr>
        <w:t>aterially reduce our reported working capital.</w:t>
      </w:r>
    </w:p>
    <w:p w14:paraId="75DA2767" w14:textId="77777777" w:rsidR="00000000" w:rsidRDefault="000C49AD">
      <w:pPr>
        <w:jc w:val="both"/>
        <w:rPr>
          <w:rFonts w:eastAsia="Times New Roman"/>
        </w:rPr>
      </w:pPr>
    </w:p>
    <w:p w14:paraId="4D2691C7" w14:textId="77777777" w:rsidR="00000000" w:rsidRDefault="000C49AD">
      <w:pPr>
        <w:jc w:val="both"/>
        <w:rPr>
          <w:rFonts w:eastAsia="Times New Roman"/>
        </w:rPr>
      </w:pPr>
      <w:r>
        <w:rPr>
          <w:rFonts w:eastAsia="Times New Roman"/>
          <w:b/>
          <w:bCs/>
          <w:i/>
          <w:iCs/>
          <w:color w:val="000000"/>
          <w:sz w:val="20"/>
          <w:szCs w:val="20"/>
        </w:rPr>
        <w:t>Exchanges of the 2023 Notes will dilute the ownership interest of our existing shareholders and holders of the ADSs, including holders who may exchange their 2023 Notes and receive ADSs upon exchange, to the</w:t>
      </w:r>
      <w:r>
        <w:rPr>
          <w:rFonts w:eastAsia="Times New Roman"/>
          <w:b/>
          <w:bCs/>
          <w:i/>
          <w:iCs/>
          <w:color w:val="000000"/>
          <w:sz w:val="20"/>
          <w:szCs w:val="20"/>
        </w:rPr>
        <w:t xml:space="preserve"> extent our exchange obligation includes ADSs.</w:t>
      </w:r>
    </w:p>
    <w:p w14:paraId="5BB366C4" w14:textId="77777777" w:rsidR="00000000" w:rsidRDefault="000C49AD">
      <w:pPr>
        <w:jc w:val="both"/>
        <w:rPr>
          <w:rFonts w:eastAsia="Times New Roman"/>
        </w:rPr>
      </w:pPr>
    </w:p>
    <w:p w14:paraId="0C7A677D" w14:textId="77777777" w:rsidR="00000000" w:rsidRDefault="000C49AD">
      <w:pPr>
        <w:jc w:val="both"/>
        <w:divId w:val="1178496917"/>
        <w:rPr>
          <w:rFonts w:eastAsia="Times New Roman"/>
        </w:rPr>
      </w:pPr>
      <w:r>
        <w:rPr>
          <w:rFonts w:eastAsia="Times New Roman"/>
          <w:color w:val="000000"/>
          <w:sz w:val="20"/>
          <w:szCs w:val="20"/>
        </w:rPr>
        <w:t>The exchange of some or all of the 2023 Notes will dilute the ownership interests of our existing shareholders and holders of the ADSs to the extent our exchange obligation includes ADSs. Any sales in the pu</w:t>
      </w:r>
      <w:r>
        <w:rPr>
          <w:rFonts w:eastAsia="Times New Roman"/>
          <w:color w:val="000000"/>
          <w:sz w:val="20"/>
          <w:szCs w:val="20"/>
        </w:rPr>
        <w:t xml:space="preserve">blic market of the ADSs issuable upon such exchange of the 2023 Notes could adversely affect prevailing market prices of the ADSs and, in turn, the price of the 2023 Notes. In addition, the existence of the 2023 Notes may encourage short selling by market </w:t>
      </w:r>
      <w:r>
        <w:rPr>
          <w:rFonts w:eastAsia="Times New Roman"/>
          <w:color w:val="000000"/>
          <w:sz w:val="20"/>
          <w:szCs w:val="20"/>
        </w:rPr>
        <w:t>participants because the exchange of the 2023 Notes could depress the price of the ADSs.</w:t>
      </w:r>
    </w:p>
    <w:p w14:paraId="4EE0EAAB" w14:textId="77777777" w:rsidR="00000000" w:rsidRDefault="000C49AD">
      <w:pPr>
        <w:jc w:val="both"/>
        <w:divId w:val="1373459017"/>
        <w:rPr>
          <w:rFonts w:eastAsia="Times New Roman"/>
        </w:rPr>
      </w:pPr>
      <w:r>
        <w:rPr>
          <w:rFonts w:eastAsia="Times New Roman"/>
          <w:b/>
          <w:bCs/>
          <w:i/>
          <w:iCs/>
          <w:color w:val="000000"/>
          <w:sz w:val="20"/>
          <w:szCs w:val="20"/>
        </w:rPr>
        <w:t>The fundamental change repurchase feature of the 2023 Notes may delay or prevent an otherwise beneficial takeover attempt of Avadel.</w:t>
      </w:r>
    </w:p>
    <w:p w14:paraId="25978E2B" w14:textId="77777777" w:rsidR="00000000" w:rsidRDefault="000C49AD">
      <w:pPr>
        <w:jc w:val="both"/>
        <w:divId w:val="1766733183"/>
        <w:rPr>
          <w:rFonts w:eastAsia="Times New Roman"/>
        </w:rPr>
      </w:pPr>
      <w:r>
        <w:rPr>
          <w:rFonts w:eastAsia="Times New Roman"/>
          <w:color w:val="000000"/>
          <w:sz w:val="20"/>
          <w:szCs w:val="20"/>
        </w:rPr>
        <w:t>The indenture governing the 2023 N</w:t>
      </w:r>
      <w:r>
        <w:rPr>
          <w:rFonts w:eastAsia="Times New Roman"/>
          <w:color w:val="000000"/>
          <w:sz w:val="20"/>
          <w:szCs w:val="20"/>
        </w:rPr>
        <w:t>otes will require us to repurchase the 2023 Notes for cash upon the occurrence of a fundamental change and, in certain circumstances, to increase the exchange rate for a holder that exchanges its 2023 Notes in connection with a make-whole fundamental chang</w:t>
      </w:r>
      <w:r>
        <w:rPr>
          <w:rFonts w:eastAsia="Times New Roman"/>
          <w:color w:val="000000"/>
          <w:sz w:val="20"/>
          <w:szCs w:val="20"/>
        </w:rPr>
        <w:t>e. A takeover of Avadel may trigger the requirement that we repurchase the 2023 Notes and/or increase the exchange rate, which could make it more costly for a potential acquirer to engage in a combinatory transaction with us. Such additional costs may have</w:t>
      </w:r>
      <w:r>
        <w:rPr>
          <w:rFonts w:eastAsia="Times New Roman"/>
          <w:color w:val="000000"/>
          <w:sz w:val="20"/>
          <w:szCs w:val="20"/>
        </w:rPr>
        <w:t xml:space="preserve"> the effect of delaying or preventing a takeover of Avadel that would otherwise be beneficial to investors.</w:t>
      </w:r>
    </w:p>
    <w:p w14:paraId="4235DE9D" w14:textId="77777777" w:rsidR="00000000" w:rsidRDefault="000C49AD">
      <w:pPr>
        <w:jc w:val="both"/>
        <w:divId w:val="1455751533"/>
        <w:rPr>
          <w:rFonts w:eastAsia="Times New Roman"/>
        </w:rPr>
      </w:pPr>
      <w:r>
        <w:rPr>
          <w:rFonts w:eastAsia="Times New Roman"/>
          <w:b/>
          <w:bCs/>
          <w:i/>
          <w:iCs/>
          <w:color w:val="000000"/>
          <w:sz w:val="20"/>
          <w:szCs w:val="20"/>
        </w:rPr>
        <w:t>If we pay dividends, the dividends may be subject to Irish dividend withholding tax</w:t>
      </w:r>
    </w:p>
    <w:p w14:paraId="27AA0275" w14:textId="77777777" w:rsidR="00000000" w:rsidRDefault="000C49AD">
      <w:pPr>
        <w:jc w:val="both"/>
        <w:rPr>
          <w:rFonts w:eastAsia="Times New Roman"/>
        </w:rPr>
      </w:pPr>
      <w:r>
        <w:rPr>
          <w:rFonts w:eastAsia="Times New Roman"/>
          <w:color w:val="000000"/>
          <w:sz w:val="20"/>
          <w:szCs w:val="20"/>
        </w:rPr>
        <w:t>In certain circumstances, as an Irish tax resident company, we m</w:t>
      </w:r>
      <w:r>
        <w:rPr>
          <w:rFonts w:eastAsia="Times New Roman"/>
          <w:color w:val="000000"/>
          <w:sz w:val="20"/>
          <w:szCs w:val="20"/>
        </w:rPr>
        <w:t>ay be required to deduct Irish dividend withholding tax (currently at the rate of 20%) from dividends paid to its shareholders. Shareholders that are resident in the U.S., EU countries (other than Ireland) or other countries with which Ireland has signed a</w:t>
      </w:r>
      <w:r>
        <w:rPr>
          <w:rFonts w:eastAsia="Times New Roman"/>
          <w:color w:val="000000"/>
          <w:sz w:val="20"/>
          <w:szCs w:val="20"/>
        </w:rPr>
        <w:t xml:space="preserve"> tax treaty (whether the treaty has been ratified or not) generally should not be subject to Irish withholding tax so long as the shareholder has provided its broker, for onward transmission to our qualifying intermediary or other designated agent (in the </w:t>
      </w:r>
      <w:r>
        <w:rPr>
          <w:rFonts w:eastAsia="Times New Roman"/>
          <w:color w:val="000000"/>
          <w:sz w:val="20"/>
          <w:szCs w:val="20"/>
        </w:rPr>
        <w:t>case of shares held beneficially), or us or our transfer agent (in the case of shares held directly), with all the necessary documentation by the appropriate due date prior to payment of the dividend. However, some shareholders may be subject to withholdin</w:t>
      </w:r>
      <w:r>
        <w:rPr>
          <w:rFonts w:eastAsia="Times New Roman"/>
          <w:color w:val="000000"/>
          <w:sz w:val="20"/>
          <w:szCs w:val="20"/>
        </w:rPr>
        <w:t>g tax, which could adversely affect the price of ordinary shares and the value of their 2023 Notes.</w:t>
      </w:r>
    </w:p>
    <w:p w14:paraId="402CF8AD" w14:textId="77777777" w:rsidR="00000000" w:rsidRDefault="000C49AD">
      <w:pPr>
        <w:jc w:val="both"/>
        <w:rPr>
          <w:rFonts w:eastAsia="Times New Roman"/>
        </w:rPr>
      </w:pPr>
    </w:p>
    <w:p w14:paraId="184CEB34" w14:textId="77777777" w:rsidR="00000000" w:rsidRDefault="000C49AD">
      <w:pPr>
        <w:jc w:val="both"/>
        <w:rPr>
          <w:rFonts w:eastAsia="Times New Roman"/>
        </w:rPr>
      </w:pPr>
      <w:r>
        <w:rPr>
          <w:rFonts w:eastAsia="Times New Roman"/>
          <w:b/>
          <w:bCs/>
          <w:color w:val="000000"/>
          <w:sz w:val="20"/>
          <w:szCs w:val="20"/>
        </w:rPr>
        <w:t>General Risk Factors</w:t>
      </w:r>
    </w:p>
    <w:p w14:paraId="59E7E203" w14:textId="77777777" w:rsidR="00000000" w:rsidRDefault="000C49AD">
      <w:pPr>
        <w:jc w:val="both"/>
        <w:rPr>
          <w:rFonts w:eastAsia="Times New Roman"/>
        </w:rPr>
      </w:pPr>
    </w:p>
    <w:p w14:paraId="2FD668CE" w14:textId="77777777" w:rsidR="00000000" w:rsidRDefault="000C49AD">
      <w:pPr>
        <w:jc w:val="both"/>
        <w:divId w:val="958876750"/>
        <w:rPr>
          <w:rFonts w:eastAsia="Times New Roman"/>
        </w:rPr>
      </w:pPr>
      <w:r>
        <w:rPr>
          <w:rFonts w:eastAsia="Times New Roman"/>
          <w:b/>
          <w:bCs/>
          <w:i/>
          <w:iCs/>
          <w:color w:val="000000"/>
          <w:sz w:val="20"/>
          <w:szCs w:val="20"/>
        </w:rPr>
        <w:t>Provisions of our articles of association could delay or prevent a third-party’s effort to acquire us.</w:t>
      </w:r>
    </w:p>
    <w:p w14:paraId="4F7F66E6" w14:textId="77777777" w:rsidR="00000000" w:rsidRDefault="000C49AD">
      <w:pPr>
        <w:jc w:val="both"/>
        <w:divId w:val="1516842862"/>
        <w:rPr>
          <w:rFonts w:eastAsia="Times New Roman"/>
        </w:rPr>
      </w:pPr>
      <w:r>
        <w:rPr>
          <w:rFonts w:eastAsia="Times New Roman"/>
          <w:color w:val="000000"/>
          <w:sz w:val="20"/>
          <w:szCs w:val="20"/>
        </w:rPr>
        <w:t xml:space="preserve">Our articles of association </w:t>
      </w:r>
      <w:r>
        <w:rPr>
          <w:rFonts w:eastAsia="Times New Roman"/>
          <w:color w:val="000000"/>
          <w:sz w:val="20"/>
          <w:szCs w:val="20"/>
        </w:rPr>
        <w:t>could delay, defer or prevent a third-party from acquiring us, even where such a transaction would be beneficial to the holders of ADSs, or could otherwise adversely affect the price of ADSs. For example, certain provisions of our articles of association:</w:t>
      </w:r>
    </w:p>
    <w:p w14:paraId="659B6B01" w14:textId="77777777" w:rsidR="00000000" w:rsidRDefault="000C49AD">
      <w:pPr>
        <w:ind w:hanging="360"/>
        <w:jc w:val="both"/>
        <w:rPr>
          <w:rFonts w:eastAsia="Times New Roman"/>
        </w:rPr>
      </w:pPr>
      <w:r>
        <w:rPr>
          <w:rFonts w:eastAsia="Times New Roman"/>
          <w:color w:val="000000"/>
          <w:sz w:val="20"/>
          <w:szCs w:val="20"/>
        </w:rPr>
        <w:t>•permit our board of directors to issue preferred shares with such rights and preferences as they may designate, subject to applicable law;</w:t>
      </w:r>
    </w:p>
    <w:p w14:paraId="16650352" w14:textId="77777777" w:rsidR="00000000" w:rsidRDefault="000C49AD">
      <w:pPr>
        <w:ind w:hanging="360"/>
        <w:jc w:val="both"/>
        <w:rPr>
          <w:rFonts w:eastAsia="Times New Roman"/>
        </w:rPr>
      </w:pPr>
      <w:r>
        <w:rPr>
          <w:rFonts w:eastAsia="Times New Roman"/>
          <w:color w:val="000000"/>
          <w:sz w:val="20"/>
          <w:szCs w:val="20"/>
        </w:rPr>
        <w:t>•impose advance notice requirements for shareholder proposals and director nominations to be considered at annual sh</w:t>
      </w:r>
      <w:r>
        <w:rPr>
          <w:rFonts w:eastAsia="Times New Roman"/>
          <w:color w:val="000000"/>
          <w:sz w:val="20"/>
          <w:szCs w:val="20"/>
        </w:rPr>
        <w:t>areholder meetings; and</w:t>
      </w:r>
    </w:p>
    <w:p w14:paraId="3C3D213A" w14:textId="77777777" w:rsidR="00000000" w:rsidRDefault="000C49AD">
      <w:pPr>
        <w:ind w:hanging="360"/>
        <w:jc w:val="both"/>
        <w:rPr>
          <w:rFonts w:eastAsia="Times New Roman"/>
        </w:rPr>
      </w:pPr>
      <w:r>
        <w:rPr>
          <w:rFonts w:eastAsia="Times New Roman"/>
          <w:color w:val="000000"/>
          <w:sz w:val="20"/>
          <w:szCs w:val="20"/>
        </w:rPr>
        <w:t>•require the approval of a supermajority of the voting power of our shares entitled to vote at a general meeting of shareholders to amend or repeal any provisions of our articles of association.</w:t>
      </w:r>
    </w:p>
    <w:p w14:paraId="10309001" w14:textId="77777777" w:rsidR="00000000" w:rsidRDefault="000C49AD">
      <w:pPr>
        <w:jc w:val="both"/>
        <w:rPr>
          <w:rFonts w:eastAsia="Times New Roman"/>
        </w:rPr>
      </w:pPr>
    </w:p>
    <w:p w14:paraId="3211395A" w14:textId="77777777" w:rsidR="00000000" w:rsidRDefault="000C49AD">
      <w:pPr>
        <w:jc w:val="center"/>
        <w:divId w:val="479004419"/>
        <w:rPr>
          <w:rFonts w:eastAsia="Times New Roman"/>
        </w:rPr>
      </w:pPr>
      <w:r>
        <w:rPr>
          <w:rFonts w:eastAsia="Times New Roman"/>
          <w:color w:val="000000"/>
          <w:sz w:val="20"/>
          <w:szCs w:val="20"/>
        </w:rPr>
        <w:t>-53-</w:t>
      </w:r>
    </w:p>
    <w:p w14:paraId="59D1F401" w14:textId="77777777" w:rsidR="00000000" w:rsidRDefault="000C49AD">
      <w:pPr>
        <w:rPr>
          <w:rFonts w:eastAsia="Times New Roman"/>
        </w:rPr>
      </w:pPr>
      <w:r>
        <w:rPr>
          <w:rFonts w:eastAsia="Times New Roman"/>
        </w:rPr>
        <w:pict w14:anchorId="08ED62E0">
          <v:rect id="_x0000_i1077" style="width:0;height:1.5pt" o:hralign="center" o:hrstd="t" o:hr="t" fillcolor="#a0a0a0" stroked="f"/>
        </w:pict>
      </w:r>
    </w:p>
    <w:p w14:paraId="668AC10C" w14:textId="77777777" w:rsidR="00000000" w:rsidRDefault="000C49AD">
      <w:pPr>
        <w:divId w:val="1247348890"/>
        <w:rPr>
          <w:rFonts w:eastAsia="Times New Roman"/>
        </w:rPr>
      </w:pPr>
    </w:p>
    <w:p w14:paraId="741CDEC5" w14:textId="77777777" w:rsidR="00000000" w:rsidRDefault="000C49AD">
      <w:pPr>
        <w:jc w:val="both"/>
        <w:divId w:val="1777677267"/>
        <w:rPr>
          <w:rFonts w:eastAsia="Times New Roman"/>
        </w:rPr>
      </w:pPr>
      <w:r>
        <w:rPr>
          <w:rFonts w:eastAsia="Times New Roman"/>
          <w:color w:val="000000"/>
          <w:sz w:val="20"/>
          <w:szCs w:val="20"/>
        </w:rPr>
        <w:t>We believe these provisions, if implemented in compliance with applicable law, may provide some protection to holders of ADSs from coercive or otherwise unfair takeover tactics. These provisions are not intended to mak</w:t>
      </w:r>
      <w:r>
        <w:rPr>
          <w:rFonts w:eastAsia="Times New Roman"/>
          <w:color w:val="000000"/>
          <w:sz w:val="20"/>
          <w:szCs w:val="20"/>
        </w:rPr>
        <w:t>e us immune from takeovers. They will, however, apply even if some holders of ADSs consider an offer to be beneficial and could delay or prevent an acquisition that our Board of Directors determines is in the best interest of the holders of ADSs. Certain o</w:t>
      </w:r>
      <w:r>
        <w:rPr>
          <w:rFonts w:eastAsia="Times New Roman"/>
          <w:color w:val="000000"/>
          <w:sz w:val="20"/>
          <w:szCs w:val="20"/>
        </w:rPr>
        <w:t>f these provisions may also prevent or discourage attempts to remove and replace incumbent directors.</w:t>
      </w:r>
    </w:p>
    <w:p w14:paraId="129B1D9C" w14:textId="77777777" w:rsidR="00000000" w:rsidRDefault="000C49AD">
      <w:pPr>
        <w:jc w:val="both"/>
        <w:divId w:val="1033533282"/>
        <w:rPr>
          <w:rFonts w:eastAsia="Times New Roman"/>
        </w:rPr>
      </w:pPr>
      <w:r>
        <w:rPr>
          <w:rFonts w:eastAsia="Times New Roman"/>
          <w:color w:val="000000"/>
          <w:sz w:val="20"/>
          <w:szCs w:val="20"/>
        </w:rPr>
        <w:t>In addition, mandatory provisions of Irish law could prevent or delay an acquisition of the Company by a third party. For example, Irish law does not perm</w:t>
      </w:r>
      <w:r>
        <w:rPr>
          <w:rFonts w:eastAsia="Times New Roman"/>
          <w:color w:val="000000"/>
          <w:sz w:val="20"/>
          <w:szCs w:val="20"/>
        </w:rPr>
        <w:t>it shareholders of an Irish public limited company to take action by written consent with less than unanimous consent. In addition, an effort to acquire us may be subject to various provisions of Irish law relating to mandatory bids, voluntary bids, requir</w:t>
      </w:r>
      <w:r>
        <w:rPr>
          <w:rFonts w:eastAsia="Times New Roman"/>
          <w:color w:val="000000"/>
          <w:sz w:val="20"/>
          <w:szCs w:val="20"/>
        </w:rPr>
        <w:t>ements to make a cash offer and minimum price requirements, as well as substantial acquisition rules and rules requiring the disclosure of interests in ADSs in certain circumstances.</w:t>
      </w:r>
    </w:p>
    <w:p w14:paraId="63CBAED4" w14:textId="77777777" w:rsidR="00000000" w:rsidRDefault="000C49AD">
      <w:pPr>
        <w:jc w:val="both"/>
        <w:divId w:val="185599117"/>
        <w:rPr>
          <w:rFonts w:eastAsia="Times New Roman"/>
        </w:rPr>
      </w:pPr>
      <w:r>
        <w:rPr>
          <w:rFonts w:eastAsia="Times New Roman"/>
          <w:color w:val="000000"/>
          <w:sz w:val="20"/>
          <w:szCs w:val="20"/>
        </w:rPr>
        <w:t>These provisions may discourage potential takeover attempts or bids for o</w:t>
      </w:r>
      <w:r>
        <w:rPr>
          <w:rFonts w:eastAsia="Times New Roman"/>
          <w:color w:val="000000"/>
          <w:sz w:val="20"/>
          <w:szCs w:val="20"/>
        </w:rPr>
        <w:t>ur ordinary shares at a premium over the market price or they may adversely affect the market price of, and the voting and other rights of the holders of, ADSs. These provisions could also discourage proxy contests and make it more difficult for holders of</w:t>
      </w:r>
      <w:r>
        <w:rPr>
          <w:rFonts w:eastAsia="Times New Roman"/>
          <w:color w:val="000000"/>
          <w:sz w:val="20"/>
          <w:szCs w:val="20"/>
        </w:rPr>
        <w:t xml:space="preserve"> ADSs to elect directors other than the candidates nominated by our board of directors and could depress affect the market price of ADSs.</w:t>
      </w:r>
    </w:p>
    <w:p w14:paraId="17FEEDF5" w14:textId="77777777" w:rsidR="00000000" w:rsidRDefault="000C49AD">
      <w:pPr>
        <w:jc w:val="both"/>
        <w:divId w:val="262109764"/>
        <w:rPr>
          <w:rFonts w:eastAsia="Times New Roman"/>
        </w:rPr>
      </w:pPr>
      <w:r>
        <w:rPr>
          <w:rFonts w:eastAsia="Times New Roman"/>
          <w:b/>
          <w:bCs/>
          <w:i/>
          <w:iCs/>
          <w:color w:val="000000"/>
          <w:sz w:val="20"/>
          <w:szCs w:val="20"/>
        </w:rPr>
        <w:t>Irish law differs from the laws in effect in the U.S. and might afford less protection to the holders of ADSs.</w:t>
      </w:r>
    </w:p>
    <w:p w14:paraId="29FB9BE8" w14:textId="77777777" w:rsidR="00000000" w:rsidRDefault="000C49AD">
      <w:pPr>
        <w:jc w:val="both"/>
        <w:divId w:val="809708152"/>
        <w:rPr>
          <w:rFonts w:eastAsia="Times New Roman"/>
        </w:rPr>
      </w:pPr>
      <w:r>
        <w:rPr>
          <w:rFonts w:eastAsia="Times New Roman"/>
          <w:color w:val="000000"/>
          <w:sz w:val="20"/>
          <w:szCs w:val="20"/>
        </w:rPr>
        <w:t>Holders</w:t>
      </w:r>
      <w:r>
        <w:rPr>
          <w:rFonts w:eastAsia="Times New Roman"/>
          <w:color w:val="000000"/>
          <w:sz w:val="20"/>
          <w:szCs w:val="20"/>
        </w:rPr>
        <w:t xml:space="preserve"> of ADSs could have more difficulty protecting their interests than would the shareholders of a U.S. corporation. As an Irish company, we are governed by Irish law, including the Irish Companies Act 2014 and the Irish Takeover Rules, which differs in some </w:t>
      </w:r>
      <w:r>
        <w:rPr>
          <w:rFonts w:eastAsia="Times New Roman"/>
          <w:color w:val="000000"/>
          <w:sz w:val="20"/>
          <w:szCs w:val="20"/>
        </w:rPr>
        <w:t>significant, and possibly material, respects from provisions set forth in various U.S. state laws applicable to U.S. corporations and their shareholders, including provisions relating to interested directors, mergers and acquisitions, takeovers, shareholde</w:t>
      </w:r>
      <w:r>
        <w:rPr>
          <w:rFonts w:eastAsia="Times New Roman"/>
          <w:color w:val="000000"/>
          <w:sz w:val="20"/>
          <w:szCs w:val="20"/>
        </w:rPr>
        <w:t>r lawsuits and indemnification of directors.</w:t>
      </w:r>
    </w:p>
    <w:p w14:paraId="3498ED32" w14:textId="77777777" w:rsidR="00000000" w:rsidRDefault="000C49AD">
      <w:pPr>
        <w:jc w:val="both"/>
        <w:divId w:val="1502814633"/>
        <w:rPr>
          <w:rFonts w:eastAsia="Times New Roman"/>
        </w:rPr>
      </w:pPr>
      <w:r>
        <w:rPr>
          <w:rFonts w:eastAsia="Times New Roman"/>
          <w:color w:val="000000"/>
          <w:sz w:val="20"/>
          <w:szCs w:val="20"/>
        </w:rPr>
        <w:t>The duties of directors and officers of an Irish company are generally owed to the company only. Therefore, under Irish law shareholders of Irish companies do not generally have a right to commence a legal actio</w:t>
      </w:r>
      <w:r>
        <w:rPr>
          <w:rFonts w:eastAsia="Times New Roman"/>
          <w:color w:val="000000"/>
          <w:sz w:val="20"/>
          <w:szCs w:val="20"/>
        </w:rPr>
        <w:t>n against directors or officers and may only do so in limited circumstances. Directors of an Irish company must act with due care and skill, honestly and in good faith with a view to the best interests of the company. Directors must not put themselves in a</w:t>
      </w:r>
      <w:r>
        <w:rPr>
          <w:rFonts w:eastAsia="Times New Roman"/>
          <w:color w:val="000000"/>
          <w:sz w:val="20"/>
          <w:szCs w:val="20"/>
        </w:rPr>
        <w:t xml:space="preserve"> position in which their duties to the company and their personal interests conflict and must disclose any personal interest in any contract or arrangement with the company or any of our subsidiaries. A director or officer can be held personally liable to </w:t>
      </w:r>
      <w:r>
        <w:rPr>
          <w:rFonts w:eastAsia="Times New Roman"/>
          <w:color w:val="000000"/>
          <w:sz w:val="20"/>
          <w:szCs w:val="20"/>
        </w:rPr>
        <w:t>the company in respect of a breach of duty to the company.</w:t>
      </w:r>
    </w:p>
    <w:p w14:paraId="69D06FCD" w14:textId="77777777" w:rsidR="00000000" w:rsidRDefault="000C49AD">
      <w:pPr>
        <w:jc w:val="both"/>
        <w:divId w:val="1514370153"/>
        <w:rPr>
          <w:rFonts w:eastAsia="Times New Roman"/>
        </w:rPr>
      </w:pPr>
      <w:r>
        <w:rPr>
          <w:rFonts w:eastAsia="Times New Roman"/>
          <w:b/>
          <w:bCs/>
          <w:i/>
          <w:iCs/>
          <w:color w:val="000000"/>
          <w:sz w:val="20"/>
          <w:szCs w:val="20"/>
        </w:rPr>
        <w:t>Judgments of U.S. courts, including those predicated on the civil liability provisions of the federal securities laws of the U.S., may not be enforceable in Irish courts.</w:t>
      </w:r>
    </w:p>
    <w:p w14:paraId="7C5E071A" w14:textId="77777777" w:rsidR="00000000" w:rsidRDefault="000C49AD">
      <w:pPr>
        <w:jc w:val="both"/>
        <w:divId w:val="135412219"/>
        <w:rPr>
          <w:rFonts w:eastAsia="Times New Roman"/>
        </w:rPr>
      </w:pPr>
      <w:r>
        <w:rPr>
          <w:rFonts w:eastAsia="Times New Roman"/>
          <w:color w:val="000000"/>
          <w:sz w:val="20"/>
          <w:szCs w:val="20"/>
        </w:rPr>
        <w:t>An investor in the U.S. ma</w:t>
      </w:r>
      <w:r>
        <w:rPr>
          <w:rFonts w:eastAsia="Times New Roman"/>
          <w:color w:val="000000"/>
          <w:sz w:val="20"/>
          <w:szCs w:val="20"/>
        </w:rPr>
        <w:t>y find it difficult to:</w:t>
      </w:r>
    </w:p>
    <w:p w14:paraId="3E436569" w14:textId="77777777" w:rsidR="00000000" w:rsidRDefault="000C49AD">
      <w:pPr>
        <w:ind w:hanging="360"/>
        <w:divId w:val="1614050104"/>
        <w:rPr>
          <w:rFonts w:eastAsia="Times New Roman"/>
        </w:rPr>
      </w:pPr>
      <w:r>
        <w:rPr>
          <w:rFonts w:eastAsia="Times New Roman"/>
          <w:color w:val="000000"/>
          <w:sz w:val="20"/>
          <w:szCs w:val="20"/>
        </w:rPr>
        <w:t>•effect service of process within the U.S. against us and our non-U.S. resident directors and officers;</w:t>
      </w:r>
    </w:p>
    <w:p w14:paraId="3A963573" w14:textId="77777777" w:rsidR="00000000" w:rsidRDefault="000C49AD">
      <w:pPr>
        <w:ind w:hanging="360"/>
        <w:jc w:val="both"/>
        <w:rPr>
          <w:rFonts w:eastAsia="Times New Roman"/>
        </w:rPr>
      </w:pPr>
      <w:r>
        <w:rPr>
          <w:rFonts w:eastAsia="Times New Roman"/>
          <w:color w:val="000000"/>
          <w:sz w:val="20"/>
          <w:szCs w:val="20"/>
        </w:rPr>
        <w:t>•enforce U.S. court judgments based upon the civil liability provisions of the U.S. federal securities laws against us and our n</w:t>
      </w:r>
      <w:r>
        <w:rPr>
          <w:rFonts w:eastAsia="Times New Roman"/>
          <w:color w:val="000000"/>
          <w:sz w:val="20"/>
          <w:szCs w:val="20"/>
        </w:rPr>
        <w:t>on-U.S. resident directors and officers in Ireland; or</w:t>
      </w:r>
    </w:p>
    <w:p w14:paraId="2F8D617B" w14:textId="77777777" w:rsidR="00000000" w:rsidRDefault="000C49AD">
      <w:pPr>
        <w:ind w:hanging="360"/>
        <w:jc w:val="both"/>
        <w:rPr>
          <w:rFonts w:eastAsia="Times New Roman"/>
        </w:rPr>
      </w:pPr>
      <w:r>
        <w:rPr>
          <w:rFonts w:eastAsia="Times New Roman"/>
          <w:color w:val="000000"/>
          <w:sz w:val="20"/>
          <w:szCs w:val="20"/>
        </w:rPr>
        <w:t>•bring an original action in an Irish court to enforce liabilities based upon the U.S. federal securities laws against us and our non-U.S. resident directors and officers.</w:t>
      </w:r>
    </w:p>
    <w:p w14:paraId="5DE18A51" w14:textId="77777777" w:rsidR="00000000" w:rsidRDefault="000C49AD">
      <w:pPr>
        <w:jc w:val="both"/>
        <w:rPr>
          <w:rFonts w:eastAsia="Times New Roman"/>
        </w:rPr>
      </w:pPr>
    </w:p>
    <w:p w14:paraId="30842F13" w14:textId="77777777" w:rsidR="00000000" w:rsidRDefault="000C49AD">
      <w:pPr>
        <w:jc w:val="both"/>
        <w:rPr>
          <w:rFonts w:eastAsia="Times New Roman"/>
        </w:rPr>
      </w:pPr>
      <w:r>
        <w:rPr>
          <w:rFonts w:eastAsia="Times New Roman"/>
          <w:b/>
          <w:bCs/>
          <w:i/>
          <w:iCs/>
          <w:color w:val="000000"/>
          <w:sz w:val="20"/>
          <w:szCs w:val="20"/>
        </w:rPr>
        <w:t>Judgments of U.S. courts, i</w:t>
      </w:r>
      <w:r>
        <w:rPr>
          <w:rFonts w:eastAsia="Times New Roman"/>
          <w:b/>
          <w:bCs/>
          <w:i/>
          <w:iCs/>
          <w:color w:val="000000"/>
          <w:sz w:val="20"/>
          <w:szCs w:val="20"/>
        </w:rPr>
        <w:t>ncluding those predicated on the civil liability provisions of the federal securities laws of the United States, may not be enforceable in Cayman Islands courts.</w:t>
      </w:r>
    </w:p>
    <w:p w14:paraId="5A0ECA16" w14:textId="77777777" w:rsidR="00000000" w:rsidRDefault="000C49AD">
      <w:pPr>
        <w:jc w:val="both"/>
        <w:rPr>
          <w:rFonts w:eastAsia="Times New Roman"/>
        </w:rPr>
      </w:pPr>
    </w:p>
    <w:p w14:paraId="046B9433" w14:textId="77777777" w:rsidR="00000000" w:rsidRDefault="000C49AD">
      <w:pPr>
        <w:jc w:val="both"/>
        <w:rPr>
          <w:rFonts w:eastAsia="Times New Roman"/>
        </w:rPr>
      </w:pPr>
      <w:r>
        <w:rPr>
          <w:rFonts w:eastAsia="Times New Roman"/>
          <w:color w:val="000000"/>
          <w:sz w:val="20"/>
          <w:szCs w:val="20"/>
        </w:rPr>
        <w:t>We have been advised by our Cayman Islands legal counsel, Maples and Calder, that the courts</w:t>
      </w:r>
      <w:r>
        <w:rPr>
          <w:rFonts w:eastAsia="Times New Roman"/>
          <w:color w:val="000000"/>
          <w:sz w:val="20"/>
          <w:szCs w:val="20"/>
        </w:rPr>
        <w:t xml:space="preserve"> of the Cayman Islands are unlikely (i) to recognize or enforce against us or Avadel judgments of courts of the U.S. predicated upon the civil liability provisions of the securities laws of the U.S. or any State; and (ii) in original actions brought in the</w:t>
      </w:r>
      <w:r>
        <w:rPr>
          <w:rFonts w:eastAsia="Times New Roman"/>
          <w:color w:val="000000"/>
          <w:sz w:val="20"/>
          <w:szCs w:val="20"/>
        </w:rPr>
        <w:t xml:space="preserve"> Cayman Islands, to impose liabilities against us or Avadel predicated upon the civil liability provisions of the securities laws of the U.S. or any State, so far as the liabilities imposed by those provisions are penal in nature. In those circumstances, a</w:t>
      </w:r>
      <w:r>
        <w:rPr>
          <w:rFonts w:eastAsia="Times New Roman"/>
          <w:color w:val="000000"/>
          <w:sz w:val="20"/>
          <w:szCs w:val="20"/>
        </w:rPr>
        <w:t>lthough there is no statutory enforcement in the Cayman Islands of judgments obtained in the U.S., the courts of the Cayman Islands will recognize and enforce a foreign money judgment of a foreign court of competent jurisdiction without retrial on the meri</w:t>
      </w:r>
      <w:r>
        <w:rPr>
          <w:rFonts w:eastAsia="Times New Roman"/>
          <w:color w:val="000000"/>
          <w:sz w:val="20"/>
          <w:szCs w:val="20"/>
        </w:rPr>
        <w:t xml:space="preserve">ts based on the principle that a judgment of a competent foreign court imposes upon the judgment debtor an obligation to pay the sum for which judgment has been given provided certain conditions are met. For a foreign judgment to be enforced in the Cayman </w:t>
      </w:r>
      <w:r>
        <w:rPr>
          <w:rFonts w:eastAsia="Times New Roman"/>
          <w:color w:val="000000"/>
          <w:sz w:val="20"/>
          <w:szCs w:val="20"/>
        </w:rPr>
        <w:t>Islands, such judgment must be final and conclusive and for a liquidated sum, and must not be in respect of taxes or a fine or penalty, inconsistent with a Cayman Islands judgment in respect of the same matter, impeachable on the grounds of fraud or obtain</w:t>
      </w:r>
      <w:r>
        <w:rPr>
          <w:rFonts w:eastAsia="Times New Roman"/>
          <w:color w:val="000000"/>
          <w:sz w:val="20"/>
          <w:szCs w:val="20"/>
        </w:rPr>
        <w:t xml:space="preserve">ed in a manner, and or be of a kind the enforcement of which is, contrary to natural justice or the public policy of the </w:t>
      </w:r>
    </w:p>
    <w:p w14:paraId="2E2112B7" w14:textId="77777777" w:rsidR="00000000" w:rsidRDefault="000C49AD">
      <w:pPr>
        <w:jc w:val="center"/>
        <w:divId w:val="1258947967"/>
        <w:rPr>
          <w:rFonts w:eastAsia="Times New Roman"/>
        </w:rPr>
      </w:pPr>
      <w:r>
        <w:rPr>
          <w:rFonts w:eastAsia="Times New Roman"/>
          <w:color w:val="000000"/>
          <w:sz w:val="20"/>
          <w:szCs w:val="20"/>
        </w:rPr>
        <w:t>-54-</w:t>
      </w:r>
    </w:p>
    <w:p w14:paraId="45D7B412" w14:textId="77777777" w:rsidR="00000000" w:rsidRDefault="000C49AD">
      <w:pPr>
        <w:rPr>
          <w:rFonts w:eastAsia="Times New Roman"/>
        </w:rPr>
      </w:pPr>
      <w:r>
        <w:rPr>
          <w:rFonts w:eastAsia="Times New Roman"/>
        </w:rPr>
        <w:pict w14:anchorId="15F6D6FC">
          <v:rect id="_x0000_i1078" style="width:0;height:1.5pt" o:hralign="center" o:hrstd="t" o:hr="t" fillcolor="#a0a0a0" stroked="f"/>
        </w:pict>
      </w:r>
    </w:p>
    <w:p w14:paraId="7F23FC37" w14:textId="77777777" w:rsidR="00000000" w:rsidRDefault="000C49AD">
      <w:pPr>
        <w:divId w:val="859707633"/>
        <w:rPr>
          <w:rFonts w:eastAsia="Times New Roman"/>
        </w:rPr>
      </w:pPr>
    </w:p>
    <w:p w14:paraId="228FB67B" w14:textId="77777777" w:rsidR="00000000" w:rsidRDefault="000C49AD">
      <w:pPr>
        <w:jc w:val="both"/>
        <w:rPr>
          <w:rFonts w:eastAsia="Times New Roman"/>
        </w:rPr>
      </w:pPr>
      <w:r>
        <w:rPr>
          <w:rFonts w:eastAsia="Times New Roman"/>
          <w:color w:val="000000"/>
          <w:sz w:val="20"/>
          <w:szCs w:val="20"/>
        </w:rPr>
        <w:t>Cayman Islands (awards of punitive or multiple damages may well be held to be contrary to public policy). A Cayman Islands Court may stay enforcement proceedings if concurrent proceedings are being brought elsewhere.</w:t>
      </w:r>
    </w:p>
    <w:p w14:paraId="7E5840C1" w14:textId="77777777" w:rsidR="00000000" w:rsidRDefault="000C49AD">
      <w:pPr>
        <w:jc w:val="both"/>
        <w:rPr>
          <w:rFonts w:eastAsia="Times New Roman"/>
        </w:rPr>
      </w:pPr>
    </w:p>
    <w:p w14:paraId="1AB93589" w14:textId="77777777" w:rsidR="00000000" w:rsidRDefault="000C49AD">
      <w:pPr>
        <w:jc w:val="both"/>
        <w:divId w:val="1918663609"/>
        <w:rPr>
          <w:rFonts w:eastAsia="Times New Roman"/>
        </w:rPr>
      </w:pPr>
      <w:r>
        <w:rPr>
          <w:rFonts w:eastAsia="Times New Roman"/>
          <w:b/>
          <w:bCs/>
          <w:i/>
          <w:iCs/>
          <w:color w:val="000000"/>
          <w:sz w:val="20"/>
          <w:szCs w:val="20"/>
        </w:rPr>
        <w:t>Holders of ADSs have fewer rights than shareholders and have to act through the Depositary to exercise those rights.</w:t>
      </w:r>
    </w:p>
    <w:p w14:paraId="4E478157" w14:textId="77777777" w:rsidR="00000000" w:rsidRDefault="000C49AD">
      <w:pPr>
        <w:jc w:val="both"/>
        <w:divId w:val="357779659"/>
        <w:rPr>
          <w:rFonts w:eastAsia="Times New Roman"/>
        </w:rPr>
      </w:pPr>
      <w:r>
        <w:rPr>
          <w:rFonts w:eastAsia="Times New Roman"/>
          <w:color w:val="000000"/>
          <w:sz w:val="20"/>
          <w:szCs w:val="20"/>
        </w:rPr>
        <w:t xml:space="preserve">Holders of ADSs do not have the same rights as shareholders and, accordingly, cannot exercise rights of shareholders against us. The Bank </w:t>
      </w:r>
      <w:r>
        <w:rPr>
          <w:rFonts w:eastAsia="Times New Roman"/>
          <w:color w:val="000000"/>
          <w:sz w:val="20"/>
          <w:szCs w:val="20"/>
        </w:rPr>
        <w:t xml:space="preserve">of New York Mellon, as depositary (the “Depositary”), is the registered shareholder of the deposited shares underlying the ADSs. Therefore, holders of ADSs will generally have to exercise the rights attached to those shares through the Depositary. We will </w:t>
      </w:r>
      <w:r>
        <w:rPr>
          <w:rFonts w:eastAsia="Times New Roman"/>
          <w:color w:val="000000"/>
          <w:sz w:val="20"/>
          <w:szCs w:val="20"/>
        </w:rPr>
        <w:t xml:space="preserve">use reasonable efforts to request that the Depositary notify the holders of ADSs of upcoming votes and ask for voting instructions from them. If a holder fails to return a voting instruction card to the Depositary by the date established by the Depositary </w:t>
      </w:r>
      <w:r>
        <w:rPr>
          <w:rFonts w:eastAsia="Times New Roman"/>
          <w:color w:val="000000"/>
          <w:sz w:val="20"/>
          <w:szCs w:val="20"/>
        </w:rPr>
        <w:t>for receipt of such voting instructions, or if the Depositary receives an improperly completed or blank voting instruction card, or if the voting instructions included in the voting instruction card are illegible or unclear, then such holder will be deemed</w:t>
      </w:r>
      <w:r>
        <w:rPr>
          <w:rFonts w:eastAsia="Times New Roman"/>
          <w:color w:val="000000"/>
          <w:sz w:val="20"/>
          <w:szCs w:val="20"/>
        </w:rPr>
        <w:t xml:space="preserve"> to have instructed the Depositary to vote its shares, and the Depositary shall vote such shares in favor of any resolution proposed or approved by our Board of Directors and against any resolution not so proposed or approved.</w:t>
      </w:r>
    </w:p>
    <w:p w14:paraId="2839C5C4" w14:textId="77777777" w:rsidR="00000000" w:rsidRDefault="000C49AD">
      <w:pPr>
        <w:jc w:val="both"/>
        <w:rPr>
          <w:rFonts w:eastAsia="Times New Roman"/>
        </w:rPr>
      </w:pPr>
      <w:r>
        <w:rPr>
          <w:rFonts w:eastAsia="Times New Roman"/>
          <w:b/>
          <w:bCs/>
          <w:i/>
          <w:iCs/>
          <w:color w:val="000000"/>
          <w:sz w:val="20"/>
          <w:szCs w:val="20"/>
        </w:rPr>
        <w:t>Security breaches and other disruptions could compromise confidential information and expose us to liability and cause our business and reputation to suffer.</w:t>
      </w:r>
    </w:p>
    <w:p w14:paraId="4B64BDE7" w14:textId="77777777" w:rsidR="00000000" w:rsidRDefault="000C49AD">
      <w:pPr>
        <w:jc w:val="both"/>
        <w:rPr>
          <w:rFonts w:eastAsia="Times New Roman"/>
        </w:rPr>
      </w:pPr>
    </w:p>
    <w:p w14:paraId="72D62E9E" w14:textId="77777777" w:rsidR="00000000" w:rsidRDefault="000C49AD">
      <w:pPr>
        <w:jc w:val="both"/>
        <w:rPr>
          <w:rFonts w:eastAsia="Times New Roman"/>
        </w:rPr>
      </w:pPr>
      <w:r>
        <w:rPr>
          <w:rFonts w:eastAsia="Times New Roman"/>
          <w:color w:val="000000"/>
          <w:sz w:val="20"/>
          <w:szCs w:val="20"/>
        </w:rPr>
        <w:t>In the ordinary course of our business, we collect and store on our networks various intellectua</w:t>
      </w:r>
      <w:r>
        <w:rPr>
          <w:rFonts w:eastAsia="Times New Roman"/>
          <w:color w:val="000000"/>
          <w:sz w:val="20"/>
          <w:szCs w:val="20"/>
        </w:rPr>
        <w:t>l property including our proprietary business information and that of former customers, suppliers and business partners. The secure maintenance and transmission of this information is critical to our operations and business strategy. Despite our security m</w:t>
      </w:r>
      <w:r>
        <w:rPr>
          <w:rFonts w:eastAsia="Times New Roman"/>
          <w:color w:val="000000"/>
          <w:sz w:val="20"/>
          <w:szCs w:val="20"/>
        </w:rPr>
        <w:t>easures, our information systems and infrastructure may be vulnerable to disruptions such as computer hacking, phishing attacks, ransomware, dissemination of computer viruses, worms and other destructive or disruptive software, attacks by hackers or breach</w:t>
      </w:r>
      <w:r>
        <w:rPr>
          <w:rFonts w:eastAsia="Times New Roman"/>
          <w:color w:val="000000"/>
          <w:sz w:val="20"/>
          <w:szCs w:val="20"/>
        </w:rPr>
        <w:t>ed due to employee error, malfeasance or other disruptions. Any such breach could compromise our networks and the information stored there could be accessed, publicly disclosed, lost or stolen. Any such access, disclosure or other loss of information could</w:t>
      </w:r>
      <w:r>
        <w:rPr>
          <w:rFonts w:eastAsia="Times New Roman"/>
          <w:color w:val="000000"/>
          <w:sz w:val="20"/>
          <w:szCs w:val="20"/>
        </w:rPr>
        <w:t xml:space="preserve"> result in legal claims or proceedings, investigations by regulatory authorities in the U.S. and EU Member States, disruption to our operations and damage to our reputation, any of which could adversely affect our business.</w:t>
      </w:r>
    </w:p>
    <w:p w14:paraId="1DC74C3A" w14:textId="77777777" w:rsidR="00000000" w:rsidRDefault="000C49AD">
      <w:pPr>
        <w:jc w:val="both"/>
        <w:rPr>
          <w:rFonts w:eastAsia="Times New Roman"/>
        </w:rPr>
      </w:pPr>
    </w:p>
    <w:p w14:paraId="01C4050C" w14:textId="77777777" w:rsidR="00000000" w:rsidRDefault="000C49AD">
      <w:pPr>
        <w:jc w:val="both"/>
        <w:rPr>
          <w:rFonts w:eastAsia="Times New Roman"/>
        </w:rPr>
      </w:pPr>
      <w:r>
        <w:rPr>
          <w:rFonts w:eastAsia="Times New Roman"/>
          <w:color w:val="000000"/>
          <w:sz w:val="20"/>
          <w:szCs w:val="20"/>
        </w:rPr>
        <w:t>We could suffer financial loss</w:t>
      </w:r>
      <w:r>
        <w:rPr>
          <w:rFonts w:eastAsia="Times New Roman"/>
          <w:color w:val="000000"/>
          <w:sz w:val="20"/>
          <w:szCs w:val="20"/>
        </w:rPr>
        <w:t xml:space="preserve"> or the loss of valuable confidential information. Although we develop and maintain systems and controls designed to prevent these events from occurring and we have a process to identify and mitigate threats, the development and maintenance of these system</w:t>
      </w:r>
      <w:r>
        <w:rPr>
          <w:rFonts w:eastAsia="Times New Roman"/>
          <w:color w:val="000000"/>
          <w:sz w:val="20"/>
          <w:szCs w:val="20"/>
        </w:rPr>
        <w:t>s, controls and processes is costly and requires ongoing monitoring and updating as technologies change and efforts to overcome security measures become increasingly sophisticated. Moreover, despite our efforts, the possibility of these events occurring ca</w:t>
      </w:r>
      <w:r>
        <w:rPr>
          <w:rFonts w:eastAsia="Times New Roman"/>
          <w:color w:val="000000"/>
          <w:sz w:val="20"/>
          <w:szCs w:val="20"/>
        </w:rPr>
        <w:t xml:space="preserve">nnot be eliminated entirely and there can be no assurance that any measures we take will prevent cyber-attacks or security breaches that could adversely affect our business. </w:t>
      </w:r>
    </w:p>
    <w:p w14:paraId="580244C5" w14:textId="77777777" w:rsidR="00000000" w:rsidRDefault="000C49AD">
      <w:pPr>
        <w:divId w:val="526790794"/>
        <w:rPr>
          <w:rFonts w:eastAsia="Times New Roman"/>
        </w:rPr>
      </w:pPr>
    </w:p>
    <w:p w14:paraId="6A15283C" w14:textId="77777777" w:rsidR="00000000" w:rsidRDefault="000C49AD">
      <w:pPr>
        <w:jc w:val="both"/>
        <w:rPr>
          <w:rFonts w:eastAsia="Times New Roman"/>
        </w:rPr>
      </w:pPr>
      <w:r>
        <w:rPr>
          <w:rFonts w:eastAsia="Times New Roman"/>
          <w:b/>
          <w:bCs/>
          <w:i/>
          <w:iCs/>
          <w:color w:val="000000"/>
          <w:sz w:val="20"/>
          <w:szCs w:val="20"/>
        </w:rPr>
        <w:t>We have broad discretion in the use of our cash and may not use it effectively.</w:t>
      </w:r>
    </w:p>
    <w:p w14:paraId="48B58181" w14:textId="77777777" w:rsidR="00000000" w:rsidRDefault="000C49AD">
      <w:pPr>
        <w:jc w:val="both"/>
        <w:rPr>
          <w:rFonts w:eastAsia="Times New Roman"/>
        </w:rPr>
      </w:pPr>
    </w:p>
    <w:p w14:paraId="7636076E" w14:textId="77777777" w:rsidR="00000000" w:rsidRDefault="000C49AD">
      <w:pPr>
        <w:jc w:val="both"/>
        <w:rPr>
          <w:rFonts w:eastAsia="Times New Roman"/>
        </w:rPr>
      </w:pPr>
      <w:r>
        <w:rPr>
          <w:rFonts w:eastAsia="Times New Roman"/>
          <w:color w:val="000000"/>
          <w:sz w:val="20"/>
          <w:szCs w:val="20"/>
        </w:rPr>
        <w:t>Our management has broad discretion in the use of our cash and may not apply our cash in ways that ultimately increases the value of any investment in our securities. We currently intend to use our cash to fund marketing activities for any future commer</w:t>
      </w:r>
      <w:r>
        <w:rPr>
          <w:rFonts w:eastAsia="Times New Roman"/>
          <w:color w:val="000000"/>
          <w:sz w:val="20"/>
          <w:szCs w:val="20"/>
        </w:rPr>
        <w:t>cialized products, to fund certain clinical trials for product candidates, to fund research and development activities for potential new product candidates, and for working capital, capital expenditures and general corporate purposes. As in the past we exp</w:t>
      </w:r>
      <w:r>
        <w:rPr>
          <w:rFonts w:eastAsia="Times New Roman"/>
          <w:color w:val="000000"/>
          <w:sz w:val="20"/>
          <w:szCs w:val="20"/>
        </w:rPr>
        <w:t>ect to invest our excess cash in available-for-sale marketable securities, including corporate bonds, U.S. government securities, other fixed income securities and equities; and these investments may not yield a favorable return. If we do not invest or app</w:t>
      </w:r>
      <w:r>
        <w:rPr>
          <w:rFonts w:eastAsia="Times New Roman"/>
          <w:color w:val="000000"/>
          <w:sz w:val="20"/>
          <w:szCs w:val="20"/>
        </w:rPr>
        <w:t>ly our cash effectively, our financial position and the price of ADSs may decline.</w:t>
      </w:r>
    </w:p>
    <w:p w14:paraId="11C7F170" w14:textId="77777777" w:rsidR="00000000" w:rsidRDefault="000C49AD">
      <w:pPr>
        <w:jc w:val="both"/>
        <w:rPr>
          <w:rFonts w:eastAsia="Times New Roman"/>
        </w:rPr>
      </w:pPr>
    </w:p>
    <w:p w14:paraId="3E860D82" w14:textId="77777777" w:rsidR="00000000" w:rsidRDefault="000C49AD">
      <w:pPr>
        <w:jc w:val="both"/>
        <w:rPr>
          <w:rFonts w:eastAsia="Times New Roman"/>
        </w:rPr>
      </w:pPr>
      <w:r>
        <w:rPr>
          <w:rFonts w:eastAsia="Times New Roman"/>
          <w:b/>
          <w:bCs/>
          <w:i/>
          <w:iCs/>
          <w:color w:val="000000"/>
          <w:sz w:val="20"/>
          <w:szCs w:val="20"/>
        </w:rPr>
        <w:t>We currently do not intend to pay dividends and cannot assure the holders of our ADSs that we will make dividend payments in the future.</w:t>
      </w:r>
    </w:p>
    <w:p w14:paraId="37C11A6E" w14:textId="77777777" w:rsidR="00000000" w:rsidRDefault="000C49AD">
      <w:pPr>
        <w:jc w:val="both"/>
        <w:rPr>
          <w:rFonts w:eastAsia="Times New Roman"/>
        </w:rPr>
      </w:pPr>
    </w:p>
    <w:p w14:paraId="061FBE83" w14:textId="77777777" w:rsidR="00000000" w:rsidRDefault="000C49AD">
      <w:pPr>
        <w:jc w:val="both"/>
        <w:rPr>
          <w:rFonts w:eastAsia="Times New Roman"/>
        </w:rPr>
      </w:pPr>
      <w:r>
        <w:rPr>
          <w:rFonts w:eastAsia="Times New Roman"/>
          <w:color w:val="000000"/>
          <w:sz w:val="20"/>
          <w:szCs w:val="20"/>
        </w:rPr>
        <w:t>We have never declared or paid a</w:t>
      </w:r>
      <w:r>
        <w:rPr>
          <w:rFonts w:eastAsia="Times New Roman"/>
          <w:color w:val="000000"/>
          <w:sz w:val="20"/>
          <w:szCs w:val="20"/>
        </w:rPr>
        <w:t xml:space="preserve"> cash dividend on any of our ordinary shares or ADSs and do not anticipate declaring cash dividends in the foreseeable future. Declaration of dividends will depend upon, among other things, future earnings, if any, the operating and financial condition of </w:t>
      </w:r>
      <w:r>
        <w:rPr>
          <w:rFonts w:eastAsia="Times New Roman"/>
          <w:color w:val="000000"/>
          <w:sz w:val="20"/>
          <w:szCs w:val="20"/>
        </w:rPr>
        <w:t>our business, our capital requirements, general business conditions and such other factors as our Board of Directors deems relevant.</w:t>
      </w:r>
    </w:p>
    <w:p w14:paraId="0ADC652F" w14:textId="77777777" w:rsidR="00000000" w:rsidRDefault="000C49AD">
      <w:pPr>
        <w:divId w:val="1079642149"/>
        <w:rPr>
          <w:rFonts w:eastAsia="Times New Roman"/>
        </w:rPr>
      </w:pPr>
    </w:p>
    <w:p w14:paraId="44227B64" w14:textId="77777777" w:rsidR="00000000" w:rsidRDefault="000C49AD">
      <w:pPr>
        <w:jc w:val="both"/>
        <w:rPr>
          <w:rFonts w:eastAsia="Times New Roman"/>
        </w:rPr>
      </w:pPr>
      <w:r>
        <w:rPr>
          <w:rFonts w:eastAsia="Times New Roman"/>
          <w:b/>
          <w:bCs/>
          <w:i/>
          <w:iCs/>
          <w:color w:val="000000"/>
          <w:sz w:val="20"/>
          <w:szCs w:val="20"/>
        </w:rPr>
        <w:t>Our effective tax rate could be highly volatile and could adversely affect our operating results.</w:t>
      </w:r>
    </w:p>
    <w:p w14:paraId="79E47175" w14:textId="77777777" w:rsidR="00000000" w:rsidRDefault="000C49AD">
      <w:pPr>
        <w:jc w:val="both"/>
        <w:rPr>
          <w:rFonts w:eastAsia="Times New Roman"/>
        </w:rPr>
      </w:pPr>
    </w:p>
    <w:p w14:paraId="4BE1964E" w14:textId="77777777" w:rsidR="00000000" w:rsidRDefault="000C49AD">
      <w:pPr>
        <w:jc w:val="both"/>
        <w:rPr>
          <w:rFonts w:eastAsia="Times New Roman"/>
        </w:rPr>
      </w:pPr>
      <w:r>
        <w:rPr>
          <w:rFonts w:eastAsia="Times New Roman"/>
          <w:color w:val="000000"/>
          <w:sz w:val="20"/>
          <w:szCs w:val="20"/>
        </w:rPr>
        <w:t xml:space="preserve">Our future effective </w:t>
      </w:r>
      <w:r>
        <w:rPr>
          <w:rFonts w:eastAsia="Times New Roman"/>
          <w:color w:val="000000"/>
          <w:sz w:val="20"/>
          <w:szCs w:val="20"/>
        </w:rPr>
        <w:t>tax rate may be adversely affected by a number of factors, many of which are outside of our control, including:</w:t>
      </w:r>
    </w:p>
    <w:p w14:paraId="28501178" w14:textId="77777777" w:rsidR="00000000" w:rsidRDefault="000C49AD">
      <w:pPr>
        <w:jc w:val="both"/>
        <w:rPr>
          <w:rFonts w:eastAsia="Times New Roman"/>
        </w:rPr>
      </w:pPr>
    </w:p>
    <w:p w14:paraId="22BAE7FC" w14:textId="77777777" w:rsidR="00000000" w:rsidRDefault="000C49AD">
      <w:pPr>
        <w:ind w:hanging="360"/>
        <w:jc w:val="both"/>
        <w:rPr>
          <w:rFonts w:eastAsia="Times New Roman"/>
        </w:rPr>
      </w:pPr>
      <w:r>
        <w:rPr>
          <w:rFonts w:eastAsia="Times New Roman"/>
          <w:color w:val="000000"/>
          <w:sz w:val="20"/>
          <w:szCs w:val="20"/>
        </w:rPr>
        <w:t>•the jurisdictions in which profits are determined to be earned and taxed;</w:t>
      </w:r>
    </w:p>
    <w:p w14:paraId="77627BA5" w14:textId="77777777" w:rsidR="00000000" w:rsidRDefault="000C49AD">
      <w:pPr>
        <w:jc w:val="center"/>
        <w:divId w:val="1817214234"/>
        <w:rPr>
          <w:rFonts w:eastAsia="Times New Roman"/>
        </w:rPr>
      </w:pPr>
      <w:r>
        <w:rPr>
          <w:rFonts w:eastAsia="Times New Roman"/>
          <w:color w:val="000000"/>
          <w:sz w:val="20"/>
          <w:szCs w:val="20"/>
        </w:rPr>
        <w:t>-55-</w:t>
      </w:r>
    </w:p>
    <w:p w14:paraId="182E65A0" w14:textId="77777777" w:rsidR="00000000" w:rsidRDefault="000C49AD">
      <w:pPr>
        <w:rPr>
          <w:rFonts w:eastAsia="Times New Roman"/>
        </w:rPr>
      </w:pPr>
      <w:r>
        <w:rPr>
          <w:rFonts w:eastAsia="Times New Roman"/>
        </w:rPr>
        <w:pict w14:anchorId="39A25072">
          <v:rect id="_x0000_i1079" style="width:0;height:1.5pt" o:hralign="center" o:hrstd="t" o:hr="t" fillcolor="#a0a0a0" stroked="f"/>
        </w:pict>
      </w:r>
    </w:p>
    <w:p w14:paraId="46FD6831" w14:textId="77777777" w:rsidR="00000000" w:rsidRDefault="000C49AD">
      <w:pPr>
        <w:divId w:val="1393314824"/>
        <w:rPr>
          <w:rFonts w:eastAsia="Times New Roman"/>
        </w:rPr>
      </w:pPr>
    </w:p>
    <w:p w14:paraId="0292FB11" w14:textId="77777777" w:rsidR="00000000" w:rsidRDefault="000C49AD">
      <w:pPr>
        <w:ind w:hanging="360"/>
        <w:jc w:val="both"/>
        <w:rPr>
          <w:rFonts w:eastAsia="Times New Roman"/>
        </w:rPr>
      </w:pPr>
      <w:r>
        <w:rPr>
          <w:rFonts w:eastAsia="Times New Roman"/>
          <w:color w:val="000000"/>
          <w:sz w:val="20"/>
          <w:szCs w:val="20"/>
        </w:rPr>
        <w:t>•changes in the valuatio</w:t>
      </w:r>
      <w:r>
        <w:rPr>
          <w:rFonts w:eastAsia="Times New Roman"/>
          <w:color w:val="000000"/>
          <w:sz w:val="20"/>
          <w:szCs w:val="20"/>
        </w:rPr>
        <w:t>n of our deferred tax assets and liabilities;</w:t>
      </w:r>
    </w:p>
    <w:p w14:paraId="5BB677CB" w14:textId="77777777" w:rsidR="00000000" w:rsidRDefault="000C49AD">
      <w:pPr>
        <w:ind w:hanging="360"/>
        <w:jc w:val="both"/>
        <w:rPr>
          <w:rFonts w:eastAsia="Times New Roman"/>
        </w:rPr>
      </w:pPr>
      <w:r>
        <w:rPr>
          <w:rFonts w:eastAsia="Times New Roman"/>
          <w:color w:val="000000"/>
          <w:sz w:val="20"/>
          <w:szCs w:val="20"/>
        </w:rPr>
        <w:t>•changes in share-based compensation expense;</w:t>
      </w:r>
    </w:p>
    <w:p w14:paraId="021E7E92" w14:textId="77777777" w:rsidR="00000000" w:rsidRDefault="000C49AD">
      <w:pPr>
        <w:ind w:hanging="360"/>
        <w:jc w:val="both"/>
        <w:rPr>
          <w:rFonts w:eastAsia="Times New Roman"/>
        </w:rPr>
      </w:pPr>
      <w:r>
        <w:rPr>
          <w:rFonts w:eastAsia="Times New Roman"/>
          <w:color w:val="000000"/>
          <w:sz w:val="20"/>
          <w:szCs w:val="20"/>
        </w:rPr>
        <w:t>•changes in domestic or international tax laws or the interpretation of such tax laws;</w:t>
      </w:r>
    </w:p>
    <w:p w14:paraId="66EA46A8" w14:textId="77777777" w:rsidR="00000000" w:rsidRDefault="000C49AD">
      <w:pPr>
        <w:ind w:hanging="360"/>
        <w:jc w:val="both"/>
        <w:rPr>
          <w:rFonts w:eastAsia="Times New Roman"/>
        </w:rPr>
      </w:pPr>
      <w:r>
        <w:rPr>
          <w:rFonts w:eastAsia="Times New Roman"/>
          <w:color w:val="000000"/>
          <w:sz w:val="20"/>
          <w:szCs w:val="20"/>
        </w:rPr>
        <w:t>•changes in available tax credits;</w:t>
      </w:r>
    </w:p>
    <w:p w14:paraId="44A58DE6" w14:textId="77777777" w:rsidR="00000000" w:rsidRDefault="000C49AD">
      <w:pPr>
        <w:ind w:hanging="360"/>
        <w:jc w:val="both"/>
        <w:rPr>
          <w:rFonts w:eastAsia="Times New Roman"/>
        </w:rPr>
      </w:pPr>
      <w:r>
        <w:rPr>
          <w:rFonts w:eastAsia="Times New Roman"/>
          <w:color w:val="000000"/>
          <w:sz w:val="20"/>
          <w:szCs w:val="20"/>
        </w:rPr>
        <w:t>•adjustments to estimated taxes upon final</w:t>
      </w:r>
      <w:r>
        <w:rPr>
          <w:rFonts w:eastAsia="Times New Roman"/>
          <w:color w:val="000000"/>
          <w:sz w:val="20"/>
          <w:szCs w:val="20"/>
        </w:rPr>
        <w:t>ization of various tax returns; and</w:t>
      </w:r>
    </w:p>
    <w:p w14:paraId="1E418C7E" w14:textId="77777777" w:rsidR="00000000" w:rsidRDefault="000C49AD">
      <w:pPr>
        <w:ind w:hanging="360"/>
        <w:jc w:val="both"/>
        <w:rPr>
          <w:rFonts w:eastAsia="Times New Roman"/>
        </w:rPr>
      </w:pPr>
      <w:r>
        <w:rPr>
          <w:rFonts w:eastAsia="Times New Roman"/>
          <w:color w:val="000000"/>
          <w:sz w:val="20"/>
          <w:szCs w:val="20"/>
        </w:rPr>
        <w:t>•the resolution of issues arising from tax audits with various tax authorities.</w:t>
      </w:r>
    </w:p>
    <w:p w14:paraId="53B792BE" w14:textId="77777777" w:rsidR="00000000" w:rsidRDefault="000C49AD">
      <w:pPr>
        <w:jc w:val="both"/>
        <w:rPr>
          <w:rFonts w:eastAsia="Times New Roman"/>
        </w:rPr>
      </w:pPr>
    </w:p>
    <w:p w14:paraId="44855C1D" w14:textId="77777777" w:rsidR="00000000" w:rsidRDefault="000C49AD">
      <w:pPr>
        <w:jc w:val="both"/>
        <w:rPr>
          <w:rFonts w:eastAsia="Times New Roman"/>
        </w:rPr>
      </w:pPr>
      <w:r>
        <w:rPr>
          <w:rFonts w:eastAsia="Times New Roman"/>
          <w:color w:val="000000"/>
          <w:sz w:val="20"/>
          <w:szCs w:val="20"/>
        </w:rPr>
        <w:t>Any significant increase in our future effective tax rates could impact our results of operations for future periods adversely.</w:t>
      </w:r>
    </w:p>
    <w:p w14:paraId="4B2B9D40" w14:textId="77777777" w:rsidR="00000000" w:rsidRDefault="000C49AD">
      <w:pPr>
        <w:jc w:val="both"/>
        <w:rPr>
          <w:rFonts w:eastAsia="Times New Roman"/>
        </w:rPr>
      </w:pPr>
    </w:p>
    <w:p w14:paraId="633C7C7C" w14:textId="77777777" w:rsidR="00000000" w:rsidRDefault="000C49AD">
      <w:pPr>
        <w:jc w:val="both"/>
        <w:rPr>
          <w:rFonts w:eastAsia="Times New Roman"/>
        </w:rPr>
      </w:pPr>
      <w:r>
        <w:rPr>
          <w:rFonts w:eastAsia="Times New Roman"/>
          <w:b/>
          <w:bCs/>
          <w:i/>
          <w:iCs/>
          <w:color w:val="000000"/>
          <w:sz w:val="20"/>
          <w:szCs w:val="20"/>
        </w:rPr>
        <w:t>Changes in tax law could adversely affect our business and financial condition.</w:t>
      </w:r>
    </w:p>
    <w:p w14:paraId="228091E4" w14:textId="77777777" w:rsidR="00000000" w:rsidRDefault="000C49AD">
      <w:pPr>
        <w:jc w:val="both"/>
        <w:rPr>
          <w:rFonts w:eastAsia="Times New Roman"/>
        </w:rPr>
      </w:pPr>
    </w:p>
    <w:p w14:paraId="3969A06F" w14:textId="77777777" w:rsidR="00000000" w:rsidRDefault="000C49AD">
      <w:pPr>
        <w:jc w:val="both"/>
        <w:rPr>
          <w:rFonts w:eastAsia="Times New Roman"/>
        </w:rPr>
      </w:pPr>
      <w:r>
        <w:rPr>
          <w:rFonts w:eastAsia="Times New Roman"/>
          <w:color w:val="000000"/>
          <w:sz w:val="20"/>
          <w:szCs w:val="20"/>
        </w:rPr>
        <w:t xml:space="preserve">We are subject to income and other taxes in </w:t>
      </w:r>
      <w:r>
        <w:rPr>
          <w:rFonts w:eastAsia="Times New Roman"/>
          <w:color w:val="000000"/>
          <w:sz w:val="20"/>
          <w:szCs w:val="20"/>
        </w:rPr>
        <w:t>the U.S. and foreign jurisdictions. Changes to applicable U.S. or foreign tax laws and regulations, or their interpretation and application (which changes may have retroactive application), including with respect to net operating losses and research and de</w:t>
      </w:r>
      <w:r>
        <w:rPr>
          <w:rFonts w:eastAsia="Times New Roman"/>
          <w:color w:val="000000"/>
          <w:sz w:val="20"/>
          <w:szCs w:val="20"/>
        </w:rPr>
        <w:t>velopment tax credits, could adversely affect us or holders of our ordinary shares or ADSs. In recent years, many such changes have been made and changes are likely to continue to occur in the future. Future changes in tax laws could have a material advers</w:t>
      </w:r>
      <w:r>
        <w:rPr>
          <w:rFonts w:eastAsia="Times New Roman"/>
          <w:color w:val="000000"/>
          <w:sz w:val="20"/>
          <w:szCs w:val="20"/>
        </w:rPr>
        <w:t>e effect on our business, cash flow, financial condition or results of operations. We urge investors to consult with their legal and tax advisors regarding the implications of potential changes in tax laws on an investment in our ordinary shares or ADSs.</w:t>
      </w:r>
    </w:p>
    <w:p w14:paraId="243C9C8A" w14:textId="77777777" w:rsidR="00000000" w:rsidRDefault="000C49AD">
      <w:pPr>
        <w:divId w:val="7561461"/>
        <w:rPr>
          <w:rFonts w:eastAsia="Times New Roman"/>
        </w:rPr>
      </w:pPr>
    </w:p>
    <w:p w14:paraId="444E2848" w14:textId="77777777" w:rsidR="00000000" w:rsidRDefault="000C49AD">
      <w:pPr>
        <w:jc w:val="both"/>
        <w:rPr>
          <w:rFonts w:eastAsia="Times New Roman"/>
        </w:rPr>
      </w:pPr>
      <w:r>
        <w:rPr>
          <w:rFonts w:eastAsia="Times New Roman"/>
          <w:b/>
          <w:bCs/>
          <w:i/>
          <w:iCs/>
          <w:color w:val="000000"/>
          <w:sz w:val="20"/>
          <w:szCs w:val="20"/>
        </w:rPr>
        <w:t>Our ability to use our net operating loss carryforwards and certain other tax attributes may be limited</w:t>
      </w:r>
      <w:r>
        <w:rPr>
          <w:rFonts w:eastAsia="Times New Roman"/>
          <w:color w:val="000000"/>
          <w:sz w:val="20"/>
          <w:szCs w:val="20"/>
        </w:rPr>
        <w:t>.</w:t>
      </w:r>
    </w:p>
    <w:p w14:paraId="056C3D4F" w14:textId="77777777" w:rsidR="00000000" w:rsidRDefault="000C49AD">
      <w:pPr>
        <w:jc w:val="both"/>
        <w:rPr>
          <w:rFonts w:eastAsia="Times New Roman"/>
        </w:rPr>
      </w:pPr>
    </w:p>
    <w:p w14:paraId="2478A970" w14:textId="77777777" w:rsidR="00000000" w:rsidRDefault="000C49AD">
      <w:pPr>
        <w:jc w:val="both"/>
        <w:rPr>
          <w:rFonts w:eastAsia="Times New Roman"/>
        </w:rPr>
      </w:pPr>
      <w:r>
        <w:rPr>
          <w:rFonts w:eastAsia="Times New Roman"/>
          <w:color w:val="000000"/>
          <w:sz w:val="20"/>
          <w:szCs w:val="20"/>
        </w:rPr>
        <w:t>As of December 31, 2021, we had $74,406 of net operating losses in the U.S. Of the $74,406 of net operating losses in the U.S., $10,365 were acquire</w:t>
      </w:r>
      <w:r>
        <w:rPr>
          <w:rFonts w:eastAsia="Times New Roman"/>
          <w:color w:val="000000"/>
          <w:sz w:val="20"/>
          <w:szCs w:val="20"/>
        </w:rPr>
        <w:t>d due to the acquisition of FSC Therapeutics and FSC Laboratories, Inc., (collectively “FSC”) and $64,041 are due to the losses at Avadel US Holdings, Inc. The portion due to the acquisition of FSC will expire in 2034 through 2035. The U.S. net operating l</w:t>
      </w:r>
      <w:r>
        <w:rPr>
          <w:rFonts w:eastAsia="Times New Roman"/>
          <w:color w:val="000000"/>
          <w:sz w:val="20"/>
          <w:szCs w:val="20"/>
        </w:rPr>
        <w:t xml:space="preserve">osses acquired as part of the acquisition of FSC are subject to an annual limitation under Internal Revenue Code Section 382 and $1,473 of the $10,365 will not be fully utilized before they expire. The remaining $64,041 of net operating losses do not have </w:t>
      </w:r>
      <w:r>
        <w:rPr>
          <w:rFonts w:eastAsia="Times New Roman"/>
          <w:color w:val="000000"/>
          <w:sz w:val="20"/>
          <w:szCs w:val="20"/>
        </w:rPr>
        <w:t xml:space="preserve">an expiration date. </w:t>
      </w:r>
    </w:p>
    <w:p w14:paraId="4408E7D5" w14:textId="77777777" w:rsidR="00000000" w:rsidRDefault="000C49AD">
      <w:pPr>
        <w:jc w:val="both"/>
        <w:rPr>
          <w:rFonts w:eastAsia="Times New Roman"/>
        </w:rPr>
      </w:pPr>
    </w:p>
    <w:p w14:paraId="24B2AE6C" w14:textId="77777777" w:rsidR="00000000" w:rsidRDefault="000C49AD">
      <w:pPr>
        <w:jc w:val="both"/>
        <w:rPr>
          <w:rFonts w:eastAsia="Times New Roman"/>
        </w:rPr>
      </w:pPr>
      <w:r>
        <w:rPr>
          <w:rFonts w:eastAsia="Times New Roman"/>
          <w:color w:val="000000"/>
          <w:sz w:val="20"/>
          <w:szCs w:val="20"/>
        </w:rPr>
        <w:t>Under U.S. federal tax legislation enacted in 2017, informally titled the Tax Cuts and Jobs Act (“Tax Act”), U.S. federal net operating losses incurred in 2018 and in future years may be carried forward indefinitely, but the deductib</w:t>
      </w:r>
      <w:r>
        <w:rPr>
          <w:rFonts w:eastAsia="Times New Roman"/>
          <w:color w:val="000000"/>
          <w:sz w:val="20"/>
          <w:szCs w:val="20"/>
        </w:rPr>
        <w:t>ility of such U.S. federal net operating losses is limited. Under Sections 382 and 383 of the U.S. Internal Revenue Code of 1986 (the “Code”) if a corporation undergoes an “ownership change” (generally defined as a greater than 50 percentage-point cumulati</w:t>
      </w:r>
      <w:r>
        <w:rPr>
          <w:rFonts w:eastAsia="Times New Roman"/>
          <w:color w:val="000000"/>
          <w:sz w:val="20"/>
          <w:szCs w:val="20"/>
        </w:rPr>
        <w:t>ve change (by value) in the equity ownership of certain shareholders over a rolling three-year period), the corporation’s ability to use its pre-change net operating losses and other pre-change tax attributes to offset its post-change taxable income or tax</w:t>
      </w:r>
      <w:r>
        <w:rPr>
          <w:rFonts w:eastAsia="Times New Roman"/>
          <w:color w:val="000000"/>
          <w:sz w:val="20"/>
          <w:szCs w:val="20"/>
        </w:rPr>
        <w:t>es may be limited. We may also experience ownership changes as a result of this offering or future issuances of our stock or as a result of subsequent shifts in our stock ownership, some of which are outside our control. We have completed an analysis to de</w:t>
      </w:r>
      <w:r>
        <w:rPr>
          <w:rFonts w:eastAsia="Times New Roman"/>
          <w:color w:val="000000"/>
          <w:sz w:val="20"/>
          <w:szCs w:val="20"/>
        </w:rPr>
        <w:t>termine that no events have been triggered in the past. If any ownership changes are determined to be triggered in the future, our ability to use our current net operating losses to offset post-change taxable income or taxes would be subject to limitation.</w:t>
      </w:r>
      <w:r>
        <w:rPr>
          <w:rFonts w:eastAsia="Times New Roman"/>
          <w:color w:val="000000"/>
          <w:sz w:val="20"/>
          <w:szCs w:val="20"/>
        </w:rPr>
        <w:t xml:space="preserve"> We will be unable to use our net operating losses if we do not attain profitability sufficient to offset our available net operating losses prior to their expiration.</w:t>
      </w:r>
    </w:p>
    <w:p w14:paraId="75DA291E" w14:textId="77777777" w:rsidR="00000000" w:rsidRDefault="000C49AD">
      <w:pPr>
        <w:jc w:val="both"/>
        <w:rPr>
          <w:rFonts w:eastAsia="Times New Roman"/>
        </w:rPr>
      </w:pPr>
    </w:p>
    <w:p w14:paraId="4D685377" w14:textId="77777777" w:rsidR="00000000" w:rsidRDefault="000C49AD">
      <w:pPr>
        <w:jc w:val="both"/>
        <w:rPr>
          <w:rFonts w:eastAsia="Times New Roman"/>
        </w:rPr>
      </w:pPr>
      <w:r>
        <w:rPr>
          <w:rFonts w:eastAsia="Times New Roman"/>
          <w:color w:val="000000"/>
          <w:sz w:val="20"/>
          <w:szCs w:val="20"/>
        </w:rPr>
        <w:t>As of December 31, 2021, we had approximately $124,720 of net operating losses in Irel</w:t>
      </w:r>
      <w:r>
        <w:rPr>
          <w:rFonts w:eastAsia="Times New Roman"/>
          <w:color w:val="000000"/>
          <w:sz w:val="20"/>
          <w:szCs w:val="20"/>
        </w:rPr>
        <w:t>and that do not have an expiration date. While these losses do not have an expiration date, substantial changes in the activities performed in these jurisdictions could have an impact on our ability to utilize these tax attributes in the future.</w:t>
      </w:r>
    </w:p>
    <w:p w14:paraId="3656E7E7" w14:textId="77777777" w:rsidR="00000000" w:rsidRDefault="000C49AD">
      <w:pPr>
        <w:jc w:val="both"/>
        <w:rPr>
          <w:rFonts w:eastAsia="Times New Roman"/>
        </w:rPr>
      </w:pPr>
    </w:p>
    <w:p w14:paraId="3F0B636F" w14:textId="77777777" w:rsidR="00000000" w:rsidRDefault="000C49AD">
      <w:pPr>
        <w:jc w:val="center"/>
        <w:divId w:val="923760467"/>
        <w:rPr>
          <w:rFonts w:eastAsia="Times New Roman"/>
        </w:rPr>
      </w:pPr>
      <w:r>
        <w:rPr>
          <w:rFonts w:eastAsia="Times New Roman"/>
          <w:color w:val="000000"/>
          <w:sz w:val="20"/>
          <w:szCs w:val="20"/>
        </w:rPr>
        <w:t>-56-</w:t>
      </w:r>
    </w:p>
    <w:p w14:paraId="32F25CFC" w14:textId="77777777" w:rsidR="00000000" w:rsidRDefault="000C49AD">
      <w:pPr>
        <w:rPr>
          <w:rFonts w:eastAsia="Times New Roman"/>
        </w:rPr>
      </w:pPr>
      <w:r>
        <w:rPr>
          <w:rFonts w:eastAsia="Times New Roman"/>
        </w:rPr>
        <w:pict w14:anchorId="22F50985">
          <v:rect id="_x0000_i1080" style="width:0;height:1.5pt" o:hralign="center" o:hrstd="t" o:hr="t" fillcolor="#a0a0a0" stroked="f"/>
        </w:pict>
      </w:r>
    </w:p>
    <w:p w14:paraId="16E60A37" w14:textId="77777777" w:rsidR="00000000" w:rsidRDefault="000C49AD">
      <w:pPr>
        <w:divId w:val="77679164"/>
        <w:rPr>
          <w:rFonts w:eastAsia="Times New Roman"/>
        </w:rPr>
      </w:pPr>
    </w:p>
    <w:p w14:paraId="12228B38" w14:textId="77777777" w:rsidR="00000000" w:rsidRDefault="000C49AD">
      <w:pPr>
        <w:jc w:val="both"/>
        <w:rPr>
          <w:rFonts w:eastAsia="Times New Roman"/>
        </w:rPr>
      </w:pPr>
      <w:r>
        <w:rPr>
          <w:rFonts w:eastAsia="Times New Roman"/>
          <w:b/>
          <w:bCs/>
          <w:i/>
          <w:iCs/>
          <w:color w:val="000000"/>
          <w:sz w:val="20"/>
          <w:szCs w:val="20"/>
        </w:rPr>
        <w:t>U.S. Holders of ordinary shares or ADSs may suffer adverse U.S. tax consequences if we are classified as a passive foreign investment company.</w:t>
      </w:r>
    </w:p>
    <w:p w14:paraId="52438F67" w14:textId="77777777" w:rsidR="00000000" w:rsidRDefault="000C49AD">
      <w:pPr>
        <w:jc w:val="both"/>
        <w:rPr>
          <w:rFonts w:eastAsia="Times New Roman"/>
        </w:rPr>
      </w:pPr>
    </w:p>
    <w:p w14:paraId="04E134C5" w14:textId="77777777" w:rsidR="00000000" w:rsidRDefault="000C49AD">
      <w:pPr>
        <w:jc w:val="both"/>
        <w:rPr>
          <w:rFonts w:eastAsia="Times New Roman"/>
        </w:rPr>
      </w:pPr>
      <w:r>
        <w:rPr>
          <w:rFonts w:eastAsia="Times New Roman"/>
          <w:color w:val="000000"/>
          <w:sz w:val="20"/>
          <w:szCs w:val="20"/>
        </w:rPr>
        <w:t>Generally, if, for any taxable year, at least 75% of our gross income is pa</w:t>
      </w:r>
      <w:r>
        <w:rPr>
          <w:rFonts w:eastAsia="Times New Roman"/>
          <w:color w:val="000000"/>
          <w:sz w:val="20"/>
          <w:szCs w:val="20"/>
        </w:rPr>
        <w:t xml:space="preserve">ssive income, or at least 50% of the value of our assets is attributable to assets that produce passive income or are held for the production of passive income, including cash, we would be characterized as a passive foreign investment company (“PFIC”) for </w:t>
      </w:r>
      <w:r>
        <w:rPr>
          <w:rFonts w:eastAsia="Times New Roman"/>
          <w:color w:val="000000"/>
          <w:sz w:val="20"/>
          <w:szCs w:val="20"/>
        </w:rPr>
        <w:t>U.S. federal income tax purposes. For purposes of these tests, passive income includes dividends, interest, and gains from the sale or exchange of investment property and rents and royalties other than rents and royalties that are received from unrelated p</w:t>
      </w:r>
      <w:r>
        <w:rPr>
          <w:rFonts w:eastAsia="Times New Roman"/>
          <w:color w:val="000000"/>
          <w:sz w:val="20"/>
          <w:szCs w:val="20"/>
        </w:rPr>
        <w:t>arties in connection with the active conduct of a trade or business. Our status as a PFIC depends on the composition of our income and the composition and value of our assets (for which purpose the total value of our assets may be determined in part by the</w:t>
      </w:r>
      <w:r>
        <w:rPr>
          <w:rFonts w:eastAsia="Times New Roman"/>
          <w:color w:val="000000"/>
          <w:sz w:val="20"/>
          <w:szCs w:val="20"/>
        </w:rPr>
        <w:t xml:space="preserve"> market value of the ordinary shares or ADSs, which are subject to change) from time to time. If we are characterized as a PFIC, U.S. Holders (as defined below under “Material U.S. Federal Income Tax Considerations for U.S. Holders”) of ordinary shares or </w:t>
      </w:r>
      <w:r>
        <w:rPr>
          <w:rFonts w:eastAsia="Times New Roman"/>
          <w:color w:val="000000"/>
          <w:sz w:val="20"/>
          <w:szCs w:val="20"/>
        </w:rPr>
        <w:t>ADSs may suffer materially adverse tax consequences, including having gains realized on the sale of ordinary shares or ADSs treated as ordinary income, rather than capital gain, the loss of the preferential rate applicable to dividends received on ordinary</w:t>
      </w:r>
      <w:r>
        <w:rPr>
          <w:rFonts w:eastAsia="Times New Roman"/>
          <w:color w:val="000000"/>
          <w:sz w:val="20"/>
          <w:szCs w:val="20"/>
        </w:rPr>
        <w:t xml:space="preserve"> shares or ADSs by individuals who are U.S. Holders, and having interest charges apply to distributions by us and the proceeds of sales of ordinary shares or ADSs. </w:t>
      </w:r>
    </w:p>
    <w:p w14:paraId="4EB20E95" w14:textId="77777777" w:rsidR="00000000" w:rsidRDefault="000C49AD">
      <w:pPr>
        <w:jc w:val="both"/>
        <w:rPr>
          <w:rFonts w:eastAsia="Times New Roman"/>
        </w:rPr>
      </w:pPr>
    </w:p>
    <w:p w14:paraId="1FE639A1" w14:textId="77777777" w:rsidR="00000000" w:rsidRDefault="000C49AD">
      <w:pPr>
        <w:jc w:val="both"/>
        <w:rPr>
          <w:rFonts w:eastAsia="Times New Roman"/>
        </w:rPr>
      </w:pPr>
      <w:r>
        <w:rPr>
          <w:rFonts w:eastAsia="Times New Roman"/>
          <w:color w:val="000000"/>
          <w:sz w:val="20"/>
          <w:szCs w:val="20"/>
        </w:rPr>
        <w:t>We believe that we were not a PFIC for the taxable year ending December 31, 2020 and, bas</w:t>
      </w:r>
      <w:r>
        <w:rPr>
          <w:rFonts w:eastAsia="Times New Roman"/>
          <w:color w:val="000000"/>
          <w:sz w:val="20"/>
          <w:szCs w:val="20"/>
        </w:rPr>
        <w:t>ed on the expected value of our assets, including any goodwill, and the expected nature and composition of our income and assets, we expect that we will be a PFIC for our current taxable year. However, our status as a PFIC is a fact-intensive determination</w:t>
      </w:r>
      <w:r>
        <w:rPr>
          <w:rFonts w:eastAsia="Times New Roman"/>
          <w:color w:val="000000"/>
          <w:sz w:val="20"/>
          <w:szCs w:val="20"/>
        </w:rPr>
        <w:t xml:space="preserve"> subject to various uncertainties, and we cannot provide any assurances regarding our PFIC status for the current, prior or future taxable years.</w:t>
      </w:r>
    </w:p>
    <w:p w14:paraId="5E3DA49C" w14:textId="77777777" w:rsidR="00000000" w:rsidRDefault="000C49AD">
      <w:pPr>
        <w:jc w:val="both"/>
        <w:rPr>
          <w:rFonts w:eastAsia="Times New Roman"/>
        </w:rPr>
      </w:pPr>
    </w:p>
    <w:p w14:paraId="7DE0EDAD" w14:textId="77777777" w:rsidR="00000000" w:rsidRDefault="000C49AD">
      <w:pPr>
        <w:jc w:val="both"/>
        <w:rPr>
          <w:rFonts w:eastAsia="Times New Roman"/>
        </w:rPr>
      </w:pPr>
      <w:r>
        <w:rPr>
          <w:rFonts w:eastAsia="Times New Roman"/>
          <w:b/>
          <w:bCs/>
          <w:i/>
          <w:iCs/>
          <w:color w:val="000000"/>
          <w:sz w:val="20"/>
          <w:szCs w:val="20"/>
        </w:rPr>
        <w:t xml:space="preserve">Certain U.S. Holders that own 10 percent or more of the vote or value of ordinary shares or ADSs may suffer </w:t>
      </w:r>
      <w:r>
        <w:rPr>
          <w:rFonts w:eastAsia="Times New Roman"/>
          <w:b/>
          <w:bCs/>
          <w:i/>
          <w:iCs/>
          <w:color w:val="000000"/>
          <w:sz w:val="20"/>
          <w:szCs w:val="20"/>
        </w:rPr>
        <w:t>adverse U.S. tax consequences because our non-U.S. subsidiaries are expected to be classified as controlled foreign corporations.</w:t>
      </w:r>
    </w:p>
    <w:p w14:paraId="390B1376" w14:textId="77777777" w:rsidR="00000000" w:rsidRDefault="000C49AD">
      <w:pPr>
        <w:jc w:val="both"/>
        <w:rPr>
          <w:rFonts w:eastAsia="Times New Roman"/>
        </w:rPr>
      </w:pPr>
      <w:r>
        <w:rPr>
          <w:rFonts w:eastAsia="Times New Roman"/>
          <w:color w:val="000000"/>
          <w:sz w:val="20"/>
          <w:szCs w:val="20"/>
        </w:rPr>
        <w:t> </w:t>
      </w:r>
    </w:p>
    <w:p w14:paraId="78F67B64" w14:textId="77777777" w:rsidR="00000000" w:rsidRDefault="000C49AD">
      <w:pPr>
        <w:jc w:val="both"/>
        <w:rPr>
          <w:rFonts w:eastAsia="Times New Roman"/>
        </w:rPr>
      </w:pPr>
      <w:r>
        <w:rPr>
          <w:rFonts w:eastAsia="Times New Roman"/>
          <w:color w:val="000000"/>
          <w:sz w:val="20"/>
          <w:szCs w:val="20"/>
        </w:rPr>
        <w:t xml:space="preserve">Each ‘‘Ten Percent Shareholder’’ </w:t>
      </w:r>
      <w:r>
        <w:rPr>
          <w:rFonts w:eastAsia="Times New Roman"/>
          <w:color w:val="000000"/>
          <w:sz w:val="20"/>
          <w:szCs w:val="20"/>
        </w:rPr>
        <w:t xml:space="preserve">(as defined below) in a non-U.S. corporation that is classified as a ‘‘controlled foreign corporation,’’ or a CFC, for U.S. federal income tax purposes generally is required to include in income for U.S. federal tax purposes such Ten Percent Shareholder’s </w:t>
      </w:r>
      <w:r>
        <w:rPr>
          <w:rFonts w:eastAsia="Times New Roman"/>
          <w:color w:val="000000"/>
          <w:sz w:val="20"/>
          <w:szCs w:val="20"/>
        </w:rPr>
        <w:t>pro rata share of the CFC’s ‘‘Subpart F income’’ and investment of earnings in U.S. property, even if the CFC has made no distributions to its shareholders. Subpart F income generally includes dividends, interest, rents, royalties, ‘‘global intangible low-</w:t>
      </w:r>
      <w:r>
        <w:rPr>
          <w:rFonts w:eastAsia="Times New Roman"/>
          <w:color w:val="000000"/>
          <w:sz w:val="20"/>
          <w:szCs w:val="20"/>
        </w:rPr>
        <w:t>taxed income,’’ gains from the sale of securities and income from certain transactions with related parties. In addition, a Ten Percent Shareholder that realizes gain from the sale or exchange of shares in a CFC may be required to classify a portion of suc</w:t>
      </w:r>
      <w:r>
        <w:rPr>
          <w:rFonts w:eastAsia="Times New Roman"/>
          <w:color w:val="000000"/>
          <w:sz w:val="20"/>
          <w:szCs w:val="20"/>
        </w:rPr>
        <w:t>h gain as dividend income rather than capital gain. A non-U.S. corporation generally will be classified as a CFC for U.S. federal income tax purposes if Ten Percent Shareholders own, directly or indirectly, more than 50% of either the total combined voting</w:t>
      </w:r>
      <w:r>
        <w:rPr>
          <w:rFonts w:eastAsia="Times New Roman"/>
          <w:color w:val="000000"/>
          <w:sz w:val="20"/>
          <w:szCs w:val="20"/>
        </w:rPr>
        <w:t xml:space="preserve"> power of all classes of stock of such corporation entitled to vote or of the total value of the stock of such corporation. A ‘‘Ten Percent Shareholder’’ is a U.S. person (as defined by the Code) who owns or is considered to own 10% or more of the total co</w:t>
      </w:r>
      <w:r>
        <w:rPr>
          <w:rFonts w:eastAsia="Times New Roman"/>
          <w:color w:val="000000"/>
          <w:sz w:val="20"/>
          <w:szCs w:val="20"/>
        </w:rPr>
        <w:t>mbined voting power of all classes of stock entitled to vote or 10% or more of the total value of all classes of stock of such corporation.</w:t>
      </w:r>
    </w:p>
    <w:p w14:paraId="22E8B041" w14:textId="77777777" w:rsidR="00000000" w:rsidRDefault="000C49AD">
      <w:pPr>
        <w:jc w:val="both"/>
        <w:rPr>
          <w:rFonts w:eastAsia="Times New Roman"/>
        </w:rPr>
      </w:pPr>
    </w:p>
    <w:p w14:paraId="53BE6A14" w14:textId="77777777" w:rsidR="00000000" w:rsidRDefault="000C49AD">
      <w:pPr>
        <w:jc w:val="both"/>
        <w:rPr>
          <w:rFonts w:eastAsia="Times New Roman"/>
        </w:rPr>
      </w:pPr>
      <w:r>
        <w:rPr>
          <w:rFonts w:eastAsia="Times New Roman"/>
          <w:color w:val="000000"/>
          <w:sz w:val="20"/>
          <w:szCs w:val="20"/>
        </w:rPr>
        <w:t>We believe that we were not a CFC in the 2021 taxable year, but that our non-U.S. subsidiaries were CFCs in the 20</w:t>
      </w:r>
      <w:r>
        <w:rPr>
          <w:rFonts w:eastAsia="Times New Roman"/>
          <w:color w:val="000000"/>
          <w:sz w:val="20"/>
          <w:szCs w:val="20"/>
        </w:rPr>
        <w:t>21 taxable year. We anticipate that our non-U.S. subsidiaries will remain CFCs in the 2021 taxable year, and it is possible that we may become a CFC in the 2022 taxable year or in a subsequent taxable year. The determination of CFC status is complex and in</w:t>
      </w:r>
      <w:r>
        <w:rPr>
          <w:rFonts w:eastAsia="Times New Roman"/>
          <w:color w:val="000000"/>
          <w:sz w:val="20"/>
          <w:szCs w:val="20"/>
        </w:rPr>
        <w:t>cludes attribution rules, the application of which is not entirely certain. U.S. Holders should consult their own tax advisors with respect to the potential adverse U.S. tax consequences of becoming a Ten Percent Shareholder in a CFC, including the possibi</w:t>
      </w:r>
      <w:r>
        <w:rPr>
          <w:rFonts w:eastAsia="Times New Roman"/>
          <w:color w:val="000000"/>
          <w:sz w:val="20"/>
          <w:szCs w:val="20"/>
        </w:rPr>
        <w:t>lity and consequences of becoming a Ten Percent Shareholder in one or more of our non-U.S. subsidiaries that are anticipated to be treated as CFCs. If we are classified as both a CFC and a PFIC, we generally will not be treated as a PFIC with respect to th</w:t>
      </w:r>
      <w:r>
        <w:rPr>
          <w:rFonts w:eastAsia="Times New Roman"/>
          <w:color w:val="000000"/>
          <w:sz w:val="20"/>
          <w:szCs w:val="20"/>
        </w:rPr>
        <w:t>ose U.S. Holders that meet the definition of a Ten Percent Shareholder during the period in which we are a CFC, subject to certain exceptions.</w:t>
      </w:r>
    </w:p>
    <w:p w14:paraId="4AF87182" w14:textId="77777777" w:rsidR="00000000" w:rsidRDefault="000C49AD">
      <w:pPr>
        <w:jc w:val="both"/>
        <w:rPr>
          <w:rFonts w:eastAsia="Times New Roman"/>
        </w:rPr>
      </w:pPr>
    </w:p>
    <w:p w14:paraId="382765D0" w14:textId="77777777" w:rsidR="00000000" w:rsidRDefault="000C49AD">
      <w:pPr>
        <w:jc w:val="both"/>
        <w:rPr>
          <w:rFonts w:eastAsia="Times New Roman"/>
        </w:rPr>
      </w:pPr>
      <w:r>
        <w:rPr>
          <w:rFonts w:eastAsia="Times New Roman"/>
          <w:b/>
          <w:bCs/>
          <w:i/>
          <w:iCs/>
          <w:color w:val="000000"/>
          <w:sz w:val="20"/>
          <w:szCs w:val="20"/>
        </w:rPr>
        <w:t>We incur significant costs as a result of operating as a public company, and our management is required to devo</w:t>
      </w:r>
      <w:r>
        <w:rPr>
          <w:rFonts w:eastAsia="Times New Roman"/>
          <w:b/>
          <w:bCs/>
          <w:i/>
          <w:iCs/>
          <w:color w:val="000000"/>
          <w:sz w:val="20"/>
          <w:szCs w:val="20"/>
        </w:rPr>
        <w:t>te substantial time to compliance requirements, including establishing and maintaining internal controls over financial reporting. We have identified a material weakness in our internal control over financial reporting. We may be exposed to potential risks</w:t>
      </w:r>
      <w:r>
        <w:rPr>
          <w:rFonts w:eastAsia="Times New Roman"/>
          <w:b/>
          <w:bCs/>
          <w:i/>
          <w:iCs/>
          <w:color w:val="000000"/>
          <w:sz w:val="20"/>
          <w:szCs w:val="20"/>
        </w:rPr>
        <w:t xml:space="preserve"> if we are unable to comply the requirements to maintain internal controls over financial reporting or if we identify additional material weaknesses. </w:t>
      </w:r>
    </w:p>
    <w:p w14:paraId="5A79B161" w14:textId="77777777" w:rsidR="00000000" w:rsidRDefault="000C49AD">
      <w:pPr>
        <w:jc w:val="both"/>
        <w:rPr>
          <w:rFonts w:eastAsia="Times New Roman"/>
        </w:rPr>
      </w:pPr>
    </w:p>
    <w:p w14:paraId="0996C7C2" w14:textId="77777777" w:rsidR="00000000" w:rsidRDefault="000C49AD">
      <w:pPr>
        <w:jc w:val="both"/>
        <w:rPr>
          <w:rFonts w:eastAsia="Times New Roman"/>
        </w:rPr>
      </w:pPr>
      <w:r>
        <w:rPr>
          <w:rFonts w:eastAsia="Times New Roman"/>
          <w:color w:val="000000"/>
          <w:sz w:val="20"/>
          <w:szCs w:val="20"/>
        </w:rPr>
        <w:t>As a public company in the United States organized, we are subject to the reporting requirements of the Securities Exchange Act of 1934, as amended (the "Exchange Act") and the listing rules of the Nasdaq Stock Market ("Nasdaq"), and incur significant lega</w:t>
      </w:r>
      <w:r>
        <w:rPr>
          <w:rFonts w:eastAsia="Times New Roman"/>
          <w:color w:val="000000"/>
          <w:sz w:val="20"/>
          <w:szCs w:val="20"/>
        </w:rPr>
        <w:t xml:space="preserve">l, accounting and other expenses to comply with applicable requirements. These rules impose various requirements on public companies, including requiring certain corporate governance practices. Our management and other </w:t>
      </w:r>
    </w:p>
    <w:p w14:paraId="787A1811" w14:textId="77777777" w:rsidR="00000000" w:rsidRDefault="000C49AD">
      <w:pPr>
        <w:jc w:val="center"/>
        <w:divId w:val="2057124816"/>
        <w:rPr>
          <w:rFonts w:eastAsia="Times New Roman"/>
        </w:rPr>
      </w:pPr>
      <w:r>
        <w:rPr>
          <w:rFonts w:eastAsia="Times New Roman"/>
          <w:color w:val="000000"/>
          <w:sz w:val="20"/>
          <w:szCs w:val="20"/>
        </w:rPr>
        <w:t>-57-</w:t>
      </w:r>
    </w:p>
    <w:p w14:paraId="7EFA4606" w14:textId="77777777" w:rsidR="00000000" w:rsidRDefault="000C49AD">
      <w:pPr>
        <w:rPr>
          <w:rFonts w:eastAsia="Times New Roman"/>
        </w:rPr>
      </w:pPr>
      <w:r>
        <w:rPr>
          <w:rFonts w:eastAsia="Times New Roman"/>
        </w:rPr>
        <w:pict w14:anchorId="2D7B0092">
          <v:rect id="_x0000_i1081" style="width:0;height:1.5pt" o:hralign="center" o:hrstd="t" o:hr="t" fillcolor="#a0a0a0" stroked="f"/>
        </w:pict>
      </w:r>
    </w:p>
    <w:p w14:paraId="625D4C23" w14:textId="77777777" w:rsidR="00000000" w:rsidRDefault="000C49AD">
      <w:pPr>
        <w:divId w:val="878517873"/>
        <w:rPr>
          <w:rFonts w:eastAsia="Times New Roman"/>
        </w:rPr>
      </w:pPr>
    </w:p>
    <w:p w14:paraId="303ED393" w14:textId="77777777" w:rsidR="00000000" w:rsidRDefault="000C49AD">
      <w:pPr>
        <w:jc w:val="both"/>
        <w:rPr>
          <w:rFonts w:eastAsia="Times New Roman"/>
        </w:rPr>
      </w:pPr>
      <w:r>
        <w:rPr>
          <w:rFonts w:eastAsia="Times New Roman"/>
          <w:color w:val="000000"/>
          <w:sz w:val="20"/>
          <w:szCs w:val="20"/>
        </w:rPr>
        <w:t>personnel devote a substantial amount of time to these requirements. Moreover, these rules and regulations increase our legal and financial compliance costs and make some activities more time-consuming and costly.</w:t>
      </w:r>
    </w:p>
    <w:p w14:paraId="754787B7" w14:textId="77777777" w:rsidR="00000000" w:rsidRDefault="000C49AD">
      <w:pPr>
        <w:jc w:val="both"/>
        <w:rPr>
          <w:rFonts w:eastAsia="Times New Roman"/>
        </w:rPr>
      </w:pPr>
    </w:p>
    <w:p w14:paraId="542E651A" w14:textId="77777777" w:rsidR="00000000" w:rsidRDefault="000C49AD">
      <w:pPr>
        <w:jc w:val="both"/>
        <w:rPr>
          <w:rFonts w:eastAsia="Times New Roman"/>
        </w:rPr>
      </w:pPr>
      <w:r>
        <w:rPr>
          <w:rFonts w:eastAsia="Times New Roman"/>
          <w:color w:val="000000"/>
          <w:sz w:val="20"/>
          <w:szCs w:val="20"/>
        </w:rPr>
        <w:t xml:space="preserve">For example, the Sarbanes-Oxley </w:t>
      </w:r>
      <w:r>
        <w:rPr>
          <w:rFonts w:eastAsia="Times New Roman"/>
          <w:color w:val="000000"/>
          <w:sz w:val="20"/>
          <w:szCs w:val="20"/>
        </w:rPr>
        <w:t>Act of 2002 (the "Sarbanes-Oxley Act") requires, among other things, that we maintain effective internal controls for financial reporting and disclosure controls and procedures. In particular, we must perform system and process evaluations and testing of o</w:t>
      </w:r>
      <w:r>
        <w:rPr>
          <w:rFonts w:eastAsia="Times New Roman"/>
          <w:color w:val="000000"/>
          <w:sz w:val="20"/>
          <w:szCs w:val="20"/>
        </w:rPr>
        <w:t xml:space="preserve">ur internal controls over financial reporting to allow management to report on the effectiveness of our internal controls over financial reporting, as required by Section 404 of the Sarbanes-Oxley Act. Such compliance may require that we incur substantial </w:t>
      </w:r>
      <w:r>
        <w:rPr>
          <w:rFonts w:eastAsia="Times New Roman"/>
          <w:color w:val="000000"/>
          <w:sz w:val="20"/>
          <w:szCs w:val="20"/>
        </w:rPr>
        <w:t xml:space="preserve">accounting expenses and expend significant management efforts. </w:t>
      </w:r>
    </w:p>
    <w:p w14:paraId="12E96666" w14:textId="77777777" w:rsidR="00000000" w:rsidRDefault="000C49AD">
      <w:pPr>
        <w:jc w:val="both"/>
        <w:rPr>
          <w:rFonts w:eastAsia="Times New Roman"/>
        </w:rPr>
      </w:pPr>
    </w:p>
    <w:p w14:paraId="1F0A0344" w14:textId="77777777" w:rsidR="00000000" w:rsidRDefault="000C49AD">
      <w:pPr>
        <w:jc w:val="both"/>
        <w:rPr>
          <w:rFonts w:eastAsia="Times New Roman"/>
        </w:rPr>
      </w:pPr>
      <w:r>
        <w:rPr>
          <w:rFonts w:eastAsia="Times New Roman"/>
          <w:color w:val="000000"/>
          <w:sz w:val="20"/>
          <w:szCs w:val="20"/>
        </w:rPr>
        <w:t>During the Company’s fiscal 2021 financial statement close process, management identified a deficiency in the design of internal control over financial reporting related to its February 2023</w:t>
      </w:r>
      <w:r>
        <w:rPr>
          <w:rFonts w:eastAsia="Times New Roman"/>
          <w:color w:val="000000"/>
          <w:sz w:val="20"/>
          <w:szCs w:val="20"/>
        </w:rPr>
        <w:t xml:space="preserve"> Notes indenture. A material weakness is a deficiency, or combination of deficiencies, in internal control over financial reporting, such that there is a reasonable possibility that a material misstatement of our annual or interim financial statements will</w:t>
      </w:r>
      <w:r>
        <w:rPr>
          <w:rFonts w:eastAsia="Times New Roman"/>
          <w:color w:val="000000"/>
          <w:sz w:val="20"/>
          <w:szCs w:val="20"/>
        </w:rPr>
        <w:t xml:space="preserve"> not be prevented or detected on a timely basis. Specifically, management did not have a control to identify that we were in technical default of the February 2023 Notes and owed 0.50% of additional interest on the February 2023 Notes due to not removing a</w:t>
      </w:r>
      <w:r>
        <w:rPr>
          <w:rFonts w:eastAsia="Times New Roman"/>
          <w:color w:val="000000"/>
          <w:sz w:val="20"/>
          <w:szCs w:val="20"/>
        </w:rPr>
        <w:t xml:space="preserve"> restrictive legend from the February 2023 Notes 365 days following the original issuance of the February 2023 Notes on February 16, 2018.</w:t>
      </w:r>
    </w:p>
    <w:p w14:paraId="5E2C019F" w14:textId="77777777" w:rsidR="00000000" w:rsidRDefault="000C49AD">
      <w:pPr>
        <w:jc w:val="both"/>
        <w:rPr>
          <w:rFonts w:eastAsia="Times New Roman"/>
        </w:rPr>
      </w:pPr>
    </w:p>
    <w:p w14:paraId="59471A42" w14:textId="77777777" w:rsidR="00000000" w:rsidRDefault="000C49AD">
      <w:pPr>
        <w:jc w:val="both"/>
        <w:rPr>
          <w:rFonts w:eastAsia="Times New Roman"/>
        </w:rPr>
      </w:pPr>
      <w:r>
        <w:rPr>
          <w:rFonts w:eastAsia="Times New Roman"/>
          <w:color w:val="000000"/>
          <w:sz w:val="20"/>
          <w:szCs w:val="20"/>
        </w:rPr>
        <w:t>Once the material weakness was identified, we developed and implemented a remediation plan that includes the implem</w:t>
      </w:r>
      <w:r>
        <w:rPr>
          <w:rFonts w:eastAsia="Times New Roman"/>
          <w:color w:val="000000"/>
          <w:sz w:val="20"/>
          <w:szCs w:val="20"/>
        </w:rPr>
        <w:t>entation of additional control procedures surrounding timely and period evaluation of all terms of our debt agreement and the associated calculation of interest expense in accordance with the terms of such debt agreement to ensure the completeness and accu</w:t>
      </w:r>
      <w:r>
        <w:rPr>
          <w:rFonts w:eastAsia="Times New Roman"/>
          <w:color w:val="000000"/>
          <w:sz w:val="20"/>
          <w:szCs w:val="20"/>
        </w:rPr>
        <w:t xml:space="preserve">racy of the calculation and timely payment of additional interest expense. Management is committed to maintaining a strong internal control environment and have fully implemented measures designed to help ensure that the control deficiency contributing to </w:t>
      </w:r>
      <w:r>
        <w:rPr>
          <w:rFonts w:eastAsia="Times New Roman"/>
          <w:color w:val="000000"/>
          <w:sz w:val="20"/>
          <w:szCs w:val="20"/>
        </w:rPr>
        <w:t>the material weakness is remediated. However, there cannot be any assurance that these remediation efforts will be successful or that our internal control over financial reporting will be effective as a result of these efforts. The material weakness will b</w:t>
      </w:r>
      <w:r>
        <w:rPr>
          <w:rFonts w:eastAsia="Times New Roman"/>
          <w:color w:val="000000"/>
          <w:sz w:val="20"/>
          <w:szCs w:val="20"/>
        </w:rPr>
        <w:t>e fully remediated when, we have determined, through testing, these controls have operated effectively for a sufficient period of time.</w:t>
      </w:r>
    </w:p>
    <w:p w14:paraId="17C74C97" w14:textId="77777777" w:rsidR="00000000" w:rsidRDefault="000C49AD">
      <w:pPr>
        <w:jc w:val="both"/>
        <w:rPr>
          <w:rFonts w:eastAsia="Times New Roman"/>
        </w:rPr>
      </w:pPr>
    </w:p>
    <w:p w14:paraId="53D204F0" w14:textId="77777777" w:rsidR="00000000" w:rsidRDefault="000C49AD">
      <w:pPr>
        <w:jc w:val="both"/>
        <w:rPr>
          <w:rFonts w:eastAsia="Times New Roman"/>
        </w:rPr>
      </w:pPr>
      <w:r>
        <w:rPr>
          <w:rFonts w:eastAsia="Times New Roman"/>
          <w:color w:val="000000"/>
          <w:sz w:val="20"/>
          <w:szCs w:val="20"/>
        </w:rPr>
        <w:t>In the future we may determine that we have additional material weaknesses. Our failure to remediate the material weak</w:t>
      </w:r>
      <w:r>
        <w:rPr>
          <w:rFonts w:eastAsia="Times New Roman"/>
          <w:color w:val="000000"/>
          <w:sz w:val="20"/>
          <w:szCs w:val="20"/>
        </w:rPr>
        <w:t>nesses or failure to identify and address any other material weaknesses or control deficiencies could result in inaccuracies in our financial statements and could also impair our ability to comply with applicable financial reporting requirements and relate</w:t>
      </w:r>
      <w:r>
        <w:rPr>
          <w:rFonts w:eastAsia="Times New Roman"/>
          <w:color w:val="000000"/>
          <w:sz w:val="20"/>
          <w:szCs w:val="20"/>
        </w:rPr>
        <w:t>d regulatory filings on a timely basis, which could cause investors to lose confidence in our reported financial information, which may result in volatility in and a decline in the market price of our ADSs.</w:t>
      </w:r>
    </w:p>
    <w:p w14:paraId="3B143AFD" w14:textId="77777777" w:rsidR="00000000" w:rsidRDefault="000C49AD">
      <w:pPr>
        <w:jc w:val="both"/>
        <w:rPr>
          <w:rFonts w:eastAsia="Times New Roman"/>
        </w:rPr>
      </w:pPr>
    </w:p>
    <w:p w14:paraId="1227C08C" w14:textId="77777777" w:rsidR="00000000" w:rsidRDefault="000C49AD">
      <w:pPr>
        <w:jc w:val="both"/>
        <w:rPr>
          <w:rFonts w:eastAsia="Times New Roman"/>
        </w:rPr>
      </w:pPr>
      <w:r>
        <w:rPr>
          <w:rFonts w:eastAsia="Times New Roman"/>
          <w:b/>
          <w:bCs/>
          <w:i/>
          <w:iCs/>
          <w:color w:val="000000"/>
          <w:sz w:val="20"/>
          <w:szCs w:val="20"/>
        </w:rPr>
        <w:t xml:space="preserve">Our disclosure controls and procedures may not </w:t>
      </w:r>
      <w:r>
        <w:rPr>
          <w:rFonts w:eastAsia="Times New Roman"/>
          <w:b/>
          <w:bCs/>
          <w:i/>
          <w:iCs/>
          <w:color w:val="000000"/>
          <w:sz w:val="20"/>
          <w:szCs w:val="20"/>
        </w:rPr>
        <w:t>prevent or detect all errors or acts of fraud.</w:t>
      </w:r>
    </w:p>
    <w:p w14:paraId="1A127D06" w14:textId="77777777" w:rsidR="00000000" w:rsidRDefault="000C49AD">
      <w:pPr>
        <w:jc w:val="both"/>
        <w:rPr>
          <w:rFonts w:eastAsia="Times New Roman"/>
        </w:rPr>
      </w:pPr>
    </w:p>
    <w:p w14:paraId="52531191" w14:textId="77777777" w:rsidR="00000000" w:rsidRDefault="000C49AD">
      <w:pPr>
        <w:jc w:val="both"/>
        <w:rPr>
          <w:rFonts w:eastAsia="Times New Roman"/>
        </w:rPr>
      </w:pPr>
      <w:r>
        <w:rPr>
          <w:rFonts w:eastAsia="Times New Roman"/>
          <w:color w:val="000000"/>
          <w:sz w:val="20"/>
          <w:szCs w:val="20"/>
        </w:rPr>
        <w:t>We are subject to the periodic reporting requirements of the Exchange Act. We designed our disclosure controls and procedures to reasonably assure that information we must disclose in reports we file or subm</w:t>
      </w:r>
      <w:r>
        <w:rPr>
          <w:rFonts w:eastAsia="Times New Roman"/>
          <w:color w:val="000000"/>
          <w:sz w:val="20"/>
          <w:szCs w:val="20"/>
        </w:rPr>
        <w:t>it under the Exchange Act is accumulated and communicated to management, and recorded, processed, summarized and reported within the time periods specified in the rules and forms of the SEC. We believe that any disclosure controls and procedures or interna</w:t>
      </w:r>
      <w:r>
        <w:rPr>
          <w:rFonts w:eastAsia="Times New Roman"/>
          <w:color w:val="000000"/>
          <w:sz w:val="20"/>
          <w:szCs w:val="20"/>
        </w:rPr>
        <w:t>l controls and procedures, no matter how well-conceived and operated, can provide only reasonable, not absolute, assurance that the objectives of the control system are met. These inherent limitations include the realities that judgments in decision-making</w:t>
      </w:r>
      <w:r>
        <w:rPr>
          <w:rFonts w:eastAsia="Times New Roman"/>
          <w:color w:val="000000"/>
          <w:sz w:val="20"/>
          <w:szCs w:val="20"/>
        </w:rPr>
        <w:t xml:space="preserve"> can be faulty, and that breakdowns can occur because of simple error or mistake. Additionally, controls can be circumvented by the individual acts of some persons, by collusion of two or more people or by an unauthorized override of the controls. Accordin</w:t>
      </w:r>
      <w:r>
        <w:rPr>
          <w:rFonts w:eastAsia="Times New Roman"/>
          <w:color w:val="000000"/>
          <w:sz w:val="20"/>
          <w:szCs w:val="20"/>
        </w:rPr>
        <w:t>gly, because of the inherent limitations in our control system, misstatements due to error or fraud may occur and not be detected.</w:t>
      </w:r>
    </w:p>
    <w:p w14:paraId="57D5BEF7" w14:textId="77777777" w:rsidR="00000000" w:rsidRDefault="000C49AD">
      <w:pPr>
        <w:jc w:val="both"/>
        <w:rPr>
          <w:rFonts w:eastAsia="Times New Roman"/>
        </w:rPr>
      </w:pPr>
    </w:p>
    <w:p w14:paraId="3E0BFB06" w14:textId="77777777" w:rsidR="00000000" w:rsidRDefault="000C49AD">
      <w:pPr>
        <w:jc w:val="both"/>
        <w:rPr>
          <w:rFonts w:eastAsia="Times New Roman"/>
        </w:rPr>
      </w:pPr>
      <w:r>
        <w:rPr>
          <w:rFonts w:eastAsia="Times New Roman"/>
          <w:b/>
          <w:bCs/>
          <w:i/>
          <w:iCs/>
          <w:color w:val="000000"/>
          <w:sz w:val="20"/>
          <w:szCs w:val="20"/>
        </w:rPr>
        <w:t>If securities analysts do not publish research or reports about our business or if they publish negative evaluations of our</w:t>
      </w:r>
      <w:r>
        <w:rPr>
          <w:rFonts w:eastAsia="Times New Roman"/>
          <w:b/>
          <w:bCs/>
          <w:i/>
          <w:iCs/>
          <w:color w:val="000000"/>
          <w:sz w:val="20"/>
          <w:szCs w:val="20"/>
        </w:rPr>
        <w:t xml:space="preserve"> stock, the price of our stock could decline.</w:t>
      </w:r>
    </w:p>
    <w:p w14:paraId="6CA9E13B" w14:textId="77777777" w:rsidR="00000000" w:rsidRDefault="000C49AD">
      <w:pPr>
        <w:jc w:val="both"/>
        <w:rPr>
          <w:rFonts w:eastAsia="Times New Roman"/>
        </w:rPr>
      </w:pPr>
    </w:p>
    <w:p w14:paraId="4C327C49" w14:textId="77777777" w:rsidR="00000000" w:rsidRDefault="000C49AD">
      <w:pPr>
        <w:jc w:val="both"/>
        <w:rPr>
          <w:rFonts w:eastAsia="Times New Roman"/>
        </w:rPr>
      </w:pPr>
      <w:r>
        <w:rPr>
          <w:rFonts w:eastAsia="Times New Roman"/>
          <w:color w:val="000000"/>
          <w:sz w:val="20"/>
          <w:szCs w:val="20"/>
        </w:rPr>
        <w:t>The trading market for our common stock relies in part on the research and reports that industry or financial analysts publish about us or our business. We do not have control over these analysts. There can b</w:t>
      </w:r>
      <w:r>
        <w:rPr>
          <w:rFonts w:eastAsia="Times New Roman"/>
          <w:color w:val="000000"/>
          <w:sz w:val="20"/>
          <w:szCs w:val="20"/>
        </w:rPr>
        <w:t xml:space="preserve">e no assurance that existing analysts will continue to provide research coverage or that new analysts will begin to provide research coverage. Although we have obtained analyst coverage, if one or more of the analysts covering our business downgrade their </w:t>
      </w:r>
      <w:r>
        <w:rPr>
          <w:rFonts w:eastAsia="Times New Roman"/>
          <w:color w:val="000000"/>
          <w:sz w:val="20"/>
          <w:szCs w:val="20"/>
        </w:rPr>
        <w:t>evaluations of our stock, the price of our stock could decline. If one or more of these analysts cease to cover our stock, we could lose visibility in the market for our stock, which in turn could cause our stock price to decline.</w:t>
      </w:r>
    </w:p>
    <w:p w14:paraId="47D6CD11" w14:textId="77777777" w:rsidR="00000000" w:rsidRDefault="000C49AD">
      <w:pPr>
        <w:jc w:val="both"/>
        <w:rPr>
          <w:rFonts w:eastAsia="Times New Roman"/>
        </w:rPr>
      </w:pPr>
    </w:p>
    <w:p w14:paraId="1685E922" w14:textId="77777777" w:rsidR="00000000" w:rsidRDefault="000C49AD">
      <w:pPr>
        <w:jc w:val="center"/>
        <w:divId w:val="884215669"/>
        <w:rPr>
          <w:rFonts w:eastAsia="Times New Roman"/>
        </w:rPr>
      </w:pPr>
      <w:r>
        <w:rPr>
          <w:rFonts w:eastAsia="Times New Roman"/>
          <w:color w:val="000000"/>
          <w:sz w:val="20"/>
          <w:szCs w:val="20"/>
        </w:rPr>
        <w:t>-58-</w:t>
      </w:r>
    </w:p>
    <w:p w14:paraId="2A4D7CAB" w14:textId="77777777" w:rsidR="00000000" w:rsidRDefault="000C49AD">
      <w:pPr>
        <w:rPr>
          <w:rFonts w:eastAsia="Times New Roman"/>
        </w:rPr>
      </w:pPr>
      <w:r>
        <w:rPr>
          <w:rFonts w:eastAsia="Times New Roman"/>
        </w:rPr>
        <w:pict w14:anchorId="62D19EEE">
          <v:rect id="_x0000_i1082" style="width:0;height:1.5pt" o:hralign="center" o:hrstd="t" o:hr="t" fillcolor="#a0a0a0" stroked="f"/>
        </w:pict>
      </w:r>
    </w:p>
    <w:p w14:paraId="79B47240" w14:textId="77777777" w:rsidR="00000000" w:rsidRDefault="000C49AD">
      <w:pPr>
        <w:divId w:val="643966921"/>
        <w:rPr>
          <w:rFonts w:eastAsia="Times New Roman"/>
        </w:rPr>
      </w:pPr>
    </w:p>
    <w:p w14:paraId="1A90020E" w14:textId="77777777" w:rsidR="00000000" w:rsidRDefault="000C49AD">
      <w:pPr>
        <w:jc w:val="both"/>
        <w:rPr>
          <w:rFonts w:eastAsia="Times New Roman"/>
        </w:rPr>
      </w:pPr>
      <w:r>
        <w:rPr>
          <w:rFonts w:eastAsia="Times New Roman"/>
          <w:b/>
          <w:bCs/>
          <w:i/>
          <w:iCs/>
          <w:color w:val="000000"/>
          <w:sz w:val="20"/>
          <w:szCs w:val="20"/>
        </w:rPr>
        <w:t>A transfer of ordinary shares may be subject to Irish stamp duty.</w:t>
      </w:r>
    </w:p>
    <w:p w14:paraId="21AB8FDB" w14:textId="77777777" w:rsidR="00000000" w:rsidRDefault="000C49AD">
      <w:pPr>
        <w:jc w:val="both"/>
        <w:rPr>
          <w:rFonts w:eastAsia="Times New Roman"/>
        </w:rPr>
      </w:pPr>
      <w:r>
        <w:rPr>
          <w:rFonts w:eastAsia="Times New Roman"/>
          <w:b/>
          <w:bCs/>
          <w:i/>
          <w:iCs/>
          <w:color w:val="000000"/>
          <w:sz w:val="20"/>
          <w:szCs w:val="20"/>
        </w:rPr>
        <w:t> </w:t>
      </w:r>
    </w:p>
    <w:p w14:paraId="4DBA83F3" w14:textId="77777777" w:rsidR="00000000" w:rsidRDefault="000C49AD">
      <w:pPr>
        <w:jc w:val="both"/>
        <w:rPr>
          <w:rFonts w:eastAsia="Times New Roman"/>
        </w:rPr>
      </w:pPr>
      <w:r>
        <w:rPr>
          <w:rFonts w:eastAsia="Times New Roman"/>
          <w:color w:val="000000"/>
          <w:sz w:val="20"/>
          <w:szCs w:val="20"/>
        </w:rPr>
        <w:t>Transfers of ordinary shares (as opposed to ADSs) could be subject to Irish stamp duty (currently at the rate of 1% of the higher of the price paid or</w:t>
      </w:r>
      <w:r>
        <w:rPr>
          <w:rFonts w:eastAsia="Times New Roman"/>
          <w:color w:val="000000"/>
          <w:sz w:val="20"/>
          <w:szCs w:val="20"/>
        </w:rPr>
        <w:t xml:space="preserve"> the market value of the shares acquired). Payment of Irish stamp duty is generally a legal obligation of the transferee. Although transfers of ADSs are not subject to Irish stamp duty, the potential for stamp duty to arise on transfers of ordinary shares </w:t>
      </w:r>
      <w:r>
        <w:rPr>
          <w:rFonts w:eastAsia="Times New Roman"/>
          <w:color w:val="000000"/>
          <w:sz w:val="20"/>
          <w:szCs w:val="20"/>
        </w:rPr>
        <w:t>could adversely affect the price of our ordinary shares or ADSs.</w:t>
      </w:r>
    </w:p>
    <w:p w14:paraId="0764CE62" w14:textId="77777777" w:rsidR="00000000" w:rsidRDefault="000C49AD">
      <w:pPr>
        <w:jc w:val="both"/>
        <w:rPr>
          <w:rFonts w:eastAsia="Times New Roman"/>
        </w:rPr>
      </w:pPr>
    </w:p>
    <w:p w14:paraId="414E358E" w14:textId="77777777" w:rsidR="00000000" w:rsidRDefault="000C49AD">
      <w:pPr>
        <w:divId w:val="1915507980"/>
        <w:rPr>
          <w:rFonts w:eastAsia="Times New Roman"/>
        </w:rPr>
      </w:pPr>
      <w:r>
        <w:rPr>
          <w:rFonts w:eastAsia="Times New Roman"/>
          <w:b/>
          <w:bCs/>
          <w:color w:val="000000"/>
          <w:sz w:val="20"/>
          <w:szCs w:val="20"/>
        </w:rPr>
        <w:t>Item 1B.    Unresolved Staff Comments.</w:t>
      </w:r>
      <w:r>
        <w:rPr>
          <w:rFonts w:eastAsia="Times New Roman"/>
          <w:color w:val="000000"/>
          <w:sz w:val="20"/>
          <w:szCs w:val="20"/>
        </w:rPr>
        <w:t> </w:t>
      </w:r>
    </w:p>
    <w:p w14:paraId="70696C03" w14:textId="77777777" w:rsidR="00000000" w:rsidRDefault="000C49AD">
      <w:pPr>
        <w:divId w:val="1266811501"/>
        <w:rPr>
          <w:rFonts w:eastAsia="Times New Roman"/>
        </w:rPr>
      </w:pPr>
      <w:r>
        <w:rPr>
          <w:rFonts w:eastAsia="Times New Roman"/>
          <w:color w:val="000000"/>
          <w:sz w:val="20"/>
          <w:szCs w:val="20"/>
        </w:rPr>
        <w:t>None.</w:t>
      </w:r>
    </w:p>
    <w:p w14:paraId="1761B0B8" w14:textId="77777777" w:rsidR="00000000" w:rsidRDefault="000C49AD">
      <w:pPr>
        <w:divId w:val="147483944"/>
        <w:rPr>
          <w:rFonts w:eastAsia="Times New Roman"/>
        </w:rPr>
      </w:pPr>
    </w:p>
    <w:p w14:paraId="19C53F9D" w14:textId="77777777" w:rsidR="00000000" w:rsidRDefault="000C49AD">
      <w:pPr>
        <w:jc w:val="both"/>
        <w:divId w:val="776632516"/>
        <w:rPr>
          <w:rFonts w:eastAsia="Times New Roman"/>
        </w:rPr>
      </w:pPr>
      <w:r>
        <w:rPr>
          <w:rFonts w:eastAsia="Times New Roman"/>
          <w:b/>
          <w:bCs/>
          <w:color w:val="000000"/>
          <w:sz w:val="20"/>
          <w:szCs w:val="20"/>
        </w:rPr>
        <w:t>Item 2.        Properties.</w:t>
      </w:r>
    </w:p>
    <w:p w14:paraId="3F26296D" w14:textId="77777777" w:rsidR="00000000" w:rsidRDefault="000C49AD">
      <w:pPr>
        <w:jc w:val="both"/>
        <w:rPr>
          <w:rFonts w:eastAsia="Times New Roman"/>
        </w:rPr>
      </w:pPr>
      <w:r>
        <w:rPr>
          <w:rFonts w:eastAsia="Times New Roman"/>
          <w:color w:val="000000"/>
          <w:sz w:val="20"/>
          <w:szCs w:val="20"/>
        </w:rPr>
        <w:t>We have commercial and administrative activities located in Chesterfield, Missouri. Our current office space consi</w:t>
      </w:r>
      <w:r>
        <w:rPr>
          <w:rFonts w:eastAsia="Times New Roman"/>
          <w:color w:val="000000"/>
          <w:sz w:val="20"/>
          <w:szCs w:val="20"/>
        </w:rPr>
        <w:t xml:space="preserve">sts of 24,236 square feet, and the lease expires in 2025. </w:t>
      </w:r>
    </w:p>
    <w:p w14:paraId="361007B3" w14:textId="77777777" w:rsidR="00000000" w:rsidRDefault="000C49AD">
      <w:pPr>
        <w:jc w:val="both"/>
        <w:rPr>
          <w:rFonts w:eastAsia="Times New Roman"/>
        </w:rPr>
      </w:pPr>
    </w:p>
    <w:p w14:paraId="20043459" w14:textId="77777777" w:rsidR="00000000" w:rsidRDefault="000C49AD">
      <w:pPr>
        <w:jc w:val="both"/>
        <w:rPr>
          <w:rFonts w:eastAsia="Times New Roman"/>
        </w:rPr>
      </w:pPr>
      <w:r>
        <w:rPr>
          <w:rFonts w:eastAsia="Times New Roman"/>
          <w:color w:val="000000"/>
          <w:sz w:val="20"/>
          <w:szCs w:val="20"/>
        </w:rPr>
        <w:t>See “Management’s Discussion and Analysis of Financial Condition and Results of Operations” in Part II, Item 7 of this Annual Report on Form 10-K for more information regarding our investment act</w:t>
      </w:r>
      <w:r>
        <w:rPr>
          <w:rFonts w:eastAsia="Times New Roman"/>
          <w:color w:val="000000"/>
          <w:sz w:val="20"/>
          <w:szCs w:val="20"/>
        </w:rPr>
        <w:t>ivities and principal capital expenditures over the last two years.</w:t>
      </w:r>
    </w:p>
    <w:p w14:paraId="5C58F766" w14:textId="77777777" w:rsidR="00000000" w:rsidRDefault="000C49AD">
      <w:pPr>
        <w:jc w:val="both"/>
        <w:rPr>
          <w:rFonts w:eastAsia="Times New Roman"/>
        </w:rPr>
      </w:pPr>
    </w:p>
    <w:p w14:paraId="5C17DF51" w14:textId="77777777" w:rsidR="00000000" w:rsidRDefault="000C49AD">
      <w:pPr>
        <w:divId w:val="782769066"/>
        <w:rPr>
          <w:rFonts w:eastAsia="Times New Roman"/>
        </w:rPr>
      </w:pPr>
      <w:r>
        <w:rPr>
          <w:rFonts w:eastAsia="Times New Roman"/>
          <w:b/>
          <w:bCs/>
          <w:color w:val="000000"/>
          <w:sz w:val="20"/>
          <w:szCs w:val="20"/>
        </w:rPr>
        <w:t>Item 3.        Legal Proceedings.</w:t>
      </w:r>
    </w:p>
    <w:p w14:paraId="1ADF0969" w14:textId="77777777" w:rsidR="00000000" w:rsidRDefault="000C49AD">
      <w:pPr>
        <w:jc w:val="both"/>
        <w:rPr>
          <w:rFonts w:eastAsia="Times New Roman"/>
        </w:rPr>
      </w:pPr>
      <w:r>
        <w:rPr>
          <w:rFonts w:eastAsia="Times New Roman"/>
          <w:color w:val="000000"/>
          <w:sz w:val="20"/>
          <w:szCs w:val="20"/>
        </w:rPr>
        <w:t xml:space="preserve">For information regarding legal proceedings we are involved in, see </w:t>
      </w:r>
      <w:r>
        <w:rPr>
          <w:rFonts w:eastAsia="Times New Roman"/>
          <w:i/>
          <w:iCs/>
          <w:color w:val="000000"/>
          <w:sz w:val="20"/>
          <w:szCs w:val="20"/>
        </w:rPr>
        <w:t xml:space="preserve">Note 15: Contingent Liabilities and Commitments </w:t>
      </w:r>
      <w:r>
        <w:rPr>
          <w:rFonts w:eastAsia="Times New Roman"/>
          <w:color w:val="000000"/>
          <w:sz w:val="20"/>
          <w:szCs w:val="20"/>
        </w:rPr>
        <w:t>to our audited consolidated financia</w:t>
      </w:r>
      <w:r>
        <w:rPr>
          <w:rFonts w:eastAsia="Times New Roman"/>
          <w:color w:val="000000"/>
          <w:sz w:val="20"/>
          <w:szCs w:val="20"/>
        </w:rPr>
        <w:t xml:space="preserve">l statements included in Part II, Item 8 of this Annual Report on Form 10-K. </w:t>
      </w:r>
    </w:p>
    <w:p w14:paraId="7978B298" w14:textId="77777777" w:rsidR="00000000" w:rsidRDefault="000C49AD">
      <w:pPr>
        <w:jc w:val="both"/>
        <w:rPr>
          <w:rFonts w:eastAsia="Times New Roman"/>
        </w:rPr>
      </w:pPr>
    </w:p>
    <w:p w14:paraId="26686CED" w14:textId="77777777" w:rsidR="00000000" w:rsidRDefault="000C49AD">
      <w:pPr>
        <w:jc w:val="both"/>
        <w:rPr>
          <w:rFonts w:eastAsia="Times New Roman"/>
        </w:rPr>
      </w:pPr>
    </w:p>
    <w:p w14:paraId="0F2795BE" w14:textId="77777777" w:rsidR="00000000" w:rsidRDefault="000C49AD">
      <w:pPr>
        <w:divId w:val="1639068796"/>
        <w:rPr>
          <w:rFonts w:eastAsia="Times New Roman"/>
        </w:rPr>
      </w:pPr>
      <w:r>
        <w:rPr>
          <w:rFonts w:eastAsia="Times New Roman"/>
          <w:b/>
          <w:bCs/>
          <w:color w:val="000000"/>
          <w:sz w:val="20"/>
          <w:szCs w:val="20"/>
        </w:rPr>
        <w:t>Item 4.        Mine Safety Disclosures.</w:t>
      </w:r>
      <w:r>
        <w:rPr>
          <w:rFonts w:eastAsia="Times New Roman"/>
          <w:color w:val="000000"/>
          <w:sz w:val="20"/>
          <w:szCs w:val="20"/>
        </w:rPr>
        <w:t> </w:t>
      </w:r>
    </w:p>
    <w:p w14:paraId="7CA86519" w14:textId="77777777" w:rsidR="00000000" w:rsidRDefault="000C49AD">
      <w:pPr>
        <w:divId w:val="563762330"/>
        <w:rPr>
          <w:rFonts w:eastAsia="Times New Roman"/>
        </w:rPr>
      </w:pPr>
      <w:r>
        <w:rPr>
          <w:rFonts w:eastAsia="Times New Roman"/>
          <w:color w:val="000000"/>
          <w:sz w:val="20"/>
          <w:szCs w:val="20"/>
        </w:rPr>
        <w:t>Not applicable.</w:t>
      </w:r>
    </w:p>
    <w:p w14:paraId="633B706F" w14:textId="77777777" w:rsidR="00000000" w:rsidRDefault="000C49AD">
      <w:pPr>
        <w:jc w:val="center"/>
        <w:divId w:val="788089510"/>
        <w:rPr>
          <w:rFonts w:eastAsia="Times New Roman"/>
        </w:rPr>
      </w:pPr>
      <w:r>
        <w:rPr>
          <w:rFonts w:eastAsia="Times New Roman"/>
          <w:color w:val="000000"/>
          <w:sz w:val="20"/>
          <w:szCs w:val="20"/>
        </w:rPr>
        <w:t>-59-</w:t>
      </w:r>
    </w:p>
    <w:p w14:paraId="7A553201" w14:textId="77777777" w:rsidR="00000000" w:rsidRDefault="000C49AD">
      <w:pPr>
        <w:rPr>
          <w:rFonts w:eastAsia="Times New Roman"/>
        </w:rPr>
      </w:pPr>
      <w:r>
        <w:rPr>
          <w:rFonts w:eastAsia="Times New Roman"/>
        </w:rPr>
        <w:pict w14:anchorId="1ECAEBA7">
          <v:rect id="_x0000_i1083" style="width:0;height:1.5pt" o:hralign="center" o:hrstd="t" o:hr="t" fillcolor="#a0a0a0" stroked="f"/>
        </w:pict>
      </w:r>
    </w:p>
    <w:p w14:paraId="316C4ED8" w14:textId="77777777" w:rsidR="00000000" w:rsidRDefault="000C49AD">
      <w:pPr>
        <w:divId w:val="290134029"/>
        <w:rPr>
          <w:rFonts w:eastAsia="Times New Roman"/>
        </w:rPr>
      </w:pPr>
    </w:p>
    <w:p w14:paraId="23197F53" w14:textId="77777777" w:rsidR="00000000" w:rsidRDefault="000C49AD">
      <w:pPr>
        <w:divId w:val="668289065"/>
        <w:rPr>
          <w:rFonts w:eastAsia="Times New Roman"/>
        </w:rPr>
      </w:pPr>
      <w:r>
        <w:rPr>
          <w:rFonts w:eastAsia="Times New Roman"/>
          <w:b/>
          <w:bCs/>
          <w:i/>
          <w:iCs/>
          <w:color w:val="000000"/>
          <w:sz w:val="20"/>
          <w:szCs w:val="20"/>
        </w:rPr>
        <w:t>PART II</w:t>
      </w:r>
    </w:p>
    <w:p w14:paraId="2436583D" w14:textId="77777777" w:rsidR="00000000" w:rsidRDefault="000C49AD">
      <w:pPr>
        <w:jc w:val="both"/>
        <w:rPr>
          <w:rFonts w:eastAsia="Times New Roman"/>
        </w:rPr>
      </w:pPr>
    </w:p>
    <w:p w14:paraId="53E3E1C5" w14:textId="77777777" w:rsidR="00000000" w:rsidRDefault="000C49AD">
      <w:pPr>
        <w:ind w:hanging="1440"/>
        <w:jc w:val="both"/>
        <w:rPr>
          <w:rFonts w:eastAsia="Times New Roman"/>
        </w:rPr>
      </w:pPr>
      <w:r>
        <w:rPr>
          <w:rFonts w:eastAsia="Times New Roman"/>
          <w:b/>
          <w:bCs/>
          <w:color w:val="000000"/>
          <w:sz w:val="20"/>
          <w:szCs w:val="20"/>
        </w:rPr>
        <w:t>Item 5.</w:t>
      </w:r>
      <w:r>
        <w:rPr>
          <w:rFonts w:eastAsia="Times New Roman"/>
          <w:color w:val="000000"/>
          <w:sz w:val="20"/>
          <w:szCs w:val="20"/>
        </w:rPr>
        <w:t>    </w:t>
      </w:r>
      <w:r>
        <w:rPr>
          <w:rFonts w:eastAsia="Times New Roman"/>
          <w:b/>
          <w:bCs/>
          <w:color w:val="000000"/>
          <w:sz w:val="20"/>
          <w:szCs w:val="20"/>
        </w:rPr>
        <w:t>Market for Registrant’s Common Equity, Related Stockh</w:t>
      </w:r>
      <w:r>
        <w:rPr>
          <w:rFonts w:eastAsia="Times New Roman"/>
          <w:b/>
          <w:bCs/>
          <w:color w:val="000000"/>
          <w:sz w:val="20"/>
          <w:szCs w:val="20"/>
        </w:rPr>
        <w:t>older Matters and Issuer Purchases of Equity Securities.</w:t>
      </w:r>
    </w:p>
    <w:p w14:paraId="68591296" w14:textId="77777777" w:rsidR="00000000" w:rsidRDefault="000C49AD">
      <w:pPr>
        <w:jc w:val="both"/>
        <w:rPr>
          <w:rFonts w:eastAsia="Times New Roman"/>
        </w:rPr>
      </w:pPr>
      <w:r>
        <w:rPr>
          <w:rFonts w:eastAsia="Times New Roman"/>
          <w:b/>
          <w:bCs/>
          <w:color w:val="000000"/>
          <w:sz w:val="20"/>
          <w:szCs w:val="20"/>
        </w:rPr>
        <w:t> </w:t>
      </w:r>
    </w:p>
    <w:p w14:paraId="3C2B0465" w14:textId="77777777" w:rsidR="00000000" w:rsidRDefault="000C49AD">
      <w:pPr>
        <w:jc w:val="both"/>
        <w:rPr>
          <w:rFonts w:eastAsia="Times New Roman"/>
        </w:rPr>
      </w:pPr>
      <w:r>
        <w:rPr>
          <w:rFonts w:eastAsia="Times New Roman"/>
          <w:b/>
          <w:bCs/>
          <w:color w:val="000000"/>
          <w:sz w:val="20"/>
          <w:szCs w:val="20"/>
        </w:rPr>
        <w:t>Common Stock Data (per share):</w:t>
      </w:r>
    </w:p>
    <w:p w14:paraId="595472DA" w14:textId="77777777" w:rsidR="00000000" w:rsidRDefault="000C49AD">
      <w:pPr>
        <w:jc w:val="both"/>
        <w:rPr>
          <w:rFonts w:eastAsia="Times New Roman"/>
        </w:rPr>
      </w:pPr>
      <w:r>
        <w:rPr>
          <w:rFonts w:eastAsia="Times New Roman"/>
          <w:color w:val="000000"/>
          <w:sz w:val="20"/>
          <w:szCs w:val="20"/>
        </w:rPr>
        <w:t> </w:t>
      </w:r>
    </w:p>
    <w:p w14:paraId="17C6FF12" w14:textId="77777777" w:rsidR="00000000" w:rsidRDefault="000C49AD">
      <w:pPr>
        <w:jc w:val="both"/>
        <w:rPr>
          <w:rFonts w:eastAsia="Times New Roman"/>
        </w:rPr>
      </w:pPr>
      <w:r>
        <w:rPr>
          <w:rFonts w:eastAsia="Times New Roman"/>
          <w:color w:val="000000"/>
          <w:sz w:val="20"/>
          <w:szCs w:val="20"/>
        </w:rPr>
        <w:t>The principal trading market for our securities in ADSs is the Nasdaq Global Market under the symbol “AVDL”. There is no foreign trading market for our ordinary shares, ADSs or any other equity security issued by us. Each ADS represents one ordinary share,</w:t>
      </w:r>
      <w:r>
        <w:rPr>
          <w:rFonts w:eastAsia="Times New Roman"/>
          <w:color w:val="000000"/>
          <w:sz w:val="20"/>
          <w:szCs w:val="20"/>
        </w:rPr>
        <w:t xml:space="preserve"> nominal value $0.01. The Bank of New York Mellon is the Depositary for the ADSs.</w:t>
      </w:r>
    </w:p>
    <w:p w14:paraId="48342244" w14:textId="77777777" w:rsidR="00000000" w:rsidRDefault="000C49AD">
      <w:pPr>
        <w:jc w:val="both"/>
        <w:rPr>
          <w:rFonts w:eastAsia="Times New Roman"/>
        </w:rPr>
      </w:pPr>
      <w:r>
        <w:rPr>
          <w:rFonts w:eastAsia="Times New Roman"/>
          <w:color w:val="000000"/>
          <w:sz w:val="20"/>
          <w:szCs w:val="20"/>
        </w:rPr>
        <w:t> </w:t>
      </w:r>
    </w:p>
    <w:p w14:paraId="1313648C" w14:textId="77777777" w:rsidR="00000000" w:rsidRDefault="000C49AD">
      <w:pPr>
        <w:jc w:val="both"/>
        <w:rPr>
          <w:rFonts w:eastAsia="Times New Roman"/>
        </w:rPr>
      </w:pPr>
      <w:r>
        <w:rPr>
          <w:rFonts w:eastAsia="Times New Roman"/>
          <w:color w:val="000000"/>
          <w:sz w:val="20"/>
          <w:szCs w:val="20"/>
        </w:rPr>
        <w:t>As of March 11, 2022, there were 59,032,237 ordinary shares outstanding, and our closing stock price was $7.22 per share.</w:t>
      </w:r>
    </w:p>
    <w:p w14:paraId="6A04FA2A" w14:textId="77777777" w:rsidR="00000000" w:rsidRDefault="000C49AD">
      <w:pPr>
        <w:jc w:val="both"/>
        <w:rPr>
          <w:rFonts w:eastAsia="Times New Roman"/>
        </w:rPr>
      </w:pPr>
      <w:r>
        <w:rPr>
          <w:rFonts w:eastAsia="Times New Roman"/>
          <w:color w:val="000000"/>
          <w:sz w:val="20"/>
          <w:szCs w:val="20"/>
        </w:rPr>
        <w:t> </w:t>
      </w:r>
    </w:p>
    <w:p w14:paraId="5BFE1D02" w14:textId="77777777" w:rsidR="00000000" w:rsidRDefault="000C49AD">
      <w:pPr>
        <w:jc w:val="both"/>
        <w:rPr>
          <w:rFonts w:eastAsia="Times New Roman"/>
        </w:rPr>
      </w:pPr>
      <w:r>
        <w:rPr>
          <w:rFonts w:eastAsia="Times New Roman"/>
          <w:color w:val="000000"/>
          <w:sz w:val="20"/>
          <w:szCs w:val="20"/>
        </w:rPr>
        <w:t>The following table reports the high and low tra</w:t>
      </w:r>
      <w:r>
        <w:rPr>
          <w:rFonts w:eastAsia="Times New Roman"/>
          <w:color w:val="000000"/>
          <w:sz w:val="20"/>
          <w:szCs w:val="20"/>
        </w:rPr>
        <w:t>ding prices of the ADSs on the Nasdaq Global Market for the periods indicated: </w:t>
      </w:r>
    </w:p>
    <w:tbl>
      <w:tblPr>
        <w:tblW w:w="4978" w:type="pct"/>
        <w:tblCellMar>
          <w:top w:w="15" w:type="dxa"/>
          <w:left w:w="15" w:type="dxa"/>
          <w:bottom w:w="15" w:type="dxa"/>
          <w:right w:w="15" w:type="dxa"/>
        </w:tblCellMar>
        <w:tblLook w:val="04A0" w:firstRow="1" w:lastRow="0" w:firstColumn="1" w:lastColumn="0" w:noHBand="0" w:noVBand="1"/>
      </w:tblPr>
      <w:tblGrid>
        <w:gridCol w:w="37"/>
        <w:gridCol w:w="4021"/>
        <w:gridCol w:w="36"/>
        <w:gridCol w:w="120"/>
        <w:gridCol w:w="842"/>
        <w:gridCol w:w="36"/>
        <w:gridCol w:w="36"/>
        <w:gridCol w:w="36"/>
        <w:gridCol w:w="36"/>
        <w:gridCol w:w="120"/>
        <w:gridCol w:w="786"/>
        <w:gridCol w:w="36"/>
        <w:gridCol w:w="36"/>
        <w:gridCol w:w="36"/>
        <w:gridCol w:w="36"/>
        <w:gridCol w:w="120"/>
        <w:gridCol w:w="799"/>
        <w:gridCol w:w="36"/>
        <w:gridCol w:w="36"/>
        <w:gridCol w:w="36"/>
        <w:gridCol w:w="36"/>
        <w:gridCol w:w="120"/>
        <w:gridCol w:w="800"/>
        <w:gridCol w:w="36"/>
      </w:tblGrid>
      <w:tr w:rsidR="00000000" w14:paraId="35D7EF13" w14:textId="77777777">
        <w:tc>
          <w:tcPr>
            <w:tcW w:w="50" w:type="pct"/>
            <w:vAlign w:val="center"/>
            <w:hideMark/>
          </w:tcPr>
          <w:p w14:paraId="3EABCA51" w14:textId="77777777" w:rsidR="00000000" w:rsidRDefault="000C49AD">
            <w:pPr>
              <w:jc w:val="both"/>
              <w:rPr>
                <w:rFonts w:eastAsia="Times New Roman"/>
              </w:rPr>
            </w:pPr>
          </w:p>
        </w:tc>
        <w:tc>
          <w:tcPr>
            <w:tcW w:w="2463" w:type="pct"/>
            <w:vAlign w:val="center"/>
            <w:hideMark/>
          </w:tcPr>
          <w:p w14:paraId="5F7D512D" w14:textId="77777777" w:rsidR="00000000" w:rsidRDefault="000C49AD">
            <w:pPr>
              <w:spacing w:after="100"/>
              <w:rPr>
                <w:rFonts w:eastAsia="Times New Roman"/>
                <w:sz w:val="20"/>
                <w:szCs w:val="20"/>
              </w:rPr>
            </w:pPr>
          </w:p>
        </w:tc>
        <w:tc>
          <w:tcPr>
            <w:tcW w:w="5" w:type="pct"/>
            <w:vAlign w:val="center"/>
            <w:hideMark/>
          </w:tcPr>
          <w:p w14:paraId="65A01DB0" w14:textId="77777777" w:rsidR="00000000" w:rsidRDefault="000C49AD">
            <w:pPr>
              <w:spacing w:after="100"/>
              <w:rPr>
                <w:rFonts w:eastAsia="Times New Roman"/>
                <w:sz w:val="20"/>
                <w:szCs w:val="20"/>
              </w:rPr>
            </w:pPr>
          </w:p>
        </w:tc>
        <w:tc>
          <w:tcPr>
            <w:tcW w:w="50" w:type="pct"/>
            <w:vAlign w:val="center"/>
            <w:hideMark/>
          </w:tcPr>
          <w:p w14:paraId="4A9FC9D2" w14:textId="77777777" w:rsidR="00000000" w:rsidRDefault="000C49AD">
            <w:pPr>
              <w:spacing w:after="100"/>
              <w:rPr>
                <w:rFonts w:eastAsia="Times New Roman"/>
                <w:sz w:val="20"/>
                <w:szCs w:val="20"/>
              </w:rPr>
            </w:pPr>
          </w:p>
        </w:tc>
        <w:tc>
          <w:tcPr>
            <w:tcW w:w="539" w:type="pct"/>
            <w:vAlign w:val="center"/>
            <w:hideMark/>
          </w:tcPr>
          <w:p w14:paraId="6F0E51CE" w14:textId="77777777" w:rsidR="00000000" w:rsidRDefault="000C49AD">
            <w:pPr>
              <w:spacing w:after="100"/>
              <w:rPr>
                <w:rFonts w:eastAsia="Times New Roman"/>
                <w:sz w:val="20"/>
                <w:szCs w:val="20"/>
              </w:rPr>
            </w:pPr>
          </w:p>
        </w:tc>
        <w:tc>
          <w:tcPr>
            <w:tcW w:w="5" w:type="pct"/>
            <w:vAlign w:val="center"/>
            <w:hideMark/>
          </w:tcPr>
          <w:p w14:paraId="136547D8" w14:textId="77777777" w:rsidR="00000000" w:rsidRDefault="000C49AD">
            <w:pPr>
              <w:spacing w:after="100"/>
              <w:rPr>
                <w:rFonts w:eastAsia="Times New Roman"/>
                <w:sz w:val="20"/>
                <w:szCs w:val="20"/>
              </w:rPr>
            </w:pPr>
          </w:p>
        </w:tc>
        <w:tc>
          <w:tcPr>
            <w:tcW w:w="5" w:type="pct"/>
            <w:vAlign w:val="center"/>
            <w:hideMark/>
          </w:tcPr>
          <w:p w14:paraId="2F81F4A0" w14:textId="77777777" w:rsidR="00000000" w:rsidRDefault="000C49AD">
            <w:pPr>
              <w:spacing w:after="100"/>
              <w:rPr>
                <w:rFonts w:eastAsia="Times New Roman"/>
                <w:sz w:val="20"/>
                <w:szCs w:val="20"/>
              </w:rPr>
            </w:pPr>
          </w:p>
        </w:tc>
        <w:tc>
          <w:tcPr>
            <w:tcW w:w="26" w:type="pct"/>
            <w:vAlign w:val="center"/>
            <w:hideMark/>
          </w:tcPr>
          <w:p w14:paraId="279258B9" w14:textId="77777777" w:rsidR="00000000" w:rsidRDefault="000C49AD">
            <w:pPr>
              <w:spacing w:after="100"/>
              <w:rPr>
                <w:rFonts w:eastAsia="Times New Roman"/>
                <w:sz w:val="20"/>
                <w:szCs w:val="20"/>
              </w:rPr>
            </w:pPr>
          </w:p>
        </w:tc>
        <w:tc>
          <w:tcPr>
            <w:tcW w:w="5" w:type="pct"/>
            <w:vAlign w:val="center"/>
            <w:hideMark/>
          </w:tcPr>
          <w:p w14:paraId="34626655" w14:textId="77777777" w:rsidR="00000000" w:rsidRDefault="000C49AD">
            <w:pPr>
              <w:spacing w:after="100"/>
              <w:rPr>
                <w:rFonts w:eastAsia="Times New Roman"/>
                <w:sz w:val="20"/>
                <w:szCs w:val="20"/>
              </w:rPr>
            </w:pPr>
          </w:p>
        </w:tc>
        <w:tc>
          <w:tcPr>
            <w:tcW w:w="50" w:type="pct"/>
            <w:vAlign w:val="center"/>
            <w:hideMark/>
          </w:tcPr>
          <w:p w14:paraId="3DFC9C67" w14:textId="77777777" w:rsidR="00000000" w:rsidRDefault="000C49AD">
            <w:pPr>
              <w:spacing w:after="100"/>
              <w:rPr>
                <w:rFonts w:eastAsia="Times New Roman"/>
                <w:sz w:val="20"/>
                <w:szCs w:val="20"/>
              </w:rPr>
            </w:pPr>
          </w:p>
        </w:tc>
        <w:tc>
          <w:tcPr>
            <w:tcW w:w="532" w:type="pct"/>
            <w:vAlign w:val="center"/>
            <w:hideMark/>
          </w:tcPr>
          <w:p w14:paraId="1F08E6E0" w14:textId="77777777" w:rsidR="00000000" w:rsidRDefault="000C49AD">
            <w:pPr>
              <w:spacing w:after="100"/>
              <w:rPr>
                <w:rFonts w:eastAsia="Times New Roman"/>
                <w:sz w:val="20"/>
                <w:szCs w:val="20"/>
              </w:rPr>
            </w:pPr>
          </w:p>
        </w:tc>
        <w:tc>
          <w:tcPr>
            <w:tcW w:w="5" w:type="pct"/>
            <w:vAlign w:val="center"/>
            <w:hideMark/>
          </w:tcPr>
          <w:p w14:paraId="338DCF7B" w14:textId="77777777" w:rsidR="00000000" w:rsidRDefault="000C49AD">
            <w:pPr>
              <w:spacing w:after="100"/>
              <w:rPr>
                <w:rFonts w:eastAsia="Times New Roman"/>
                <w:sz w:val="20"/>
                <w:szCs w:val="20"/>
              </w:rPr>
            </w:pPr>
          </w:p>
        </w:tc>
        <w:tc>
          <w:tcPr>
            <w:tcW w:w="5" w:type="pct"/>
            <w:vAlign w:val="center"/>
            <w:hideMark/>
          </w:tcPr>
          <w:p w14:paraId="625D6CAF" w14:textId="77777777" w:rsidR="00000000" w:rsidRDefault="000C49AD">
            <w:pPr>
              <w:spacing w:after="100"/>
              <w:rPr>
                <w:rFonts w:eastAsia="Times New Roman"/>
                <w:sz w:val="20"/>
                <w:szCs w:val="20"/>
              </w:rPr>
            </w:pPr>
          </w:p>
        </w:tc>
        <w:tc>
          <w:tcPr>
            <w:tcW w:w="26" w:type="pct"/>
            <w:vAlign w:val="center"/>
            <w:hideMark/>
          </w:tcPr>
          <w:p w14:paraId="351F6EF6" w14:textId="77777777" w:rsidR="00000000" w:rsidRDefault="000C49AD">
            <w:pPr>
              <w:spacing w:after="100"/>
              <w:rPr>
                <w:rFonts w:eastAsia="Times New Roman"/>
                <w:sz w:val="20"/>
                <w:szCs w:val="20"/>
              </w:rPr>
            </w:pPr>
          </w:p>
        </w:tc>
        <w:tc>
          <w:tcPr>
            <w:tcW w:w="5" w:type="pct"/>
            <w:vAlign w:val="center"/>
            <w:hideMark/>
          </w:tcPr>
          <w:p w14:paraId="11F090BD" w14:textId="77777777" w:rsidR="00000000" w:rsidRDefault="000C49AD">
            <w:pPr>
              <w:spacing w:after="100"/>
              <w:rPr>
                <w:rFonts w:eastAsia="Times New Roman"/>
                <w:sz w:val="20"/>
                <w:szCs w:val="20"/>
              </w:rPr>
            </w:pPr>
          </w:p>
        </w:tc>
        <w:tc>
          <w:tcPr>
            <w:tcW w:w="50" w:type="pct"/>
            <w:vAlign w:val="center"/>
            <w:hideMark/>
          </w:tcPr>
          <w:p w14:paraId="54ED4D12" w14:textId="77777777" w:rsidR="00000000" w:rsidRDefault="000C49AD">
            <w:pPr>
              <w:spacing w:after="100"/>
              <w:rPr>
                <w:rFonts w:eastAsia="Times New Roman"/>
                <w:sz w:val="20"/>
                <w:szCs w:val="20"/>
              </w:rPr>
            </w:pPr>
          </w:p>
        </w:tc>
        <w:tc>
          <w:tcPr>
            <w:tcW w:w="539" w:type="pct"/>
            <w:vAlign w:val="center"/>
            <w:hideMark/>
          </w:tcPr>
          <w:p w14:paraId="2EB27E09" w14:textId="77777777" w:rsidR="00000000" w:rsidRDefault="000C49AD">
            <w:pPr>
              <w:spacing w:after="100"/>
              <w:rPr>
                <w:rFonts w:eastAsia="Times New Roman"/>
                <w:sz w:val="20"/>
                <w:szCs w:val="20"/>
              </w:rPr>
            </w:pPr>
          </w:p>
        </w:tc>
        <w:tc>
          <w:tcPr>
            <w:tcW w:w="5" w:type="pct"/>
            <w:vAlign w:val="center"/>
            <w:hideMark/>
          </w:tcPr>
          <w:p w14:paraId="1099F896" w14:textId="77777777" w:rsidR="00000000" w:rsidRDefault="000C49AD">
            <w:pPr>
              <w:spacing w:after="100"/>
              <w:rPr>
                <w:rFonts w:eastAsia="Times New Roman"/>
                <w:sz w:val="20"/>
                <w:szCs w:val="20"/>
              </w:rPr>
            </w:pPr>
          </w:p>
        </w:tc>
        <w:tc>
          <w:tcPr>
            <w:tcW w:w="5" w:type="pct"/>
            <w:vAlign w:val="center"/>
            <w:hideMark/>
          </w:tcPr>
          <w:p w14:paraId="7DE259BF" w14:textId="77777777" w:rsidR="00000000" w:rsidRDefault="000C49AD">
            <w:pPr>
              <w:spacing w:after="100"/>
              <w:rPr>
                <w:rFonts w:eastAsia="Times New Roman"/>
                <w:sz w:val="20"/>
                <w:szCs w:val="20"/>
              </w:rPr>
            </w:pPr>
          </w:p>
        </w:tc>
        <w:tc>
          <w:tcPr>
            <w:tcW w:w="26" w:type="pct"/>
            <w:vAlign w:val="center"/>
            <w:hideMark/>
          </w:tcPr>
          <w:p w14:paraId="6F99EA9F" w14:textId="77777777" w:rsidR="00000000" w:rsidRDefault="000C49AD">
            <w:pPr>
              <w:spacing w:after="100"/>
              <w:rPr>
                <w:rFonts w:eastAsia="Times New Roman"/>
                <w:sz w:val="20"/>
                <w:szCs w:val="20"/>
              </w:rPr>
            </w:pPr>
          </w:p>
        </w:tc>
        <w:tc>
          <w:tcPr>
            <w:tcW w:w="5" w:type="pct"/>
            <w:vAlign w:val="center"/>
            <w:hideMark/>
          </w:tcPr>
          <w:p w14:paraId="7ECAC7E0" w14:textId="77777777" w:rsidR="00000000" w:rsidRDefault="000C49AD">
            <w:pPr>
              <w:spacing w:after="100"/>
              <w:rPr>
                <w:rFonts w:eastAsia="Times New Roman"/>
                <w:sz w:val="20"/>
                <w:szCs w:val="20"/>
              </w:rPr>
            </w:pPr>
          </w:p>
        </w:tc>
        <w:tc>
          <w:tcPr>
            <w:tcW w:w="50" w:type="pct"/>
            <w:vAlign w:val="center"/>
            <w:hideMark/>
          </w:tcPr>
          <w:p w14:paraId="4462CECA" w14:textId="77777777" w:rsidR="00000000" w:rsidRDefault="000C49AD">
            <w:pPr>
              <w:spacing w:after="100"/>
              <w:rPr>
                <w:rFonts w:eastAsia="Times New Roman"/>
                <w:sz w:val="20"/>
                <w:szCs w:val="20"/>
              </w:rPr>
            </w:pPr>
          </w:p>
        </w:tc>
        <w:tc>
          <w:tcPr>
            <w:tcW w:w="539" w:type="pct"/>
            <w:vAlign w:val="center"/>
            <w:hideMark/>
          </w:tcPr>
          <w:p w14:paraId="1DA40350" w14:textId="77777777" w:rsidR="00000000" w:rsidRDefault="000C49AD">
            <w:pPr>
              <w:spacing w:after="100"/>
              <w:rPr>
                <w:rFonts w:eastAsia="Times New Roman"/>
                <w:sz w:val="20"/>
                <w:szCs w:val="20"/>
              </w:rPr>
            </w:pPr>
          </w:p>
        </w:tc>
        <w:tc>
          <w:tcPr>
            <w:tcW w:w="5" w:type="pct"/>
            <w:vAlign w:val="center"/>
            <w:hideMark/>
          </w:tcPr>
          <w:p w14:paraId="381FC511" w14:textId="77777777" w:rsidR="00000000" w:rsidRDefault="000C49AD">
            <w:pPr>
              <w:spacing w:after="100"/>
              <w:rPr>
                <w:rFonts w:eastAsia="Times New Roman"/>
                <w:sz w:val="20"/>
                <w:szCs w:val="20"/>
              </w:rPr>
            </w:pPr>
          </w:p>
        </w:tc>
      </w:tr>
      <w:tr w:rsidR="00000000" w14:paraId="3E12DFA0" w14:textId="77777777">
        <w:tc>
          <w:tcPr>
            <w:tcW w:w="0" w:type="auto"/>
            <w:gridSpan w:val="3"/>
            <w:tcMar>
              <w:top w:w="30" w:type="dxa"/>
              <w:left w:w="20" w:type="dxa"/>
              <w:bottom w:w="30" w:type="dxa"/>
              <w:right w:w="20" w:type="dxa"/>
            </w:tcMar>
            <w:vAlign w:val="bottom"/>
            <w:hideMark/>
          </w:tcPr>
          <w:p w14:paraId="37FB73D6" w14:textId="77777777" w:rsidR="00000000" w:rsidRDefault="000C49AD">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14:paraId="44979A9B" w14:textId="77777777" w:rsidR="00000000" w:rsidRDefault="000C49AD">
            <w:pPr>
              <w:spacing w:after="100"/>
              <w:jc w:val="center"/>
              <w:rPr>
                <w:rFonts w:eastAsia="Times New Roman"/>
              </w:rPr>
            </w:pPr>
            <w:r>
              <w:rPr>
                <w:rFonts w:eastAsia="Times New Roman"/>
                <w:b/>
                <w:bCs/>
                <w:color w:val="000000"/>
                <w:sz w:val="20"/>
                <w:szCs w:val="20"/>
              </w:rPr>
              <w:t>2021 Price Range</w:t>
            </w:r>
          </w:p>
        </w:tc>
        <w:tc>
          <w:tcPr>
            <w:tcW w:w="0" w:type="auto"/>
            <w:gridSpan w:val="3"/>
            <w:tcMar>
              <w:top w:w="0" w:type="dxa"/>
              <w:left w:w="20" w:type="dxa"/>
              <w:bottom w:w="0" w:type="dxa"/>
              <w:right w:w="20" w:type="dxa"/>
            </w:tcMar>
            <w:vAlign w:val="center"/>
            <w:hideMark/>
          </w:tcPr>
          <w:p w14:paraId="0712F930" w14:textId="77777777" w:rsidR="00000000" w:rsidRDefault="000C49A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DEE67D9" w14:textId="77777777" w:rsidR="00000000" w:rsidRDefault="000C49AD">
            <w:pPr>
              <w:spacing w:after="100"/>
              <w:jc w:val="center"/>
              <w:rPr>
                <w:rFonts w:eastAsia="Times New Roman"/>
              </w:rPr>
            </w:pPr>
            <w:r>
              <w:rPr>
                <w:rFonts w:eastAsia="Times New Roman"/>
                <w:b/>
                <w:bCs/>
                <w:color w:val="000000"/>
                <w:sz w:val="20"/>
                <w:szCs w:val="20"/>
              </w:rPr>
              <w:t>2020 Price Range</w:t>
            </w:r>
          </w:p>
        </w:tc>
      </w:tr>
      <w:tr w:rsidR="00000000" w14:paraId="258DB82C" w14:textId="77777777">
        <w:tc>
          <w:tcPr>
            <w:tcW w:w="0" w:type="auto"/>
            <w:gridSpan w:val="3"/>
            <w:tcMar>
              <w:top w:w="30" w:type="dxa"/>
              <w:left w:w="20" w:type="dxa"/>
              <w:bottom w:w="30" w:type="dxa"/>
              <w:right w:w="20" w:type="dxa"/>
            </w:tcMar>
            <w:vAlign w:val="bottom"/>
            <w:hideMark/>
          </w:tcPr>
          <w:p w14:paraId="7519D743"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B6412E2" w14:textId="77777777" w:rsidR="00000000" w:rsidRDefault="000C49AD">
            <w:pPr>
              <w:spacing w:after="100"/>
              <w:jc w:val="center"/>
              <w:rPr>
                <w:rFonts w:eastAsia="Times New Roman"/>
              </w:rPr>
            </w:pPr>
            <w:r>
              <w:rPr>
                <w:rFonts w:eastAsia="Times New Roman"/>
                <w:b/>
                <w:bCs/>
                <w:color w:val="000000"/>
                <w:sz w:val="20"/>
                <w:szCs w:val="20"/>
              </w:rPr>
              <w:t>High</w:t>
            </w:r>
          </w:p>
        </w:tc>
        <w:tc>
          <w:tcPr>
            <w:tcW w:w="0" w:type="auto"/>
            <w:gridSpan w:val="3"/>
            <w:tcBorders>
              <w:top w:val="single" w:sz="8" w:space="0" w:color="000000"/>
            </w:tcBorders>
            <w:tcMar>
              <w:top w:w="0" w:type="dxa"/>
              <w:left w:w="20" w:type="dxa"/>
              <w:bottom w:w="0" w:type="dxa"/>
              <w:right w:w="20" w:type="dxa"/>
            </w:tcMar>
            <w:vAlign w:val="center"/>
            <w:hideMark/>
          </w:tcPr>
          <w:p w14:paraId="49355785"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6B670E" w14:textId="77777777" w:rsidR="00000000" w:rsidRDefault="000C49AD">
            <w:pPr>
              <w:spacing w:after="100"/>
              <w:jc w:val="center"/>
              <w:rPr>
                <w:rFonts w:eastAsia="Times New Roman"/>
              </w:rPr>
            </w:pPr>
            <w:r>
              <w:rPr>
                <w:rFonts w:eastAsia="Times New Roman"/>
                <w:b/>
                <w:bCs/>
                <w:color w:val="000000"/>
                <w:sz w:val="20"/>
                <w:szCs w:val="20"/>
              </w:rPr>
              <w:t>Low</w:t>
            </w:r>
          </w:p>
        </w:tc>
        <w:tc>
          <w:tcPr>
            <w:tcW w:w="0" w:type="auto"/>
            <w:gridSpan w:val="3"/>
            <w:tcMar>
              <w:top w:w="0" w:type="dxa"/>
              <w:left w:w="20" w:type="dxa"/>
              <w:bottom w:w="0" w:type="dxa"/>
              <w:right w:w="20" w:type="dxa"/>
            </w:tcMar>
            <w:vAlign w:val="center"/>
            <w:hideMark/>
          </w:tcPr>
          <w:p w14:paraId="195D407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7F7199" w14:textId="77777777" w:rsidR="00000000" w:rsidRDefault="000C49AD">
            <w:pPr>
              <w:spacing w:after="100"/>
              <w:jc w:val="center"/>
              <w:rPr>
                <w:rFonts w:eastAsia="Times New Roman"/>
              </w:rPr>
            </w:pPr>
            <w:r>
              <w:rPr>
                <w:rFonts w:eastAsia="Times New Roman"/>
                <w:b/>
                <w:bCs/>
                <w:color w:val="000000"/>
                <w:sz w:val="20"/>
                <w:szCs w:val="20"/>
              </w:rPr>
              <w:t>High</w:t>
            </w:r>
          </w:p>
        </w:tc>
        <w:tc>
          <w:tcPr>
            <w:tcW w:w="0" w:type="auto"/>
            <w:gridSpan w:val="3"/>
            <w:tcBorders>
              <w:top w:val="single" w:sz="8" w:space="0" w:color="000000"/>
            </w:tcBorders>
            <w:tcMar>
              <w:top w:w="0" w:type="dxa"/>
              <w:left w:w="20" w:type="dxa"/>
              <w:bottom w:w="0" w:type="dxa"/>
              <w:right w:w="20" w:type="dxa"/>
            </w:tcMar>
            <w:vAlign w:val="center"/>
            <w:hideMark/>
          </w:tcPr>
          <w:p w14:paraId="1935B5EE"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91198B" w14:textId="77777777" w:rsidR="00000000" w:rsidRDefault="000C49AD">
            <w:pPr>
              <w:spacing w:after="100"/>
              <w:jc w:val="center"/>
              <w:rPr>
                <w:rFonts w:eastAsia="Times New Roman"/>
              </w:rPr>
            </w:pPr>
            <w:r>
              <w:rPr>
                <w:rFonts w:eastAsia="Times New Roman"/>
                <w:b/>
                <w:bCs/>
                <w:color w:val="000000"/>
                <w:sz w:val="20"/>
                <w:szCs w:val="20"/>
              </w:rPr>
              <w:t>Low</w:t>
            </w:r>
          </w:p>
        </w:tc>
      </w:tr>
      <w:tr w:rsidR="00000000" w14:paraId="69D77191" w14:textId="77777777">
        <w:trPr>
          <w:trHeight w:val="60"/>
        </w:trPr>
        <w:tc>
          <w:tcPr>
            <w:tcW w:w="0" w:type="auto"/>
            <w:gridSpan w:val="3"/>
            <w:tcMar>
              <w:top w:w="0" w:type="dxa"/>
              <w:left w:w="20" w:type="dxa"/>
              <w:bottom w:w="0" w:type="dxa"/>
              <w:right w:w="20" w:type="dxa"/>
            </w:tcMar>
            <w:vAlign w:val="center"/>
            <w:hideMark/>
          </w:tcPr>
          <w:p w14:paraId="48DF3F2F" w14:textId="77777777" w:rsidR="00000000" w:rsidRDefault="000C49A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3787C7B0"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048E1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CB07EE"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FC02B7"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600E45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45EBB3"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700E0A" w14:textId="77777777" w:rsidR="00000000" w:rsidRDefault="000C49AD">
            <w:pPr>
              <w:spacing w:after="100"/>
              <w:rPr>
                <w:rFonts w:eastAsia="Times New Roman"/>
                <w:sz w:val="20"/>
                <w:szCs w:val="20"/>
              </w:rPr>
            </w:pPr>
          </w:p>
        </w:tc>
      </w:tr>
      <w:tr w:rsidR="00000000" w14:paraId="5AD94400" w14:textId="77777777">
        <w:tc>
          <w:tcPr>
            <w:tcW w:w="0" w:type="auto"/>
            <w:gridSpan w:val="3"/>
            <w:shd w:val="clear" w:color="auto" w:fill="CCEEFF"/>
            <w:tcMar>
              <w:top w:w="30" w:type="dxa"/>
              <w:left w:w="20" w:type="dxa"/>
              <w:bottom w:w="30" w:type="dxa"/>
              <w:right w:w="20" w:type="dxa"/>
            </w:tcMar>
            <w:vAlign w:val="bottom"/>
            <w:hideMark/>
          </w:tcPr>
          <w:p w14:paraId="092CC303" w14:textId="77777777" w:rsidR="00000000" w:rsidRDefault="000C49AD">
            <w:pPr>
              <w:spacing w:after="100"/>
              <w:rPr>
                <w:rFonts w:eastAsia="Times New Roman"/>
              </w:rPr>
            </w:pPr>
            <w:r>
              <w:rPr>
                <w:rFonts w:eastAsia="Times New Roman"/>
                <w:color w:val="000000"/>
                <w:sz w:val="20"/>
                <w:szCs w:val="20"/>
              </w:rPr>
              <w:t>First quarter  </w:t>
            </w:r>
          </w:p>
        </w:tc>
        <w:tc>
          <w:tcPr>
            <w:tcW w:w="0" w:type="auto"/>
            <w:shd w:val="clear" w:color="auto" w:fill="CCEEFF"/>
            <w:tcMar>
              <w:top w:w="30" w:type="dxa"/>
              <w:left w:w="20" w:type="dxa"/>
              <w:bottom w:w="30" w:type="dxa"/>
              <w:right w:w="0" w:type="dxa"/>
            </w:tcMar>
            <w:vAlign w:val="bottom"/>
            <w:hideMark/>
          </w:tcPr>
          <w:p w14:paraId="1541FCD2" w14:textId="77777777" w:rsidR="00000000" w:rsidRDefault="000C49A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F8CB6A5" w14:textId="77777777" w:rsidR="00000000" w:rsidRDefault="000C49AD">
            <w:pPr>
              <w:spacing w:after="100"/>
              <w:jc w:val="right"/>
              <w:rPr>
                <w:rFonts w:eastAsia="Times New Roman"/>
              </w:rPr>
            </w:pPr>
            <w:r>
              <w:rPr>
                <w:rFonts w:eastAsia="Times New Roman"/>
                <w:color w:val="000000"/>
                <w:sz w:val="20"/>
                <w:szCs w:val="20"/>
              </w:rPr>
              <w:t>10.07 </w:t>
            </w:r>
          </w:p>
        </w:tc>
        <w:tc>
          <w:tcPr>
            <w:tcW w:w="0" w:type="auto"/>
            <w:shd w:val="clear" w:color="auto" w:fill="CCEEFF"/>
            <w:tcMar>
              <w:top w:w="30" w:type="dxa"/>
              <w:left w:w="0" w:type="dxa"/>
              <w:bottom w:w="30" w:type="dxa"/>
              <w:right w:w="20" w:type="dxa"/>
            </w:tcMar>
            <w:vAlign w:val="bottom"/>
            <w:hideMark/>
          </w:tcPr>
          <w:p w14:paraId="74478DD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185567"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913F89" w14:textId="77777777" w:rsidR="00000000" w:rsidRDefault="000C49A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3F52FE" w14:textId="77777777" w:rsidR="00000000" w:rsidRDefault="000C49AD">
            <w:pPr>
              <w:spacing w:after="100"/>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14:paraId="335FCD8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5C025D"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D39994" w14:textId="77777777" w:rsidR="00000000" w:rsidRDefault="000C49A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B79CE7" w14:textId="77777777" w:rsidR="00000000" w:rsidRDefault="000C49AD">
            <w:pPr>
              <w:spacing w:after="100"/>
              <w:jc w:val="right"/>
              <w:rPr>
                <w:rFonts w:eastAsia="Times New Roman"/>
              </w:rPr>
            </w:pPr>
            <w:r>
              <w:rPr>
                <w:rFonts w:eastAsia="Times New Roman"/>
                <w:color w:val="000000"/>
                <w:sz w:val="20"/>
                <w:szCs w:val="20"/>
              </w:rPr>
              <w:t>10.64 </w:t>
            </w:r>
          </w:p>
        </w:tc>
        <w:tc>
          <w:tcPr>
            <w:tcW w:w="0" w:type="auto"/>
            <w:shd w:val="clear" w:color="auto" w:fill="CCEEFF"/>
            <w:tcMar>
              <w:top w:w="30" w:type="dxa"/>
              <w:left w:w="0" w:type="dxa"/>
              <w:bottom w:w="30" w:type="dxa"/>
              <w:right w:w="20" w:type="dxa"/>
            </w:tcMar>
            <w:vAlign w:val="bottom"/>
            <w:hideMark/>
          </w:tcPr>
          <w:p w14:paraId="240B377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5B9922"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0EA371" w14:textId="77777777" w:rsidR="00000000" w:rsidRDefault="000C49AD">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2A0E3B8" w14:textId="77777777" w:rsidR="00000000" w:rsidRDefault="000C49AD">
            <w:pPr>
              <w:spacing w:after="100"/>
              <w:jc w:val="right"/>
              <w:rPr>
                <w:rFonts w:eastAsia="Times New Roman"/>
              </w:rPr>
            </w:pPr>
            <w:r>
              <w:rPr>
                <w:rFonts w:eastAsia="Times New Roman"/>
                <w:color w:val="000000"/>
                <w:sz w:val="20"/>
                <w:szCs w:val="20"/>
              </w:rPr>
              <w:t>4.06 </w:t>
            </w:r>
          </w:p>
        </w:tc>
        <w:tc>
          <w:tcPr>
            <w:tcW w:w="0" w:type="auto"/>
            <w:shd w:val="clear" w:color="auto" w:fill="CCEEFF"/>
            <w:tcMar>
              <w:top w:w="30" w:type="dxa"/>
              <w:left w:w="0" w:type="dxa"/>
              <w:bottom w:w="30" w:type="dxa"/>
              <w:right w:w="20" w:type="dxa"/>
            </w:tcMar>
            <w:vAlign w:val="bottom"/>
            <w:hideMark/>
          </w:tcPr>
          <w:p w14:paraId="614CD020" w14:textId="77777777" w:rsidR="00000000" w:rsidRDefault="000C49AD">
            <w:pPr>
              <w:spacing w:after="100"/>
              <w:jc w:val="right"/>
              <w:rPr>
                <w:rFonts w:eastAsia="Times New Roman"/>
              </w:rPr>
            </w:pPr>
          </w:p>
        </w:tc>
      </w:tr>
      <w:tr w:rsidR="00000000" w14:paraId="31F836E3" w14:textId="77777777">
        <w:tc>
          <w:tcPr>
            <w:tcW w:w="0" w:type="auto"/>
            <w:gridSpan w:val="3"/>
            <w:shd w:val="clear" w:color="auto" w:fill="FFFFFF"/>
            <w:tcMar>
              <w:top w:w="30" w:type="dxa"/>
              <w:left w:w="20" w:type="dxa"/>
              <w:bottom w:w="30" w:type="dxa"/>
              <w:right w:w="20" w:type="dxa"/>
            </w:tcMar>
            <w:vAlign w:val="bottom"/>
            <w:hideMark/>
          </w:tcPr>
          <w:p w14:paraId="5C128ED0" w14:textId="77777777" w:rsidR="00000000" w:rsidRDefault="000C49AD">
            <w:pPr>
              <w:spacing w:after="100"/>
              <w:rPr>
                <w:rFonts w:eastAsia="Times New Roman"/>
              </w:rPr>
            </w:pPr>
            <w:r>
              <w:rPr>
                <w:rFonts w:eastAsia="Times New Roman"/>
                <w:color w:val="000000"/>
                <w:sz w:val="20"/>
                <w:szCs w:val="20"/>
              </w:rPr>
              <w:t>Second quarter</w:t>
            </w:r>
          </w:p>
        </w:tc>
        <w:tc>
          <w:tcPr>
            <w:tcW w:w="0" w:type="auto"/>
            <w:gridSpan w:val="2"/>
            <w:tcMar>
              <w:top w:w="30" w:type="dxa"/>
              <w:left w:w="20" w:type="dxa"/>
              <w:bottom w:w="30" w:type="dxa"/>
              <w:right w:w="0" w:type="dxa"/>
            </w:tcMar>
            <w:vAlign w:val="bottom"/>
            <w:hideMark/>
          </w:tcPr>
          <w:p w14:paraId="4EFDA118" w14:textId="77777777" w:rsidR="00000000" w:rsidRDefault="000C49AD">
            <w:pPr>
              <w:spacing w:after="100"/>
              <w:jc w:val="right"/>
              <w:rPr>
                <w:rFonts w:eastAsia="Times New Roman"/>
              </w:rPr>
            </w:pPr>
            <w:r>
              <w:rPr>
                <w:rFonts w:eastAsia="Times New Roman"/>
                <w:color w:val="000000"/>
                <w:sz w:val="20"/>
                <w:szCs w:val="20"/>
              </w:rPr>
              <w:t>9.05 </w:t>
            </w:r>
          </w:p>
        </w:tc>
        <w:tc>
          <w:tcPr>
            <w:tcW w:w="0" w:type="auto"/>
            <w:tcMar>
              <w:top w:w="30" w:type="dxa"/>
              <w:left w:w="0" w:type="dxa"/>
              <w:bottom w:w="30" w:type="dxa"/>
              <w:right w:w="20" w:type="dxa"/>
            </w:tcMar>
            <w:vAlign w:val="bottom"/>
            <w:hideMark/>
          </w:tcPr>
          <w:p w14:paraId="731A0642"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86F0B6F"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7168C18" w14:textId="77777777" w:rsidR="00000000" w:rsidRDefault="000C49AD">
            <w:pPr>
              <w:spacing w:after="100"/>
              <w:jc w:val="right"/>
              <w:rPr>
                <w:rFonts w:eastAsia="Times New Roman"/>
              </w:rPr>
            </w:pPr>
            <w:r>
              <w:rPr>
                <w:rFonts w:eastAsia="Times New Roman"/>
                <w:color w:val="000000"/>
                <w:sz w:val="20"/>
                <w:szCs w:val="20"/>
              </w:rPr>
              <w:t>6.73 </w:t>
            </w:r>
          </w:p>
        </w:tc>
        <w:tc>
          <w:tcPr>
            <w:tcW w:w="0" w:type="auto"/>
            <w:tcMar>
              <w:top w:w="30" w:type="dxa"/>
              <w:left w:w="0" w:type="dxa"/>
              <w:bottom w:w="30" w:type="dxa"/>
              <w:right w:w="20" w:type="dxa"/>
            </w:tcMar>
            <w:vAlign w:val="bottom"/>
            <w:hideMark/>
          </w:tcPr>
          <w:p w14:paraId="67096EB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E8BE2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D3413F" w14:textId="77777777" w:rsidR="00000000" w:rsidRDefault="000C49AD">
            <w:pPr>
              <w:spacing w:after="100"/>
              <w:jc w:val="right"/>
              <w:rPr>
                <w:rFonts w:eastAsia="Times New Roman"/>
              </w:rPr>
            </w:pPr>
            <w:r>
              <w:rPr>
                <w:rFonts w:eastAsia="Times New Roman"/>
                <w:color w:val="000000"/>
                <w:sz w:val="20"/>
                <w:szCs w:val="20"/>
              </w:rPr>
              <w:t>11.75 </w:t>
            </w:r>
          </w:p>
        </w:tc>
        <w:tc>
          <w:tcPr>
            <w:tcW w:w="0" w:type="auto"/>
            <w:shd w:val="clear" w:color="auto" w:fill="FFFFFF"/>
            <w:tcMar>
              <w:top w:w="30" w:type="dxa"/>
              <w:left w:w="0" w:type="dxa"/>
              <w:bottom w:w="30" w:type="dxa"/>
              <w:right w:w="20" w:type="dxa"/>
            </w:tcMar>
            <w:vAlign w:val="bottom"/>
            <w:hideMark/>
          </w:tcPr>
          <w:p w14:paraId="197AE38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7A37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C7A608" w14:textId="77777777" w:rsidR="00000000" w:rsidRDefault="000C49AD">
            <w:pPr>
              <w:spacing w:after="100"/>
              <w:jc w:val="right"/>
              <w:rPr>
                <w:rFonts w:eastAsia="Times New Roman"/>
              </w:rPr>
            </w:pPr>
            <w:r>
              <w:rPr>
                <w:rFonts w:eastAsia="Times New Roman"/>
                <w:color w:val="000000"/>
                <w:sz w:val="20"/>
                <w:szCs w:val="20"/>
              </w:rPr>
              <w:t>7.25 </w:t>
            </w:r>
          </w:p>
        </w:tc>
        <w:tc>
          <w:tcPr>
            <w:tcW w:w="0" w:type="auto"/>
            <w:shd w:val="clear" w:color="auto" w:fill="FFFFFF"/>
            <w:tcMar>
              <w:top w:w="30" w:type="dxa"/>
              <w:left w:w="0" w:type="dxa"/>
              <w:bottom w:w="30" w:type="dxa"/>
              <w:right w:w="20" w:type="dxa"/>
            </w:tcMar>
            <w:vAlign w:val="bottom"/>
            <w:hideMark/>
          </w:tcPr>
          <w:p w14:paraId="583986E0" w14:textId="77777777" w:rsidR="00000000" w:rsidRDefault="000C49AD">
            <w:pPr>
              <w:spacing w:after="100"/>
              <w:jc w:val="right"/>
              <w:rPr>
                <w:rFonts w:eastAsia="Times New Roman"/>
              </w:rPr>
            </w:pPr>
          </w:p>
        </w:tc>
      </w:tr>
      <w:tr w:rsidR="00000000" w14:paraId="2B4658E6" w14:textId="77777777">
        <w:tc>
          <w:tcPr>
            <w:tcW w:w="0" w:type="auto"/>
            <w:gridSpan w:val="3"/>
            <w:shd w:val="clear" w:color="auto" w:fill="CCEEFF"/>
            <w:tcMar>
              <w:top w:w="30" w:type="dxa"/>
              <w:left w:w="20" w:type="dxa"/>
              <w:bottom w:w="30" w:type="dxa"/>
              <w:right w:w="20" w:type="dxa"/>
            </w:tcMar>
            <w:vAlign w:val="bottom"/>
            <w:hideMark/>
          </w:tcPr>
          <w:p w14:paraId="1A5E7171" w14:textId="77777777" w:rsidR="00000000" w:rsidRDefault="000C49AD">
            <w:pPr>
              <w:spacing w:after="100"/>
              <w:rPr>
                <w:rFonts w:eastAsia="Times New Roman"/>
              </w:rPr>
            </w:pPr>
            <w:r>
              <w:rPr>
                <w:rFonts w:eastAsia="Times New Roman"/>
                <w:color w:val="000000"/>
                <w:sz w:val="20"/>
                <w:szCs w:val="20"/>
              </w:rPr>
              <w:t>Third quarter  </w:t>
            </w:r>
          </w:p>
        </w:tc>
        <w:tc>
          <w:tcPr>
            <w:tcW w:w="0" w:type="auto"/>
            <w:gridSpan w:val="2"/>
            <w:shd w:val="clear" w:color="auto" w:fill="CCEEFF"/>
            <w:tcMar>
              <w:top w:w="30" w:type="dxa"/>
              <w:left w:w="20" w:type="dxa"/>
              <w:bottom w:w="30" w:type="dxa"/>
              <w:right w:w="0" w:type="dxa"/>
            </w:tcMar>
            <w:vAlign w:val="bottom"/>
            <w:hideMark/>
          </w:tcPr>
          <w:p w14:paraId="3432C0C3" w14:textId="77777777" w:rsidR="00000000" w:rsidRDefault="000C49AD">
            <w:pPr>
              <w:spacing w:after="100"/>
              <w:jc w:val="right"/>
              <w:rPr>
                <w:rFonts w:eastAsia="Times New Roman"/>
              </w:rPr>
            </w:pPr>
            <w:r>
              <w:rPr>
                <w:rFonts w:eastAsia="Times New Roman"/>
                <w:color w:val="000000"/>
                <w:sz w:val="20"/>
                <w:szCs w:val="20"/>
              </w:rPr>
              <w:t>9.91 </w:t>
            </w:r>
          </w:p>
        </w:tc>
        <w:tc>
          <w:tcPr>
            <w:tcW w:w="0" w:type="auto"/>
            <w:shd w:val="clear" w:color="auto" w:fill="CCEEFF"/>
            <w:tcMar>
              <w:top w:w="30" w:type="dxa"/>
              <w:left w:w="0" w:type="dxa"/>
              <w:bottom w:w="30" w:type="dxa"/>
              <w:right w:w="20" w:type="dxa"/>
            </w:tcMar>
            <w:vAlign w:val="bottom"/>
            <w:hideMark/>
          </w:tcPr>
          <w:p w14:paraId="1A19C1F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332BB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212FDF" w14:textId="77777777" w:rsidR="00000000" w:rsidRDefault="000C49AD">
            <w:pPr>
              <w:spacing w:after="100"/>
              <w:jc w:val="right"/>
              <w:rPr>
                <w:rFonts w:eastAsia="Times New Roman"/>
              </w:rPr>
            </w:pPr>
            <w:r>
              <w:rPr>
                <w:rFonts w:eastAsia="Times New Roman"/>
                <w:color w:val="000000"/>
                <w:sz w:val="20"/>
                <w:szCs w:val="20"/>
              </w:rPr>
              <w:t>6.49 </w:t>
            </w:r>
          </w:p>
        </w:tc>
        <w:tc>
          <w:tcPr>
            <w:tcW w:w="0" w:type="auto"/>
            <w:shd w:val="clear" w:color="auto" w:fill="CCEEFF"/>
            <w:tcMar>
              <w:top w:w="30" w:type="dxa"/>
              <w:left w:w="0" w:type="dxa"/>
              <w:bottom w:w="30" w:type="dxa"/>
              <w:right w:w="20" w:type="dxa"/>
            </w:tcMar>
            <w:vAlign w:val="bottom"/>
            <w:hideMark/>
          </w:tcPr>
          <w:p w14:paraId="73366BC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1B58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2E5FE6" w14:textId="77777777" w:rsidR="00000000" w:rsidRDefault="000C49AD">
            <w:pPr>
              <w:spacing w:after="100"/>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14:paraId="0721E28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FD3FE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8A0E83" w14:textId="77777777" w:rsidR="00000000" w:rsidRDefault="000C49AD">
            <w:pPr>
              <w:spacing w:after="100"/>
              <w:jc w:val="right"/>
              <w:rPr>
                <w:rFonts w:eastAsia="Times New Roman"/>
              </w:rPr>
            </w:pPr>
            <w:r>
              <w:rPr>
                <w:rFonts w:eastAsia="Times New Roman"/>
                <w:color w:val="000000"/>
                <w:sz w:val="20"/>
                <w:szCs w:val="20"/>
              </w:rPr>
              <w:t>5.02 </w:t>
            </w:r>
          </w:p>
        </w:tc>
        <w:tc>
          <w:tcPr>
            <w:tcW w:w="0" w:type="auto"/>
            <w:shd w:val="clear" w:color="auto" w:fill="CCEEFF"/>
            <w:tcMar>
              <w:top w:w="30" w:type="dxa"/>
              <w:left w:w="0" w:type="dxa"/>
              <w:bottom w:w="30" w:type="dxa"/>
              <w:right w:w="20" w:type="dxa"/>
            </w:tcMar>
            <w:vAlign w:val="bottom"/>
            <w:hideMark/>
          </w:tcPr>
          <w:p w14:paraId="225B7FE6" w14:textId="77777777" w:rsidR="00000000" w:rsidRDefault="000C49AD">
            <w:pPr>
              <w:spacing w:after="100"/>
              <w:jc w:val="right"/>
              <w:rPr>
                <w:rFonts w:eastAsia="Times New Roman"/>
              </w:rPr>
            </w:pPr>
          </w:p>
        </w:tc>
      </w:tr>
      <w:tr w:rsidR="00000000" w14:paraId="57C8B481" w14:textId="77777777">
        <w:tc>
          <w:tcPr>
            <w:tcW w:w="0" w:type="auto"/>
            <w:gridSpan w:val="3"/>
            <w:shd w:val="clear" w:color="auto" w:fill="FFFFFF"/>
            <w:tcMar>
              <w:top w:w="30" w:type="dxa"/>
              <w:left w:w="20" w:type="dxa"/>
              <w:bottom w:w="30" w:type="dxa"/>
              <w:right w:w="20" w:type="dxa"/>
            </w:tcMar>
            <w:vAlign w:val="bottom"/>
            <w:hideMark/>
          </w:tcPr>
          <w:p w14:paraId="44CD27D3" w14:textId="77777777" w:rsidR="00000000" w:rsidRDefault="000C49AD">
            <w:pPr>
              <w:spacing w:after="100"/>
              <w:rPr>
                <w:rFonts w:eastAsia="Times New Roman"/>
              </w:rPr>
            </w:pPr>
            <w:r>
              <w:rPr>
                <w:rFonts w:eastAsia="Times New Roman"/>
                <w:color w:val="000000"/>
                <w:sz w:val="20"/>
                <w:szCs w:val="20"/>
              </w:rPr>
              <w:t>Fourth quarter</w:t>
            </w:r>
          </w:p>
        </w:tc>
        <w:tc>
          <w:tcPr>
            <w:tcW w:w="0" w:type="auto"/>
            <w:gridSpan w:val="2"/>
            <w:tcMar>
              <w:top w:w="30" w:type="dxa"/>
              <w:left w:w="20" w:type="dxa"/>
              <w:bottom w:w="30" w:type="dxa"/>
              <w:right w:w="0" w:type="dxa"/>
            </w:tcMar>
            <w:vAlign w:val="bottom"/>
            <w:hideMark/>
          </w:tcPr>
          <w:p w14:paraId="0D7DB34E" w14:textId="77777777" w:rsidR="00000000" w:rsidRDefault="000C49AD">
            <w:pPr>
              <w:spacing w:after="100"/>
              <w:jc w:val="right"/>
              <w:rPr>
                <w:rFonts w:eastAsia="Times New Roman"/>
              </w:rPr>
            </w:pPr>
            <w:r>
              <w:rPr>
                <w:rFonts w:eastAsia="Times New Roman"/>
                <w:color w:val="000000"/>
                <w:sz w:val="20"/>
                <w:szCs w:val="20"/>
              </w:rPr>
              <w:t>11.18 </w:t>
            </w:r>
          </w:p>
        </w:tc>
        <w:tc>
          <w:tcPr>
            <w:tcW w:w="0" w:type="auto"/>
            <w:tcMar>
              <w:top w:w="30" w:type="dxa"/>
              <w:left w:w="0" w:type="dxa"/>
              <w:bottom w:w="30" w:type="dxa"/>
              <w:right w:w="20" w:type="dxa"/>
            </w:tcMar>
            <w:vAlign w:val="bottom"/>
            <w:hideMark/>
          </w:tcPr>
          <w:p w14:paraId="2A546F29"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3937BD"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21BF7D9" w14:textId="77777777" w:rsidR="00000000" w:rsidRDefault="000C49AD">
            <w:pPr>
              <w:spacing w:after="100"/>
              <w:jc w:val="right"/>
              <w:rPr>
                <w:rFonts w:eastAsia="Times New Roman"/>
              </w:rPr>
            </w:pPr>
            <w:r>
              <w:rPr>
                <w:rFonts w:eastAsia="Times New Roman"/>
                <w:color w:val="000000"/>
                <w:sz w:val="20"/>
                <w:szCs w:val="20"/>
              </w:rPr>
              <w:t>7.34 </w:t>
            </w:r>
          </w:p>
        </w:tc>
        <w:tc>
          <w:tcPr>
            <w:tcW w:w="0" w:type="auto"/>
            <w:tcMar>
              <w:top w:w="30" w:type="dxa"/>
              <w:left w:w="0" w:type="dxa"/>
              <w:bottom w:w="30" w:type="dxa"/>
              <w:right w:w="20" w:type="dxa"/>
            </w:tcMar>
            <w:vAlign w:val="bottom"/>
            <w:hideMark/>
          </w:tcPr>
          <w:p w14:paraId="25FFFD6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A9FDE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7EC024" w14:textId="77777777" w:rsidR="00000000" w:rsidRDefault="000C49AD">
            <w:pPr>
              <w:spacing w:after="100"/>
              <w:jc w:val="right"/>
              <w:rPr>
                <w:rFonts w:eastAsia="Times New Roman"/>
              </w:rPr>
            </w:pPr>
            <w:r>
              <w:rPr>
                <w:rFonts w:eastAsia="Times New Roman"/>
                <w:color w:val="000000"/>
                <w:sz w:val="20"/>
                <w:szCs w:val="20"/>
              </w:rPr>
              <w:t>7.95 </w:t>
            </w:r>
          </w:p>
        </w:tc>
        <w:tc>
          <w:tcPr>
            <w:tcW w:w="0" w:type="auto"/>
            <w:shd w:val="clear" w:color="auto" w:fill="FFFFFF"/>
            <w:tcMar>
              <w:top w:w="30" w:type="dxa"/>
              <w:left w:w="0" w:type="dxa"/>
              <w:bottom w:w="30" w:type="dxa"/>
              <w:right w:w="20" w:type="dxa"/>
            </w:tcMar>
            <w:vAlign w:val="bottom"/>
            <w:hideMark/>
          </w:tcPr>
          <w:p w14:paraId="059DFF8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604E0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9D8183" w14:textId="77777777" w:rsidR="00000000" w:rsidRDefault="000C49AD">
            <w:pPr>
              <w:spacing w:after="100"/>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14:paraId="1B7E4FD1" w14:textId="77777777" w:rsidR="00000000" w:rsidRDefault="000C49AD">
            <w:pPr>
              <w:spacing w:after="100"/>
              <w:jc w:val="right"/>
              <w:rPr>
                <w:rFonts w:eastAsia="Times New Roman"/>
              </w:rPr>
            </w:pPr>
          </w:p>
        </w:tc>
      </w:tr>
    </w:tbl>
    <w:p w14:paraId="49C19FD1" w14:textId="77777777" w:rsidR="00000000" w:rsidRDefault="000C49AD">
      <w:pPr>
        <w:jc w:val="both"/>
        <w:rPr>
          <w:rFonts w:eastAsia="Times New Roman"/>
        </w:rPr>
      </w:pPr>
      <w:r>
        <w:rPr>
          <w:rFonts w:eastAsia="Times New Roman"/>
          <w:color w:val="000000"/>
          <w:sz w:val="20"/>
          <w:szCs w:val="20"/>
        </w:rPr>
        <w:t> </w:t>
      </w:r>
    </w:p>
    <w:p w14:paraId="241CDE6F" w14:textId="77777777" w:rsidR="00000000" w:rsidRDefault="000C49AD">
      <w:pPr>
        <w:jc w:val="both"/>
        <w:rPr>
          <w:rFonts w:eastAsia="Times New Roman"/>
        </w:rPr>
      </w:pPr>
      <w:r>
        <w:rPr>
          <w:rFonts w:eastAsia="Times New Roman"/>
          <w:b/>
          <w:bCs/>
          <w:color w:val="000000"/>
          <w:sz w:val="20"/>
          <w:szCs w:val="20"/>
        </w:rPr>
        <w:t>Holders</w:t>
      </w:r>
    </w:p>
    <w:p w14:paraId="028E0312" w14:textId="77777777" w:rsidR="00000000" w:rsidRDefault="000C49AD">
      <w:pPr>
        <w:jc w:val="both"/>
        <w:rPr>
          <w:rFonts w:eastAsia="Times New Roman"/>
        </w:rPr>
      </w:pPr>
    </w:p>
    <w:p w14:paraId="1D188C9A" w14:textId="77777777" w:rsidR="00000000" w:rsidRDefault="000C49AD">
      <w:pPr>
        <w:jc w:val="both"/>
        <w:rPr>
          <w:rFonts w:eastAsia="Times New Roman"/>
        </w:rPr>
      </w:pPr>
      <w:r>
        <w:rPr>
          <w:rFonts w:eastAsia="Times New Roman"/>
          <w:color w:val="000000"/>
          <w:sz w:val="20"/>
          <w:szCs w:val="20"/>
        </w:rPr>
        <w:t>As of March 11, 2022, there were 78 holders of record of our ordinary shares and 61 accounts registered with The Bank of New York Mellon, the Depositary of our ADS program, as holders of ADSs, one of which ADS accounts is registered to the Depositary Tr</w:t>
      </w:r>
      <w:r>
        <w:rPr>
          <w:rFonts w:eastAsia="Times New Roman"/>
          <w:color w:val="000000"/>
          <w:sz w:val="20"/>
          <w:szCs w:val="20"/>
        </w:rPr>
        <w:t xml:space="preserve">ust Corporation (DTC). Because our ADSs are generally held of record by brokers, nominees and other institutions as participants in DTC on behalf of the beneficial owners of such ADSs, we are unable to estimate the total number of beneficial owners of the </w:t>
      </w:r>
      <w:r>
        <w:rPr>
          <w:rFonts w:eastAsia="Times New Roman"/>
          <w:color w:val="000000"/>
          <w:sz w:val="20"/>
          <w:szCs w:val="20"/>
        </w:rPr>
        <w:t>ADSs held by these record holders.</w:t>
      </w:r>
    </w:p>
    <w:p w14:paraId="51D6B93A" w14:textId="77777777" w:rsidR="00000000" w:rsidRDefault="000C49AD">
      <w:pPr>
        <w:jc w:val="both"/>
        <w:rPr>
          <w:rFonts w:eastAsia="Times New Roman"/>
        </w:rPr>
      </w:pPr>
    </w:p>
    <w:p w14:paraId="358CC947" w14:textId="77777777" w:rsidR="00000000" w:rsidRDefault="000C49AD">
      <w:pPr>
        <w:jc w:val="both"/>
        <w:divId w:val="334111985"/>
        <w:rPr>
          <w:rFonts w:eastAsia="Times New Roman"/>
        </w:rPr>
      </w:pPr>
      <w:r>
        <w:rPr>
          <w:rFonts w:eastAsia="Times New Roman"/>
          <w:b/>
          <w:bCs/>
          <w:color w:val="000000"/>
          <w:sz w:val="20"/>
          <w:szCs w:val="20"/>
        </w:rPr>
        <w:t>Dividends</w:t>
      </w:r>
    </w:p>
    <w:p w14:paraId="75126F26" w14:textId="77777777" w:rsidR="00000000" w:rsidRDefault="000C49AD">
      <w:pPr>
        <w:jc w:val="both"/>
        <w:divId w:val="913315086"/>
        <w:rPr>
          <w:rFonts w:eastAsia="Times New Roman"/>
        </w:rPr>
      </w:pPr>
      <w:r>
        <w:rPr>
          <w:rFonts w:eastAsia="Times New Roman"/>
          <w:color w:val="000000"/>
          <w:sz w:val="20"/>
          <w:szCs w:val="20"/>
        </w:rPr>
        <w:t>We have never declared or paid a cash dividend on any of our shares and do not anticipate declaring cash dividends in the foreseeable future.</w:t>
      </w:r>
    </w:p>
    <w:p w14:paraId="5F3EF426" w14:textId="77777777" w:rsidR="00000000" w:rsidRDefault="000C49AD">
      <w:pPr>
        <w:jc w:val="both"/>
        <w:divId w:val="891774043"/>
        <w:rPr>
          <w:rFonts w:eastAsia="Times New Roman"/>
        </w:rPr>
      </w:pPr>
      <w:r>
        <w:rPr>
          <w:rFonts w:eastAsia="Times New Roman"/>
          <w:b/>
          <w:bCs/>
          <w:color w:val="000000"/>
          <w:sz w:val="20"/>
          <w:szCs w:val="20"/>
        </w:rPr>
        <w:t xml:space="preserve">Equity Compensation Plan </w:t>
      </w:r>
    </w:p>
    <w:p w14:paraId="0D292CA6" w14:textId="77777777" w:rsidR="00000000" w:rsidRDefault="000C49AD">
      <w:pPr>
        <w:jc w:val="both"/>
        <w:rPr>
          <w:rFonts w:eastAsia="Times New Roman"/>
        </w:rPr>
      </w:pPr>
      <w:r>
        <w:rPr>
          <w:rFonts w:eastAsia="Times New Roman"/>
          <w:color w:val="000000"/>
          <w:sz w:val="20"/>
          <w:szCs w:val="20"/>
        </w:rPr>
        <w:t>The information required by Item 5 of For</w:t>
      </w:r>
      <w:r>
        <w:rPr>
          <w:rFonts w:eastAsia="Times New Roman"/>
          <w:color w:val="000000"/>
          <w:sz w:val="20"/>
          <w:szCs w:val="20"/>
        </w:rPr>
        <w:t xml:space="preserve">m 10-K regarding equity compensation plans is incorporated herein by reference to Item 12 of Part III of this Annual Report on Form 10-K. </w:t>
      </w:r>
    </w:p>
    <w:p w14:paraId="7FA2A3C8" w14:textId="77777777" w:rsidR="00000000" w:rsidRDefault="000C49AD">
      <w:pPr>
        <w:jc w:val="both"/>
        <w:rPr>
          <w:rFonts w:eastAsia="Times New Roman"/>
        </w:rPr>
      </w:pPr>
    </w:p>
    <w:p w14:paraId="1D723ACD" w14:textId="77777777" w:rsidR="00000000" w:rsidRDefault="000C49AD">
      <w:pPr>
        <w:jc w:val="both"/>
        <w:rPr>
          <w:rFonts w:eastAsia="Times New Roman"/>
        </w:rPr>
      </w:pPr>
      <w:r>
        <w:rPr>
          <w:rFonts w:eastAsia="Times New Roman"/>
          <w:b/>
          <w:bCs/>
          <w:color w:val="000000"/>
          <w:sz w:val="20"/>
          <w:szCs w:val="20"/>
        </w:rPr>
        <w:t>Issuer Purchases of Equity Securities</w:t>
      </w:r>
    </w:p>
    <w:p w14:paraId="424689CA" w14:textId="77777777" w:rsidR="00000000" w:rsidRDefault="000C49AD">
      <w:pPr>
        <w:jc w:val="both"/>
        <w:rPr>
          <w:rFonts w:eastAsia="Times New Roman"/>
        </w:rPr>
      </w:pPr>
    </w:p>
    <w:p w14:paraId="2720D084" w14:textId="77777777" w:rsidR="00000000" w:rsidRDefault="000C49AD">
      <w:pPr>
        <w:jc w:val="both"/>
        <w:rPr>
          <w:rFonts w:eastAsia="Times New Roman"/>
        </w:rPr>
      </w:pPr>
      <w:r>
        <w:rPr>
          <w:rFonts w:eastAsia="Times New Roman"/>
          <w:color w:val="000000"/>
          <w:sz w:val="20"/>
          <w:szCs w:val="20"/>
        </w:rPr>
        <w:t>We did not repurchase any of our equity securities during the year ended December 31, 2021.</w:t>
      </w:r>
    </w:p>
    <w:p w14:paraId="30EC3265" w14:textId="77777777" w:rsidR="00000000" w:rsidRDefault="000C49AD">
      <w:pPr>
        <w:jc w:val="both"/>
        <w:rPr>
          <w:rFonts w:eastAsia="Times New Roman"/>
        </w:rPr>
      </w:pPr>
    </w:p>
    <w:p w14:paraId="70560961" w14:textId="77777777" w:rsidR="00000000" w:rsidRDefault="000C49AD">
      <w:pPr>
        <w:jc w:val="both"/>
        <w:rPr>
          <w:rFonts w:eastAsia="Times New Roman"/>
        </w:rPr>
      </w:pPr>
      <w:r>
        <w:rPr>
          <w:rFonts w:eastAsia="Times New Roman"/>
          <w:b/>
          <w:bCs/>
          <w:color w:val="000000"/>
          <w:sz w:val="20"/>
          <w:szCs w:val="20"/>
        </w:rPr>
        <w:t>Recent Sales of Unregistered Securities</w:t>
      </w:r>
    </w:p>
    <w:p w14:paraId="2FB2D363" w14:textId="77777777" w:rsidR="00000000" w:rsidRDefault="000C49AD">
      <w:pPr>
        <w:jc w:val="both"/>
        <w:rPr>
          <w:rFonts w:eastAsia="Times New Roman"/>
        </w:rPr>
      </w:pPr>
    </w:p>
    <w:p w14:paraId="7A644E42" w14:textId="77777777" w:rsidR="00000000" w:rsidRDefault="000C49AD">
      <w:pPr>
        <w:jc w:val="both"/>
        <w:rPr>
          <w:rFonts w:eastAsia="Times New Roman"/>
        </w:rPr>
      </w:pPr>
      <w:r>
        <w:rPr>
          <w:rFonts w:eastAsia="Times New Roman"/>
          <w:color w:val="000000"/>
          <w:sz w:val="20"/>
          <w:szCs w:val="20"/>
        </w:rPr>
        <w:t>None.</w:t>
      </w:r>
    </w:p>
    <w:p w14:paraId="751B3D3F" w14:textId="77777777" w:rsidR="00000000" w:rsidRDefault="000C49AD">
      <w:pPr>
        <w:divId w:val="800461932"/>
        <w:rPr>
          <w:rFonts w:eastAsia="Times New Roman"/>
        </w:rPr>
      </w:pPr>
    </w:p>
    <w:p w14:paraId="3109A315" w14:textId="77777777" w:rsidR="00000000" w:rsidRDefault="000C49AD">
      <w:pPr>
        <w:divId w:val="1868595032"/>
        <w:rPr>
          <w:rFonts w:eastAsia="Times New Roman"/>
        </w:rPr>
      </w:pPr>
    </w:p>
    <w:p w14:paraId="59C22695" w14:textId="77777777" w:rsidR="00000000" w:rsidRDefault="000C49AD">
      <w:pPr>
        <w:divId w:val="149029827"/>
        <w:rPr>
          <w:rFonts w:eastAsia="Times New Roman"/>
        </w:rPr>
      </w:pPr>
    </w:p>
    <w:p w14:paraId="084F06B0" w14:textId="77777777" w:rsidR="00000000" w:rsidRDefault="000C49AD">
      <w:pPr>
        <w:jc w:val="center"/>
        <w:divId w:val="1398356256"/>
        <w:rPr>
          <w:rFonts w:eastAsia="Times New Roman"/>
        </w:rPr>
      </w:pPr>
      <w:r>
        <w:rPr>
          <w:rFonts w:eastAsia="Times New Roman"/>
          <w:color w:val="000000"/>
          <w:sz w:val="20"/>
          <w:szCs w:val="20"/>
        </w:rPr>
        <w:t>-60-</w:t>
      </w:r>
    </w:p>
    <w:p w14:paraId="5AC03845" w14:textId="77777777" w:rsidR="00000000" w:rsidRDefault="000C49AD">
      <w:pPr>
        <w:rPr>
          <w:rFonts w:eastAsia="Times New Roman"/>
        </w:rPr>
      </w:pPr>
      <w:r>
        <w:rPr>
          <w:rFonts w:eastAsia="Times New Roman"/>
        </w:rPr>
        <w:pict w14:anchorId="69BF1B50">
          <v:rect id="_x0000_i1084" style="width:0;height:1.5pt" o:hralign="center" o:hrstd="t" o:hr="t" fillcolor="#a0a0a0" stroked="f"/>
        </w:pict>
      </w:r>
    </w:p>
    <w:p w14:paraId="1B3BA0F6" w14:textId="77777777" w:rsidR="00000000" w:rsidRDefault="000C49AD">
      <w:pPr>
        <w:divId w:val="681470430"/>
        <w:rPr>
          <w:rFonts w:eastAsia="Times New Roman"/>
        </w:rPr>
      </w:pPr>
    </w:p>
    <w:p w14:paraId="599AB470" w14:textId="77777777" w:rsidR="00000000" w:rsidRDefault="000C49AD">
      <w:pPr>
        <w:jc w:val="both"/>
        <w:rPr>
          <w:rFonts w:eastAsia="Times New Roman"/>
        </w:rPr>
      </w:pPr>
      <w:r>
        <w:rPr>
          <w:rFonts w:eastAsia="Times New Roman"/>
          <w:b/>
          <w:bCs/>
          <w:color w:val="000000"/>
          <w:sz w:val="20"/>
          <w:szCs w:val="20"/>
        </w:rPr>
        <w:t>Share Performance Graph</w:t>
      </w:r>
    </w:p>
    <w:p w14:paraId="1F0919EF" w14:textId="77777777" w:rsidR="00000000" w:rsidRDefault="000C49AD">
      <w:pPr>
        <w:jc w:val="both"/>
        <w:rPr>
          <w:rFonts w:eastAsia="Times New Roman"/>
        </w:rPr>
      </w:pPr>
      <w:r>
        <w:rPr>
          <w:rFonts w:eastAsia="Times New Roman"/>
          <w:color w:val="000000"/>
          <w:sz w:val="20"/>
          <w:szCs w:val="20"/>
        </w:rPr>
        <w:t> </w:t>
      </w:r>
    </w:p>
    <w:p w14:paraId="3B34B938" w14:textId="77777777" w:rsidR="00000000" w:rsidRDefault="000C49AD">
      <w:pPr>
        <w:jc w:val="both"/>
        <w:rPr>
          <w:rFonts w:eastAsia="Times New Roman"/>
        </w:rPr>
      </w:pPr>
      <w:r>
        <w:rPr>
          <w:rFonts w:eastAsia="Times New Roman"/>
          <w:color w:val="000000"/>
          <w:sz w:val="20"/>
          <w:szCs w:val="20"/>
        </w:rPr>
        <w:t>The following graph compares the cumul</w:t>
      </w:r>
      <w:r>
        <w:rPr>
          <w:rFonts w:eastAsia="Times New Roman"/>
          <w:color w:val="000000"/>
          <w:sz w:val="20"/>
          <w:szCs w:val="20"/>
        </w:rPr>
        <w:t>ative 5-year return provided to shareholders of Avadel’s ADSs relative to the cumulative total returns of the Nasdaq Composite Index and the Nasdaq Biotechnology Index. We believe these indices are the most appropriate indices against which the total share</w:t>
      </w:r>
      <w:r>
        <w:rPr>
          <w:rFonts w:eastAsia="Times New Roman"/>
          <w:color w:val="000000"/>
          <w:sz w:val="20"/>
          <w:szCs w:val="20"/>
        </w:rPr>
        <w:t>holder return of Avadel should be measured. The Nasdaq Biotechnology Index has been selected because it is an index of U.S. quoted biotechnology and pharmaceutical companies. An investment of $100 (with reinvestment of all dividends) is assumed to have bee</w:t>
      </w:r>
      <w:r>
        <w:rPr>
          <w:rFonts w:eastAsia="Times New Roman"/>
          <w:color w:val="000000"/>
          <w:sz w:val="20"/>
          <w:szCs w:val="20"/>
        </w:rPr>
        <w:t>n made in our ADSs and in each of the indexes on January 1, 2017 and our relative performance is tracked through December 31, 2021. The comparisons shown in the graph are based upon historical data and we caution that the stock price performance shown in t</w:t>
      </w:r>
      <w:r>
        <w:rPr>
          <w:rFonts w:eastAsia="Times New Roman"/>
          <w:color w:val="000000"/>
          <w:sz w:val="20"/>
          <w:szCs w:val="20"/>
        </w:rPr>
        <w:t>he graph is not indicative of, or intended to forecast, the potential future performance of our stock.</w:t>
      </w:r>
    </w:p>
    <w:p w14:paraId="70B2798D" w14:textId="77777777" w:rsidR="00000000" w:rsidRDefault="000C49AD">
      <w:pPr>
        <w:jc w:val="both"/>
        <w:rPr>
          <w:rFonts w:eastAsia="Times New Roman"/>
        </w:rPr>
      </w:pPr>
    </w:p>
    <w:p w14:paraId="09EDF8C2" w14:textId="77777777" w:rsidR="00000000" w:rsidRDefault="000C49AD">
      <w:pPr>
        <w:jc w:val="both"/>
        <w:rPr>
          <w:rFonts w:eastAsia="Times New Roman"/>
        </w:rPr>
      </w:pPr>
      <w:r>
        <w:rPr>
          <w:rFonts w:eastAsia="Times New Roman"/>
          <w:noProof/>
        </w:rPr>
        <w:drawing>
          <wp:inline distT="0" distB="0" distL="0" distR="0" wp14:anchorId="6387CE5C" wp14:editId="6C049AC0">
            <wp:extent cx="304800" cy="30480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96CD890" w14:textId="77777777" w:rsidR="00000000" w:rsidRDefault="000C49AD">
      <w:pPr>
        <w:jc w:val="both"/>
        <w:rPr>
          <w:rFonts w:eastAsia="Times New Roman"/>
        </w:rPr>
      </w:pPr>
    </w:p>
    <w:p w14:paraId="2FBCB4A0" w14:textId="77777777" w:rsidR="00000000" w:rsidRDefault="000C49AD">
      <w:pPr>
        <w:jc w:val="both"/>
        <w:rPr>
          <w:rFonts w:eastAsia="Times New Roman"/>
        </w:rPr>
      </w:pPr>
      <w:r>
        <w:rPr>
          <w:rFonts w:eastAsia="Times New Roman"/>
          <w:color w:val="000000"/>
          <w:sz w:val="20"/>
          <w:szCs w:val="20"/>
        </w:rPr>
        <w:t>This performance graph shall not be deemed “filed” for purposes of Section 18 of the Exchange Act. Notwithstanding any statement to the contrary set forth in any of our filings under the Securities Act of 1933 or the Exchange Act that might incorporate fut</w:t>
      </w:r>
      <w:r>
        <w:rPr>
          <w:rFonts w:eastAsia="Times New Roman"/>
          <w:color w:val="000000"/>
          <w:sz w:val="20"/>
          <w:szCs w:val="20"/>
        </w:rPr>
        <w:t>ure filings, including this Annual Report on Form 10-K, in whole or in part, this performance graph shall not be incorporated by reference into any such filings except as may be expressly set forth by specific reference in any such filing.</w:t>
      </w:r>
    </w:p>
    <w:p w14:paraId="756A2D52" w14:textId="77777777" w:rsidR="00000000" w:rsidRDefault="000C49AD">
      <w:pPr>
        <w:jc w:val="both"/>
        <w:rPr>
          <w:rFonts w:eastAsia="Times New Roman"/>
        </w:rPr>
      </w:pPr>
    </w:p>
    <w:p w14:paraId="0559A2C5" w14:textId="77777777" w:rsidR="00000000" w:rsidRDefault="000C49AD">
      <w:pPr>
        <w:jc w:val="both"/>
        <w:rPr>
          <w:rFonts w:eastAsia="Times New Roman"/>
        </w:rPr>
      </w:pPr>
    </w:p>
    <w:p w14:paraId="5AC61C55" w14:textId="77777777" w:rsidR="00000000" w:rsidRDefault="000C49AD">
      <w:pPr>
        <w:jc w:val="both"/>
        <w:rPr>
          <w:rFonts w:eastAsia="Times New Roman"/>
        </w:rPr>
      </w:pPr>
    </w:p>
    <w:p w14:paraId="7D39CEA1" w14:textId="77777777" w:rsidR="00000000" w:rsidRDefault="000C49AD">
      <w:pPr>
        <w:jc w:val="center"/>
        <w:divId w:val="514149158"/>
        <w:rPr>
          <w:rFonts w:eastAsia="Times New Roman"/>
        </w:rPr>
      </w:pPr>
      <w:r>
        <w:rPr>
          <w:rFonts w:eastAsia="Times New Roman"/>
          <w:color w:val="000000"/>
          <w:sz w:val="20"/>
          <w:szCs w:val="20"/>
        </w:rPr>
        <w:t>-61-</w:t>
      </w:r>
    </w:p>
    <w:p w14:paraId="2DB8E9F4" w14:textId="77777777" w:rsidR="00000000" w:rsidRDefault="000C49AD">
      <w:pPr>
        <w:rPr>
          <w:rFonts w:eastAsia="Times New Roman"/>
        </w:rPr>
      </w:pPr>
      <w:r>
        <w:rPr>
          <w:rFonts w:eastAsia="Times New Roman"/>
        </w:rPr>
        <w:pict w14:anchorId="07B1B735">
          <v:rect id="_x0000_i1086" style="width:0;height:1.5pt" o:hralign="center" o:hrstd="t" o:hr="t" fillcolor="#a0a0a0" stroked="f"/>
        </w:pict>
      </w:r>
    </w:p>
    <w:p w14:paraId="29F40C09" w14:textId="77777777" w:rsidR="00000000" w:rsidRDefault="000C49AD">
      <w:pPr>
        <w:divId w:val="1697807464"/>
        <w:rPr>
          <w:rFonts w:eastAsia="Times New Roman"/>
        </w:rPr>
      </w:pPr>
    </w:p>
    <w:p w14:paraId="127E794F" w14:textId="77777777" w:rsidR="00000000" w:rsidRDefault="000C49AD">
      <w:pPr>
        <w:jc w:val="both"/>
        <w:rPr>
          <w:rFonts w:eastAsia="Times New Roman"/>
        </w:rPr>
      </w:pPr>
      <w:r>
        <w:rPr>
          <w:rFonts w:eastAsia="Times New Roman"/>
          <w:b/>
          <w:bCs/>
          <w:color w:val="000000"/>
          <w:sz w:val="20"/>
          <w:szCs w:val="20"/>
        </w:rPr>
        <w:t>Item 6.        Reserved.</w:t>
      </w:r>
    </w:p>
    <w:p w14:paraId="19007C7B" w14:textId="77777777" w:rsidR="00000000" w:rsidRDefault="000C49AD">
      <w:pPr>
        <w:jc w:val="both"/>
        <w:rPr>
          <w:rFonts w:eastAsia="Times New Roman"/>
        </w:rPr>
      </w:pPr>
    </w:p>
    <w:p w14:paraId="42B437AD" w14:textId="77777777" w:rsidR="00000000" w:rsidRDefault="000C49AD">
      <w:pPr>
        <w:jc w:val="both"/>
        <w:rPr>
          <w:rFonts w:eastAsia="Times New Roman"/>
        </w:rPr>
      </w:pPr>
      <w:r>
        <w:rPr>
          <w:rFonts w:eastAsia="Times New Roman"/>
          <w:color w:val="000000"/>
          <w:sz w:val="20"/>
          <w:szCs w:val="20"/>
        </w:rPr>
        <w:t>Not Applicable.</w:t>
      </w:r>
    </w:p>
    <w:p w14:paraId="16C8BC25" w14:textId="77777777" w:rsidR="00000000" w:rsidRDefault="000C49AD">
      <w:pPr>
        <w:jc w:val="both"/>
        <w:rPr>
          <w:rFonts w:eastAsia="Times New Roman"/>
        </w:rPr>
      </w:pPr>
    </w:p>
    <w:p w14:paraId="2DE6982E" w14:textId="77777777" w:rsidR="00000000" w:rsidRDefault="000C49AD">
      <w:pPr>
        <w:jc w:val="both"/>
        <w:rPr>
          <w:rFonts w:eastAsia="Times New Roman"/>
        </w:rPr>
      </w:pPr>
    </w:p>
    <w:p w14:paraId="0268F428" w14:textId="77777777" w:rsidR="00000000" w:rsidRDefault="000C49AD">
      <w:pPr>
        <w:jc w:val="both"/>
        <w:rPr>
          <w:rFonts w:eastAsia="Times New Roman"/>
        </w:rPr>
      </w:pPr>
      <w:r>
        <w:rPr>
          <w:rFonts w:eastAsia="Times New Roman"/>
          <w:b/>
          <w:bCs/>
          <w:color w:val="000000"/>
          <w:sz w:val="20"/>
          <w:szCs w:val="20"/>
        </w:rPr>
        <w:t> </w:t>
      </w:r>
    </w:p>
    <w:p w14:paraId="0F6B5509" w14:textId="77777777" w:rsidR="00000000" w:rsidRDefault="000C49AD">
      <w:pPr>
        <w:jc w:val="both"/>
        <w:rPr>
          <w:rFonts w:eastAsia="Times New Roman"/>
        </w:rPr>
      </w:pPr>
    </w:p>
    <w:p w14:paraId="23A9FE16" w14:textId="77777777" w:rsidR="00000000" w:rsidRDefault="000C49AD">
      <w:pPr>
        <w:jc w:val="both"/>
        <w:rPr>
          <w:rFonts w:eastAsia="Times New Roman"/>
        </w:rPr>
      </w:pPr>
    </w:p>
    <w:p w14:paraId="4B8544DE" w14:textId="77777777" w:rsidR="00000000" w:rsidRDefault="000C49AD">
      <w:pPr>
        <w:ind w:hanging="180"/>
        <w:jc w:val="both"/>
        <w:rPr>
          <w:rFonts w:eastAsia="Times New Roman"/>
        </w:rPr>
      </w:pPr>
    </w:p>
    <w:p w14:paraId="52AFDF4D" w14:textId="77777777" w:rsidR="00000000" w:rsidRDefault="000C49AD">
      <w:pPr>
        <w:jc w:val="both"/>
        <w:rPr>
          <w:rFonts w:eastAsia="Times New Roman"/>
        </w:rPr>
      </w:pPr>
    </w:p>
    <w:p w14:paraId="401660F8" w14:textId="77777777" w:rsidR="00000000" w:rsidRDefault="000C49AD">
      <w:pPr>
        <w:jc w:val="both"/>
        <w:rPr>
          <w:rFonts w:eastAsia="Times New Roman"/>
        </w:rPr>
      </w:pPr>
      <w:r>
        <w:rPr>
          <w:rFonts w:eastAsia="Times New Roman"/>
          <w:color w:val="000000"/>
          <w:sz w:val="20"/>
          <w:szCs w:val="20"/>
        </w:rPr>
        <w:t> </w:t>
      </w:r>
    </w:p>
    <w:p w14:paraId="3592D553" w14:textId="77777777" w:rsidR="00000000" w:rsidRDefault="000C49AD">
      <w:pPr>
        <w:jc w:val="both"/>
        <w:rPr>
          <w:rFonts w:eastAsia="Times New Roman"/>
        </w:rPr>
      </w:pPr>
    </w:p>
    <w:p w14:paraId="5D0E92B7" w14:textId="77777777" w:rsidR="00000000" w:rsidRDefault="000C49AD">
      <w:pPr>
        <w:jc w:val="center"/>
        <w:divId w:val="788010625"/>
        <w:rPr>
          <w:rFonts w:eastAsia="Times New Roman"/>
        </w:rPr>
      </w:pPr>
      <w:r>
        <w:rPr>
          <w:rFonts w:eastAsia="Times New Roman"/>
          <w:color w:val="000000"/>
          <w:sz w:val="20"/>
          <w:szCs w:val="20"/>
        </w:rPr>
        <w:t>-62-</w:t>
      </w:r>
    </w:p>
    <w:p w14:paraId="131F4DDA" w14:textId="77777777" w:rsidR="00000000" w:rsidRDefault="000C49AD">
      <w:pPr>
        <w:rPr>
          <w:rFonts w:eastAsia="Times New Roman"/>
        </w:rPr>
      </w:pPr>
      <w:r>
        <w:rPr>
          <w:rFonts w:eastAsia="Times New Roman"/>
        </w:rPr>
        <w:pict w14:anchorId="47CE1EAE">
          <v:rect id="_x0000_i1087" style="width:0;height:1.5pt" o:hralign="center" o:hrstd="t" o:hr="t" fillcolor="#a0a0a0" stroked="f"/>
        </w:pict>
      </w:r>
    </w:p>
    <w:p w14:paraId="32FA4FBB" w14:textId="77777777" w:rsidR="00000000" w:rsidRDefault="000C49AD">
      <w:pPr>
        <w:divId w:val="1037582697"/>
        <w:rPr>
          <w:rFonts w:eastAsia="Times New Roman"/>
        </w:rPr>
      </w:pPr>
    </w:p>
    <w:p w14:paraId="47D180DD" w14:textId="77777777" w:rsidR="00000000" w:rsidRDefault="000C49AD">
      <w:pPr>
        <w:jc w:val="both"/>
        <w:rPr>
          <w:rFonts w:eastAsia="Times New Roman"/>
        </w:rPr>
      </w:pPr>
    </w:p>
    <w:p w14:paraId="4B498683" w14:textId="77777777" w:rsidR="00000000" w:rsidRDefault="000C49AD">
      <w:pPr>
        <w:jc w:val="both"/>
        <w:rPr>
          <w:rFonts w:eastAsia="Times New Roman"/>
        </w:rPr>
      </w:pPr>
      <w:r>
        <w:rPr>
          <w:rFonts w:eastAsia="Times New Roman"/>
          <w:b/>
          <w:bCs/>
          <w:color w:val="000000"/>
          <w:sz w:val="20"/>
          <w:szCs w:val="20"/>
        </w:rPr>
        <w:t>Item 7.        Management’s Discussion and Analysis of Financial Condition and Results of Operations.</w:t>
      </w:r>
    </w:p>
    <w:p w14:paraId="5EBA1C77" w14:textId="77777777" w:rsidR="00000000" w:rsidRDefault="000C49AD">
      <w:pPr>
        <w:jc w:val="both"/>
        <w:rPr>
          <w:rFonts w:eastAsia="Times New Roman"/>
        </w:rPr>
      </w:pPr>
    </w:p>
    <w:p w14:paraId="24E2E902" w14:textId="77777777" w:rsidR="00000000" w:rsidRDefault="000C49AD">
      <w:pPr>
        <w:jc w:val="center"/>
        <w:divId w:val="524245861"/>
        <w:rPr>
          <w:rFonts w:eastAsia="Times New Roman"/>
        </w:rPr>
      </w:pPr>
      <w:r>
        <w:rPr>
          <w:rFonts w:eastAsia="Times New Roman"/>
          <w:i/>
          <w:iCs/>
          <w:color w:val="000000"/>
          <w:sz w:val="20"/>
          <w:szCs w:val="20"/>
        </w:rPr>
        <w:t>(In thousands, except per share data) </w:t>
      </w:r>
    </w:p>
    <w:p w14:paraId="3011BB28" w14:textId="77777777" w:rsidR="00000000" w:rsidRDefault="000C49AD">
      <w:pPr>
        <w:jc w:val="both"/>
        <w:rPr>
          <w:rFonts w:eastAsia="Times New Roman"/>
        </w:rPr>
      </w:pPr>
      <w:r>
        <w:rPr>
          <w:rFonts w:eastAsia="Times New Roman"/>
          <w:b/>
          <w:bCs/>
          <w:i/>
          <w:iCs/>
          <w:color w:val="000000"/>
          <w:sz w:val="20"/>
          <w:szCs w:val="20"/>
        </w:rPr>
        <w:t>You should read the discussion and analysis of our financial condition an</w:t>
      </w:r>
      <w:r>
        <w:rPr>
          <w:rFonts w:eastAsia="Times New Roman"/>
          <w:b/>
          <w:bCs/>
          <w:i/>
          <w:iCs/>
          <w:color w:val="000000"/>
          <w:sz w:val="20"/>
          <w:szCs w:val="20"/>
        </w:rPr>
        <w:t>d results of operations set forth in this Item 7 together with our consolidated financial statements and the related notes appearing elsewhere in this Annual Report on Form 10-K. Some of the information contained in this discussion and analysis or set fort</w:t>
      </w:r>
      <w:r>
        <w:rPr>
          <w:rFonts w:eastAsia="Times New Roman"/>
          <w:b/>
          <w:bCs/>
          <w:i/>
          <w:iCs/>
          <w:color w:val="000000"/>
          <w:sz w:val="20"/>
          <w:szCs w:val="20"/>
        </w:rPr>
        <w:t>h elsewhere in this Annual Report on Form 10-K, including information with respect to our plans and strategy for our business and related financing, includes forward-looking statements that involve risks and uncertainties, and reference is made to the “Cau</w:t>
      </w:r>
      <w:r>
        <w:rPr>
          <w:rFonts w:eastAsia="Times New Roman"/>
          <w:b/>
          <w:bCs/>
          <w:i/>
          <w:iCs/>
          <w:color w:val="000000"/>
          <w:sz w:val="20"/>
          <w:szCs w:val="20"/>
        </w:rPr>
        <w:t>tionary Disclosure Regarding Forward-Looking Statements” set forth immediately following the Table of Content of this Annual Report on Form 10-K for further information on the forward looking statements herein. In addition, you should read the “Risk Factor</w:t>
      </w:r>
      <w:r>
        <w:rPr>
          <w:rFonts w:eastAsia="Times New Roman"/>
          <w:b/>
          <w:bCs/>
          <w:i/>
          <w:iCs/>
          <w:color w:val="000000"/>
          <w:sz w:val="20"/>
          <w:szCs w:val="20"/>
        </w:rPr>
        <w:t>s” section of this Annual Report on Form 10-K for a discussion of important factors that could cause actual results to differ materially from the results described in or implied by the forward-looking statements contained in the following discussion and an</w:t>
      </w:r>
      <w:r>
        <w:rPr>
          <w:rFonts w:eastAsia="Times New Roman"/>
          <w:b/>
          <w:bCs/>
          <w:i/>
          <w:iCs/>
          <w:color w:val="000000"/>
          <w:sz w:val="20"/>
          <w:szCs w:val="20"/>
        </w:rPr>
        <w:t xml:space="preserve">alysis and elsewhere in this Annual Report on Form 10-K. </w:t>
      </w:r>
    </w:p>
    <w:p w14:paraId="3345C7AC" w14:textId="77777777" w:rsidR="00000000" w:rsidRDefault="000C49AD">
      <w:pPr>
        <w:jc w:val="both"/>
        <w:rPr>
          <w:rFonts w:eastAsia="Times New Roman"/>
        </w:rPr>
      </w:pPr>
    </w:p>
    <w:p w14:paraId="1709D8AB" w14:textId="77777777" w:rsidR="00000000" w:rsidRDefault="000C49AD">
      <w:pPr>
        <w:jc w:val="both"/>
        <w:rPr>
          <w:rFonts w:eastAsia="Times New Roman"/>
        </w:rPr>
      </w:pPr>
      <w:r>
        <w:rPr>
          <w:rFonts w:eastAsia="Times New Roman"/>
          <w:i/>
          <w:iCs/>
          <w:color w:val="212529"/>
          <w:sz w:val="20"/>
          <w:szCs w:val="20"/>
        </w:rPr>
        <w:t>Information pertaining to fiscal year 2019 was included in the Company’s Annual Report on Form 10-K for the year ended December 31, 2020, on pages 45 through 57, under Part II, Item 7, “Management</w:t>
      </w:r>
      <w:r>
        <w:rPr>
          <w:rFonts w:eastAsia="Times New Roman"/>
          <w:i/>
          <w:iCs/>
          <w:color w:val="212529"/>
          <w:sz w:val="20"/>
          <w:szCs w:val="20"/>
        </w:rPr>
        <w:t>’s Discussion and Analysis of Financial Condition and Results of Operations,” which was filed with the SEC on March 9, 2021.</w:t>
      </w:r>
    </w:p>
    <w:p w14:paraId="6FC9E106" w14:textId="77777777" w:rsidR="00000000" w:rsidRDefault="000C49AD">
      <w:pPr>
        <w:jc w:val="both"/>
        <w:rPr>
          <w:rFonts w:eastAsia="Times New Roman"/>
        </w:rPr>
      </w:pPr>
    </w:p>
    <w:p w14:paraId="2ECA9945" w14:textId="77777777" w:rsidR="00000000" w:rsidRDefault="000C49AD">
      <w:pPr>
        <w:jc w:val="center"/>
        <w:divId w:val="1150907016"/>
        <w:rPr>
          <w:rFonts w:eastAsia="Times New Roman"/>
        </w:rPr>
      </w:pPr>
      <w:r>
        <w:rPr>
          <w:rFonts w:eastAsia="Times New Roman"/>
          <w:color w:val="000000"/>
          <w:sz w:val="20"/>
          <w:szCs w:val="20"/>
        </w:rPr>
        <w:t>-63-</w:t>
      </w:r>
    </w:p>
    <w:p w14:paraId="2D66A9BC" w14:textId="77777777" w:rsidR="00000000" w:rsidRDefault="000C49AD">
      <w:pPr>
        <w:rPr>
          <w:rFonts w:eastAsia="Times New Roman"/>
        </w:rPr>
      </w:pPr>
      <w:r>
        <w:rPr>
          <w:rFonts w:eastAsia="Times New Roman"/>
        </w:rPr>
        <w:pict w14:anchorId="497BDC6A">
          <v:rect id="_x0000_i1088" style="width:0;height:1.5pt" o:hralign="center" o:hrstd="t" o:hr="t" fillcolor="#a0a0a0" stroked="f"/>
        </w:pict>
      </w:r>
    </w:p>
    <w:p w14:paraId="568A5794" w14:textId="77777777" w:rsidR="00000000" w:rsidRDefault="000C49AD">
      <w:pPr>
        <w:divId w:val="955330792"/>
        <w:rPr>
          <w:rFonts w:eastAsia="Times New Roman"/>
        </w:rPr>
      </w:pPr>
    </w:p>
    <w:p w14:paraId="144EB125" w14:textId="77777777" w:rsidR="00000000" w:rsidRDefault="000C49AD">
      <w:pPr>
        <w:jc w:val="both"/>
        <w:divId w:val="1767577544"/>
        <w:rPr>
          <w:rFonts w:eastAsia="Times New Roman"/>
        </w:rPr>
      </w:pPr>
      <w:r>
        <w:rPr>
          <w:rFonts w:eastAsia="Times New Roman"/>
          <w:b/>
          <w:bCs/>
          <w:color w:val="000000"/>
          <w:sz w:val="20"/>
          <w:szCs w:val="20"/>
          <w:u w:val="single"/>
        </w:rPr>
        <w:t>Overview</w:t>
      </w:r>
      <w:r>
        <w:rPr>
          <w:rFonts w:eastAsia="Times New Roman"/>
          <w:color w:val="000000"/>
          <w:sz w:val="20"/>
          <w:szCs w:val="20"/>
        </w:rPr>
        <w:t> </w:t>
      </w:r>
    </w:p>
    <w:p w14:paraId="29EE8CE5" w14:textId="77777777" w:rsidR="00000000" w:rsidRDefault="000C49AD">
      <w:pPr>
        <w:jc w:val="both"/>
        <w:divId w:val="1380977444"/>
        <w:rPr>
          <w:rFonts w:eastAsia="Times New Roman"/>
        </w:rPr>
      </w:pPr>
      <w:r>
        <w:rPr>
          <w:rFonts w:eastAsia="Times New Roman"/>
          <w:b/>
          <w:bCs/>
          <w:i/>
          <w:iCs/>
          <w:color w:val="000000"/>
          <w:sz w:val="20"/>
          <w:szCs w:val="20"/>
        </w:rPr>
        <w:t>Nature of Operations</w:t>
      </w:r>
      <w:r>
        <w:rPr>
          <w:rFonts w:eastAsia="Times New Roman"/>
          <w:color w:val="000000"/>
          <w:sz w:val="20"/>
          <w:szCs w:val="20"/>
        </w:rPr>
        <w:t xml:space="preserve"> </w:t>
      </w:r>
    </w:p>
    <w:p w14:paraId="3F9FE65D" w14:textId="77777777" w:rsidR="00000000" w:rsidRDefault="000C49AD">
      <w:pPr>
        <w:jc w:val="both"/>
        <w:rPr>
          <w:rFonts w:eastAsia="Times New Roman"/>
        </w:rPr>
      </w:pPr>
      <w:r>
        <w:rPr>
          <w:rFonts w:eastAsia="Times New Roman"/>
          <w:color w:val="000000"/>
          <w:sz w:val="20"/>
          <w:szCs w:val="20"/>
        </w:rPr>
        <w:t>Avadel Pharmaceuticals plc (Nasdaq: AVDL) (“Avadel,” t</w:t>
      </w:r>
      <w:r>
        <w:rPr>
          <w:rFonts w:eastAsia="Times New Roman"/>
          <w:color w:val="000000"/>
          <w:sz w:val="20"/>
          <w:szCs w:val="20"/>
        </w:rPr>
        <w:t>he “Company,” “we,” “our,” or “us”) is a biopharmaceutical company. Our lead product candidate, FT218, is an investigational once-nightly, extended-release formulation of sodium oxybate for the treatment of excessive daytime sleepiness (“EDS”) or cataplexy</w:t>
      </w:r>
      <w:r>
        <w:rPr>
          <w:rFonts w:eastAsia="Times New Roman"/>
          <w:color w:val="000000"/>
          <w:sz w:val="20"/>
          <w:szCs w:val="20"/>
        </w:rPr>
        <w:t xml:space="preserve"> in adults with narcolepsy. We are primarily focused on the development and potential United States (“U.S.”) Food and Drug Administration (“FDA”) approval of FT218. In December 2020, we submitted a New Drug Application (“NDA”) to the FDA for FT218 to treat</w:t>
      </w:r>
      <w:r>
        <w:rPr>
          <w:rFonts w:eastAsia="Times New Roman"/>
          <w:color w:val="000000"/>
          <w:sz w:val="20"/>
          <w:szCs w:val="20"/>
        </w:rPr>
        <w:t xml:space="preserve"> excessive daytime sleepiness or cataplexy in adults with narcolepsy. In February 2021, the NDA for FT218 was accepted by the FDA and was assigned a Prescription Drug User Fee Act (“PDUFA”) target action date of October 15, 2021. On October 15, 2021, we an</w:t>
      </w:r>
      <w:r>
        <w:rPr>
          <w:rFonts w:eastAsia="Times New Roman"/>
          <w:color w:val="000000"/>
          <w:sz w:val="20"/>
          <w:szCs w:val="20"/>
        </w:rPr>
        <w:t xml:space="preserve">nounced that the FDA informed us that the review of our NDA for FT218 was ongoing beyond its previously assigned target action date. As of the date of this Annual Report, the FDA’s review of our NDA for FT218 remains ongoing. </w:t>
      </w:r>
    </w:p>
    <w:p w14:paraId="745547F6" w14:textId="77777777" w:rsidR="00000000" w:rsidRDefault="000C49AD">
      <w:pPr>
        <w:divId w:val="1587109010"/>
        <w:rPr>
          <w:rFonts w:eastAsia="Times New Roman"/>
        </w:rPr>
      </w:pPr>
    </w:p>
    <w:p w14:paraId="06B6A1D4" w14:textId="77777777" w:rsidR="00000000" w:rsidRDefault="000C49AD">
      <w:pPr>
        <w:jc w:val="both"/>
        <w:rPr>
          <w:rFonts w:eastAsia="Times New Roman"/>
        </w:rPr>
      </w:pPr>
      <w:r>
        <w:rPr>
          <w:rFonts w:eastAsia="Times New Roman"/>
          <w:color w:val="000000"/>
          <w:sz w:val="20"/>
          <w:szCs w:val="20"/>
        </w:rPr>
        <w:t>Outside of our lead product candidate, we continue to evaluate opportunities to expand our product portfolio. As of the date of this Annual Report, we do not have any approved or commercialized products in our portfolio.</w:t>
      </w:r>
    </w:p>
    <w:p w14:paraId="276B066D" w14:textId="77777777" w:rsidR="00000000" w:rsidRDefault="000C49AD">
      <w:pPr>
        <w:jc w:val="both"/>
        <w:rPr>
          <w:rFonts w:eastAsia="Times New Roman"/>
        </w:rPr>
      </w:pPr>
      <w:r>
        <w:rPr>
          <w:rFonts w:eastAsia="Times New Roman"/>
          <w:b/>
          <w:bCs/>
          <w:i/>
          <w:iCs/>
          <w:color w:val="000000"/>
          <w:sz w:val="20"/>
          <w:szCs w:val="20"/>
        </w:rPr>
        <w:t>FT218</w:t>
      </w:r>
    </w:p>
    <w:p w14:paraId="4FE25738" w14:textId="77777777" w:rsidR="00000000" w:rsidRDefault="000C49AD">
      <w:pPr>
        <w:divId w:val="2074572836"/>
        <w:rPr>
          <w:rFonts w:eastAsia="Times New Roman"/>
        </w:rPr>
      </w:pPr>
    </w:p>
    <w:p w14:paraId="3938CE18" w14:textId="77777777" w:rsidR="00000000" w:rsidRDefault="000C49AD">
      <w:pPr>
        <w:jc w:val="both"/>
        <w:rPr>
          <w:rFonts w:eastAsia="Times New Roman"/>
        </w:rPr>
      </w:pPr>
      <w:r>
        <w:rPr>
          <w:rFonts w:eastAsia="Times New Roman"/>
          <w:color w:val="000000"/>
          <w:sz w:val="20"/>
          <w:szCs w:val="20"/>
        </w:rPr>
        <w:t>FT218 is a once-nightly for</w:t>
      </w:r>
      <w:r>
        <w:rPr>
          <w:rFonts w:eastAsia="Times New Roman"/>
          <w:color w:val="000000"/>
          <w:sz w:val="20"/>
          <w:szCs w:val="20"/>
        </w:rPr>
        <w:t>mulation of sodium oxybate that uses our Micropump controlled release drug-delivery technology for the treatment of EDS or cataplexy in adults suffering from narcolepsy. Sodium oxybate is the sodium salt of gamma hydroxybutyrate, an endogenous compound and</w:t>
      </w:r>
      <w:r>
        <w:rPr>
          <w:rFonts w:eastAsia="Times New Roman"/>
          <w:color w:val="000000"/>
          <w:sz w:val="20"/>
          <w:szCs w:val="20"/>
        </w:rPr>
        <w:t xml:space="preserve"> metabolite of the neurotransmitter gamma-aminobutyric acid. Immediate release sodium oxybate is approved in the U.S. for the treatment of EDS or cataplexy in patients with narcolepsy and is approved in Europe for the treatment of cataplexy in patients wit</w:t>
      </w:r>
      <w:r>
        <w:rPr>
          <w:rFonts w:eastAsia="Times New Roman"/>
          <w:color w:val="000000"/>
          <w:sz w:val="20"/>
          <w:szCs w:val="20"/>
        </w:rPr>
        <w:t>h narcolepsy. Since 2002, sodium oxybate has only been available as a formulation that must be taken twice nightly, first at bedtime, and then again 2.5 to 4 hours later.</w:t>
      </w:r>
    </w:p>
    <w:p w14:paraId="534744E3" w14:textId="77777777" w:rsidR="00000000" w:rsidRDefault="000C49AD">
      <w:pPr>
        <w:jc w:val="both"/>
        <w:rPr>
          <w:rFonts w:eastAsia="Times New Roman"/>
        </w:rPr>
      </w:pPr>
    </w:p>
    <w:p w14:paraId="702A8DF5" w14:textId="77777777" w:rsidR="00000000" w:rsidRDefault="000C49AD">
      <w:pPr>
        <w:jc w:val="both"/>
        <w:rPr>
          <w:rFonts w:eastAsia="Times New Roman"/>
        </w:rPr>
      </w:pPr>
      <w:r>
        <w:rPr>
          <w:rFonts w:eastAsia="Times New Roman"/>
          <w:color w:val="000000"/>
          <w:sz w:val="20"/>
          <w:szCs w:val="20"/>
        </w:rPr>
        <w:t xml:space="preserve">On December 16, 2020, we announced the submission of our NDA to the FDA for FT218. </w:t>
      </w:r>
      <w:r>
        <w:rPr>
          <w:rFonts w:eastAsia="Times New Roman"/>
          <w:color w:val="000000"/>
          <w:sz w:val="20"/>
          <w:szCs w:val="20"/>
        </w:rPr>
        <w:t>On February 26, 2021, the FDA notified us of formal acceptance of the NDA and assigned a PDUFA target action date of October 15, 2021. On October 15, 2021, we announced that the FDA informed us that the review of our NDA for FT218 was ongoing beyond its pr</w:t>
      </w:r>
      <w:r>
        <w:rPr>
          <w:rFonts w:eastAsia="Times New Roman"/>
          <w:color w:val="000000"/>
          <w:sz w:val="20"/>
          <w:szCs w:val="20"/>
        </w:rPr>
        <w:t>eviously assigned target action date. As of the date of this Annual Report, the FDA’s review of our NDA for FT218 remains ongoing.</w:t>
      </w:r>
    </w:p>
    <w:p w14:paraId="2B94D383" w14:textId="77777777" w:rsidR="00000000" w:rsidRDefault="000C49AD">
      <w:pPr>
        <w:divId w:val="842234538"/>
        <w:rPr>
          <w:rFonts w:eastAsia="Times New Roman"/>
        </w:rPr>
      </w:pPr>
    </w:p>
    <w:p w14:paraId="07830476" w14:textId="77777777" w:rsidR="00000000" w:rsidRDefault="000C49AD">
      <w:pPr>
        <w:jc w:val="both"/>
        <w:rPr>
          <w:rFonts w:eastAsia="Times New Roman"/>
        </w:rPr>
      </w:pPr>
      <w:r>
        <w:rPr>
          <w:rFonts w:eastAsia="Times New Roman"/>
          <w:color w:val="000000"/>
          <w:sz w:val="20"/>
          <w:szCs w:val="20"/>
        </w:rPr>
        <w:t>We conducted a Phase 3 clinical trial of FT218, the REST-ON trial, which was a randomized, double-blind, placebo-controlled</w:t>
      </w:r>
      <w:r>
        <w:rPr>
          <w:rFonts w:eastAsia="Times New Roman"/>
          <w:color w:val="000000"/>
          <w:sz w:val="20"/>
          <w:szCs w:val="20"/>
        </w:rPr>
        <w:t xml:space="preserve"> study that enrolled 212 patients who received at least one dose of FT218 or placebo, and was conducted in clinical sites in the U.S., Canada, Western Europe and Australia. The last patient, last visit was completed at the end of the first quarter of 2020,</w:t>
      </w:r>
      <w:r>
        <w:rPr>
          <w:rFonts w:eastAsia="Times New Roman"/>
          <w:color w:val="000000"/>
          <w:sz w:val="20"/>
          <w:szCs w:val="20"/>
        </w:rPr>
        <w:t xml:space="preserve"> and positive top line data from the REST-ON trial was announced on April 27, 2020. Patients who received 9 g of once-nightly FT218, the highest dose administered in the trial, demonstrated statistically significant and clinically meaningful improvement co</w:t>
      </w:r>
      <w:r>
        <w:rPr>
          <w:rFonts w:eastAsia="Times New Roman"/>
          <w:color w:val="000000"/>
          <w:sz w:val="20"/>
          <w:szCs w:val="20"/>
        </w:rPr>
        <w:t>mpared to placebo across the three co-primary endpoints of the trial: maintenance of wakefulness test (“MWT”), clinical global impression-improvement (“CGI-I”), and mean weekly cataplexy attacks. The lower doses assessed, 6 g and 7.5 g also demonstrated st</w:t>
      </w:r>
      <w:r>
        <w:rPr>
          <w:rFonts w:eastAsia="Times New Roman"/>
          <w:color w:val="000000"/>
          <w:sz w:val="20"/>
          <w:szCs w:val="20"/>
        </w:rPr>
        <w:t>atistically significant and clinically meaningful improvement on all three co-primary endpoints compared to placebo. We observed the 9 g dose of once-nightly FT218 to be generally well tolerated. Adverse reactions commonly associated with sodium oxybate we</w:t>
      </w:r>
      <w:r>
        <w:rPr>
          <w:rFonts w:eastAsia="Times New Roman"/>
          <w:color w:val="000000"/>
          <w:sz w:val="20"/>
          <w:szCs w:val="20"/>
        </w:rPr>
        <w:t>re observed in a small number of patients (nausea 1.3%, vomiting 5.2%, decreased appetite 2.6%, dizziness 5.2%, somnolence 3.9%, tremor 1.3% and enuresis 9%), and 3.9% of the patients who received 9 g of FT218 discontinued the trial due to adverse reaction</w:t>
      </w:r>
      <w:r>
        <w:rPr>
          <w:rFonts w:eastAsia="Times New Roman"/>
          <w:color w:val="000000"/>
          <w:sz w:val="20"/>
          <w:szCs w:val="20"/>
        </w:rPr>
        <w:t>s.</w:t>
      </w:r>
    </w:p>
    <w:p w14:paraId="484EDB5D" w14:textId="77777777" w:rsidR="00000000" w:rsidRDefault="000C49AD">
      <w:pPr>
        <w:divId w:val="93285441"/>
        <w:rPr>
          <w:rFonts w:eastAsia="Times New Roman"/>
        </w:rPr>
      </w:pPr>
    </w:p>
    <w:p w14:paraId="144256FB" w14:textId="77777777" w:rsidR="00000000" w:rsidRDefault="000C49AD">
      <w:pPr>
        <w:jc w:val="both"/>
        <w:rPr>
          <w:rFonts w:eastAsia="Times New Roman"/>
        </w:rPr>
      </w:pPr>
      <w:r>
        <w:rPr>
          <w:rFonts w:eastAsia="Times New Roman"/>
          <w:color w:val="000000"/>
          <w:sz w:val="20"/>
          <w:szCs w:val="20"/>
        </w:rPr>
        <w:t>In January 2018, the FDA granted FT218 orphan drug designation for the treatment of narcolepsy, which makes FT218 potentially eligible for certain development and commercial incentives, including potential U.S. market exclusivity for up to seven years</w:t>
      </w:r>
      <w:r>
        <w:rPr>
          <w:rFonts w:eastAsia="Times New Roman"/>
          <w:color w:val="000000"/>
          <w:sz w:val="20"/>
          <w:szCs w:val="20"/>
        </w:rPr>
        <w:t>. Additionally, several FT218-related U.S. patents have been issued, and there are additional patent applications currently in development and/or pending at the U.S. Patent and Trademark Office (“USPTO”), as well as foreign patent offices.</w:t>
      </w:r>
    </w:p>
    <w:p w14:paraId="500F86A4" w14:textId="77777777" w:rsidR="00000000" w:rsidRDefault="000C49AD">
      <w:pPr>
        <w:divId w:val="431315889"/>
        <w:rPr>
          <w:rFonts w:eastAsia="Times New Roman"/>
        </w:rPr>
      </w:pPr>
    </w:p>
    <w:p w14:paraId="7EAD28E7" w14:textId="77777777" w:rsidR="00000000" w:rsidRDefault="000C49AD">
      <w:pPr>
        <w:jc w:val="both"/>
        <w:rPr>
          <w:rFonts w:eastAsia="Times New Roman"/>
        </w:rPr>
      </w:pPr>
      <w:r>
        <w:rPr>
          <w:rFonts w:eastAsia="Times New Roman"/>
          <w:color w:val="000000"/>
          <w:sz w:val="20"/>
          <w:szCs w:val="20"/>
        </w:rPr>
        <w:t xml:space="preserve">In July 2020, </w:t>
      </w:r>
      <w:r>
        <w:rPr>
          <w:rFonts w:eastAsia="Times New Roman"/>
          <w:color w:val="000000"/>
          <w:sz w:val="20"/>
          <w:szCs w:val="20"/>
        </w:rPr>
        <w:t>we announced that the first patient was dosed in our open-label extension (“OLE”)/switch study of FT218 as a potential treatment for EDS or cataplexy in patients with narcolepsy. The OLE/switch study is examining the long-term safety and maintenance of eff</w:t>
      </w:r>
      <w:r>
        <w:rPr>
          <w:rFonts w:eastAsia="Times New Roman"/>
          <w:color w:val="000000"/>
          <w:sz w:val="20"/>
          <w:szCs w:val="20"/>
        </w:rPr>
        <w:t>icacy of FT218 in patients with narcolepsy who participated in the REST-ON study, as well as dosing and preference data for patients switching from twice-nightly sodium oxybate to once-nightly FT218, regardless of whether they participated in REST-ON. In M</w:t>
      </w:r>
      <w:r>
        <w:rPr>
          <w:rFonts w:eastAsia="Times New Roman"/>
          <w:color w:val="000000"/>
          <w:sz w:val="20"/>
          <w:szCs w:val="20"/>
        </w:rPr>
        <w:t xml:space="preserve">ay 2021, inclusion criteria were expanded to allow for oxybate naïve patients to enter the study. </w:t>
      </w:r>
    </w:p>
    <w:p w14:paraId="54071243" w14:textId="77777777" w:rsidR="00000000" w:rsidRDefault="000C49AD">
      <w:pPr>
        <w:divId w:val="774978630"/>
        <w:rPr>
          <w:rFonts w:eastAsia="Times New Roman"/>
        </w:rPr>
      </w:pPr>
    </w:p>
    <w:p w14:paraId="2E54875B" w14:textId="77777777" w:rsidR="00000000" w:rsidRDefault="000C49AD">
      <w:pPr>
        <w:jc w:val="both"/>
        <w:rPr>
          <w:rFonts w:eastAsia="Times New Roman"/>
        </w:rPr>
      </w:pPr>
      <w:r>
        <w:rPr>
          <w:rFonts w:eastAsia="Times New Roman"/>
          <w:color w:val="000000"/>
          <w:sz w:val="20"/>
          <w:szCs w:val="20"/>
        </w:rPr>
        <w:t>New secondary endpoints from the REST-ON trial were presented at the American Academy of Neurology, beginning April 17, 2021. The first poster described FT</w:t>
      </w:r>
      <w:r>
        <w:rPr>
          <w:rFonts w:eastAsia="Times New Roman"/>
          <w:color w:val="000000"/>
          <w:sz w:val="20"/>
          <w:szCs w:val="20"/>
        </w:rPr>
        <w:t xml:space="preserve">218 improvements in disturbed nocturnal sleep (“DNS”), defined in REST-ON as the </w:t>
      </w:r>
    </w:p>
    <w:p w14:paraId="7BD980ED" w14:textId="77777777" w:rsidR="00000000" w:rsidRDefault="000C49AD">
      <w:pPr>
        <w:jc w:val="center"/>
        <w:divId w:val="1582444765"/>
        <w:rPr>
          <w:rFonts w:eastAsia="Times New Roman"/>
        </w:rPr>
      </w:pPr>
      <w:r>
        <w:rPr>
          <w:rFonts w:eastAsia="Times New Roman"/>
          <w:color w:val="000000"/>
          <w:sz w:val="20"/>
          <w:szCs w:val="20"/>
        </w:rPr>
        <w:t>-64-</w:t>
      </w:r>
    </w:p>
    <w:p w14:paraId="62340041" w14:textId="77777777" w:rsidR="00000000" w:rsidRDefault="000C49AD">
      <w:pPr>
        <w:rPr>
          <w:rFonts w:eastAsia="Times New Roman"/>
        </w:rPr>
      </w:pPr>
      <w:r>
        <w:rPr>
          <w:rFonts w:eastAsia="Times New Roman"/>
        </w:rPr>
        <w:pict w14:anchorId="2FC3BB3B">
          <v:rect id="_x0000_i1089" style="width:0;height:1.5pt" o:hralign="center" o:hrstd="t" o:hr="t" fillcolor="#a0a0a0" stroked="f"/>
        </w:pict>
      </w:r>
    </w:p>
    <w:p w14:paraId="7FFA96B3" w14:textId="77777777" w:rsidR="00000000" w:rsidRDefault="000C49AD">
      <w:pPr>
        <w:divId w:val="423111926"/>
        <w:rPr>
          <w:rFonts w:eastAsia="Times New Roman"/>
        </w:rPr>
      </w:pPr>
    </w:p>
    <w:p w14:paraId="4B74501B" w14:textId="77777777" w:rsidR="00000000" w:rsidRDefault="000C49AD">
      <w:pPr>
        <w:jc w:val="both"/>
        <w:rPr>
          <w:rFonts w:eastAsia="Times New Roman"/>
        </w:rPr>
      </w:pPr>
      <w:r>
        <w:rPr>
          <w:rFonts w:eastAsia="Times New Roman"/>
          <w:color w:val="000000"/>
          <w:sz w:val="20"/>
          <w:szCs w:val="20"/>
        </w:rPr>
        <w:t>number of shifts from stages N1, N2, N3, and rapid eye movement (“REM”) sleep to wake and from stages N2, N3, and REM sleep to stage N1. FT218 also decreased the number of nocturnal arousals as measured on polysomnogra</w:t>
      </w:r>
      <w:r>
        <w:rPr>
          <w:rFonts w:eastAsia="Times New Roman"/>
          <w:color w:val="000000"/>
          <w:sz w:val="20"/>
          <w:szCs w:val="20"/>
        </w:rPr>
        <w:t>phy. Improvements in DNS were further supported by post-hoc analyses demonstrating increased time in deep sleep (N3, also known as slow wave sleep), and less time in N1. A second poster described the statistically significant improvements in the Epworth Sl</w:t>
      </w:r>
      <w:r>
        <w:rPr>
          <w:rFonts w:eastAsia="Times New Roman"/>
          <w:color w:val="000000"/>
          <w:sz w:val="20"/>
          <w:szCs w:val="20"/>
        </w:rPr>
        <w:t>eepiness Scale, both the quality of sleep and the refreshing nature of sleep, and a decrease in sleep paralysis. These clinically relevant improvements were observed for all doses, beginning at week 3, for the lowest 6 g dose, compared to placebo. FT218 di</w:t>
      </w:r>
      <w:r>
        <w:rPr>
          <w:rFonts w:eastAsia="Times New Roman"/>
          <w:color w:val="000000"/>
          <w:sz w:val="20"/>
          <w:szCs w:val="20"/>
        </w:rPr>
        <w:t>d not demonstrate significant improvement for hypnagogic hallucinations compared to placebo.</w:t>
      </w:r>
    </w:p>
    <w:p w14:paraId="4831F80C" w14:textId="77777777" w:rsidR="00000000" w:rsidRDefault="000C49AD">
      <w:pPr>
        <w:divId w:val="1276328343"/>
        <w:rPr>
          <w:rFonts w:eastAsia="Times New Roman"/>
        </w:rPr>
      </w:pPr>
    </w:p>
    <w:p w14:paraId="4005AED7" w14:textId="77777777" w:rsidR="00000000" w:rsidRDefault="000C49AD">
      <w:pPr>
        <w:jc w:val="both"/>
        <w:rPr>
          <w:rFonts w:eastAsia="Times New Roman"/>
        </w:rPr>
      </w:pPr>
      <w:r>
        <w:rPr>
          <w:rFonts w:eastAsia="Times New Roman"/>
          <w:color w:val="000000"/>
          <w:sz w:val="20"/>
          <w:szCs w:val="20"/>
        </w:rPr>
        <w:t xml:space="preserve">Additional data supportive of the efficacy findings in REST-ON were presented at the 35th Annual Meeting of the Associated Professional Sleep Societies, a joint </w:t>
      </w:r>
      <w:r>
        <w:rPr>
          <w:rFonts w:eastAsia="Times New Roman"/>
          <w:color w:val="000000"/>
          <w:sz w:val="20"/>
          <w:szCs w:val="20"/>
        </w:rPr>
        <w:t xml:space="preserve">meeting of the American Academy of Sleep Medicine and the Sleep Research Society, also known as SLEEP 2021, beginning June 10, 2021. New data included post-hoc analyses demonstrating endpoints improvements, regardless of concomitant stimulant use, in both </w:t>
      </w:r>
      <w:r>
        <w:rPr>
          <w:rFonts w:eastAsia="Times New Roman"/>
          <w:color w:val="000000"/>
          <w:sz w:val="20"/>
          <w:szCs w:val="20"/>
        </w:rPr>
        <w:t>narcolepsy Type 1 or Type 2. Additionally, a post-hoc analysis showed that FT218 was associated with decreased body mass index compared to placebo, which may be relevant as people with narcolepsy often have co-morbid obesity. In August 2021, the primary re</w:t>
      </w:r>
      <w:r>
        <w:rPr>
          <w:rFonts w:eastAsia="Times New Roman"/>
          <w:color w:val="000000"/>
          <w:sz w:val="20"/>
          <w:szCs w:val="20"/>
        </w:rPr>
        <w:t>sults from the REST-ON trial were published by Kushida et al. in the journal SLEEP. New data was presented at the American College of Chest Physicians annual meeting, beginning October 17, 2021, including additional post-hoc analyses from the REST-ON trial</w:t>
      </w:r>
      <w:r>
        <w:rPr>
          <w:rFonts w:eastAsia="Times New Roman"/>
          <w:color w:val="000000"/>
          <w:sz w:val="20"/>
          <w:szCs w:val="20"/>
        </w:rPr>
        <w:t>, demonstrating a greater proportion of patients receiving FT218 experienced reductions in weekly cataplexy attacks and improvement in mean sleep latency compared to placebo, as well as the results of a discrete choice experiment, indicating that the overa</w:t>
      </w:r>
      <w:r>
        <w:rPr>
          <w:rFonts w:eastAsia="Times New Roman"/>
          <w:color w:val="000000"/>
          <w:sz w:val="20"/>
          <w:szCs w:val="20"/>
        </w:rPr>
        <w:t>ll driver of patient preference between sodium oxybate treatments is a once-nightly, versus twice-nightly, formulation.</w:t>
      </w:r>
    </w:p>
    <w:p w14:paraId="351136B6" w14:textId="77777777" w:rsidR="00000000" w:rsidRDefault="000C49AD">
      <w:pPr>
        <w:jc w:val="both"/>
        <w:rPr>
          <w:rFonts w:eastAsia="Times New Roman"/>
        </w:rPr>
      </w:pPr>
    </w:p>
    <w:p w14:paraId="706CBE54" w14:textId="77777777" w:rsidR="00000000" w:rsidRDefault="000C49AD">
      <w:pPr>
        <w:jc w:val="both"/>
        <w:rPr>
          <w:rFonts w:eastAsia="Times New Roman"/>
        </w:rPr>
      </w:pPr>
      <w:r>
        <w:rPr>
          <w:rFonts w:eastAsia="Times New Roman"/>
          <w:color w:val="000000"/>
          <w:sz w:val="20"/>
          <w:szCs w:val="20"/>
        </w:rPr>
        <w:t>We believe FT218 has the potential to demonstrate improved dosing compliance, safety and patient satisfaction over the current standar</w:t>
      </w:r>
      <w:r>
        <w:rPr>
          <w:rFonts w:eastAsia="Times New Roman"/>
          <w:color w:val="000000"/>
          <w:sz w:val="20"/>
          <w:szCs w:val="20"/>
        </w:rPr>
        <w:t>ds of care for EDS or cataplexy in patients with narcolepsy, which are twice-nightly oxybate formulations.</w:t>
      </w:r>
    </w:p>
    <w:p w14:paraId="16CE9108" w14:textId="77777777" w:rsidR="00000000" w:rsidRDefault="000C49AD">
      <w:pPr>
        <w:divId w:val="1625847525"/>
        <w:rPr>
          <w:rFonts w:eastAsia="Times New Roman"/>
        </w:rPr>
      </w:pPr>
    </w:p>
    <w:p w14:paraId="0D9EA4C5" w14:textId="77777777" w:rsidR="00000000" w:rsidRDefault="000C49AD">
      <w:pPr>
        <w:divId w:val="1834224847"/>
        <w:rPr>
          <w:rFonts w:eastAsia="Times New Roman"/>
        </w:rPr>
      </w:pPr>
      <w:r>
        <w:rPr>
          <w:rFonts w:eastAsia="Times New Roman"/>
          <w:b/>
          <w:bCs/>
          <w:i/>
          <w:iCs/>
          <w:color w:val="000000"/>
          <w:sz w:val="20"/>
          <w:szCs w:val="20"/>
        </w:rPr>
        <w:t xml:space="preserve">Micropump Drug-Delivery Technology </w:t>
      </w:r>
    </w:p>
    <w:p w14:paraId="1A23CA46" w14:textId="77777777" w:rsidR="00000000" w:rsidRDefault="000C49AD">
      <w:pPr>
        <w:divId w:val="1838426259"/>
        <w:rPr>
          <w:rFonts w:eastAsia="Times New Roman"/>
        </w:rPr>
      </w:pPr>
    </w:p>
    <w:p w14:paraId="6A139573" w14:textId="77777777" w:rsidR="00000000" w:rsidRDefault="000C49AD">
      <w:pPr>
        <w:jc w:val="both"/>
        <w:rPr>
          <w:rFonts w:eastAsia="Times New Roman"/>
        </w:rPr>
      </w:pPr>
      <w:r>
        <w:rPr>
          <w:rFonts w:eastAsia="Times New Roman"/>
          <w:color w:val="000000"/>
          <w:sz w:val="20"/>
          <w:szCs w:val="20"/>
        </w:rPr>
        <w:t>Our Micropump drug-delivery technology allows for the controlled delivery of small molecule drugs taken orall</w:t>
      </w:r>
      <w:r>
        <w:rPr>
          <w:rFonts w:eastAsia="Times New Roman"/>
          <w:color w:val="000000"/>
          <w:sz w:val="20"/>
          <w:szCs w:val="20"/>
        </w:rPr>
        <w:t>y, which has the potential to improve dosing compliance, reduce toxicity and improve patient compliance. Beyond FT218, we believe there could be other product development opportunities for our Micropump drug-delivery technology, representing either life cy</w:t>
      </w:r>
      <w:r>
        <w:rPr>
          <w:rFonts w:eastAsia="Times New Roman"/>
          <w:color w:val="000000"/>
          <w:sz w:val="20"/>
          <w:szCs w:val="20"/>
        </w:rPr>
        <w:t>cle opportunities, whereby additional intellectual property can be added to a pharmaceutical product to extend the commercial viability of a currently marketed product, or innovative formulation opportunities for new chemical entities.</w:t>
      </w:r>
    </w:p>
    <w:p w14:paraId="0C595B8F" w14:textId="77777777" w:rsidR="00000000" w:rsidRDefault="000C49AD">
      <w:pPr>
        <w:divId w:val="562832526"/>
        <w:rPr>
          <w:rFonts w:eastAsia="Times New Roman"/>
        </w:rPr>
      </w:pPr>
    </w:p>
    <w:p w14:paraId="5B1A3D50" w14:textId="77777777" w:rsidR="00000000" w:rsidRDefault="000C49AD">
      <w:pPr>
        <w:jc w:val="both"/>
        <w:rPr>
          <w:rFonts w:eastAsia="Times New Roman"/>
        </w:rPr>
      </w:pPr>
      <w:r>
        <w:rPr>
          <w:rFonts w:eastAsia="Times New Roman"/>
          <w:b/>
          <w:bCs/>
          <w:i/>
          <w:iCs/>
          <w:color w:val="000000"/>
          <w:sz w:val="20"/>
          <w:szCs w:val="20"/>
        </w:rPr>
        <w:t>Previously Approved FDA Products</w:t>
      </w:r>
      <w:r>
        <w:rPr>
          <w:rFonts w:eastAsia="Times New Roman"/>
          <w:i/>
          <w:iCs/>
          <w:color w:val="000000"/>
          <w:sz w:val="20"/>
          <w:szCs w:val="20"/>
        </w:rPr>
        <w:t xml:space="preserve"> </w:t>
      </w:r>
    </w:p>
    <w:p w14:paraId="18AF0107" w14:textId="77777777" w:rsidR="00000000" w:rsidRDefault="000C49AD">
      <w:pPr>
        <w:divId w:val="2047176847"/>
        <w:rPr>
          <w:rFonts w:eastAsia="Times New Roman"/>
        </w:rPr>
      </w:pPr>
    </w:p>
    <w:p w14:paraId="0CC730A7" w14:textId="77777777" w:rsidR="00000000" w:rsidRDefault="000C49AD">
      <w:pPr>
        <w:jc w:val="both"/>
        <w:rPr>
          <w:rFonts w:eastAsia="Times New Roman"/>
        </w:rPr>
      </w:pPr>
      <w:r>
        <w:rPr>
          <w:rFonts w:eastAsia="Times New Roman"/>
          <w:color w:val="000000"/>
          <w:sz w:val="20"/>
          <w:szCs w:val="20"/>
        </w:rPr>
        <w:t xml:space="preserve">On June 30, 2020 (“Closing Date”), we announced the sale of our portfolio of sterile injectable drugs used in the hospital setting (the “Hospital Products”), including our three FDA-approved commercial products, Akovaz, </w:t>
      </w:r>
      <w:r>
        <w:rPr>
          <w:rFonts w:eastAsia="Times New Roman"/>
          <w:color w:val="000000"/>
          <w:sz w:val="20"/>
          <w:szCs w:val="20"/>
        </w:rPr>
        <w:t xml:space="preserve">Bloxiverz and Vazculep, as well as Nouress, to Exela Sterile Medicines LLC (“Exela Buyer”). </w:t>
      </w:r>
    </w:p>
    <w:p w14:paraId="50A2389B" w14:textId="77777777" w:rsidR="00000000" w:rsidRDefault="000C49AD">
      <w:pPr>
        <w:jc w:val="both"/>
        <w:rPr>
          <w:rFonts w:eastAsia="Times New Roman"/>
        </w:rPr>
      </w:pPr>
    </w:p>
    <w:p w14:paraId="7A626626" w14:textId="77777777" w:rsidR="00000000" w:rsidRDefault="000C49AD">
      <w:pPr>
        <w:jc w:val="both"/>
        <w:rPr>
          <w:rFonts w:eastAsia="Times New Roman"/>
        </w:rPr>
      </w:pPr>
      <w:r>
        <w:rPr>
          <w:rFonts w:eastAsia="Times New Roman"/>
          <w:b/>
          <w:bCs/>
          <w:i/>
          <w:iCs/>
          <w:color w:val="000000"/>
          <w:sz w:val="20"/>
          <w:szCs w:val="20"/>
        </w:rPr>
        <w:t>Key Business Trends and Highlights</w:t>
      </w:r>
      <w:r>
        <w:rPr>
          <w:rFonts w:eastAsia="Times New Roman"/>
          <w:color w:val="000000"/>
          <w:sz w:val="20"/>
          <w:szCs w:val="20"/>
        </w:rPr>
        <w:t> </w:t>
      </w:r>
    </w:p>
    <w:p w14:paraId="2BF5C9D3" w14:textId="77777777" w:rsidR="00000000" w:rsidRDefault="000C49AD">
      <w:pPr>
        <w:jc w:val="both"/>
        <w:rPr>
          <w:rFonts w:eastAsia="Times New Roman"/>
        </w:rPr>
      </w:pPr>
    </w:p>
    <w:p w14:paraId="0F4C6D9C" w14:textId="77777777" w:rsidR="00000000" w:rsidRDefault="000C49AD">
      <w:pPr>
        <w:jc w:val="both"/>
        <w:rPr>
          <w:rFonts w:eastAsia="Times New Roman"/>
        </w:rPr>
      </w:pPr>
      <w:r>
        <w:rPr>
          <w:rFonts w:eastAsia="Times New Roman"/>
          <w:color w:val="000000"/>
          <w:sz w:val="20"/>
          <w:szCs w:val="20"/>
        </w:rPr>
        <w:t>In operating our business and monitoring our performance, we consider a number of performance measures, as well as trends a</w:t>
      </w:r>
      <w:r>
        <w:rPr>
          <w:rFonts w:eastAsia="Times New Roman"/>
          <w:color w:val="000000"/>
          <w:sz w:val="20"/>
          <w:szCs w:val="20"/>
        </w:rPr>
        <w:t>ffecting our industry as a whole, which include the following: </w:t>
      </w:r>
    </w:p>
    <w:p w14:paraId="0215B7DE" w14:textId="77777777" w:rsidR="00000000" w:rsidRDefault="000C49AD">
      <w:pPr>
        <w:jc w:val="both"/>
        <w:rPr>
          <w:rFonts w:eastAsia="Times New Roman"/>
        </w:rPr>
      </w:pPr>
    </w:p>
    <w:p w14:paraId="163B69FC" w14:textId="77777777" w:rsidR="00000000" w:rsidRDefault="000C49AD">
      <w:pPr>
        <w:ind w:hanging="360"/>
        <w:jc w:val="both"/>
        <w:rPr>
          <w:rFonts w:eastAsia="Times New Roman"/>
        </w:rPr>
      </w:pPr>
      <w:r>
        <w:rPr>
          <w:rFonts w:eastAsia="Times New Roman"/>
          <w:color w:val="000000"/>
          <w:sz w:val="20"/>
          <w:szCs w:val="20"/>
        </w:rPr>
        <w:t>•</w:t>
      </w:r>
      <w:r>
        <w:rPr>
          <w:rFonts w:eastAsia="Times New Roman"/>
          <w:b/>
          <w:bCs/>
          <w:color w:val="000000"/>
          <w:sz w:val="20"/>
          <w:szCs w:val="20"/>
        </w:rPr>
        <w:t>Healthcare and Regulatory Reform</w:t>
      </w:r>
      <w:r>
        <w:rPr>
          <w:rFonts w:eastAsia="Times New Roman"/>
          <w:color w:val="000000"/>
          <w:sz w:val="20"/>
          <w:szCs w:val="20"/>
        </w:rPr>
        <w:t>: Various health care reform laws in the U.S. may impact our ability to successfully commercialize our products and technologies. The success of our commerci</w:t>
      </w:r>
      <w:r>
        <w:rPr>
          <w:rFonts w:eastAsia="Times New Roman"/>
          <w:color w:val="000000"/>
          <w:sz w:val="20"/>
          <w:szCs w:val="20"/>
        </w:rPr>
        <w:t>alization efforts may depend on the extent to which the government health administration authorities, the health insurance funds in the E.U. Member States, private health insurers and other third-party payers in the U.S. will reimburse consumers for the co</w:t>
      </w:r>
      <w:r>
        <w:rPr>
          <w:rFonts w:eastAsia="Times New Roman"/>
          <w:color w:val="000000"/>
          <w:sz w:val="20"/>
          <w:szCs w:val="20"/>
        </w:rPr>
        <w:t>st of healthcare products and services.</w:t>
      </w:r>
    </w:p>
    <w:p w14:paraId="005DB415" w14:textId="77777777" w:rsidR="00000000" w:rsidRDefault="000C49AD">
      <w:pPr>
        <w:jc w:val="both"/>
        <w:rPr>
          <w:rFonts w:eastAsia="Times New Roman"/>
        </w:rPr>
      </w:pPr>
    </w:p>
    <w:p w14:paraId="25D23158" w14:textId="77777777" w:rsidR="00000000" w:rsidRDefault="000C49AD">
      <w:pPr>
        <w:ind w:hanging="360"/>
        <w:jc w:val="both"/>
        <w:rPr>
          <w:rFonts w:eastAsia="Times New Roman"/>
        </w:rPr>
      </w:pPr>
      <w:r>
        <w:rPr>
          <w:rFonts w:eastAsia="Times New Roman"/>
          <w:b/>
          <w:bCs/>
          <w:color w:val="000000"/>
          <w:sz w:val="20"/>
          <w:szCs w:val="20"/>
        </w:rPr>
        <w:t>•Competition and Technological Change</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Competition in the pharmaceutical and biotechnology industry continues to be intense and is expected to increase. We compete with academic laboratories, research institutions,</w:t>
      </w:r>
      <w:r>
        <w:rPr>
          <w:rFonts w:eastAsia="Times New Roman"/>
          <w:color w:val="000000"/>
          <w:sz w:val="20"/>
          <w:szCs w:val="20"/>
        </w:rPr>
        <w:t xml:space="preserve"> universities, joint ventures, and other pharmaceutical and biotechnology companies, including other companies developing niche branded or generic specialty pharmaceutical products or drug delivery platforms. Furthermore, major technological changes can ha</w:t>
      </w:r>
      <w:r>
        <w:rPr>
          <w:rFonts w:eastAsia="Times New Roman"/>
          <w:color w:val="000000"/>
          <w:sz w:val="20"/>
          <w:szCs w:val="20"/>
        </w:rPr>
        <w:t xml:space="preserve">ppen quickly in the pharmaceutical and biotechnology industries. Such rapid technological change, or the development by our competitors of technologically improved or differentiated products, could render our products, product candidates, or drug delivery </w:t>
      </w:r>
      <w:r>
        <w:rPr>
          <w:rFonts w:eastAsia="Times New Roman"/>
          <w:color w:val="000000"/>
          <w:sz w:val="20"/>
          <w:szCs w:val="20"/>
        </w:rPr>
        <w:t>platforms obsolete or noncompetitive.</w:t>
      </w:r>
    </w:p>
    <w:p w14:paraId="0BBBBACA" w14:textId="77777777" w:rsidR="00000000" w:rsidRDefault="000C49AD">
      <w:pPr>
        <w:jc w:val="both"/>
        <w:rPr>
          <w:rFonts w:eastAsia="Times New Roman"/>
        </w:rPr>
      </w:pPr>
    </w:p>
    <w:p w14:paraId="3BF993A0" w14:textId="77777777" w:rsidR="00000000" w:rsidRDefault="000C49AD">
      <w:pPr>
        <w:jc w:val="center"/>
        <w:divId w:val="1345862730"/>
        <w:rPr>
          <w:rFonts w:eastAsia="Times New Roman"/>
        </w:rPr>
      </w:pPr>
      <w:r>
        <w:rPr>
          <w:rFonts w:eastAsia="Times New Roman"/>
          <w:color w:val="000000"/>
          <w:sz w:val="20"/>
          <w:szCs w:val="20"/>
        </w:rPr>
        <w:t>-65-</w:t>
      </w:r>
    </w:p>
    <w:p w14:paraId="70A13C76" w14:textId="77777777" w:rsidR="00000000" w:rsidRDefault="000C49AD">
      <w:pPr>
        <w:rPr>
          <w:rFonts w:eastAsia="Times New Roman"/>
        </w:rPr>
      </w:pPr>
      <w:r>
        <w:rPr>
          <w:rFonts w:eastAsia="Times New Roman"/>
        </w:rPr>
        <w:pict w14:anchorId="02F28F6B">
          <v:rect id="_x0000_i1090" style="width:0;height:1.5pt" o:hralign="center" o:hrstd="t" o:hr="t" fillcolor="#a0a0a0" stroked="f"/>
        </w:pict>
      </w:r>
    </w:p>
    <w:p w14:paraId="749964D0" w14:textId="77777777" w:rsidR="00000000" w:rsidRDefault="000C49AD">
      <w:pPr>
        <w:divId w:val="877548236"/>
        <w:rPr>
          <w:rFonts w:eastAsia="Times New Roman"/>
        </w:rPr>
      </w:pPr>
    </w:p>
    <w:p w14:paraId="3BBD79C5" w14:textId="77777777" w:rsidR="00000000" w:rsidRDefault="000C49AD">
      <w:pPr>
        <w:ind w:hanging="360"/>
        <w:jc w:val="both"/>
        <w:rPr>
          <w:rFonts w:eastAsia="Times New Roman"/>
        </w:rPr>
      </w:pPr>
      <w:r>
        <w:rPr>
          <w:rFonts w:eastAsia="Times New Roman"/>
          <w:b/>
          <w:bCs/>
          <w:color w:val="000000"/>
          <w:sz w:val="20"/>
          <w:szCs w:val="20"/>
        </w:rPr>
        <w:t>•Pricing Environment for Pharmaceuticals</w:t>
      </w:r>
      <w:r>
        <w:rPr>
          <w:rFonts w:eastAsia="Times New Roman"/>
          <w:color w:val="000000"/>
          <w:sz w:val="20"/>
          <w:szCs w:val="20"/>
        </w:rPr>
        <w:t>: The pricing environment continues to be in the political spotlight in the U.S. As a result, the need to obtain and maintain approp</w:t>
      </w:r>
      <w:r>
        <w:rPr>
          <w:rFonts w:eastAsia="Times New Roman"/>
          <w:color w:val="000000"/>
          <w:sz w:val="20"/>
          <w:szCs w:val="20"/>
        </w:rPr>
        <w:t>riate pricing for pharmaceutical products may become more challenging due to, among other things, the attention being paid to healthcare cost containment and other austerity measures in the U.S. and worldwide.</w:t>
      </w:r>
    </w:p>
    <w:p w14:paraId="6EF55E4B" w14:textId="77777777" w:rsidR="00000000" w:rsidRDefault="000C49AD">
      <w:pPr>
        <w:jc w:val="both"/>
        <w:rPr>
          <w:rFonts w:eastAsia="Times New Roman"/>
        </w:rPr>
      </w:pPr>
    </w:p>
    <w:p w14:paraId="562F5A62" w14:textId="77777777" w:rsidR="00000000" w:rsidRDefault="000C49AD">
      <w:pPr>
        <w:ind w:hanging="360"/>
        <w:jc w:val="both"/>
        <w:rPr>
          <w:rFonts w:eastAsia="Times New Roman"/>
        </w:rPr>
      </w:pPr>
      <w:r>
        <w:rPr>
          <w:rFonts w:eastAsia="Times New Roman"/>
          <w:b/>
          <w:bCs/>
          <w:color w:val="000000"/>
          <w:sz w:val="20"/>
          <w:szCs w:val="20"/>
        </w:rPr>
        <w:t>•Generics Playing a Larger Role in Healthcar</w:t>
      </w:r>
      <w:r>
        <w:rPr>
          <w:rFonts w:eastAsia="Times New Roman"/>
          <w:b/>
          <w:bCs/>
          <w:color w:val="000000"/>
          <w:sz w:val="20"/>
          <w:szCs w:val="20"/>
        </w:rPr>
        <w:t>e</w:t>
      </w:r>
      <w:r>
        <w:rPr>
          <w:rFonts w:eastAsia="Times New Roman"/>
          <w:color w:val="000000"/>
          <w:sz w:val="20"/>
          <w:szCs w:val="20"/>
        </w:rPr>
        <w:t>: Generic pharmaceutical products will continue to play a large role in the U.S. healthcare system. As such, we expect to see generic competition for our products in the future.</w:t>
      </w:r>
    </w:p>
    <w:p w14:paraId="71AB343F" w14:textId="77777777" w:rsidR="00000000" w:rsidRDefault="000C49AD">
      <w:pPr>
        <w:jc w:val="both"/>
        <w:rPr>
          <w:rFonts w:eastAsia="Times New Roman"/>
        </w:rPr>
      </w:pPr>
    </w:p>
    <w:p w14:paraId="50003C23" w14:textId="77777777" w:rsidR="00000000" w:rsidRDefault="000C49AD">
      <w:pPr>
        <w:ind w:hanging="360"/>
        <w:jc w:val="both"/>
        <w:rPr>
          <w:rFonts w:eastAsia="Times New Roman"/>
        </w:rPr>
      </w:pPr>
      <w:r>
        <w:rPr>
          <w:rFonts w:eastAsia="Times New Roman"/>
          <w:b/>
          <w:bCs/>
          <w:color w:val="000000"/>
          <w:sz w:val="20"/>
          <w:szCs w:val="20"/>
        </w:rPr>
        <w:t>•Access to and Cost of Capital</w:t>
      </w:r>
      <w:r>
        <w:rPr>
          <w:rFonts w:eastAsia="Times New Roman"/>
          <w:color w:val="000000"/>
          <w:sz w:val="20"/>
          <w:szCs w:val="20"/>
        </w:rPr>
        <w:t>: The process of raising capital and associat</w:t>
      </w:r>
      <w:r>
        <w:rPr>
          <w:rFonts w:eastAsia="Times New Roman"/>
          <w:color w:val="000000"/>
          <w:sz w:val="20"/>
          <w:szCs w:val="20"/>
        </w:rPr>
        <w:t>ed cost of such capital for a company of our financial profile can be difficult and potentially expensive. If the need were to arise to raise additional capital, access to that capital may be difficult, expensive and/or dilutive and, as a result, could cre</w:t>
      </w:r>
      <w:r>
        <w:rPr>
          <w:rFonts w:eastAsia="Times New Roman"/>
          <w:color w:val="000000"/>
          <w:sz w:val="20"/>
          <w:szCs w:val="20"/>
        </w:rPr>
        <w:t>ate liquidity challenges for the Company.</w:t>
      </w:r>
    </w:p>
    <w:p w14:paraId="340FF03E" w14:textId="77777777" w:rsidR="00000000" w:rsidRDefault="000C49AD">
      <w:pPr>
        <w:jc w:val="both"/>
        <w:rPr>
          <w:rFonts w:eastAsia="Times New Roman"/>
        </w:rPr>
      </w:pPr>
    </w:p>
    <w:p w14:paraId="62805915" w14:textId="77777777" w:rsidR="00000000" w:rsidRDefault="000C49AD">
      <w:pPr>
        <w:ind w:hanging="360"/>
        <w:jc w:val="both"/>
        <w:rPr>
          <w:rFonts w:eastAsia="Times New Roman"/>
        </w:rPr>
      </w:pPr>
      <w:r>
        <w:rPr>
          <w:rFonts w:eastAsia="Times New Roman"/>
          <w:color w:val="000000"/>
          <w:sz w:val="20"/>
          <w:szCs w:val="20"/>
        </w:rPr>
        <w:t>•</w:t>
      </w:r>
      <w:r>
        <w:rPr>
          <w:rFonts w:eastAsia="Times New Roman"/>
          <w:b/>
          <w:bCs/>
          <w:color w:val="000000"/>
          <w:sz w:val="20"/>
          <w:szCs w:val="20"/>
        </w:rPr>
        <w:t>Continuing Net Loss from Operations</w:t>
      </w:r>
      <w:r>
        <w:rPr>
          <w:rFonts w:eastAsia="Times New Roman"/>
          <w:color w:val="000000"/>
          <w:sz w:val="20"/>
          <w:szCs w:val="20"/>
        </w:rPr>
        <w:t>:</w:t>
      </w:r>
      <w:r>
        <w:rPr>
          <w:rFonts w:eastAsia="Times New Roman"/>
          <w:b/>
          <w:bCs/>
          <w:color w:val="000000"/>
          <w:sz w:val="20"/>
          <w:szCs w:val="20"/>
        </w:rPr>
        <w:t xml:space="preserve"> </w:t>
      </w:r>
      <w:r>
        <w:rPr>
          <w:rFonts w:eastAsia="Times New Roman"/>
          <w:color w:val="000000"/>
          <w:sz w:val="20"/>
          <w:szCs w:val="20"/>
        </w:rPr>
        <w:t>We sold our Hospital Products on June 30, 2020 and no longer generate revenue. We expect to continue to incur operating losses for the foreseeable future to continue our prep</w:t>
      </w:r>
      <w:r>
        <w:rPr>
          <w:rFonts w:eastAsia="Times New Roman"/>
          <w:color w:val="000000"/>
          <w:sz w:val="20"/>
          <w:szCs w:val="20"/>
        </w:rPr>
        <w:t>arations for the commercial launch of FT218, if approved.</w:t>
      </w:r>
    </w:p>
    <w:p w14:paraId="70E65D4F" w14:textId="77777777" w:rsidR="00000000" w:rsidRDefault="000C49AD">
      <w:pPr>
        <w:jc w:val="both"/>
        <w:rPr>
          <w:rFonts w:eastAsia="Times New Roman"/>
        </w:rPr>
      </w:pPr>
    </w:p>
    <w:p w14:paraId="50968201" w14:textId="77777777" w:rsidR="00000000" w:rsidRDefault="000C49AD">
      <w:pPr>
        <w:jc w:val="both"/>
        <w:rPr>
          <w:rFonts w:eastAsia="Times New Roman"/>
        </w:rPr>
      </w:pPr>
      <w:r>
        <w:rPr>
          <w:rFonts w:eastAsia="Times New Roman"/>
          <w:b/>
          <w:bCs/>
          <w:i/>
          <w:iCs/>
          <w:color w:val="000000"/>
          <w:sz w:val="20"/>
          <w:szCs w:val="20"/>
        </w:rPr>
        <w:t>Impact of COVID-19</w:t>
      </w:r>
    </w:p>
    <w:p w14:paraId="39064631" w14:textId="77777777" w:rsidR="00000000" w:rsidRDefault="000C49AD">
      <w:pPr>
        <w:divId w:val="1531189664"/>
        <w:rPr>
          <w:rFonts w:eastAsia="Times New Roman"/>
        </w:rPr>
      </w:pPr>
    </w:p>
    <w:p w14:paraId="40BF99DF" w14:textId="77777777" w:rsidR="00000000" w:rsidRDefault="000C49AD">
      <w:pPr>
        <w:jc w:val="both"/>
        <w:rPr>
          <w:rFonts w:eastAsia="Times New Roman"/>
        </w:rPr>
      </w:pPr>
      <w:r>
        <w:rPr>
          <w:rFonts w:eastAsia="Times New Roman"/>
          <w:color w:val="000000"/>
          <w:sz w:val="20"/>
          <w:szCs w:val="20"/>
        </w:rPr>
        <w:t>Since early 2020, we have seen the profound impact that the ongoing coronavirus (“COVID-19”) pandemic is having on human health, the global economy and society at large. We ha</w:t>
      </w:r>
      <w:r>
        <w:rPr>
          <w:rFonts w:eastAsia="Times New Roman"/>
          <w:color w:val="000000"/>
          <w:sz w:val="20"/>
          <w:szCs w:val="20"/>
        </w:rPr>
        <w:t>ve continued to actively monitor the COVID-19 pandemic and have taken measures to mitigate the potential impacts to our employees and business, such as continuing to offer a work from home policy. We believe the ongoing impact of COVID-19 and measures to p</w:t>
      </w:r>
      <w:r>
        <w:rPr>
          <w:rFonts w:eastAsia="Times New Roman"/>
          <w:color w:val="000000"/>
          <w:sz w:val="20"/>
          <w:szCs w:val="20"/>
        </w:rPr>
        <w:t>revent its spread could impact our business in a number of ways, including: i) possibly delaying our ongoing RESTORE open-label extension/switch study, ii) disruptions to our supply chain and third parties; iii) requiring our employees to work from home fo</w:t>
      </w:r>
      <w:r>
        <w:rPr>
          <w:rFonts w:eastAsia="Times New Roman"/>
          <w:color w:val="000000"/>
          <w:sz w:val="20"/>
          <w:szCs w:val="20"/>
        </w:rPr>
        <w:t>r an extended period of time; and iv) hindering sales efforts for FT218, if approved. An extended period of global supply chain and economic disruption could materially affect our business, results of operations, access to sources of liquidity and financia</w:t>
      </w:r>
      <w:r>
        <w:rPr>
          <w:rFonts w:eastAsia="Times New Roman"/>
          <w:color w:val="000000"/>
          <w:sz w:val="20"/>
          <w:szCs w:val="20"/>
        </w:rPr>
        <w:t>l condition. Despite progress in vaccination efforts, future developments and impact on our operations remain uncertain and cannot be predicted with confidence, including the duration of the COVID-19 pandemic, new variants of the virus, new information whi</w:t>
      </w:r>
      <w:r>
        <w:rPr>
          <w:rFonts w:eastAsia="Times New Roman"/>
          <w:color w:val="000000"/>
          <w:sz w:val="20"/>
          <w:szCs w:val="20"/>
        </w:rPr>
        <w:t>ch may emerge concerning the severity of the COVID-19 pandemic, and any additional preventative and protective actions that governments, or we, may direct, which may result in extending continued business disruptions.</w:t>
      </w:r>
    </w:p>
    <w:p w14:paraId="117ED236" w14:textId="77777777" w:rsidR="00000000" w:rsidRDefault="000C49AD">
      <w:pPr>
        <w:jc w:val="both"/>
        <w:rPr>
          <w:rFonts w:eastAsia="Times New Roman"/>
        </w:rPr>
      </w:pPr>
    </w:p>
    <w:p w14:paraId="49531F0F" w14:textId="77777777" w:rsidR="00000000" w:rsidRDefault="000C49AD">
      <w:pPr>
        <w:jc w:val="both"/>
        <w:rPr>
          <w:rFonts w:eastAsia="Times New Roman"/>
        </w:rPr>
      </w:pPr>
      <w:r>
        <w:rPr>
          <w:rFonts w:eastAsia="Times New Roman"/>
          <w:b/>
          <w:bCs/>
          <w:color w:val="000000"/>
          <w:sz w:val="20"/>
          <w:szCs w:val="20"/>
        </w:rPr>
        <w:t>Financial Highlights</w:t>
      </w:r>
    </w:p>
    <w:p w14:paraId="14DB5A31" w14:textId="77777777" w:rsidR="00000000" w:rsidRDefault="000C49AD">
      <w:pPr>
        <w:jc w:val="both"/>
        <w:rPr>
          <w:rFonts w:eastAsia="Times New Roman"/>
        </w:rPr>
      </w:pPr>
    </w:p>
    <w:p w14:paraId="3E1FD82D" w14:textId="77777777" w:rsidR="00000000" w:rsidRDefault="000C49AD">
      <w:pPr>
        <w:jc w:val="both"/>
        <w:rPr>
          <w:rFonts w:eastAsia="Times New Roman"/>
        </w:rPr>
      </w:pPr>
      <w:r>
        <w:rPr>
          <w:rFonts w:eastAsia="Times New Roman"/>
          <w:color w:val="000000"/>
          <w:sz w:val="20"/>
          <w:szCs w:val="20"/>
        </w:rPr>
        <w:t>Highlights of our consolidated results for the year ended December 31, 2021 are as follows: </w:t>
      </w:r>
    </w:p>
    <w:p w14:paraId="66B51009" w14:textId="77777777" w:rsidR="00000000" w:rsidRDefault="000C49AD">
      <w:pPr>
        <w:jc w:val="both"/>
        <w:rPr>
          <w:rFonts w:eastAsia="Times New Roman"/>
        </w:rPr>
      </w:pPr>
    </w:p>
    <w:p w14:paraId="4B35135E" w14:textId="77777777" w:rsidR="00000000" w:rsidRDefault="000C49AD">
      <w:pPr>
        <w:ind w:hanging="360"/>
        <w:jc w:val="both"/>
        <w:rPr>
          <w:rFonts w:eastAsia="Times New Roman"/>
        </w:rPr>
      </w:pPr>
      <w:r>
        <w:rPr>
          <w:rFonts w:eastAsia="Times New Roman"/>
          <w:color w:val="000000"/>
          <w:sz w:val="20"/>
          <w:szCs w:val="20"/>
        </w:rPr>
        <w:t>•Revenue was $0 for the year ended December 31, 2021 compared to $22,334 in the same period last year. The year over year decrease was the</w:t>
      </w:r>
      <w:r>
        <w:rPr>
          <w:rFonts w:eastAsia="Times New Roman"/>
          <w:color w:val="000000"/>
          <w:sz w:val="20"/>
          <w:szCs w:val="20"/>
        </w:rPr>
        <w:t xml:space="preserve"> result of the sale of the Hospital Products on June 30, 2020.</w:t>
      </w:r>
    </w:p>
    <w:p w14:paraId="4E34DEC8" w14:textId="77777777" w:rsidR="00000000" w:rsidRDefault="000C49AD">
      <w:pPr>
        <w:jc w:val="both"/>
        <w:rPr>
          <w:rFonts w:eastAsia="Times New Roman"/>
        </w:rPr>
      </w:pPr>
    </w:p>
    <w:p w14:paraId="5D536C21" w14:textId="77777777" w:rsidR="00000000" w:rsidRDefault="000C49AD">
      <w:pPr>
        <w:ind w:hanging="360"/>
        <w:jc w:val="both"/>
        <w:rPr>
          <w:rFonts w:eastAsia="Times New Roman"/>
        </w:rPr>
      </w:pPr>
      <w:r>
        <w:rPr>
          <w:rFonts w:eastAsia="Times New Roman"/>
          <w:color w:val="000000"/>
          <w:sz w:val="20"/>
          <w:szCs w:val="20"/>
        </w:rPr>
        <w:t xml:space="preserve">•Operating loss was $85,546 for the year ended December 31, 2021 compared to operating income of $5,815 for the year ended December 31, 2020. Operating income for the year ended December 31, </w:t>
      </w:r>
      <w:r>
        <w:rPr>
          <w:rFonts w:eastAsia="Times New Roman"/>
          <w:color w:val="000000"/>
          <w:sz w:val="20"/>
          <w:szCs w:val="20"/>
        </w:rPr>
        <w:t>2020 was driven by the gain on sale of the Hospital Products on June 30, 2020 of $45,760. Selling, general &amp; administrative expenses increased in the current year by $36,090, driven by the Company’s continued commercial preparations and launch readiness ac</w:t>
      </w:r>
      <w:r>
        <w:rPr>
          <w:rFonts w:eastAsia="Times New Roman"/>
          <w:color w:val="000000"/>
          <w:sz w:val="20"/>
          <w:szCs w:val="20"/>
        </w:rPr>
        <w:t>tivities for the potential approval of FT218.</w:t>
      </w:r>
    </w:p>
    <w:p w14:paraId="64682725" w14:textId="77777777" w:rsidR="00000000" w:rsidRDefault="000C49AD">
      <w:pPr>
        <w:jc w:val="both"/>
        <w:rPr>
          <w:rFonts w:eastAsia="Times New Roman"/>
        </w:rPr>
      </w:pPr>
    </w:p>
    <w:p w14:paraId="0AB2ABA2" w14:textId="77777777" w:rsidR="00000000" w:rsidRDefault="000C49AD">
      <w:pPr>
        <w:ind w:hanging="360"/>
        <w:jc w:val="both"/>
        <w:rPr>
          <w:rFonts w:eastAsia="Times New Roman"/>
        </w:rPr>
      </w:pPr>
      <w:r>
        <w:rPr>
          <w:rFonts w:eastAsia="Times New Roman"/>
          <w:color w:val="000000"/>
          <w:sz w:val="20"/>
          <w:szCs w:val="20"/>
        </w:rPr>
        <w:t>•Net loss was $77,329 for the year ended December 31, 2021 compared to net income of $7,028 in the same period last year.</w:t>
      </w:r>
    </w:p>
    <w:p w14:paraId="036F1CA1" w14:textId="77777777" w:rsidR="00000000" w:rsidRDefault="000C49AD">
      <w:pPr>
        <w:jc w:val="both"/>
        <w:rPr>
          <w:rFonts w:eastAsia="Times New Roman"/>
        </w:rPr>
      </w:pPr>
    </w:p>
    <w:p w14:paraId="58A9F77F" w14:textId="77777777" w:rsidR="00000000" w:rsidRDefault="000C49AD">
      <w:pPr>
        <w:ind w:hanging="360"/>
        <w:jc w:val="both"/>
        <w:rPr>
          <w:rFonts w:eastAsia="Times New Roman"/>
        </w:rPr>
      </w:pPr>
      <w:r>
        <w:rPr>
          <w:rFonts w:eastAsia="Times New Roman"/>
          <w:color w:val="000000"/>
          <w:sz w:val="20"/>
          <w:szCs w:val="20"/>
        </w:rPr>
        <w:t xml:space="preserve">•Diluted net loss per share was $1.32 for the year ended December 31, 2021 compared </w:t>
      </w:r>
      <w:r>
        <w:rPr>
          <w:rFonts w:eastAsia="Times New Roman"/>
          <w:color w:val="000000"/>
          <w:sz w:val="20"/>
          <w:szCs w:val="20"/>
        </w:rPr>
        <w:t>to diluted net income per share of $0.13 in the same period last year.</w:t>
      </w:r>
    </w:p>
    <w:p w14:paraId="0B88A705" w14:textId="77777777" w:rsidR="00000000" w:rsidRDefault="000C49AD">
      <w:pPr>
        <w:jc w:val="both"/>
        <w:rPr>
          <w:rFonts w:eastAsia="Times New Roman"/>
        </w:rPr>
      </w:pPr>
    </w:p>
    <w:p w14:paraId="147C232A" w14:textId="77777777" w:rsidR="00000000" w:rsidRDefault="000C49AD">
      <w:pPr>
        <w:ind w:hanging="360"/>
        <w:jc w:val="both"/>
        <w:rPr>
          <w:rFonts w:eastAsia="Times New Roman"/>
        </w:rPr>
      </w:pPr>
      <w:r>
        <w:rPr>
          <w:rFonts w:eastAsia="Times New Roman"/>
          <w:color w:val="000000"/>
          <w:sz w:val="20"/>
          <w:szCs w:val="20"/>
        </w:rPr>
        <w:t>•Cash and marketable securities decreased by $64,181 to $157,221 at December 31, 2021 from $221,402 at December 31, 2020. This decrease was largely driven by $77,310 of cash used in o</w:t>
      </w:r>
      <w:r>
        <w:rPr>
          <w:rFonts w:eastAsia="Times New Roman"/>
          <w:color w:val="000000"/>
          <w:sz w:val="20"/>
          <w:szCs w:val="20"/>
        </w:rPr>
        <w:t>perations during the year ended December 31, 2021, partially offset by cash proceeds from the disposition of the Hospital Products of $16,500.</w:t>
      </w:r>
    </w:p>
    <w:p w14:paraId="795DCC82" w14:textId="77777777" w:rsidR="00000000" w:rsidRDefault="000C49AD">
      <w:pPr>
        <w:jc w:val="center"/>
        <w:divId w:val="764619037"/>
        <w:rPr>
          <w:rFonts w:eastAsia="Times New Roman"/>
        </w:rPr>
      </w:pPr>
      <w:r>
        <w:rPr>
          <w:rFonts w:eastAsia="Times New Roman"/>
          <w:color w:val="000000"/>
          <w:sz w:val="20"/>
          <w:szCs w:val="20"/>
        </w:rPr>
        <w:t>-66-</w:t>
      </w:r>
    </w:p>
    <w:p w14:paraId="1E7B97A8" w14:textId="77777777" w:rsidR="00000000" w:rsidRDefault="000C49AD">
      <w:pPr>
        <w:rPr>
          <w:rFonts w:eastAsia="Times New Roman"/>
        </w:rPr>
      </w:pPr>
      <w:r>
        <w:rPr>
          <w:rFonts w:eastAsia="Times New Roman"/>
        </w:rPr>
        <w:pict w14:anchorId="2E74AC34">
          <v:rect id="_x0000_i1091" style="width:0;height:1.5pt" o:hralign="center" o:hrstd="t" o:hr="t" fillcolor="#a0a0a0" stroked="f"/>
        </w:pict>
      </w:r>
    </w:p>
    <w:p w14:paraId="0675C866" w14:textId="77777777" w:rsidR="00000000" w:rsidRDefault="000C49AD">
      <w:pPr>
        <w:divId w:val="411048671"/>
        <w:rPr>
          <w:rFonts w:eastAsia="Times New Roman"/>
        </w:rPr>
      </w:pPr>
    </w:p>
    <w:p w14:paraId="6F95A5A7" w14:textId="77777777" w:rsidR="00000000" w:rsidRDefault="000C49AD">
      <w:pPr>
        <w:jc w:val="both"/>
        <w:divId w:val="1901868077"/>
        <w:rPr>
          <w:rFonts w:eastAsia="Times New Roman"/>
        </w:rPr>
      </w:pPr>
      <w:r>
        <w:rPr>
          <w:rFonts w:eastAsia="Times New Roman"/>
          <w:b/>
          <w:bCs/>
          <w:color w:val="000000"/>
          <w:sz w:val="20"/>
          <w:szCs w:val="20"/>
          <w:u w:val="single"/>
        </w:rPr>
        <w:t>Critical Accounting Estimates</w:t>
      </w:r>
    </w:p>
    <w:p w14:paraId="5B00E523" w14:textId="77777777" w:rsidR="00000000" w:rsidRDefault="000C49AD">
      <w:pPr>
        <w:jc w:val="both"/>
        <w:rPr>
          <w:rFonts w:eastAsia="Times New Roman"/>
        </w:rPr>
      </w:pPr>
      <w:r>
        <w:rPr>
          <w:rFonts w:eastAsia="Times New Roman"/>
          <w:color w:val="000000"/>
          <w:sz w:val="20"/>
          <w:szCs w:val="20"/>
        </w:rPr>
        <w:t>The preparation of consolidated financial statements in conformity with U.S. GAAP requires management to use judgment in making estimates and assumptions that affect the reported amounts o</w:t>
      </w:r>
      <w:r>
        <w:rPr>
          <w:rFonts w:eastAsia="Times New Roman"/>
          <w:color w:val="000000"/>
          <w:sz w:val="20"/>
          <w:szCs w:val="20"/>
        </w:rPr>
        <w:t xml:space="preserve">f assets and liabilities, disclosures of contingent assets and liabilities at the date of the consolidated financial statements and the reported amounts of revenues and expenses during the periods presented. </w:t>
      </w:r>
    </w:p>
    <w:p w14:paraId="4C635817" w14:textId="77777777" w:rsidR="00000000" w:rsidRDefault="000C49AD">
      <w:pPr>
        <w:jc w:val="both"/>
        <w:rPr>
          <w:rFonts w:eastAsia="Times New Roman"/>
        </w:rPr>
      </w:pPr>
    </w:p>
    <w:p w14:paraId="1A37452C" w14:textId="77777777" w:rsidR="00000000" w:rsidRDefault="000C49AD">
      <w:pPr>
        <w:jc w:val="both"/>
        <w:rPr>
          <w:rFonts w:eastAsia="Times New Roman"/>
        </w:rPr>
      </w:pPr>
      <w:r>
        <w:rPr>
          <w:rFonts w:eastAsia="Times New Roman"/>
          <w:color w:val="000000"/>
          <w:sz w:val="20"/>
          <w:szCs w:val="20"/>
        </w:rPr>
        <w:t>We have identified certain policies and estim</w:t>
      </w:r>
      <w:r>
        <w:rPr>
          <w:rFonts w:eastAsia="Times New Roman"/>
          <w:color w:val="000000"/>
          <w:sz w:val="20"/>
          <w:szCs w:val="20"/>
        </w:rPr>
        <w:t>ates as critical to our business operations and the understanding of our past or present results of operations. These policies and estimates are considered critical because they had a material impact, or they have the potential to have a material impact, o</w:t>
      </w:r>
      <w:r>
        <w:rPr>
          <w:rFonts w:eastAsia="Times New Roman"/>
          <w:color w:val="000000"/>
          <w:sz w:val="20"/>
          <w:szCs w:val="20"/>
        </w:rPr>
        <w:t xml:space="preserve">n our consolidated financial statements and because they require us to make significant judgments, assumptions or estimates. We believe that the estimates, judgments and assumptions made when accounting for the items described below were reasonable, based </w:t>
      </w:r>
      <w:r>
        <w:rPr>
          <w:rFonts w:eastAsia="Times New Roman"/>
          <w:color w:val="000000"/>
          <w:sz w:val="20"/>
          <w:szCs w:val="20"/>
        </w:rPr>
        <w:t xml:space="preserve">on information available at the time they were made. However, actual results may differ from those estimates, and these differences may be material. For a complete list of significant accounting policies, see </w:t>
      </w:r>
      <w:r>
        <w:rPr>
          <w:rFonts w:eastAsia="Times New Roman"/>
          <w:i/>
          <w:iCs/>
          <w:color w:val="000000"/>
          <w:sz w:val="20"/>
          <w:szCs w:val="20"/>
        </w:rPr>
        <w:t>Note 1: Summary of Significant Accounting Polic</w:t>
      </w:r>
      <w:r>
        <w:rPr>
          <w:rFonts w:eastAsia="Times New Roman"/>
          <w:i/>
          <w:iCs/>
          <w:color w:val="000000"/>
          <w:sz w:val="20"/>
          <w:szCs w:val="20"/>
        </w:rPr>
        <w:t>ies</w:t>
      </w:r>
      <w:r>
        <w:rPr>
          <w:rFonts w:eastAsia="Times New Roman"/>
          <w:color w:val="000000"/>
          <w:sz w:val="20"/>
          <w:szCs w:val="20"/>
        </w:rPr>
        <w:t xml:space="preserve"> to our audited consolidated financial statements included in Part II, Item 8 of this Annual Report on Form 10-K.</w:t>
      </w:r>
    </w:p>
    <w:p w14:paraId="55656227" w14:textId="77777777" w:rsidR="00000000" w:rsidRDefault="000C49AD">
      <w:pPr>
        <w:jc w:val="both"/>
        <w:rPr>
          <w:rFonts w:eastAsia="Times New Roman"/>
        </w:rPr>
      </w:pPr>
    </w:p>
    <w:p w14:paraId="2D7362B6" w14:textId="77777777" w:rsidR="00000000" w:rsidRDefault="000C49AD">
      <w:pPr>
        <w:jc w:val="both"/>
        <w:rPr>
          <w:rFonts w:eastAsia="Times New Roman"/>
        </w:rPr>
      </w:pPr>
      <w:r>
        <w:rPr>
          <w:rFonts w:eastAsia="Times New Roman"/>
          <w:b/>
          <w:bCs/>
          <w:i/>
          <w:iCs/>
          <w:color w:val="000000"/>
          <w:sz w:val="20"/>
          <w:szCs w:val="20"/>
        </w:rPr>
        <w:t xml:space="preserve">Product Sales. </w:t>
      </w:r>
      <w:r>
        <w:rPr>
          <w:rFonts w:eastAsia="Times New Roman"/>
          <w:color w:val="000000"/>
          <w:sz w:val="20"/>
          <w:szCs w:val="20"/>
        </w:rPr>
        <w:t>Prior to June 30, 2020, revenue included sales of pharmaceutical products. We sold our products primarily through wholesal</w:t>
      </w:r>
      <w:r>
        <w:rPr>
          <w:rFonts w:eastAsia="Times New Roman"/>
          <w:color w:val="000000"/>
          <w:sz w:val="20"/>
          <w:szCs w:val="20"/>
        </w:rPr>
        <w:t>ers and considered these wholesalers to be our customers. Revenue from product sales is recognized when the customer obtains control of our product, which occurs typically upon receipt by the customer. Our gross product sales were subject to a variety of p</w:t>
      </w:r>
      <w:r>
        <w:rPr>
          <w:rFonts w:eastAsia="Times New Roman"/>
          <w:color w:val="000000"/>
          <w:sz w:val="20"/>
          <w:szCs w:val="20"/>
        </w:rPr>
        <w:t xml:space="preserve">rice adjustments in arriving at reported net product sales. </w:t>
      </w:r>
    </w:p>
    <w:p w14:paraId="3E9EB337" w14:textId="77777777" w:rsidR="00000000" w:rsidRDefault="000C49AD">
      <w:pPr>
        <w:jc w:val="both"/>
        <w:rPr>
          <w:rFonts w:eastAsia="Times New Roman"/>
        </w:rPr>
      </w:pPr>
    </w:p>
    <w:p w14:paraId="694E0950" w14:textId="77777777" w:rsidR="00000000" w:rsidRDefault="000C49AD">
      <w:pPr>
        <w:jc w:val="both"/>
        <w:rPr>
          <w:rFonts w:eastAsia="Times New Roman"/>
        </w:rPr>
      </w:pPr>
      <w:r>
        <w:rPr>
          <w:rFonts w:eastAsia="Times New Roman"/>
          <w:color w:val="000000"/>
          <w:sz w:val="20"/>
          <w:szCs w:val="20"/>
        </w:rPr>
        <w:t>The price adjustments contained estimates of product returns, chargebacks, payment discounts, rebates, and other sales allowances and were estimated based on analysis of historical data for the</w:t>
      </w:r>
      <w:r>
        <w:rPr>
          <w:rFonts w:eastAsia="Times New Roman"/>
          <w:color w:val="000000"/>
          <w:sz w:val="20"/>
          <w:szCs w:val="20"/>
        </w:rPr>
        <w:t xml:space="preserve"> product or comparable products, future expectations for such products and other judgments and analysis. The estimates were reviewed monthly and any adjustments were recognized as adjustments to product sales in the period the adjustments were identified. </w:t>
      </w:r>
    </w:p>
    <w:p w14:paraId="71C83513" w14:textId="77777777" w:rsidR="00000000" w:rsidRDefault="000C49AD">
      <w:pPr>
        <w:jc w:val="both"/>
        <w:rPr>
          <w:rFonts w:eastAsia="Times New Roman"/>
        </w:rPr>
      </w:pPr>
    </w:p>
    <w:p w14:paraId="28A91323" w14:textId="77777777" w:rsidR="00000000" w:rsidRDefault="000C49AD">
      <w:pPr>
        <w:jc w:val="both"/>
        <w:rPr>
          <w:rFonts w:eastAsia="Times New Roman"/>
        </w:rPr>
      </w:pPr>
      <w:r>
        <w:rPr>
          <w:rFonts w:eastAsia="Times New Roman"/>
          <w:color w:val="000000"/>
          <w:sz w:val="20"/>
          <w:szCs w:val="20"/>
        </w:rPr>
        <w:t>Any adjustments made were recognized as adjustments to product sales in the period that they were identified. We did not record any revenue from sales of pharmaceutical products in the year ended December 31, 2021 nor recognize any adjustments to produc</w:t>
      </w:r>
      <w:r>
        <w:rPr>
          <w:rFonts w:eastAsia="Times New Roman"/>
          <w:color w:val="000000"/>
          <w:sz w:val="20"/>
          <w:szCs w:val="20"/>
        </w:rPr>
        <w:t xml:space="preserve">t sales from prior periods. </w:t>
      </w:r>
    </w:p>
    <w:p w14:paraId="794FFBA8" w14:textId="77777777" w:rsidR="00000000" w:rsidRDefault="000C49AD">
      <w:pPr>
        <w:jc w:val="both"/>
        <w:rPr>
          <w:rFonts w:eastAsia="Times New Roman"/>
        </w:rPr>
      </w:pPr>
    </w:p>
    <w:p w14:paraId="0C7642FC" w14:textId="77777777" w:rsidR="00000000" w:rsidRDefault="000C49AD">
      <w:pPr>
        <w:jc w:val="both"/>
        <w:rPr>
          <w:rFonts w:eastAsia="Times New Roman"/>
        </w:rPr>
      </w:pPr>
      <w:r>
        <w:rPr>
          <w:rFonts w:eastAsia="Times New Roman"/>
          <w:b/>
          <w:bCs/>
          <w:i/>
          <w:iCs/>
          <w:color w:val="000000"/>
          <w:sz w:val="20"/>
          <w:szCs w:val="20"/>
        </w:rPr>
        <w:t xml:space="preserve">Research and Development (“R&amp;D”). </w:t>
      </w:r>
      <w:r>
        <w:rPr>
          <w:rFonts w:eastAsia="Times New Roman"/>
          <w:color w:val="000000"/>
          <w:sz w:val="20"/>
          <w:szCs w:val="20"/>
        </w:rPr>
        <w:t>R&amp;</w:t>
      </w:r>
      <w:r>
        <w:rPr>
          <w:rFonts w:eastAsia="Times New Roman"/>
          <w:color w:val="000000"/>
          <w:sz w:val="20"/>
          <w:szCs w:val="20"/>
        </w:rPr>
        <w:t>D expenses consist primarily of costs related to outside services, personnel expenses, clinical studies, and other R&amp;D expenses. Clinical studies and outside services costs relate primarily to services performed by clinical research organizations and relat</w:t>
      </w:r>
      <w:r>
        <w:rPr>
          <w:rFonts w:eastAsia="Times New Roman"/>
          <w:color w:val="000000"/>
          <w:sz w:val="20"/>
          <w:szCs w:val="20"/>
        </w:rPr>
        <w:t>ed clinical or development manufacturing costs, materials and supplies, filing fees, regulatory support, and other third-party fees. Personnel expenses relate primarily to salaries, benefits and share-based compensation. Other R&amp;D expenses primarily includ</w:t>
      </w:r>
      <w:r>
        <w:rPr>
          <w:rFonts w:eastAsia="Times New Roman"/>
          <w:color w:val="000000"/>
          <w:sz w:val="20"/>
          <w:szCs w:val="20"/>
        </w:rPr>
        <w:t>e overhead allocations consisting of various support and facilities-related costs. R&amp;D expenditures are charged to operations as incurred. Raw materials used in the production of pre-clinical and clinical products are expensed as R&amp;D costs.</w:t>
      </w:r>
    </w:p>
    <w:p w14:paraId="2FF48734" w14:textId="77777777" w:rsidR="00000000" w:rsidRDefault="000C49AD">
      <w:pPr>
        <w:jc w:val="both"/>
        <w:rPr>
          <w:rFonts w:eastAsia="Times New Roman"/>
        </w:rPr>
      </w:pPr>
    </w:p>
    <w:p w14:paraId="52F39E92" w14:textId="77777777" w:rsidR="00000000" w:rsidRDefault="000C49AD">
      <w:pPr>
        <w:jc w:val="both"/>
        <w:rPr>
          <w:rFonts w:eastAsia="Times New Roman"/>
        </w:rPr>
      </w:pPr>
      <w:r>
        <w:rPr>
          <w:rFonts w:eastAsia="Times New Roman"/>
          <w:color w:val="000000"/>
          <w:sz w:val="20"/>
          <w:szCs w:val="20"/>
        </w:rPr>
        <w:t xml:space="preserve">We recognize </w:t>
      </w:r>
      <w:r>
        <w:rPr>
          <w:rFonts w:eastAsia="Times New Roman"/>
          <w:color w:val="000000"/>
          <w:sz w:val="20"/>
          <w:szCs w:val="20"/>
        </w:rPr>
        <w:t xml:space="preserve">refundable R&amp;D tax credits received for spending on innovative R&amp;D as an offset of R&amp;D expenses. </w:t>
      </w:r>
    </w:p>
    <w:p w14:paraId="67172838" w14:textId="77777777" w:rsidR="00000000" w:rsidRDefault="000C49AD">
      <w:pPr>
        <w:jc w:val="both"/>
        <w:rPr>
          <w:rFonts w:eastAsia="Times New Roman"/>
        </w:rPr>
      </w:pPr>
    </w:p>
    <w:p w14:paraId="7E6EDCBC" w14:textId="77777777" w:rsidR="00000000" w:rsidRDefault="000C49AD">
      <w:pPr>
        <w:jc w:val="both"/>
        <w:rPr>
          <w:rFonts w:eastAsia="Times New Roman"/>
        </w:rPr>
      </w:pPr>
      <w:r>
        <w:rPr>
          <w:rFonts w:eastAsia="Times New Roman"/>
          <w:color w:val="000000"/>
          <w:sz w:val="20"/>
          <w:szCs w:val="20"/>
        </w:rPr>
        <w:t>When estimating R&amp;D expense, we review open contracts and purchase orders, communicating with our personnel to identify services that have been performed on</w:t>
      </w:r>
      <w:r>
        <w:rPr>
          <w:rFonts w:eastAsia="Times New Roman"/>
          <w:color w:val="000000"/>
          <w:sz w:val="20"/>
          <w:szCs w:val="20"/>
        </w:rPr>
        <w:t xml:space="preserve"> our behalf and estimating the level of service performed and the associated costs incurred for the services when we have not yet been invoiced or otherwise notified of the actual costs. The majority of our service providers invoice us in arrears for servi</w:t>
      </w:r>
      <w:r>
        <w:rPr>
          <w:rFonts w:eastAsia="Times New Roman"/>
          <w:color w:val="000000"/>
          <w:sz w:val="20"/>
          <w:szCs w:val="20"/>
        </w:rPr>
        <w:t>ces performed and some require advanced payments. We make estimates of our accrued expenses at each balance sheet date in our financial statements based on facts and circumstances known to us at that time.</w:t>
      </w:r>
    </w:p>
    <w:p w14:paraId="7E1703D1" w14:textId="77777777" w:rsidR="00000000" w:rsidRDefault="000C49AD">
      <w:pPr>
        <w:jc w:val="both"/>
        <w:rPr>
          <w:rFonts w:eastAsia="Times New Roman"/>
        </w:rPr>
      </w:pPr>
    </w:p>
    <w:p w14:paraId="53FA5BF1" w14:textId="77777777" w:rsidR="00000000" w:rsidRDefault="000C49AD">
      <w:pPr>
        <w:jc w:val="both"/>
        <w:rPr>
          <w:rFonts w:eastAsia="Times New Roman"/>
        </w:rPr>
      </w:pPr>
      <w:r>
        <w:rPr>
          <w:rFonts w:eastAsia="Times New Roman"/>
          <w:color w:val="000000"/>
          <w:sz w:val="20"/>
          <w:szCs w:val="20"/>
        </w:rPr>
        <w:t>If the actual timing of the performance of servi</w:t>
      </w:r>
      <w:r>
        <w:rPr>
          <w:rFonts w:eastAsia="Times New Roman"/>
          <w:color w:val="000000"/>
          <w:sz w:val="20"/>
          <w:szCs w:val="20"/>
        </w:rPr>
        <w:t xml:space="preserve">ces or the level of effort varies from our estimate, we adjust the accrual or amount of prepaid or accrued expenses accordingly. To date, we have not made any material adjustments to our prior estimates of accrued research and development expenses. </w:t>
      </w:r>
    </w:p>
    <w:p w14:paraId="46A5FF7F" w14:textId="77777777" w:rsidR="00000000" w:rsidRDefault="000C49AD">
      <w:pPr>
        <w:jc w:val="both"/>
        <w:rPr>
          <w:rFonts w:eastAsia="Times New Roman"/>
        </w:rPr>
      </w:pPr>
    </w:p>
    <w:p w14:paraId="694787E5" w14:textId="77777777" w:rsidR="00000000" w:rsidRDefault="000C49AD">
      <w:pPr>
        <w:jc w:val="both"/>
        <w:rPr>
          <w:rFonts w:eastAsia="Times New Roman"/>
        </w:rPr>
      </w:pPr>
      <w:r>
        <w:rPr>
          <w:rFonts w:eastAsia="Times New Roman"/>
          <w:b/>
          <w:bCs/>
          <w:i/>
          <w:iCs/>
          <w:color w:val="000000"/>
          <w:sz w:val="20"/>
          <w:szCs w:val="20"/>
        </w:rPr>
        <w:t>Shar</w:t>
      </w:r>
      <w:r>
        <w:rPr>
          <w:rFonts w:eastAsia="Times New Roman"/>
          <w:b/>
          <w:bCs/>
          <w:i/>
          <w:iCs/>
          <w:color w:val="000000"/>
          <w:sz w:val="20"/>
          <w:szCs w:val="20"/>
        </w:rPr>
        <w:t>e-based Compensation.</w:t>
      </w:r>
      <w:r>
        <w:rPr>
          <w:rFonts w:eastAsia="Times New Roman"/>
          <w:i/>
          <w:iCs/>
          <w:color w:val="000000"/>
          <w:sz w:val="20"/>
          <w:szCs w:val="20"/>
        </w:rPr>
        <w:t xml:space="preserve"> </w:t>
      </w:r>
      <w:r>
        <w:rPr>
          <w:rFonts w:eastAsia="Times New Roman"/>
          <w:color w:val="000000"/>
          <w:sz w:val="20"/>
          <w:szCs w:val="20"/>
        </w:rPr>
        <w:t xml:space="preserve">We account for share-based compensation based on the estimated grant-date fair value. The fair value of stock options is estimated using Black-Scholes option-pricing valuation models (“Black-Scholes model”). We recognize compensation </w:t>
      </w:r>
      <w:r>
        <w:rPr>
          <w:rFonts w:eastAsia="Times New Roman"/>
          <w:color w:val="000000"/>
          <w:sz w:val="20"/>
          <w:szCs w:val="20"/>
        </w:rPr>
        <w:t>cost, net of an estimated forfeiture rate, using the accelerated method over the requisite service period of the award.</w:t>
      </w:r>
    </w:p>
    <w:p w14:paraId="78355772" w14:textId="77777777" w:rsidR="00000000" w:rsidRDefault="000C49AD">
      <w:pPr>
        <w:jc w:val="both"/>
        <w:rPr>
          <w:rFonts w:eastAsia="Times New Roman"/>
        </w:rPr>
      </w:pPr>
      <w:r>
        <w:rPr>
          <w:rFonts w:eastAsia="Times New Roman"/>
          <w:b/>
          <w:bCs/>
          <w:color w:val="000000"/>
          <w:sz w:val="20"/>
          <w:szCs w:val="20"/>
        </w:rPr>
        <w:t> </w:t>
      </w:r>
      <w:r>
        <w:rPr>
          <w:rFonts w:eastAsia="Times New Roman"/>
          <w:color w:val="000000"/>
          <w:sz w:val="20"/>
          <w:szCs w:val="20"/>
        </w:rPr>
        <w:t xml:space="preserve"> </w:t>
      </w:r>
    </w:p>
    <w:p w14:paraId="3168A8E6" w14:textId="77777777" w:rsidR="00000000" w:rsidRDefault="000C49AD">
      <w:pPr>
        <w:jc w:val="both"/>
        <w:rPr>
          <w:rFonts w:eastAsia="Times New Roman"/>
        </w:rPr>
      </w:pPr>
      <w:r>
        <w:rPr>
          <w:rFonts w:eastAsia="Times New Roman"/>
          <w:color w:val="000000"/>
          <w:sz w:val="20"/>
          <w:szCs w:val="20"/>
        </w:rPr>
        <w:t xml:space="preserve">As required by the Black-Scholes model, estimates are made of the underlying volatility of Avadel stock, a risk-free rate determined </w:t>
      </w:r>
      <w:r>
        <w:rPr>
          <w:rFonts w:eastAsia="Times New Roman"/>
          <w:color w:val="000000"/>
          <w:sz w:val="20"/>
          <w:szCs w:val="20"/>
        </w:rPr>
        <w:t xml:space="preserve">by reference to the U.S. Treasury yield curve, and an expected term of the option. We estimate the expected term using a simplified method, as we do not have enough historical exercise data for a majority of such options upon which to estimate an expected </w:t>
      </w:r>
      <w:r>
        <w:rPr>
          <w:rFonts w:eastAsia="Times New Roman"/>
          <w:color w:val="000000"/>
          <w:sz w:val="20"/>
          <w:szCs w:val="20"/>
        </w:rPr>
        <w:t>term.</w:t>
      </w:r>
    </w:p>
    <w:p w14:paraId="17245C65" w14:textId="77777777" w:rsidR="00000000" w:rsidRDefault="000C49AD">
      <w:pPr>
        <w:jc w:val="center"/>
        <w:divId w:val="939293589"/>
        <w:rPr>
          <w:rFonts w:eastAsia="Times New Roman"/>
        </w:rPr>
      </w:pPr>
      <w:r>
        <w:rPr>
          <w:rFonts w:eastAsia="Times New Roman"/>
          <w:color w:val="000000"/>
          <w:sz w:val="20"/>
          <w:szCs w:val="20"/>
        </w:rPr>
        <w:t>-67-</w:t>
      </w:r>
    </w:p>
    <w:p w14:paraId="68F94430" w14:textId="77777777" w:rsidR="00000000" w:rsidRDefault="000C49AD">
      <w:pPr>
        <w:rPr>
          <w:rFonts w:eastAsia="Times New Roman"/>
        </w:rPr>
      </w:pPr>
      <w:r>
        <w:rPr>
          <w:rFonts w:eastAsia="Times New Roman"/>
        </w:rPr>
        <w:pict w14:anchorId="4CFF0070">
          <v:rect id="_x0000_i1092" style="width:0;height:1.5pt" o:hralign="center" o:hrstd="t" o:hr="t" fillcolor="#a0a0a0" stroked="f"/>
        </w:pict>
      </w:r>
    </w:p>
    <w:p w14:paraId="3DB9D9CD" w14:textId="77777777" w:rsidR="00000000" w:rsidRDefault="000C49AD">
      <w:pPr>
        <w:divId w:val="525143031"/>
        <w:rPr>
          <w:rFonts w:eastAsia="Times New Roman"/>
        </w:rPr>
      </w:pPr>
    </w:p>
    <w:p w14:paraId="1DE56AB0" w14:textId="77777777" w:rsidR="00000000" w:rsidRDefault="000C49AD">
      <w:pPr>
        <w:divId w:val="327683450"/>
        <w:rPr>
          <w:rFonts w:eastAsia="Times New Roman"/>
        </w:rPr>
      </w:pPr>
    </w:p>
    <w:p w14:paraId="053A93EB" w14:textId="77777777" w:rsidR="00000000" w:rsidRDefault="000C49AD">
      <w:pPr>
        <w:jc w:val="both"/>
        <w:rPr>
          <w:rFonts w:eastAsia="Times New Roman"/>
        </w:rPr>
      </w:pPr>
      <w:r>
        <w:rPr>
          <w:rFonts w:eastAsia="Times New Roman"/>
          <w:color w:val="000000"/>
          <w:sz w:val="20"/>
          <w:szCs w:val="20"/>
        </w:rPr>
        <w:t>Changes in the estimates used to determine the fair value of share-based equity compensation instruments could result in changes to our share-based compensation expense. We have not made any material chan</w:t>
      </w:r>
      <w:r>
        <w:rPr>
          <w:rFonts w:eastAsia="Times New Roman"/>
          <w:color w:val="000000"/>
          <w:sz w:val="20"/>
          <w:szCs w:val="20"/>
        </w:rPr>
        <w:t xml:space="preserve">ges to our assumptions and estimates related to our share-based compensation during the periods presented. Individual assumptions are not sensitive to change. </w:t>
      </w:r>
    </w:p>
    <w:p w14:paraId="334957C4" w14:textId="77777777" w:rsidR="00000000" w:rsidRDefault="000C49AD">
      <w:pPr>
        <w:jc w:val="both"/>
        <w:rPr>
          <w:rFonts w:eastAsia="Times New Roman"/>
        </w:rPr>
      </w:pPr>
    </w:p>
    <w:p w14:paraId="1FB8D94A" w14:textId="77777777" w:rsidR="00000000" w:rsidRDefault="000C49AD">
      <w:pPr>
        <w:jc w:val="both"/>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Our income tax benefit, deferred tax assets and liabilities, and liabilities for</w:t>
      </w:r>
      <w:r>
        <w:rPr>
          <w:rFonts w:eastAsia="Times New Roman"/>
          <w:color w:val="000000"/>
          <w:sz w:val="20"/>
          <w:szCs w:val="20"/>
        </w:rPr>
        <w:t xml:space="preserve"> unrecognized tax benefits reflect management’s best estimate of current and future taxes to be paid. We are subject to income taxes in Ireland, France and the U.S. Significant judgments and estimates are required in the determination of the consolidated i</w:t>
      </w:r>
      <w:r>
        <w:rPr>
          <w:rFonts w:eastAsia="Times New Roman"/>
          <w:color w:val="000000"/>
          <w:sz w:val="20"/>
          <w:szCs w:val="20"/>
        </w:rPr>
        <w:t>ncome tax benefit.</w:t>
      </w:r>
    </w:p>
    <w:p w14:paraId="1174B29E" w14:textId="77777777" w:rsidR="00000000" w:rsidRDefault="000C49AD">
      <w:pPr>
        <w:jc w:val="both"/>
        <w:rPr>
          <w:rFonts w:eastAsia="Times New Roman"/>
        </w:rPr>
      </w:pPr>
    </w:p>
    <w:p w14:paraId="44F51CDB" w14:textId="77777777" w:rsidR="00000000" w:rsidRDefault="000C49AD">
      <w:pPr>
        <w:jc w:val="both"/>
        <w:rPr>
          <w:rFonts w:eastAsia="Times New Roman"/>
        </w:rPr>
      </w:pPr>
      <w:r>
        <w:rPr>
          <w:rFonts w:eastAsia="Times New Roman"/>
          <w:color w:val="000000"/>
          <w:sz w:val="20"/>
          <w:szCs w:val="20"/>
        </w:rPr>
        <w:t>Deferred income taxes arise from temporary differences between the tax basis of assets and liabilities and their reported amounts in the financial statements, which will result in taxable or deductible amounts in the future. In evaluat</w:t>
      </w:r>
      <w:r>
        <w:rPr>
          <w:rFonts w:eastAsia="Times New Roman"/>
          <w:color w:val="000000"/>
          <w:sz w:val="20"/>
          <w:szCs w:val="20"/>
        </w:rPr>
        <w:t>ing our ability to recover our deferred tax assets in the jurisdiction from which they arise, we consider all available positive and negative evidence, including scheduled reversals of deferred tax liabilities, projected future taxable income or loss, tax-</w:t>
      </w:r>
      <w:r>
        <w:rPr>
          <w:rFonts w:eastAsia="Times New Roman"/>
          <w:color w:val="000000"/>
          <w:sz w:val="20"/>
          <w:szCs w:val="20"/>
        </w:rPr>
        <w:t xml:space="preserve">planning strategies, and results of recent operations. The assumptions about future taxable income or loss require the use of significant judgment and are consistent with the plans and estimates we are using to manage the underlying businesses. </w:t>
      </w:r>
    </w:p>
    <w:p w14:paraId="0A60E603" w14:textId="77777777" w:rsidR="00000000" w:rsidRDefault="000C49AD">
      <w:pPr>
        <w:jc w:val="both"/>
        <w:rPr>
          <w:rFonts w:eastAsia="Times New Roman"/>
        </w:rPr>
      </w:pPr>
    </w:p>
    <w:p w14:paraId="4264BC82" w14:textId="77777777" w:rsidR="00000000" w:rsidRDefault="000C49AD">
      <w:pPr>
        <w:jc w:val="both"/>
        <w:rPr>
          <w:rFonts w:eastAsia="Times New Roman"/>
        </w:rPr>
      </w:pPr>
      <w:r>
        <w:rPr>
          <w:rFonts w:eastAsia="Times New Roman"/>
          <w:color w:val="000000"/>
          <w:sz w:val="20"/>
          <w:szCs w:val="20"/>
        </w:rPr>
        <w:t>The calc</w:t>
      </w:r>
      <w:r>
        <w:rPr>
          <w:rFonts w:eastAsia="Times New Roman"/>
          <w:color w:val="000000"/>
          <w:sz w:val="20"/>
          <w:szCs w:val="20"/>
        </w:rPr>
        <w:t>ulation of our tax liabilities involves dealing with uncertainties in the application of complex tax laws and regulations in a multitude of jurisdictions across our global operations. A tax benefit from an uncertain tax position may be recognized when it i</w:t>
      </w:r>
      <w:r>
        <w:rPr>
          <w:rFonts w:eastAsia="Times New Roman"/>
          <w:color w:val="000000"/>
          <w:sz w:val="20"/>
          <w:szCs w:val="20"/>
        </w:rPr>
        <w:t>s more likely than not that the position will be sustained upon examination, including resolutions of any related appeals or litigation processes, on the basis of the technical merits.</w:t>
      </w:r>
    </w:p>
    <w:p w14:paraId="2DA0A2A4" w14:textId="77777777" w:rsidR="00000000" w:rsidRDefault="000C49AD">
      <w:pPr>
        <w:jc w:val="both"/>
        <w:rPr>
          <w:rFonts w:eastAsia="Times New Roman"/>
        </w:rPr>
      </w:pPr>
    </w:p>
    <w:p w14:paraId="068C3823" w14:textId="77777777" w:rsidR="00000000" w:rsidRDefault="000C49AD">
      <w:pPr>
        <w:jc w:val="both"/>
        <w:rPr>
          <w:rFonts w:eastAsia="Times New Roman"/>
        </w:rPr>
      </w:pPr>
      <w:r>
        <w:rPr>
          <w:rFonts w:eastAsia="Times New Roman"/>
          <w:color w:val="000000"/>
          <w:sz w:val="20"/>
          <w:szCs w:val="20"/>
        </w:rPr>
        <w:t>We record unrecognized tax benefits as liabilities and adjust these l</w:t>
      </w:r>
      <w:r>
        <w:rPr>
          <w:rFonts w:eastAsia="Times New Roman"/>
          <w:color w:val="000000"/>
          <w:sz w:val="20"/>
          <w:szCs w:val="20"/>
        </w:rPr>
        <w:t xml:space="preserve">iabilities when our judgment changes as a result of the evaluation of new information not previously available. Because of the complexity of some of these uncertainties, the ultimate resolution may result in a payment that is materially different from our </w:t>
      </w:r>
      <w:r>
        <w:rPr>
          <w:rFonts w:eastAsia="Times New Roman"/>
          <w:color w:val="000000"/>
          <w:sz w:val="20"/>
          <w:szCs w:val="20"/>
        </w:rPr>
        <w:t>current estimate of the unrecognized tax benefit liabilities. These differences will be reflected as increases or decreases to income tax expense in the period in which new information is available.</w:t>
      </w:r>
    </w:p>
    <w:p w14:paraId="4C523FED" w14:textId="77777777" w:rsidR="00000000" w:rsidRDefault="000C49AD">
      <w:pPr>
        <w:jc w:val="both"/>
        <w:rPr>
          <w:rFonts w:eastAsia="Times New Roman"/>
        </w:rPr>
      </w:pPr>
    </w:p>
    <w:p w14:paraId="0A6B3D32" w14:textId="77777777" w:rsidR="00000000" w:rsidRDefault="000C49AD">
      <w:pPr>
        <w:jc w:val="both"/>
        <w:rPr>
          <w:rFonts w:eastAsia="Times New Roman"/>
        </w:rPr>
      </w:pPr>
      <w:r>
        <w:rPr>
          <w:rFonts w:eastAsia="Times New Roman"/>
          <w:color w:val="000000"/>
          <w:sz w:val="20"/>
          <w:szCs w:val="20"/>
        </w:rPr>
        <w:t>We have not recorded a deferred tax liability for any i</w:t>
      </w:r>
      <w:r>
        <w:rPr>
          <w:rFonts w:eastAsia="Times New Roman"/>
          <w:color w:val="000000"/>
          <w:sz w:val="20"/>
          <w:szCs w:val="20"/>
        </w:rPr>
        <w:t>ncome or withholding taxes that may arise as the result of the distribution of unremitted earnings within our Company. As of December 31, 2021, we had unremitted earnings of $3,916 outside of Ireland as measured on a U.S. GAAP basis. Based on our estimates</w:t>
      </w:r>
      <w:r>
        <w:rPr>
          <w:rFonts w:eastAsia="Times New Roman"/>
          <w:color w:val="000000"/>
          <w:sz w:val="20"/>
          <w:szCs w:val="20"/>
        </w:rPr>
        <w:t xml:space="preserve"> that future domestic cash generation will be sufficient to meet future domestic cash needs along with our specific plans for reinvestment, we have not recorded a deferred tax liability for any income or withholding taxes that may arise from a distribution</w:t>
      </w:r>
      <w:r>
        <w:rPr>
          <w:rFonts w:eastAsia="Times New Roman"/>
          <w:color w:val="000000"/>
          <w:sz w:val="20"/>
          <w:szCs w:val="20"/>
        </w:rPr>
        <w:t xml:space="preserve"> that would qualify as a dividend for tax purposes. It is not practicable to estimate the amount of deferred tax liability on such remittances, if any. We believe that our estimates for deferred income taxes and the amount of benefits recognized for uncert</w:t>
      </w:r>
      <w:r>
        <w:rPr>
          <w:rFonts w:eastAsia="Times New Roman"/>
          <w:color w:val="000000"/>
          <w:sz w:val="20"/>
          <w:szCs w:val="20"/>
        </w:rPr>
        <w:t xml:space="preserve">ain tax positions are appropriate based on current facts and circumstances. </w:t>
      </w:r>
    </w:p>
    <w:p w14:paraId="4F174F53" w14:textId="77777777" w:rsidR="00000000" w:rsidRDefault="000C49AD">
      <w:pPr>
        <w:jc w:val="both"/>
        <w:rPr>
          <w:rFonts w:eastAsia="Times New Roman"/>
        </w:rPr>
      </w:pPr>
    </w:p>
    <w:p w14:paraId="4C4B0AC7" w14:textId="77777777" w:rsidR="00000000" w:rsidRDefault="000C49AD">
      <w:pPr>
        <w:jc w:val="both"/>
        <w:rPr>
          <w:rFonts w:eastAsia="Times New Roman"/>
        </w:rPr>
      </w:pPr>
      <w:r>
        <w:rPr>
          <w:rFonts w:eastAsia="Times New Roman"/>
          <w:b/>
          <w:bCs/>
          <w:i/>
          <w:iCs/>
          <w:color w:val="000000"/>
          <w:sz w:val="20"/>
          <w:szCs w:val="20"/>
        </w:rPr>
        <w:t>Goodwill.</w:t>
      </w:r>
      <w:r>
        <w:rPr>
          <w:rFonts w:eastAsia="Times New Roman"/>
          <w:color w:val="000000"/>
          <w:sz w:val="20"/>
          <w:szCs w:val="20"/>
        </w:rPr>
        <w:t xml:space="preserve"> Goodwill represents the excess of the acquisition consideration over the fair value of assets acquired and liabilities assumed. We have determined that we operate in a</w:t>
      </w:r>
      <w:r>
        <w:rPr>
          <w:rFonts w:eastAsia="Times New Roman"/>
          <w:color w:val="000000"/>
          <w:sz w:val="20"/>
          <w:szCs w:val="20"/>
        </w:rPr>
        <w:t xml:space="preserve"> single segment and have a single reporting unit associated with the development and commercialization of pharmaceutical products. We can test for goodwill impairment by first performing a qualitative assessment to determine whether a quantitative goodwill</w:t>
      </w:r>
      <w:r>
        <w:rPr>
          <w:rFonts w:eastAsia="Times New Roman"/>
          <w:color w:val="000000"/>
          <w:sz w:val="20"/>
          <w:szCs w:val="20"/>
        </w:rPr>
        <w:t xml:space="preserve"> test is necessary or we can elect to forgo the qualitative assessment and perform the quantitative test. We elected to perform a quantitative impairment assessment of goodwill in 2021 and 2020. Upon performing the quantitative test, if the carrying value </w:t>
      </w:r>
      <w:r>
        <w:rPr>
          <w:rFonts w:eastAsia="Times New Roman"/>
          <w:color w:val="000000"/>
          <w:sz w:val="20"/>
          <w:szCs w:val="20"/>
        </w:rPr>
        <w:t>of the reporting unit exceeds its fair value, an impairment loss is recognized in an amount equal to that excess, not to exceed the carrying amount of goodwill. We have elected to make November 30 the annual impairment assessment date for goodwill. However</w:t>
      </w:r>
      <w:r>
        <w:rPr>
          <w:rFonts w:eastAsia="Times New Roman"/>
          <w:color w:val="000000"/>
          <w:sz w:val="20"/>
          <w:szCs w:val="20"/>
        </w:rPr>
        <w:t>, we could be required to evaluate the recoverability of goodwill outside of the required annual assessment if, among other things, we experience disruptions to the business, unexpected significant declines in operating results, divestiture of a significan</w:t>
      </w:r>
      <w:r>
        <w:rPr>
          <w:rFonts w:eastAsia="Times New Roman"/>
          <w:color w:val="000000"/>
          <w:sz w:val="20"/>
          <w:szCs w:val="20"/>
        </w:rPr>
        <w:t xml:space="preserve">t component of the business or a sustained decline in market capitalization. </w:t>
      </w:r>
    </w:p>
    <w:p w14:paraId="75E95625" w14:textId="77777777" w:rsidR="00000000" w:rsidRDefault="000C49AD">
      <w:pPr>
        <w:jc w:val="both"/>
        <w:rPr>
          <w:rFonts w:eastAsia="Times New Roman"/>
        </w:rPr>
      </w:pPr>
    </w:p>
    <w:p w14:paraId="139AD230" w14:textId="77777777" w:rsidR="00000000" w:rsidRDefault="000C49AD">
      <w:pPr>
        <w:jc w:val="both"/>
        <w:rPr>
          <w:rFonts w:eastAsia="Times New Roman"/>
        </w:rPr>
      </w:pPr>
      <w:r>
        <w:rPr>
          <w:rFonts w:eastAsia="Times New Roman"/>
          <w:color w:val="000000"/>
          <w:sz w:val="20"/>
          <w:szCs w:val="20"/>
        </w:rPr>
        <w:t>When performing the quantitative assessment of goodwill impairment, we estimate the fair value of our single reporting unit using the market approach, based on quoted market prices of our securities on the Nasdaq Global Market, adjusted for the effect of a</w:t>
      </w:r>
      <w:r>
        <w:rPr>
          <w:rFonts w:eastAsia="Times New Roman"/>
          <w:color w:val="000000"/>
          <w:sz w:val="20"/>
          <w:szCs w:val="20"/>
        </w:rPr>
        <w:t xml:space="preserve"> control premium as contemplated by ASC 350. Based on the results of the annual quantitative evaluation for 2021, the fair value of our single reporting unit exceeded its respective carrying value and did not result in impairment for the reporting unit.</w:t>
      </w:r>
    </w:p>
    <w:p w14:paraId="357E41F2" w14:textId="77777777" w:rsidR="00000000" w:rsidRDefault="000C49AD">
      <w:pPr>
        <w:divId w:val="2093811186"/>
        <w:rPr>
          <w:rFonts w:eastAsia="Times New Roman"/>
        </w:rPr>
      </w:pPr>
    </w:p>
    <w:p w14:paraId="47B4B7D5" w14:textId="77777777" w:rsidR="00000000" w:rsidRDefault="000C49AD">
      <w:pPr>
        <w:jc w:val="both"/>
        <w:rPr>
          <w:rFonts w:eastAsia="Times New Roman"/>
        </w:rPr>
      </w:pPr>
      <w:r>
        <w:rPr>
          <w:rFonts w:eastAsia="Times New Roman"/>
          <w:color w:val="000000"/>
          <w:sz w:val="20"/>
          <w:szCs w:val="20"/>
        </w:rPr>
        <w:t>The Company continuously monitors for events and circumstances that could negatively impact the key assumptions in determining fair value. While the Company believes the judgments and assumptions used in the goodwill impairment test is reasonable, differen</w:t>
      </w:r>
      <w:r>
        <w:rPr>
          <w:rFonts w:eastAsia="Times New Roman"/>
          <w:color w:val="000000"/>
          <w:sz w:val="20"/>
          <w:szCs w:val="20"/>
        </w:rPr>
        <w:t xml:space="preserve">t assumptions or changes in general industry, market and macro-economic conditions, including a more prolonged and/or severe COVID-19 pandemic, could change the estimated fair values and, therefore, future impairment charges could be required, which could </w:t>
      </w:r>
      <w:r>
        <w:rPr>
          <w:rFonts w:eastAsia="Times New Roman"/>
          <w:color w:val="000000"/>
          <w:sz w:val="20"/>
          <w:szCs w:val="20"/>
        </w:rPr>
        <w:t xml:space="preserve">be material to the consolidated financial statements. </w:t>
      </w:r>
    </w:p>
    <w:p w14:paraId="7AFD34D3" w14:textId="77777777" w:rsidR="00000000" w:rsidRDefault="000C49AD">
      <w:pPr>
        <w:jc w:val="both"/>
        <w:rPr>
          <w:rFonts w:eastAsia="Times New Roman"/>
        </w:rPr>
      </w:pPr>
    </w:p>
    <w:p w14:paraId="5EE089AC" w14:textId="77777777" w:rsidR="00000000" w:rsidRDefault="000C49AD">
      <w:pPr>
        <w:jc w:val="center"/>
        <w:divId w:val="485128168"/>
        <w:rPr>
          <w:rFonts w:eastAsia="Times New Roman"/>
        </w:rPr>
      </w:pPr>
      <w:r>
        <w:rPr>
          <w:rFonts w:eastAsia="Times New Roman"/>
          <w:color w:val="000000"/>
          <w:sz w:val="20"/>
          <w:szCs w:val="20"/>
        </w:rPr>
        <w:t>-68-</w:t>
      </w:r>
    </w:p>
    <w:p w14:paraId="670E719C" w14:textId="77777777" w:rsidR="00000000" w:rsidRDefault="000C49AD">
      <w:pPr>
        <w:rPr>
          <w:rFonts w:eastAsia="Times New Roman"/>
        </w:rPr>
      </w:pPr>
      <w:r>
        <w:rPr>
          <w:rFonts w:eastAsia="Times New Roman"/>
        </w:rPr>
        <w:pict w14:anchorId="6DC0A658">
          <v:rect id="_x0000_i1093" style="width:0;height:1.5pt" o:hralign="center" o:hrstd="t" o:hr="t" fillcolor="#a0a0a0" stroked="f"/>
        </w:pict>
      </w:r>
    </w:p>
    <w:p w14:paraId="30295D9E" w14:textId="77777777" w:rsidR="00000000" w:rsidRDefault="000C49AD">
      <w:pPr>
        <w:divId w:val="600726329"/>
        <w:rPr>
          <w:rFonts w:eastAsia="Times New Roman"/>
        </w:rPr>
      </w:pPr>
    </w:p>
    <w:p w14:paraId="3DF9381C" w14:textId="77777777" w:rsidR="00000000" w:rsidRDefault="000C49AD">
      <w:pPr>
        <w:jc w:val="both"/>
        <w:rPr>
          <w:rFonts w:eastAsia="Times New Roman"/>
        </w:rPr>
      </w:pPr>
    </w:p>
    <w:p w14:paraId="1CEA6F7A" w14:textId="77777777" w:rsidR="00000000" w:rsidRDefault="000C49AD">
      <w:pPr>
        <w:jc w:val="both"/>
        <w:divId w:val="220601942"/>
        <w:rPr>
          <w:rFonts w:eastAsia="Times New Roman"/>
        </w:rPr>
      </w:pPr>
      <w:r>
        <w:rPr>
          <w:rFonts w:eastAsia="Times New Roman"/>
          <w:b/>
          <w:bCs/>
          <w:color w:val="000000"/>
          <w:sz w:val="20"/>
          <w:szCs w:val="20"/>
          <w:u w:val="single"/>
        </w:rPr>
        <w:t>Results of Operations</w:t>
      </w:r>
    </w:p>
    <w:p w14:paraId="68C364F9" w14:textId="77777777" w:rsidR="00000000" w:rsidRDefault="000C49AD">
      <w:pPr>
        <w:jc w:val="both"/>
        <w:divId w:val="1579751632"/>
        <w:rPr>
          <w:rFonts w:eastAsia="Times New Roman"/>
        </w:rPr>
      </w:pPr>
      <w:r>
        <w:rPr>
          <w:rFonts w:eastAsia="Times New Roman"/>
          <w:color w:val="000000"/>
          <w:sz w:val="20"/>
          <w:szCs w:val="20"/>
        </w:rPr>
        <w:t>The following is a summary of our financial results (in thousands, except per share amounts): </w:t>
      </w:r>
    </w:p>
    <w:tbl>
      <w:tblPr>
        <w:tblW w:w="5000" w:type="pct"/>
        <w:tblCellMar>
          <w:top w:w="15" w:type="dxa"/>
          <w:left w:w="15" w:type="dxa"/>
          <w:bottom w:w="15" w:type="dxa"/>
          <w:right w:w="15" w:type="dxa"/>
        </w:tblCellMar>
        <w:tblLook w:val="04A0" w:firstRow="1" w:lastRow="0" w:firstColumn="1" w:lastColumn="0" w:noHBand="0" w:noVBand="1"/>
      </w:tblPr>
      <w:tblGrid>
        <w:gridCol w:w="39"/>
        <w:gridCol w:w="4099"/>
        <w:gridCol w:w="38"/>
        <w:gridCol w:w="36"/>
        <w:gridCol w:w="36"/>
        <w:gridCol w:w="36"/>
        <w:gridCol w:w="110"/>
        <w:gridCol w:w="795"/>
        <w:gridCol w:w="36"/>
        <w:gridCol w:w="36"/>
        <w:gridCol w:w="36"/>
        <w:gridCol w:w="36"/>
        <w:gridCol w:w="110"/>
        <w:gridCol w:w="674"/>
        <w:gridCol w:w="36"/>
        <w:gridCol w:w="36"/>
        <w:gridCol w:w="36"/>
        <w:gridCol w:w="36"/>
        <w:gridCol w:w="110"/>
        <w:gridCol w:w="795"/>
        <w:gridCol w:w="36"/>
        <w:gridCol w:w="36"/>
        <w:gridCol w:w="36"/>
        <w:gridCol w:w="36"/>
        <w:gridCol w:w="58"/>
        <w:gridCol w:w="768"/>
        <w:gridCol w:w="170"/>
      </w:tblGrid>
      <w:tr w:rsidR="00000000" w14:paraId="25A79B8E" w14:textId="77777777">
        <w:trPr>
          <w:divId w:val="784034935"/>
        </w:trPr>
        <w:tc>
          <w:tcPr>
            <w:tcW w:w="50" w:type="pct"/>
            <w:vAlign w:val="center"/>
            <w:hideMark/>
          </w:tcPr>
          <w:p w14:paraId="2B059381" w14:textId="77777777" w:rsidR="00000000" w:rsidRDefault="000C49AD">
            <w:pPr>
              <w:jc w:val="both"/>
              <w:rPr>
                <w:rFonts w:eastAsia="Times New Roman"/>
              </w:rPr>
            </w:pPr>
          </w:p>
        </w:tc>
        <w:tc>
          <w:tcPr>
            <w:tcW w:w="2503" w:type="pct"/>
            <w:vAlign w:val="center"/>
            <w:hideMark/>
          </w:tcPr>
          <w:p w14:paraId="0FF876AF" w14:textId="77777777" w:rsidR="00000000" w:rsidRDefault="000C49AD">
            <w:pPr>
              <w:spacing w:after="100"/>
              <w:rPr>
                <w:rFonts w:eastAsia="Times New Roman"/>
                <w:sz w:val="20"/>
                <w:szCs w:val="20"/>
              </w:rPr>
            </w:pPr>
          </w:p>
        </w:tc>
        <w:tc>
          <w:tcPr>
            <w:tcW w:w="5" w:type="pct"/>
            <w:vAlign w:val="center"/>
            <w:hideMark/>
          </w:tcPr>
          <w:p w14:paraId="49EDE19A" w14:textId="77777777" w:rsidR="00000000" w:rsidRDefault="000C49AD">
            <w:pPr>
              <w:spacing w:after="100"/>
              <w:rPr>
                <w:rFonts w:eastAsia="Times New Roman"/>
                <w:sz w:val="20"/>
                <w:szCs w:val="20"/>
              </w:rPr>
            </w:pPr>
          </w:p>
        </w:tc>
        <w:tc>
          <w:tcPr>
            <w:tcW w:w="5" w:type="pct"/>
            <w:vAlign w:val="center"/>
            <w:hideMark/>
          </w:tcPr>
          <w:p w14:paraId="45F4BC78" w14:textId="77777777" w:rsidR="00000000" w:rsidRDefault="000C49AD">
            <w:pPr>
              <w:spacing w:after="100"/>
              <w:rPr>
                <w:rFonts w:eastAsia="Times New Roman"/>
                <w:sz w:val="20"/>
                <w:szCs w:val="20"/>
              </w:rPr>
            </w:pPr>
          </w:p>
        </w:tc>
        <w:tc>
          <w:tcPr>
            <w:tcW w:w="26" w:type="pct"/>
            <w:vAlign w:val="center"/>
            <w:hideMark/>
          </w:tcPr>
          <w:p w14:paraId="58EF142B" w14:textId="77777777" w:rsidR="00000000" w:rsidRDefault="000C49AD">
            <w:pPr>
              <w:spacing w:after="100"/>
              <w:rPr>
                <w:rFonts w:eastAsia="Times New Roman"/>
                <w:sz w:val="20"/>
                <w:szCs w:val="20"/>
              </w:rPr>
            </w:pPr>
          </w:p>
        </w:tc>
        <w:tc>
          <w:tcPr>
            <w:tcW w:w="5" w:type="pct"/>
            <w:vAlign w:val="center"/>
            <w:hideMark/>
          </w:tcPr>
          <w:p w14:paraId="66E5A7E2" w14:textId="77777777" w:rsidR="00000000" w:rsidRDefault="000C49AD">
            <w:pPr>
              <w:spacing w:after="100"/>
              <w:rPr>
                <w:rFonts w:eastAsia="Times New Roman"/>
                <w:sz w:val="20"/>
                <w:szCs w:val="20"/>
              </w:rPr>
            </w:pPr>
          </w:p>
        </w:tc>
        <w:tc>
          <w:tcPr>
            <w:tcW w:w="50" w:type="pct"/>
            <w:vAlign w:val="center"/>
            <w:hideMark/>
          </w:tcPr>
          <w:p w14:paraId="13668962" w14:textId="77777777" w:rsidR="00000000" w:rsidRDefault="000C49AD">
            <w:pPr>
              <w:spacing w:after="100"/>
              <w:rPr>
                <w:rFonts w:eastAsia="Times New Roman"/>
                <w:sz w:val="20"/>
                <w:szCs w:val="20"/>
              </w:rPr>
            </w:pPr>
          </w:p>
        </w:tc>
        <w:tc>
          <w:tcPr>
            <w:tcW w:w="537" w:type="pct"/>
            <w:vAlign w:val="center"/>
            <w:hideMark/>
          </w:tcPr>
          <w:p w14:paraId="5FB126E0" w14:textId="77777777" w:rsidR="00000000" w:rsidRDefault="000C49AD">
            <w:pPr>
              <w:spacing w:after="100"/>
              <w:rPr>
                <w:rFonts w:eastAsia="Times New Roman"/>
                <w:sz w:val="20"/>
                <w:szCs w:val="20"/>
              </w:rPr>
            </w:pPr>
          </w:p>
        </w:tc>
        <w:tc>
          <w:tcPr>
            <w:tcW w:w="5" w:type="pct"/>
            <w:vAlign w:val="center"/>
            <w:hideMark/>
          </w:tcPr>
          <w:p w14:paraId="2A2D5B02" w14:textId="77777777" w:rsidR="00000000" w:rsidRDefault="000C49AD">
            <w:pPr>
              <w:spacing w:after="100"/>
              <w:rPr>
                <w:rFonts w:eastAsia="Times New Roman"/>
                <w:sz w:val="20"/>
                <w:szCs w:val="20"/>
              </w:rPr>
            </w:pPr>
          </w:p>
        </w:tc>
        <w:tc>
          <w:tcPr>
            <w:tcW w:w="5" w:type="pct"/>
            <w:vAlign w:val="center"/>
            <w:hideMark/>
          </w:tcPr>
          <w:p w14:paraId="29092A54" w14:textId="77777777" w:rsidR="00000000" w:rsidRDefault="000C49AD">
            <w:pPr>
              <w:spacing w:after="100"/>
              <w:rPr>
                <w:rFonts w:eastAsia="Times New Roman"/>
                <w:sz w:val="20"/>
                <w:szCs w:val="20"/>
              </w:rPr>
            </w:pPr>
          </w:p>
        </w:tc>
        <w:tc>
          <w:tcPr>
            <w:tcW w:w="26" w:type="pct"/>
            <w:vAlign w:val="center"/>
            <w:hideMark/>
          </w:tcPr>
          <w:p w14:paraId="5FA9A0BF" w14:textId="77777777" w:rsidR="00000000" w:rsidRDefault="000C49AD">
            <w:pPr>
              <w:spacing w:after="100"/>
              <w:rPr>
                <w:rFonts w:eastAsia="Times New Roman"/>
                <w:sz w:val="20"/>
                <w:szCs w:val="20"/>
              </w:rPr>
            </w:pPr>
          </w:p>
        </w:tc>
        <w:tc>
          <w:tcPr>
            <w:tcW w:w="5" w:type="pct"/>
            <w:vAlign w:val="center"/>
            <w:hideMark/>
          </w:tcPr>
          <w:p w14:paraId="09889D20" w14:textId="77777777" w:rsidR="00000000" w:rsidRDefault="000C49AD">
            <w:pPr>
              <w:spacing w:after="100"/>
              <w:rPr>
                <w:rFonts w:eastAsia="Times New Roman"/>
                <w:sz w:val="20"/>
                <w:szCs w:val="20"/>
              </w:rPr>
            </w:pPr>
          </w:p>
        </w:tc>
        <w:tc>
          <w:tcPr>
            <w:tcW w:w="50" w:type="pct"/>
            <w:vAlign w:val="center"/>
            <w:hideMark/>
          </w:tcPr>
          <w:p w14:paraId="59009104" w14:textId="77777777" w:rsidR="00000000" w:rsidRDefault="000C49AD">
            <w:pPr>
              <w:spacing w:after="100"/>
              <w:rPr>
                <w:rFonts w:eastAsia="Times New Roman"/>
                <w:sz w:val="20"/>
                <w:szCs w:val="20"/>
              </w:rPr>
            </w:pPr>
          </w:p>
        </w:tc>
        <w:tc>
          <w:tcPr>
            <w:tcW w:w="464" w:type="pct"/>
            <w:vAlign w:val="center"/>
            <w:hideMark/>
          </w:tcPr>
          <w:p w14:paraId="05C82FBB" w14:textId="77777777" w:rsidR="00000000" w:rsidRDefault="000C49AD">
            <w:pPr>
              <w:spacing w:after="100"/>
              <w:rPr>
                <w:rFonts w:eastAsia="Times New Roman"/>
                <w:sz w:val="20"/>
                <w:szCs w:val="20"/>
              </w:rPr>
            </w:pPr>
          </w:p>
        </w:tc>
        <w:tc>
          <w:tcPr>
            <w:tcW w:w="5" w:type="pct"/>
            <w:vAlign w:val="center"/>
            <w:hideMark/>
          </w:tcPr>
          <w:p w14:paraId="6BDBD446" w14:textId="77777777" w:rsidR="00000000" w:rsidRDefault="000C49AD">
            <w:pPr>
              <w:spacing w:after="100"/>
              <w:rPr>
                <w:rFonts w:eastAsia="Times New Roman"/>
                <w:sz w:val="20"/>
                <w:szCs w:val="20"/>
              </w:rPr>
            </w:pPr>
          </w:p>
        </w:tc>
        <w:tc>
          <w:tcPr>
            <w:tcW w:w="5" w:type="pct"/>
            <w:vAlign w:val="center"/>
            <w:hideMark/>
          </w:tcPr>
          <w:p w14:paraId="6B6B7C3C" w14:textId="77777777" w:rsidR="00000000" w:rsidRDefault="000C49AD">
            <w:pPr>
              <w:spacing w:after="100"/>
              <w:rPr>
                <w:rFonts w:eastAsia="Times New Roman"/>
                <w:sz w:val="20"/>
                <w:szCs w:val="20"/>
              </w:rPr>
            </w:pPr>
          </w:p>
        </w:tc>
        <w:tc>
          <w:tcPr>
            <w:tcW w:w="26" w:type="pct"/>
            <w:vAlign w:val="center"/>
            <w:hideMark/>
          </w:tcPr>
          <w:p w14:paraId="1589FEEA" w14:textId="77777777" w:rsidR="00000000" w:rsidRDefault="000C49AD">
            <w:pPr>
              <w:spacing w:after="100"/>
              <w:rPr>
                <w:rFonts w:eastAsia="Times New Roman"/>
                <w:sz w:val="20"/>
                <w:szCs w:val="20"/>
              </w:rPr>
            </w:pPr>
          </w:p>
        </w:tc>
        <w:tc>
          <w:tcPr>
            <w:tcW w:w="5" w:type="pct"/>
            <w:vAlign w:val="center"/>
            <w:hideMark/>
          </w:tcPr>
          <w:p w14:paraId="6A0506E2" w14:textId="77777777" w:rsidR="00000000" w:rsidRDefault="000C49AD">
            <w:pPr>
              <w:spacing w:after="100"/>
              <w:rPr>
                <w:rFonts w:eastAsia="Times New Roman"/>
                <w:sz w:val="20"/>
                <w:szCs w:val="20"/>
              </w:rPr>
            </w:pPr>
          </w:p>
        </w:tc>
        <w:tc>
          <w:tcPr>
            <w:tcW w:w="50" w:type="pct"/>
            <w:vAlign w:val="center"/>
            <w:hideMark/>
          </w:tcPr>
          <w:p w14:paraId="5DE60EED" w14:textId="77777777" w:rsidR="00000000" w:rsidRDefault="000C49AD">
            <w:pPr>
              <w:spacing w:after="100"/>
              <w:rPr>
                <w:rFonts w:eastAsia="Times New Roman"/>
                <w:sz w:val="20"/>
                <w:szCs w:val="20"/>
              </w:rPr>
            </w:pPr>
          </w:p>
        </w:tc>
        <w:tc>
          <w:tcPr>
            <w:tcW w:w="537" w:type="pct"/>
            <w:vAlign w:val="center"/>
            <w:hideMark/>
          </w:tcPr>
          <w:p w14:paraId="5DD7797B" w14:textId="77777777" w:rsidR="00000000" w:rsidRDefault="000C49AD">
            <w:pPr>
              <w:spacing w:after="100"/>
              <w:rPr>
                <w:rFonts w:eastAsia="Times New Roman"/>
                <w:sz w:val="20"/>
                <w:szCs w:val="20"/>
              </w:rPr>
            </w:pPr>
          </w:p>
        </w:tc>
        <w:tc>
          <w:tcPr>
            <w:tcW w:w="5" w:type="pct"/>
            <w:vAlign w:val="center"/>
            <w:hideMark/>
          </w:tcPr>
          <w:p w14:paraId="2E5C464A" w14:textId="77777777" w:rsidR="00000000" w:rsidRDefault="000C49AD">
            <w:pPr>
              <w:spacing w:after="100"/>
              <w:rPr>
                <w:rFonts w:eastAsia="Times New Roman"/>
                <w:sz w:val="20"/>
                <w:szCs w:val="20"/>
              </w:rPr>
            </w:pPr>
          </w:p>
        </w:tc>
        <w:tc>
          <w:tcPr>
            <w:tcW w:w="5" w:type="pct"/>
            <w:vAlign w:val="center"/>
            <w:hideMark/>
          </w:tcPr>
          <w:p w14:paraId="25016039" w14:textId="77777777" w:rsidR="00000000" w:rsidRDefault="000C49AD">
            <w:pPr>
              <w:spacing w:after="100"/>
              <w:rPr>
                <w:rFonts w:eastAsia="Times New Roman"/>
                <w:sz w:val="20"/>
                <w:szCs w:val="20"/>
              </w:rPr>
            </w:pPr>
          </w:p>
        </w:tc>
        <w:tc>
          <w:tcPr>
            <w:tcW w:w="26" w:type="pct"/>
            <w:vAlign w:val="center"/>
            <w:hideMark/>
          </w:tcPr>
          <w:p w14:paraId="40D52E4B" w14:textId="77777777" w:rsidR="00000000" w:rsidRDefault="000C49AD">
            <w:pPr>
              <w:spacing w:after="100"/>
              <w:rPr>
                <w:rFonts w:eastAsia="Times New Roman"/>
                <w:sz w:val="20"/>
                <w:szCs w:val="20"/>
              </w:rPr>
            </w:pPr>
          </w:p>
        </w:tc>
        <w:tc>
          <w:tcPr>
            <w:tcW w:w="5" w:type="pct"/>
            <w:vAlign w:val="center"/>
            <w:hideMark/>
          </w:tcPr>
          <w:p w14:paraId="4D5DC6F1" w14:textId="77777777" w:rsidR="00000000" w:rsidRDefault="000C49AD">
            <w:pPr>
              <w:spacing w:after="100"/>
              <w:rPr>
                <w:rFonts w:eastAsia="Times New Roman"/>
                <w:sz w:val="20"/>
                <w:szCs w:val="20"/>
              </w:rPr>
            </w:pPr>
          </w:p>
        </w:tc>
        <w:tc>
          <w:tcPr>
            <w:tcW w:w="50" w:type="pct"/>
            <w:vAlign w:val="center"/>
            <w:hideMark/>
          </w:tcPr>
          <w:p w14:paraId="21A5E145" w14:textId="77777777" w:rsidR="00000000" w:rsidRDefault="000C49AD">
            <w:pPr>
              <w:spacing w:after="100"/>
              <w:rPr>
                <w:rFonts w:eastAsia="Times New Roman"/>
                <w:sz w:val="20"/>
                <w:szCs w:val="20"/>
              </w:rPr>
            </w:pPr>
          </w:p>
        </w:tc>
        <w:tc>
          <w:tcPr>
            <w:tcW w:w="537" w:type="pct"/>
            <w:vAlign w:val="center"/>
            <w:hideMark/>
          </w:tcPr>
          <w:p w14:paraId="73BFE61C" w14:textId="77777777" w:rsidR="00000000" w:rsidRDefault="000C49AD">
            <w:pPr>
              <w:spacing w:after="100"/>
              <w:rPr>
                <w:rFonts w:eastAsia="Times New Roman"/>
                <w:sz w:val="20"/>
                <w:szCs w:val="20"/>
              </w:rPr>
            </w:pPr>
          </w:p>
        </w:tc>
        <w:tc>
          <w:tcPr>
            <w:tcW w:w="5" w:type="pct"/>
            <w:vAlign w:val="center"/>
            <w:hideMark/>
          </w:tcPr>
          <w:p w14:paraId="23EBBC68" w14:textId="77777777" w:rsidR="00000000" w:rsidRDefault="000C49AD">
            <w:pPr>
              <w:spacing w:after="100"/>
              <w:rPr>
                <w:rFonts w:eastAsia="Times New Roman"/>
                <w:sz w:val="20"/>
                <w:szCs w:val="20"/>
              </w:rPr>
            </w:pPr>
          </w:p>
        </w:tc>
      </w:tr>
      <w:tr w:rsidR="00000000" w14:paraId="3F598DBB" w14:textId="77777777">
        <w:trPr>
          <w:divId w:val="784034935"/>
        </w:trPr>
        <w:tc>
          <w:tcPr>
            <w:tcW w:w="0" w:type="auto"/>
            <w:gridSpan w:val="3"/>
            <w:tcMar>
              <w:top w:w="0" w:type="dxa"/>
              <w:left w:w="20" w:type="dxa"/>
              <w:bottom w:w="0" w:type="dxa"/>
              <w:right w:w="20" w:type="dxa"/>
            </w:tcMar>
            <w:vAlign w:val="center"/>
            <w:hideMark/>
          </w:tcPr>
          <w:p w14:paraId="2A074BC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F3368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7F06E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396293"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878F3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8F48D2" w14:textId="77777777" w:rsidR="00000000" w:rsidRDefault="000C49AD">
            <w:pPr>
              <w:spacing w:after="100"/>
              <w:rPr>
                <w:rFonts w:eastAsia="Times New Roman"/>
                <w:sz w:val="20"/>
                <w:szCs w:val="20"/>
              </w:rPr>
            </w:pPr>
          </w:p>
        </w:tc>
        <w:tc>
          <w:tcPr>
            <w:tcW w:w="0" w:type="auto"/>
            <w:gridSpan w:val="9"/>
            <w:tcBorders>
              <w:bottom w:val="single" w:sz="8" w:space="0" w:color="000000"/>
            </w:tcBorders>
            <w:tcMar>
              <w:top w:w="30" w:type="dxa"/>
              <w:left w:w="20" w:type="dxa"/>
              <w:bottom w:w="30" w:type="dxa"/>
              <w:right w:w="20" w:type="dxa"/>
            </w:tcMar>
            <w:vAlign w:val="bottom"/>
            <w:hideMark/>
          </w:tcPr>
          <w:p w14:paraId="7BE94719" w14:textId="77777777" w:rsidR="00000000" w:rsidRDefault="000C49AD">
            <w:pPr>
              <w:spacing w:after="100"/>
              <w:jc w:val="center"/>
              <w:rPr>
                <w:rFonts w:eastAsia="Times New Roman"/>
              </w:rPr>
            </w:pPr>
            <w:r>
              <w:rPr>
                <w:rFonts w:eastAsia="Times New Roman"/>
                <w:b/>
                <w:bCs/>
                <w:i/>
                <w:iCs/>
                <w:color w:val="000000"/>
                <w:sz w:val="18"/>
                <w:szCs w:val="18"/>
              </w:rPr>
              <w:t>Increase / (Decrease)</w:t>
            </w:r>
          </w:p>
        </w:tc>
      </w:tr>
      <w:tr w:rsidR="00000000" w14:paraId="546D73CD" w14:textId="77777777">
        <w:trPr>
          <w:divId w:val="784034935"/>
        </w:trPr>
        <w:tc>
          <w:tcPr>
            <w:tcW w:w="0" w:type="auto"/>
            <w:gridSpan w:val="3"/>
            <w:tcMar>
              <w:top w:w="30" w:type="dxa"/>
              <w:left w:w="20" w:type="dxa"/>
              <w:bottom w:w="30" w:type="dxa"/>
              <w:right w:w="20" w:type="dxa"/>
            </w:tcMar>
            <w:vAlign w:val="bottom"/>
            <w:hideMark/>
          </w:tcPr>
          <w:p w14:paraId="699F1E51"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85AEC09" w14:textId="77777777" w:rsidR="00000000" w:rsidRDefault="000C49AD">
            <w:pPr>
              <w:spacing w:after="100"/>
              <w:rPr>
                <w:rFonts w:eastAsia="Times New Roman"/>
              </w:rPr>
            </w:pPr>
          </w:p>
        </w:tc>
        <w:tc>
          <w:tcPr>
            <w:tcW w:w="0" w:type="auto"/>
            <w:gridSpan w:val="12"/>
            <w:tcMar>
              <w:top w:w="30" w:type="dxa"/>
              <w:left w:w="20" w:type="dxa"/>
              <w:bottom w:w="30" w:type="dxa"/>
              <w:right w:w="20" w:type="dxa"/>
            </w:tcMar>
            <w:vAlign w:val="bottom"/>
            <w:hideMark/>
          </w:tcPr>
          <w:p w14:paraId="731DCA3E" w14:textId="77777777" w:rsidR="00000000" w:rsidRDefault="000C49AD">
            <w:pPr>
              <w:spacing w:after="100"/>
              <w:jc w:val="center"/>
              <w:rPr>
                <w:rFonts w:eastAsia="Times New Roman"/>
              </w:rPr>
            </w:pPr>
            <w:r>
              <w:rPr>
                <w:rFonts w:eastAsia="Times New Roman"/>
                <w:b/>
                <w:bCs/>
                <w:color w:val="000000"/>
                <w:sz w:val="18"/>
                <w:szCs w:val="18"/>
              </w:rPr>
              <w:t>Years Ended December 31,</w:t>
            </w:r>
          </w:p>
        </w:tc>
        <w:tc>
          <w:tcPr>
            <w:tcW w:w="0" w:type="auto"/>
            <w:gridSpan w:val="9"/>
            <w:tcBorders>
              <w:top w:val="single" w:sz="8" w:space="0" w:color="000000"/>
            </w:tcBorders>
            <w:tcMar>
              <w:top w:w="30" w:type="dxa"/>
              <w:left w:w="20" w:type="dxa"/>
              <w:bottom w:w="30" w:type="dxa"/>
              <w:right w:w="20" w:type="dxa"/>
            </w:tcMar>
            <w:vAlign w:val="bottom"/>
            <w:hideMark/>
          </w:tcPr>
          <w:p w14:paraId="58E49679" w14:textId="77777777" w:rsidR="00000000" w:rsidRDefault="000C49AD">
            <w:pPr>
              <w:spacing w:after="100"/>
              <w:jc w:val="center"/>
              <w:rPr>
                <w:rFonts w:eastAsia="Times New Roman"/>
              </w:rPr>
            </w:pPr>
            <w:r>
              <w:rPr>
                <w:rFonts w:eastAsia="Times New Roman"/>
                <w:b/>
                <w:bCs/>
                <w:color w:val="000000"/>
                <w:sz w:val="18"/>
                <w:szCs w:val="18"/>
              </w:rPr>
              <w:t>Change</w:t>
            </w:r>
          </w:p>
        </w:tc>
      </w:tr>
      <w:tr w:rsidR="00000000" w14:paraId="15A155ED" w14:textId="77777777">
        <w:trPr>
          <w:divId w:val="784034935"/>
        </w:trPr>
        <w:tc>
          <w:tcPr>
            <w:tcW w:w="0" w:type="auto"/>
            <w:gridSpan w:val="3"/>
            <w:tcMar>
              <w:top w:w="30" w:type="dxa"/>
              <w:left w:w="20" w:type="dxa"/>
              <w:bottom w:w="30" w:type="dxa"/>
              <w:right w:w="20" w:type="dxa"/>
            </w:tcMar>
            <w:vAlign w:val="bottom"/>
            <w:hideMark/>
          </w:tcPr>
          <w:p w14:paraId="06006322" w14:textId="77777777" w:rsidR="00000000" w:rsidRDefault="000C49AD">
            <w:pPr>
              <w:spacing w:after="100"/>
              <w:rPr>
                <w:rFonts w:eastAsia="Times New Roman"/>
              </w:rPr>
            </w:pPr>
            <w:r>
              <w:rPr>
                <w:rFonts w:eastAsia="Times New Roman"/>
                <w:b/>
                <w:bCs/>
                <w:color w:val="000000"/>
                <w:sz w:val="18"/>
                <w:szCs w:val="18"/>
              </w:rPr>
              <w:t>Comparative Statements of (Loss) Income:</w:t>
            </w:r>
          </w:p>
        </w:tc>
        <w:tc>
          <w:tcPr>
            <w:tcW w:w="0" w:type="auto"/>
            <w:gridSpan w:val="3"/>
            <w:tcMar>
              <w:top w:w="0" w:type="dxa"/>
              <w:left w:w="20" w:type="dxa"/>
              <w:bottom w:w="0" w:type="dxa"/>
              <w:right w:w="20" w:type="dxa"/>
            </w:tcMar>
            <w:vAlign w:val="center"/>
            <w:hideMark/>
          </w:tcPr>
          <w:p w14:paraId="57E7B2CB"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EC2EC5C"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46F284BA"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DA9E6C"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3DFC80AF"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E17F2F" w14:textId="77777777" w:rsidR="00000000" w:rsidRDefault="000C49A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57D8FE19"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A98DE9F" w14:textId="77777777" w:rsidR="00000000" w:rsidRDefault="000C49AD">
            <w:pPr>
              <w:spacing w:after="100"/>
              <w:jc w:val="center"/>
              <w:rPr>
                <w:rFonts w:eastAsia="Times New Roman"/>
              </w:rPr>
            </w:pPr>
            <w:r>
              <w:rPr>
                <w:rFonts w:eastAsia="Times New Roman"/>
                <w:b/>
                <w:bCs/>
                <w:color w:val="000000"/>
                <w:sz w:val="18"/>
                <w:szCs w:val="18"/>
              </w:rPr>
              <w:t>%</w:t>
            </w:r>
          </w:p>
        </w:tc>
      </w:tr>
      <w:tr w:rsidR="00000000" w14:paraId="451AD3F4" w14:textId="77777777">
        <w:trPr>
          <w:divId w:val="784034935"/>
          <w:trHeight w:val="60"/>
        </w:trPr>
        <w:tc>
          <w:tcPr>
            <w:tcW w:w="0" w:type="auto"/>
            <w:gridSpan w:val="3"/>
            <w:tcBorders>
              <w:top w:val="single" w:sz="8" w:space="0" w:color="000000"/>
            </w:tcBorders>
            <w:tcMar>
              <w:top w:w="0" w:type="dxa"/>
              <w:left w:w="20" w:type="dxa"/>
              <w:bottom w:w="0" w:type="dxa"/>
              <w:right w:w="20" w:type="dxa"/>
            </w:tcMar>
            <w:vAlign w:val="center"/>
            <w:hideMark/>
          </w:tcPr>
          <w:p w14:paraId="696A289B"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8A4B566"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CFE3E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6699D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298CAE"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06971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DE7FA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D41C15"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46398D" w14:textId="77777777" w:rsidR="00000000" w:rsidRDefault="000C49AD">
            <w:pPr>
              <w:spacing w:after="100"/>
              <w:rPr>
                <w:rFonts w:eastAsia="Times New Roman"/>
                <w:sz w:val="20"/>
                <w:szCs w:val="20"/>
              </w:rPr>
            </w:pPr>
          </w:p>
        </w:tc>
      </w:tr>
      <w:tr w:rsidR="00000000" w14:paraId="0153D3B4" w14:textId="77777777">
        <w:trPr>
          <w:divId w:val="784034935"/>
        </w:trPr>
        <w:tc>
          <w:tcPr>
            <w:tcW w:w="0" w:type="auto"/>
            <w:gridSpan w:val="3"/>
            <w:shd w:val="clear" w:color="auto" w:fill="CCEEFF"/>
            <w:tcMar>
              <w:top w:w="30" w:type="dxa"/>
              <w:left w:w="155" w:type="dxa"/>
              <w:bottom w:w="30" w:type="dxa"/>
              <w:right w:w="20" w:type="dxa"/>
            </w:tcMar>
            <w:vAlign w:val="bottom"/>
            <w:hideMark/>
          </w:tcPr>
          <w:p w14:paraId="314209B0" w14:textId="77777777" w:rsidR="00000000" w:rsidRDefault="000C49AD">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14:paraId="4D7A7ACE"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EC610D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F8015EA"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FD592B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6B499B"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F39D32"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9E2517E" w14:textId="77777777" w:rsidR="00000000" w:rsidRDefault="000C49AD">
            <w:pPr>
              <w:spacing w:after="100"/>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14:paraId="3A5D2FC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FD44B"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8800EA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3BEC222" w14:textId="77777777" w:rsidR="00000000" w:rsidRDefault="000C49AD">
            <w:pPr>
              <w:spacing w:after="100"/>
              <w:jc w:val="right"/>
              <w:rPr>
                <w:rFonts w:eastAsia="Times New Roman"/>
              </w:rPr>
            </w:pPr>
            <w:r>
              <w:rPr>
                <w:rFonts w:eastAsia="Times New Roman"/>
                <w:color w:val="000000"/>
                <w:sz w:val="18"/>
                <w:szCs w:val="18"/>
              </w:rPr>
              <w:t>(22,334)</w:t>
            </w:r>
          </w:p>
        </w:tc>
        <w:tc>
          <w:tcPr>
            <w:tcW w:w="0" w:type="auto"/>
            <w:shd w:val="clear" w:color="auto" w:fill="CCEEFF"/>
            <w:tcMar>
              <w:top w:w="30" w:type="dxa"/>
              <w:left w:w="0" w:type="dxa"/>
              <w:bottom w:w="30" w:type="dxa"/>
              <w:right w:w="20" w:type="dxa"/>
            </w:tcMar>
            <w:vAlign w:val="bottom"/>
            <w:hideMark/>
          </w:tcPr>
          <w:p w14:paraId="582A654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CF15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449E67" w14:textId="77777777" w:rsidR="00000000" w:rsidRDefault="000C49AD">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14:paraId="7C7DCDF9" w14:textId="77777777" w:rsidR="00000000" w:rsidRDefault="000C49AD">
            <w:pPr>
              <w:spacing w:after="100"/>
              <w:jc w:val="right"/>
              <w:rPr>
                <w:rFonts w:eastAsia="Times New Roman"/>
              </w:rPr>
            </w:pPr>
            <w:r>
              <w:rPr>
                <w:rFonts w:eastAsia="Times New Roman"/>
                <w:color w:val="000000"/>
                <w:sz w:val="18"/>
                <w:szCs w:val="18"/>
              </w:rPr>
              <w:t>%</w:t>
            </w:r>
          </w:p>
        </w:tc>
      </w:tr>
      <w:tr w:rsidR="00000000" w14:paraId="1237C91F" w14:textId="77777777">
        <w:trPr>
          <w:divId w:val="784034935"/>
        </w:trPr>
        <w:tc>
          <w:tcPr>
            <w:tcW w:w="0" w:type="auto"/>
            <w:gridSpan w:val="3"/>
            <w:shd w:val="clear" w:color="auto" w:fill="FFFFFF"/>
            <w:tcMar>
              <w:top w:w="30" w:type="dxa"/>
              <w:left w:w="20" w:type="dxa"/>
              <w:bottom w:w="30" w:type="dxa"/>
              <w:right w:w="20" w:type="dxa"/>
            </w:tcMar>
            <w:vAlign w:val="bottom"/>
            <w:hideMark/>
          </w:tcPr>
          <w:p w14:paraId="07ED58D1" w14:textId="77777777" w:rsidR="00000000" w:rsidRDefault="000C49AD">
            <w:pPr>
              <w:spacing w:after="100"/>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14:paraId="3774F4C9" w14:textId="77777777" w:rsidR="00000000" w:rsidRDefault="000C49AD">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FA477"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B53881"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458D73"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502D6C"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EB6E5D"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F5AF72"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584ABB" w14:textId="77777777" w:rsidR="00000000" w:rsidRDefault="000C49AD">
            <w:pPr>
              <w:spacing w:after="100"/>
              <w:rPr>
                <w:rFonts w:eastAsia="Times New Roman"/>
                <w:sz w:val="20"/>
                <w:szCs w:val="20"/>
              </w:rPr>
            </w:pPr>
          </w:p>
        </w:tc>
      </w:tr>
      <w:tr w:rsidR="00000000" w14:paraId="1AA0D5E7" w14:textId="77777777">
        <w:trPr>
          <w:divId w:val="784034935"/>
        </w:trPr>
        <w:tc>
          <w:tcPr>
            <w:tcW w:w="0" w:type="auto"/>
            <w:gridSpan w:val="3"/>
            <w:shd w:val="clear" w:color="auto" w:fill="CCEEFF"/>
            <w:tcMar>
              <w:top w:w="30" w:type="dxa"/>
              <w:left w:w="155" w:type="dxa"/>
              <w:bottom w:w="30" w:type="dxa"/>
              <w:right w:w="20" w:type="dxa"/>
            </w:tcMar>
            <w:vAlign w:val="bottom"/>
            <w:hideMark/>
          </w:tcPr>
          <w:p w14:paraId="012B598C" w14:textId="77777777" w:rsidR="00000000" w:rsidRDefault="000C49AD">
            <w:pPr>
              <w:spacing w:after="100"/>
              <w:rPr>
                <w:rFonts w:eastAsia="Times New Roman"/>
              </w:rPr>
            </w:pPr>
            <w:r>
              <w:rPr>
                <w:rFonts w:eastAsia="Times New Roman"/>
                <w:color w:val="000000"/>
                <w:sz w:val="18"/>
                <w:szCs w:val="18"/>
              </w:rPr>
              <w:t xml:space="preserve">Cost of products </w:t>
            </w:r>
          </w:p>
        </w:tc>
        <w:tc>
          <w:tcPr>
            <w:tcW w:w="0" w:type="auto"/>
            <w:gridSpan w:val="3"/>
            <w:shd w:val="clear" w:color="auto" w:fill="CCEEFF"/>
            <w:tcMar>
              <w:top w:w="0" w:type="dxa"/>
              <w:left w:w="20" w:type="dxa"/>
              <w:bottom w:w="0" w:type="dxa"/>
              <w:right w:w="20" w:type="dxa"/>
            </w:tcMar>
            <w:vAlign w:val="center"/>
            <w:hideMark/>
          </w:tcPr>
          <w:p w14:paraId="7716F492"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B18564"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57388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21504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120344" w14:textId="77777777" w:rsidR="00000000" w:rsidRDefault="000C49AD">
            <w:pPr>
              <w:spacing w:after="100"/>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14:paraId="6714467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0C36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B56E1C" w14:textId="77777777" w:rsidR="00000000" w:rsidRDefault="000C49AD">
            <w:pPr>
              <w:spacing w:after="100"/>
              <w:jc w:val="right"/>
              <w:rPr>
                <w:rFonts w:eastAsia="Times New Roman"/>
              </w:rPr>
            </w:pPr>
            <w:r>
              <w:rPr>
                <w:rFonts w:eastAsia="Times New Roman"/>
                <w:color w:val="000000"/>
                <w:sz w:val="18"/>
                <w:szCs w:val="18"/>
              </w:rPr>
              <w:t>(5,742)</w:t>
            </w:r>
          </w:p>
        </w:tc>
        <w:tc>
          <w:tcPr>
            <w:tcW w:w="0" w:type="auto"/>
            <w:shd w:val="clear" w:color="auto" w:fill="CCEEFF"/>
            <w:tcMar>
              <w:top w:w="30" w:type="dxa"/>
              <w:left w:w="0" w:type="dxa"/>
              <w:bottom w:w="30" w:type="dxa"/>
              <w:right w:w="20" w:type="dxa"/>
            </w:tcMar>
            <w:vAlign w:val="bottom"/>
            <w:hideMark/>
          </w:tcPr>
          <w:p w14:paraId="174DEF4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E15F1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09EF91" w14:textId="77777777" w:rsidR="00000000" w:rsidRDefault="000C49AD">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14:paraId="50384AF7" w14:textId="77777777" w:rsidR="00000000" w:rsidRDefault="000C49AD">
            <w:pPr>
              <w:spacing w:after="100"/>
              <w:jc w:val="right"/>
              <w:rPr>
                <w:rFonts w:eastAsia="Times New Roman"/>
              </w:rPr>
            </w:pPr>
            <w:r>
              <w:rPr>
                <w:rFonts w:eastAsia="Times New Roman"/>
                <w:color w:val="000000"/>
                <w:sz w:val="18"/>
                <w:szCs w:val="18"/>
              </w:rPr>
              <w:t>%</w:t>
            </w:r>
          </w:p>
        </w:tc>
      </w:tr>
      <w:tr w:rsidR="00000000" w14:paraId="36517145" w14:textId="77777777">
        <w:trPr>
          <w:divId w:val="784034935"/>
        </w:trPr>
        <w:tc>
          <w:tcPr>
            <w:tcW w:w="0" w:type="auto"/>
            <w:gridSpan w:val="3"/>
            <w:shd w:val="clear" w:color="auto" w:fill="FFFFFF"/>
            <w:tcMar>
              <w:top w:w="30" w:type="dxa"/>
              <w:left w:w="155" w:type="dxa"/>
              <w:bottom w:w="30" w:type="dxa"/>
              <w:right w:w="20" w:type="dxa"/>
            </w:tcMar>
            <w:vAlign w:val="bottom"/>
            <w:hideMark/>
          </w:tcPr>
          <w:p w14:paraId="273AAF2C" w14:textId="77777777" w:rsidR="00000000" w:rsidRDefault="000C49AD">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14:paraId="115F03E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2665E1" w14:textId="77777777" w:rsidR="00000000" w:rsidRDefault="000C49AD">
            <w:pPr>
              <w:spacing w:after="100"/>
              <w:jc w:val="right"/>
              <w:rPr>
                <w:rFonts w:eastAsia="Times New Roman"/>
              </w:rPr>
            </w:pPr>
            <w:r>
              <w:rPr>
                <w:rFonts w:eastAsia="Times New Roman"/>
                <w:color w:val="000000"/>
                <w:sz w:val="18"/>
                <w:szCs w:val="18"/>
              </w:rPr>
              <w:t>17,104 </w:t>
            </w:r>
          </w:p>
        </w:tc>
        <w:tc>
          <w:tcPr>
            <w:tcW w:w="0" w:type="auto"/>
            <w:shd w:val="clear" w:color="auto" w:fill="FFFFFF"/>
            <w:tcMar>
              <w:top w:w="30" w:type="dxa"/>
              <w:left w:w="0" w:type="dxa"/>
              <w:bottom w:w="30" w:type="dxa"/>
              <w:right w:w="20" w:type="dxa"/>
            </w:tcMar>
            <w:vAlign w:val="bottom"/>
            <w:hideMark/>
          </w:tcPr>
          <w:p w14:paraId="2D1F26D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2694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2E0B89" w14:textId="77777777" w:rsidR="00000000" w:rsidRDefault="000C49AD">
            <w:pPr>
              <w:spacing w:after="100"/>
              <w:jc w:val="right"/>
              <w:rPr>
                <w:rFonts w:eastAsia="Times New Roman"/>
              </w:rPr>
            </w:pPr>
            <w:r>
              <w:rPr>
                <w:rFonts w:eastAsia="Times New Roman"/>
                <w:color w:val="000000"/>
                <w:sz w:val="18"/>
                <w:szCs w:val="18"/>
              </w:rPr>
              <w:t>20,442 </w:t>
            </w:r>
          </w:p>
        </w:tc>
        <w:tc>
          <w:tcPr>
            <w:tcW w:w="0" w:type="auto"/>
            <w:shd w:val="clear" w:color="auto" w:fill="FFFFFF"/>
            <w:tcMar>
              <w:top w:w="30" w:type="dxa"/>
              <w:left w:w="0" w:type="dxa"/>
              <w:bottom w:w="30" w:type="dxa"/>
              <w:right w:w="20" w:type="dxa"/>
            </w:tcMar>
            <w:vAlign w:val="bottom"/>
            <w:hideMark/>
          </w:tcPr>
          <w:p w14:paraId="2F7D3D7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ABEEF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FC94A3" w14:textId="77777777" w:rsidR="00000000" w:rsidRDefault="000C49AD">
            <w:pPr>
              <w:spacing w:after="100"/>
              <w:jc w:val="right"/>
              <w:rPr>
                <w:rFonts w:eastAsia="Times New Roman"/>
              </w:rPr>
            </w:pPr>
            <w:r>
              <w:rPr>
                <w:rFonts w:eastAsia="Times New Roman"/>
                <w:color w:val="000000"/>
                <w:sz w:val="18"/>
                <w:szCs w:val="18"/>
              </w:rPr>
              <w:t>(3,338)</w:t>
            </w:r>
          </w:p>
        </w:tc>
        <w:tc>
          <w:tcPr>
            <w:tcW w:w="0" w:type="auto"/>
            <w:shd w:val="clear" w:color="auto" w:fill="FFFFFF"/>
            <w:tcMar>
              <w:top w:w="30" w:type="dxa"/>
              <w:left w:w="0" w:type="dxa"/>
              <w:bottom w:w="30" w:type="dxa"/>
              <w:right w:w="20" w:type="dxa"/>
            </w:tcMar>
            <w:vAlign w:val="bottom"/>
            <w:hideMark/>
          </w:tcPr>
          <w:p w14:paraId="1CDF0F8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4620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10624F" w14:textId="77777777" w:rsidR="00000000" w:rsidRDefault="000C49AD">
            <w:pPr>
              <w:spacing w:after="100"/>
              <w:jc w:val="right"/>
              <w:rPr>
                <w:rFonts w:eastAsia="Times New Roman"/>
              </w:rPr>
            </w:pPr>
            <w:r>
              <w:rPr>
                <w:rFonts w:eastAsia="Times New Roman"/>
                <w:color w:val="000000"/>
                <w:sz w:val="18"/>
                <w:szCs w:val="18"/>
              </w:rPr>
              <w:t>(16.3)</w:t>
            </w:r>
          </w:p>
        </w:tc>
        <w:tc>
          <w:tcPr>
            <w:tcW w:w="0" w:type="auto"/>
            <w:shd w:val="clear" w:color="auto" w:fill="FFFFFF"/>
            <w:tcMar>
              <w:top w:w="30" w:type="dxa"/>
              <w:left w:w="0" w:type="dxa"/>
              <w:bottom w:w="30" w:type="dxa"/>
              <w:right w:w="20" w:type="dxa"/>
            </w:tcMar>
            <w:vAlign w:val="bottom"/>
            <w:hideMark/>
          </w:tcPr>
          <w:p w14:paraId="31982F0A" w14:textId="77777777" w:rsidR="00000000" w:rsidRDefault="000C49AD">
            <w:pPr>
              <w:spacing w:after="100"/>
              <w:jc w:val="right"/>
              <w:rPr>
                <w:rFonts w:eastAsia="Times New Roman"/>
              </w:rPr>
            </w:pPr>
            <w:r>
              <w:rPr>
                <w:rFonts w:eastAsia="Times New Roman"/>
                <w:color w:val="000000"/>
                <w:sz w:val="18"/>
                <w:szCs w:val="18"/>
              </w:rPr>
              <w:t>%</w:t>
            </w:r>
          </w:p>
        </w:tc>
      </w:tr>
      <w:tr w:rsidR="00000000" w14:paraId="4915F961" w14:textId="77777777">
        <w:trPr>
          <w:divId w:val="784034935"/>
        </w:trPr>
        <w:tc>
          <w:tcPr>
            <w:tcW w:w="0" w:type="auto"/>
            <w:gridSpan w:val="3"/>
            <w:shd w:val="clear" w:color="auto" w:fill="CCEEFF"/>
            <w:tcMar>
              <w:top w:w="30" w:type="dxa"/>
              <w:left w:w="155" w:type="dxa"/>
              <w:bottom w:w="30" w:type="dxa"/>
              <w:right w:w="20" w:type="dxa"/>
            </w:tcMar>
            <w:vAlign w:val="bottom"/>
            <w:hideMark/>
          </w:tcPr>
          <w:p w14:paraId="6D732759" w14:textId="77777777" w:rsidR="00000000" w:rsidRDefault="000C49AD">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75B985E1"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51EF03" w14:textId="77777777" w:rsidR="00000000" w:rsidRDefault="000C49AD">
            <w:pPr>
              <w:spacing w:after="100"/>
              <w:jc w:val="right"/>
              <w:rPr>
                <w:rFonts w:eastAsia="Times New Roman"/>
              </w:rPr>
            </w:pPr>
            <w:r>
              <w:rPr>
                <w:rFonts w:eastAsia="Times New Roman"/>
                <w:color w:val="000000"/>
                <w:sz w:val="18"/>
                <w:szCs w:val="18"/>
              </w:rPr>
              <w:t>68,495 </w:t>
            </w:r>
          </w:p>
        </w:tc>
        <w:tc>
          <w:tcPr>
            <w:tcW w:w="0" w:type="auto"/>
            <w:shd w:val="clear" w:color="auto" w:fill="CCEEFF"/>
            <w:tcMar>
              <w:top w:w="30" w:type="dxa"/>
              <w:left w:w="0" w:type="dxa"/>
              <w:bottom w:w="30" w:type="dxa"/>
              <w:right w:w="20" w:type="dxa"/>
            </w:tcMar>
            <w:vAlign w:val="bottom"/>
            <w:hideMark/>
          </w:tcPr>
          <w:p w14:paraId="074B440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7E40C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8B40B" w14:textId="77777777" w:rsidR="00000000" w:rsidRDefault="000C49AD">
            <w:pPr>
              <w:spacing w:after="100"/>
              <w:jc w:val="right"/>
              <w:rPr>
                <w:rFonts w:eastAsia="Times New Roman"/>
              </w:rPr>
            </w:pPr>
            <w:r>
              <w:rPr>
                <w:rFonts w:eastAsia="Times New Roman"/>
                <w:color w:val="000000"/>
                <w:sz w:val="18"/>
                <w:szCs w:val="18"/>
              </w:rPr>
              <w:t>32,405 </w:t>
            </w:r>
          </w:p>
        </w:tc>
        <w:tc>
          <w:tcPr>
            <w:tcW w:w="0" w:type="auto"/>
            <w:shd w:val="clear" w:color="auto" w:fill="CCEEFF"/>
            <w:tcMar>
              <w:top w:w="30" w:type="dxa"/>
              <w:left w:w="0" w:type="dxa"/>
              <w:bottom w:w="30" w:type="dxa"/>
              <w:right w:w="20" w:type="dxa"/>
            </w:tcMar>
            <w:vAlign w:val="bottom"/>
            <w:hideMark/>
          </w:tcPr>
          <w:p w14:paraId="5A6FCD0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1A81B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EFAF23" w14:textId="77777777" w:rsidR="00000000" w:rsidRDefault="000C49AD">
            <w:pPr>
              <w:spacing w:after="100"/>
              <w:jc w:val="right"/>
              <w:rPr>
                <w:rFonts w:eastAsia="Times New Roman"/>
              </w:rPr>
            </w:pPr>
            <w:r>
              <w:rPr>
                <w:rFonts w:eastAsia="Times New Roman"/>
                <w:color w:val="000000"/>
                <w:sz w:val="18"/>
                <w:szCs w:val="18"/>
              </w:rPr>
              <w:t>36,090 </w:t>
            </w:r>
          </w:p>
        </w:tc>
        <w:tc>
          <w:tcPr>
            <w:tcW w:w="0" w:type="auto"/>
            <w:shd w:val="clear" w:color="auto" w:fill="CCEEFF"/>
            <w:tcMar>
              <w:top w:w="30" w:type="dxa"/>
              <w:left w:w="0" w:type="dxa"/>
              <w:bottom w:w="30" w:type="dxa"/>
              <w:right w:w="20" w:type="dxa"/>
            </w:tcMar>
            <w:vAlign w:val="bottom"/>
            <w:hideMark/>
          </w:tcPr>
          <w:p w14:paraId="6B1EA12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18AA3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4796A3" w14:textId="77777777" w:rsidR="00000000" w:rsidRDefault="000C49AD">
            <w:pPr>
              <w:spacing w:after="100"/>
              <w:jc w:val="right"/>
              <w:rPr>
                <w:rFonts w:eastAsia="Times New Roman"/>
              </w:rPr>
            </w:pPr>
            <w:r>
              <w:rPr>
                <w:rFonts w:eastAsia="Times New Roman"/>
                <w:color w:val="000000"/>
                <w:sz w:val="18"/>
                <w:szCs w:val="18"/>
              </w:rPr>
              <w:t>111.4 </w:t>
            </w:r>
          </w:p>
        </w:tc>
        <w:tc>
          <w:tcPr>
            <w:tcW w:w="0" w:type="auto"/>
            <w:shd w:val="clear" w:color="auto" w:fill="CCEEFF"/>
            <w:tcMar>
              <w:top w:w="30" w:type="dxa"/>
              <w:left w:w="0" w:type="dxa"/>
              <w:bottom w:w="30" w:type="dxa"/>
              <w:right w:w="20" w:type="dxa"/>
            </w:tcMar>
            <w:vAlign w:val="bottom"/>
            <w:hideMark/>
          </w:tcPr>
          <w:p w14:paraId="276AD910" w14:textId="77777777" w:rsidR="00000000" w:rsidRDefault="000C49AD">
            <w:pPr>
              <w:spacing w:after="100"/>
              <w:jc w:val="right"/>
              <w:rPr>
                <w:rFonts w:eastAsia="Times New Roman"/>
              </w:rPr>
            </w:pPr>
            <w:r>
              <w:rPr>
                <w:rFonts w:eastAsia="Times New Roman"/>
                <w:color w:val="000000"/>
                <w:sz w:val="18"/>
                <w:szCs w:val="18"/>
              </w:rPr>
              <w:t>%</w:t>
            </w:r>
          </w:p>
        </w:tc>
      </w:tr>
      <w:tr w:rsidR="00000000" w14:paraId="37C2AD66" w14:textId="77777777">
        <w:trPr>
          <w:divId w:val="784034935"/>
        </w:trPr>
        <w:tc>
          <w:tcPr>
            <w:tcW w:w="0" w:type="auto"/>
            <w:gridSpan w:val="3"/>
            <w:shd w:val="clear" w:color="auto" w:fill="FFFFFF"/>
            <w:tcMar>
              <w:top w:w="30" w:type="dxa"/>
              <w:left w:w="155" w:type="dxa"/>
              <w:bottom w:w="30" w:type="dxa"/>
              <w:right w:w="20" w:type="dxa"/>
            </w:tcMar>
            <w:vAlign w:val="bottom"/>
            <w:hideMark/>
          </w:tcPr>
          <w:p w14:paraId="6B0CCB6A" w14:textId="77777777" w:rsidR="00000000" w:rsidRDefault="000C49AD">
            <w:pPr>
              <w:spacing w:after="100"/>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14:paraId="64E47ECB"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E11122"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5B019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8FF8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050D48A" w14:textId="77777777" w:rsidR="00000000" w:rsidRDefault="000C49AD">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14:paraId="07F65F7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B92DF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49554" w14:textId="77777777" w:rsidR="00000000" w:rsidRDefault="000C49AD">
            <w:pPr>
              <w:spacing w:after="100"/>
              <w:jc w:val="right"/>
              <w:rPr>
                <w:rFonts w:eastAsia="Times New Roman"/>
              </w:rPr>
            </w:pPr>
            <w:r>
              <w:rPr>
                <w:rFonts w:eastAsia="Times New Roman"/>
                <w:color w:val="000000"/>
                <w:sz w:val="18"/>
                <w:szCs w:val="18"/>
              </w:rPr>
              <w:t>(406)</w:t>
            </w:r>
          </w:p>
        </w:tc>
        <w:tc>
          <w:tcPr>
            <w:tcW w:w="0" w:type="auto"/>
            <w:shd w:val="clear" w:color="auto" w:fill="FFFFFF"/>
            <w:tcMar>
              <w:top w:w="30" w:type="dxa"/>
              <w:left w:w="0" w:type="dxa"/>
              <w:bottom w:w="30" w:type="dxa"/>
              <w:right w:w="20" w:type="dxa"/>
            </w:tcMar>
            <w:vAlign w:val="bottom"/>
            <w:hideMark/>
          </w:tcPr>
          <w:p w14:paraId="7E81670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5A0AC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5D282D" w14:textId="77777777" w:rsidR="00000000" w:rsidRDefault="000C49AD">
            <w:pPr>
              <w:spacing w:after="100"/>
              <w:jc w:val="right"/>
              <w:rPr>
                <w:rFonts w:eastAsia="Times New Roman"/>
              </w:rPr>
            </w:pPr>
            <w:r>
              <w:rPr>
                <w:rFonts w:eastAsia="Times New Roman"/>
                <w:color w:val="000000"/>
                <w:sz w:val="18"/>
                <w:szCs w:val="18"/>
              </w:rPr>
              <w:t>(100.0)</w:t>
            </w:r>
          </w:p>
        </w:tc>
        <w:tc>
          <w:tcPr>
            <w:tcW w:w="0" w:type="auto"/>
            <w:shd w:val="clear" w:color="auto" w:fill="FFFFFF"/>
            <w:tcMar>
              <w:top w:w="30" w:type="dxa"/>
              <w:left w:w="0" w:type="dxa"/>
              <w:bottom w:w="30" w:type="dxa"/>
              <w:right w:w="20" w:type="dxa"/>
            </w:tcMar>
            <w:vAlign w:val="bottom"/>
            <w:hideMark/>
          </w:tcPr>
          <w:p w14:paraId="52DB07AF" w14:textId="77777777" w:rsidR="00000000" w:rsidRDefault="000C49AD">
            <w:pPr>
              <w:spacing w:after="100"/>
              <w:jc w:val="right"/>
              <w:rPr>
                <w:rFonts w:eastAsia="Times New Roman"/>
              </w:rPr>
            </w:pPr>
            <w:r>
              <w:rPr>
                <w:rFonts w:eastAsia="Times New Roman"/>
                <w:color w:val="000000"/>
                <w:sz w:val="18"/>
                <w:szCs w:val="18"/>
              </w:rPr>
              <w:t>%</w:t>
            </w:r>
          </w:p>
        </w:tc>
      </w:tr>
      <w:tr w:rsidR="00000000" w14:paraId="274D9545" w14:textId="77777777">
        <w:trPr>
          <w:divId w:val="784034935"/>
        </w:trPr>
        <w:tc>
          <w:tcPr>
            <w:tcW w:w="0" w:type="auto"/>
            <w:gridSpan w:val="3"/>
            <w:shd w:val="clear" w:color="auto" w:fill="CCEEFF"/>
            <w:tcMar>
              <w:top w:w="30" w:type="dxa"/>
              <w:left w:w="155" w:type="dxa"/>
              <w:bottom w:w="30" w:type="dxa"/>
              <w:right w:w="20" w:type="dxa"/>
            </w:tcMar>
            <w:vAlign w:val="bottom"/>
            <w:hideMark/>
          </w:tcPr>
          <w:p w14:paraId="42830051" w14:textId="77777777" w:rsidR="00000000" w:rsidRDefault="000C49AD">
            <w:pPr>
              <w:spacing w:after="100"/>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14:paraId="36AFEA3C"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B9CC3A"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DC8B0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EBA6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D2BF7D" w14:textId="77777777" w:rsidR="00000000" w:rsidRDefault="000C49AD">
            <w:pPr>
              <w:spacing w:after="100"/>
              <w:jc w:val="right"/>
              <w:rPr>
                <w:rFonts w:eastAsia="Times New Roman"/>
              </w:rPr>
            </w:pPr>
            <w:r>
              <w:rPr>
                <w:rFonts w:eastAsia="Times New Roman"/>
                <w:color w:val="000000"/>
                <w:sz w:val="18"/>
                <w:szCs w:val="18"/>
              </w:rPr>
              <w:t>3,327 </w:t>
            </w:r>
          </w:p>
        </w:tc>
        <w:tc>
          <w:tcPr>
            <w:tcW w:w="0" w:type="auto"/>
            <w:shd w:val="clear" w:color="auto" w:fill="CCEEFF"/>
            <w:tcMar>
              <w:top w:w="30" w:type="dxa"/>
              <w:left w:w="0" w:type="dxa"/>
              <w:bottom w:w="30" w:type="dxa"/>
              <w:right w:w="20" w:type="dxa"/>
            </w:tcMar>
            <w:vAlign w:val="bottom"/>
            <w:hideMark/>
          </w:tcPr>
          <w:p w14:paraId="4F08FAB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75CA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FA5D84" w14:textId="77777777" w:rsidR="00000000" w:rsidRDefault="000C49AD">
            <w:pPr>
              <w:spacing w:after="100"/>
              <w:jc w:val="right"/>
              <w:rPr>
                <w:rFonts w:eastAsia="Times New Roman"/>
              </w:rPr>
            </w:pPr>
            <w:r>
              <w:rPr>
                <w:rFonts w:eastAsia="Times New Roman"/>
                <w:color w:val="000000"/>
                <w:sz w:val="18"/>
                <w:szCs w:val="18"/>
              </w:rPr>
              <w:t>(3,327)</w:t>
            </w:r>
          </w:p>
        </w:tc>
        <w:tc>
          <w:tcPr>
            <w:tcW w:w="0" w:type="auto"/>
            <w:shd w:val="clear" w:color="auto" w:fill="CCEEFF"/>
            <w:tcMar>
              <w:top w:w="30" w:type="dxa"/>
              <w:left w:w="0" w:type="dxa"/>
              <w:bottom w:w="30" w:type="dxa"/>
              <w:right w:w="20" w:type="dxa"/>
            </w:tcMar>
            <w:vAlign w:val="bottom"/>
            <w:hideMark/>
          </w:tcPr>
          <w:p w14:paraId="6CE26B8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447E2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A7682A" w14:textId="77777777" w:rsidR="00000000" w:rsidRDefault="000C49AD">
            <w:pPr>
              <w:spacing w:after="100"/>
              <w:jc w:val="right"/>
              <w:rPr>
                <w:rFonts w:eastAsia="Times New Roman"/>
              </w:rPr>
            </w:pPr>
            <w:r>
              <w:rPr>
                <w:rFonts w:eastAsia="Times New Roman"/>
                <w:color w:val="000000"/>
                <w:sz w:val="18"/>
                <w:szCs w:val="18"/>
              </w:rPr>
              <w:t>(100.0)</w:t>
            </w:r>
          </w:p>
        </w:tc>
        <w:tc>
          <w:tcPr>
            <w:tcW w:w="0" w:type="auto"/>
            <w:shd w:val="clear" w:color="auto" w:fill="CCEEFF"/>
            <w:tcMar>
              <w:top w:w="30" w:type="dxa"/>
              <w:left w:w="0" w:type="dxa"/>
              <w:bottom w:w="30" w:type="dxa"/>
              <w:right w:w="20" w:type="dxa"/>
            </w:tcMar>
            <w:vAlign w:val="bottom"/>
            <w:hideMark/>
          </w:tcPr>
          <w:p w14:paraId="04540B99" w14:textId="77777777" w:rsidR="00000000" w:rsidRDefault="000C49AD">
            <w:pPr>
              <w:spacing w:after="100"/>
              <w:jc w:val="right"/>
              <w:rPr>
                <w:rFonts w:eastAsia="Times New Roman"/>
              </w:rPr>
            </w:pPr>
            <w:r>
              <w:rPr>
                <w:rFonts w:eastAsia="Times New Roman"/>
                <w:color w:val="000000"/>
                <w:sz w:val="18"/>
                <w:szCs w:val="18"/>
              </w:rPr>
              <w:t>%</w:t>
            </w:r>
          </w:p>
        </w:tc>
      </w:tr>
      <w:tr w:rsidR="00000000" w14:paraId="47410A48" w14:textId="77777777">
        <w:trPr>
          <w:divId w:val="784034935"/>
        </w:trPr>
        <w:tc>
          <w:tcPr>
            <w:tcW w:w="0" w:type="auto"/>
            <w:gridSpan w:val="3"/>
            <w:shd w:val="clear" w:color="auto" w:fill="FFFFFF"/>
            <w:tcMar>
              <w:top w:w="30" w:type="dxa"/>
              <w:left w:w="155" w:type="dxa"/>
              <w:bottom w:w="30" w:type="dxa"/>
              <w:right w:w="20" w:type="dxa"/>
            </w:tcMar>
            <w:vAlign w:val="bottom"/>
            <w:hideMark/>
          </w:tcPr>
          <w:p w14:paraId="666443BE" w14:textId="77777777" w:rsidR="00000000" w:rsidRDefault="000C49AD">
            <w:pPr>
              <w:spacing w:after="100"/>
              <w:rPr>
                <w:rFonts w:eastAsia="Times New Roman"/>
              </w:rPr>
            </w:pPr>
            <w:r>
              <w:rPr>
                <w:rFonts w:eastAsia="Times New Roman"/>
                <w:color w:val="000000"/>
                <w:sz w:val="18"/>
                <w:szCs w:val="18"/>
              </w:rPr>
              <w:t>Gain on sale of Hospital Products</w:t>
            </w:r>
          </w:p>
        </w:tc>
        <w:tc>
          <w:tcPr>
            <w:tcW w:w="0" w:type="auto"/>
            <w:gridSpan w:val="3"/>
            <w:shd w:val="clear" w:color="auto" w:fill="FFFFFF"/>
            <w:tcMar>
              <w:top w:w="0" w:type="dxa"/>
              <w:left w:w="20" w:type="dxa"/>
              <w:bottom w:w="0" w:type="dxa"/>
              <w:right w:w="20" w:type="dxa"/>
            </w:tcMar>
            <w:vAlign w:val="center"/>
            <w:hideMark/>
          </w:tcPr>
          <w:p w14:paraId="2F87BB6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52CF6B3"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900DEC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0845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92C377" w14:textId="77777777" w:rsidR="00000000" w:rsidRDefault="000C49AD">
            <w:pPr>
              <w:spacing w:after="100"/>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bottom"/>
            <w:hideMark/>
          </w:tcPr>
          <w:p w14:paraId="3D61AAB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ED2F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505F8B" w14:textId="77777777" w:rsidR="00000000" w:rsidRDefault="000C49AD">
            <w:pPr>
              <w:spacing w:after="100"/>
              <w:jc w:val="right"/>
              <w:rPr>
                <w:rFonts w:eastAsia="Times New Roman"/>
              </w:rPr>
            </w:pPr>
            <w:r>
              <w:rPr>
                <w:rFonts w:eastAsia="Times New Roman"/>
                <w:color w:val="000000"/>
                <w:sz w:val="18"/>
                <w:szCs w:val="18"/>
              </w:rPr>
              <w:t>45,760 </w:t>
            </w:r>
          </w:p>
        </w:tc>
        <w:tc>
          <w:tcPr>
            <w:tcW w:w="0" w:type="auto"/>
            <w:shd w:val="clear" w:color="auto" w:fill="FFFFFF"/>
            <w:tcMar>
              <w:top w:w="30" w:type="dxa"/>
              <w:left w:w="0" w:type="dxa"/>
              <w:bottom w:w="30" w:type="dxa"/>
              <w:right w:w="20" w:type="dxa"/>
            </w:tcMar>
            <w:vAlign w:val="bottom"/>
            <w:hideMark/>
          </w:tcPr>
          <w:p w14:paraId="5F6E1D1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5F64D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C18EB" w14:textId="77777777" w:rsidR="00000000" w:rsidRDefault="000C49AD">
            <w:pPr>
              <w:spacing w:after="100"/>
              <w:jc w:val="right"/>
              <w:rPr>
                <w:rFonts w:eastAsia="Times New Roman"/>
              </w:rPr>
            </w:pPr>
            <w:r>
              <w:rPr>
                <w:rFonts w:eastAsia="Times New Roman"/>
                <w:color w:val="000000"/>
                <w:sz w:val="18"/>
                <w:szCs w:val="18"/>
              </w:rPr>
              <w:t>100.0 </w:t>
            </w:r>
          </w:p>
        </w:tc>
        <w:tc>
          <w:tcPr>
            <w:tcW w:w="0" w:type="auto"/>
            <w:shd w:val="clear" w:color="auto" w:fill="FFFFFF"/>
            <w:tcMar>
              <w:top w:w="30" w:type="dxa"/>
              <w:left w:w="0" w:type="dxa"/>
              <w:bottom w:w="30" w:type="dxa"/>
              <w:right w:w="20" w:type="dxa"/>
            </w:tcMar>
            <w:vAlign w:val="bottom"/>
            <w:hideMark/>
          </w:tcPr>
          <w:p w14:paraId="0144CB89" w14:textId="77777777" w:rsidR="00000000" w:rsidRDefault="000C49AD">
            <w:pPr>
              <w:spacing w:after="100"/>
              <w:jc w:val="right"/>
              <w:rPr>
                <w:rFonts w:eastAsia="Times New Roman"/>
              </w:rPr>
            </w:pPr>
            <w:r>
              <w:rPr>
                <w:rFonts w:eastAsia="Times New Roman"/>
                <w:color w:val="000000"/>
                <w:sz w:val="18"/>
                <w:szCs w:val="18"/>
              </w:rPr>
              <w:t>%</w:t>
            </w:r>
          </w:p>
        </w:tc>
      </w:tr>
      <w:tr w:rsidR="00000000" w14:paraId="36F679E8" w14:textId="77777777">
        <w:trPr>
          <w:divId w:val="784034935"/>
        </w:trPr>
        <w:tc>
          <w:tcPr>
            <w:tcW w:w="0" w:type="auto"/>
            <w:gridSpan w:val="3"/>
            <w:shd w:val="clear" w:color="auto" w:fill="CCEEFF"/>
            <w:tcMar>
              <w:top w:w="30" w:type="dxa"/>
              <w:left w:w="155" w:type="dxa"/>
              <w:bottom w:w="30" w:type="dxa"/>
              <w:right w:w="20" w:type="dxa"/>
            </w:tcMar>
            <w:vAlign w:val="bottom"/>
            <w:hideMark/>
          </w:tcPr>
          <w:p w14:paraId="253438E3" w14:textId="77777777" w:rsidR="00000000" w:rsidRDefault="000C49AD">
            <w:pPr>
              <w:spacing w:after="100"/>
              <w:rPr>
                <w:rFonts w:eastAsia="Times New Roman"/>
              </w:rPr>
            </w:pPr>
            <w:r>
              <w:rPr>
                <w:rFonts w:eastAsia="Times New Roman"/>
                <w:color w:val="000000"/>
                <w:sz w:val="18"/>
                <w:szCs w:val="18"/>
              </w:rPr>
              <w:t>Restructuring income</w:t>
            </w:r>
          </w:p>
        </w:tc>
        <w:tc>
          <w:tcPr>
            <w:tcW w:w="0" w:type="auto"/>
            <w:gridSpan w:val="3"/>
            <w:shd w:val="clear" w:color="auto" w:fill="CCEEFF"/>
            <w:tcMar>
              <w:top w:w="0" w:type="dxa"/>
              <w:left w:w="20" w:type="dxa"/>
              <w:bottom w:w="0" w:type="dxa"/>
              <w:right w:w="20" w:type="dxa"/>
            </w:tcMar>
            <w:vAlign w:val="center"/>
            <w:hideMark/>
          </w:tcPr>
          <w:p w14:paraId="5F771B67"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632E6F" w14:textId="77777777" w:rsidR="00000000" w:rsidRDefault="000C49AD">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14:paraId="32F9475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33C27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B8C0A5" w14:textId="77777777" w:rsidR="00000000" w:rsidRDefault="000C49AD">
            <w:pPr>
              <w:spacing w:after="100"/>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bottom"/>
            <w:hideMark/>
          </w:tcPr>
          <w:p w14:paraId="56C3839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9BDEE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C2C304" w14:textId="77777777" w:rsidR="00000000" w:rsidRDefault="000C49AD">
            <w:pPr>
              <w:spacing w:after="100"/>
              <w:jc w:val="right"/>
              <w:rPr>
                <w:rFonts w:eastAsia="Times New Roman"/>
              </w:rPr>
            </w:pPr>
            <w:r>
              <w:rPr>
                <w:rFonts w:eastAsia="Times New Roman"/>
                <w:color w:val="000000"/>
                <w:sz w:val="18"/>
                <w:szCs w:val="18"/>
              </w:rPr>
              <w:t>(10)</w:t>
            </w:r>
          </w:p>
        </w:tc>
        <w:tc>
          <w:tcPr>
            <w:tcW w:w="0" w:type="auto"/>
            <w:shd w:val="clear" w:color="auto" w:fill="CCEEFF"/>
            <w:tcMar>
              <w:top w:w="30" w:type="dxa"/>
              <w:left w:w="0" w:type="dxa"/>
              <w:bottom w:w="30" w:type="dxa"/>
              <w:right w:w="20" w:type="dxa"/>
            </w:tcMar>
            <w:vAlign w:val="bottom"/>
            <w:hideMark/>
          </w:tcPr>
          <w:p w14:paraId="35C069C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63A9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22FAD7" w14:textId="77777777" w:rsidR="00000000" w:rsidRDefault="000C49AD">
            <w:pPr>
              <w:spacing w:after="100"/>
              <w:jc w:val="right"/>
              <w:rPr>
                <w:rFonts w:eastAsia="Times New Roman"/>
              </w:rPr>
            </w:pPr>
            <w:r>
              <w:rPr>
                <w:rFonts w:eastAsia="Times New Roman"/>
                <w:color w:val="000000"/>
                <w:sz w:val="18"/>
                <w:szCs w:val="18"/>
              </w:rPr>
              <w:t>(23.3)</w:t>
            </w:r>
          </w:p>
        </w:tc>
        <w:tc>
          <w:tcPr>
            <w:tcW w:w="0" w:type="auto"/>
            <w:shd w:val="clear" w:color="auto" w:fill="CCEEFF"/>
            <w:tcMar>
              <w:top w:w="30" w:type="dxa"/>
              <w:left w:w="0" w:type="dxa"/>
              <w:bottom w:w="30" w:type="dxa"/>
              <w:right w:w="20" w:type="dxa"/>
            </w:tcMar>
            <w:vAlign w:val="bottom"/>
            <w:hideMark/>
          </w:tcPr>
          <w:p w14:paraId="45FDDC3A" w14:textId="77777777" w:rsidR="00000000" w:rsidRDefault="000C49AD">
            <w:pPr>
              <w:spacing w:after="100"/>
              <w:jc w:val="right"/>
              <w:rPr>
                <w:rFonts w:eastAsia="Times New Roman"/>
              </w:rPr>
            </w:pPr>
            <w:r>
              <w:rPr>
                <w:rFonts w:eastAsia="Times New Roman"/>
                <w:color w:val="000000"/>
                <w:sz w:val="18"/>
                <w:szCs w:val="18"/>
              </w:rPr>
              <w:t>%</w:t>
            </w:r>
          </w:p>
        </w:tc>
      </w:tr>
      <w:tr w:rsidR="00000000" w14:paraId="3957307D" w14:textId="77777777">
        <w:trPr>
          <w:divId w:val="784034935"/>
        </w:trPr>
        <w:tc>
          <w:tcPr>
            <w:tcW w:w="0" w:type="auto"/>
            <w:gridSpan w:val="3"/>
            <w:shd w:val="clear" w:color="auto" w:fill="FFFFFF"/>
            <w:tcMar>
              <w:top w:w="30" w:type="dxa"/>
              <w:left w:w="245" w:type="dxa"/>
              <w:bottom w:w="30" w:type="dxa"/>
              <w:right w:w="20" w:type="dxa"/>
            </w:tcMar>
            <w:vAlign w:val="bottom"/>
            <w:hideMark/>
          </w:tcPr>
          <w:p w14:paraId="28AF9525" w14:textId="77777777" w:rsidR="00000000" w:rsidRDefault="000C49AD">
            <w:pPr>
              <w:spacing w:after="100"/>
              <w:rPr>
                <w:rFonts w:eastAsia="Times New Roman"/>
              </w:rPr>
            </w:pPr>
            <w:r>
              <w:rPr>
                <w:rFonts w:eastAsia="Times New Roman"/>
                <w:color w:val="000000"/>
                <w:sz w:val="18"/>
                <w:szCs w:val="18"/>
              </w:rPr>
              <w:t>Total operating expenses</w:t>
            </w:r>
          </w:p>
        </w:tc>
        <w:tc>
          <w:tcPr>
            <w:tcW w:w="0" w:type="auto"/>
            <w:gridSpan w:val="3"/>
            <w:shd w:val="clear" w:color="auto" w:fill="FFFFFF"/>
            <w:tcMar>
              <w:top w:w="0" w:type="dxa"/>
              <w:left w:w="20" w:type="dxa"/>
              <w:bottom w:w="0" w:type="dxa"/>
              <w:right w:w="20" w:type="dxa"/>
            </w:tcMar>
            <w:vAlign w:val="center"/>
            <w:hideMark/>
          </w:tcPr>
          <w:p w14:paraId="72F97A70"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DB1E42" w14:textId="77777777" w:rsidR="00000000" w:rsidRDefault="000C49AD">
            <w:pPr>
              <w:spacing w:after="100"/>
              <w:jc w:val="right"/>
              <w:rPr>
                <w:rFonts w:eastAsia="Times New Roman"/>
              </w:rPr>
            </w:pPr>
            <w:r>
              <w:rPr>
                <w:rFonts w:eastAsia="Times New Roman"/>
                <w:color w:val="000000"/>
                <w:sz w:val="18"/>
                <w:szCs w:val="18"/>
              </w:rPr>
              <w:t>85,546 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C24C8A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39AF9"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8CCFB2D" w14:textId="77777777" w:rsidR="00000000" w:rsidRDefault="000C49AD">
            <w:pPr>
              <w:spacing w:after="100"/>
              <w:jc w:val="right"/>
              <w:rPr>
                <w:rFonts w:eastAsia="Times New Roman"/>
              </w:rPr>
            </w:pPr>
            <w:r>
              <w:rPr>
                <w:rFonts w:eastAsia="Times New Roman"/>
                <w:color w:val="000000"/>
                <w:sz w:val="18"/>
                <w:szCs w:val="18"/>
              </w:rPr>
              <w:t>16,519 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CCDA7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E50CDF"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12BAF8A" w14:textId="77777777" w:rsidR="00000000" w:rsidRDefault="000C49AD">
            <w:pPr>
              <w:spacing w:after="100"/>
              <w:jc w:val="right"/>
              <w:rPr>
                <w:rFonts w:eastAsia="Times New Roman"/>
              </w:rPr>
            </w:pPr>
            <w:r>
              <w:rPr>
                <w:rFonts w:eastAsia="Times New Roman"/>
                <w:color w:val="000000"/>
                <w:sz w:val="18"/>
                <w:szCs w:val="18"/>
              </w:rPr>
              <w:t>69,027 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3FA038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65DC9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CD1799" w14:textId="77777777" w:rsidR="00000000" w:rsidRDefault="000C49AD">
            <w:pPr>
              <w:spacing w:after="100"/>
              <w:jc w:val="right"/>
              <w:rPr>
                <w:rFonts w:eastAsia="Times New Roman"/>
              </w:rPr>
            </w:pPr>
            <w:r>
              <w:rPr>
                <w:rFonts w:eastAsia="Times New Roman"/>
                <w:color w:val="000000"/>
                <w:sz w:val="18"/>
                <w:szCs w:val="18"/>
              </w:rPr>
              <w:t>417.9 </w:t>
            </w:r>
          </w:p>
        </w:tc>
        <w:tc>
          <w:tcPr>
            <w:tcW w:w="0" w:type="auto"/>
            <w:shd w:val="clear" w:color="auto" w:fill="FFFFFF"/>
            <w:tcMar>
              <w:top w:w="30" w:type="dxa"/>
              <w:left w:w="0" w:type="dxa"/>
              <w:bottom w:w="30" w:type="dxa"/>
              <w:right w:w="20" w:type="dxa"/>
            </w:tcMar>
            <w:vAlign w:val="bottom"/>
            <w:hideMark/>
          </w:tcPr>
          <w:p w14:paraId="4E0F3AFF" w14:textId="77777777" w:rsidR="00000000" w:rsidRDefault="000C49AD">
            <w:pPr>
              <w:spacing w:after="100"/>
              <w:jc w:val="right"/>
              <w:rPr>
                <w:rFonts w:eastAsia="Times New Roman"/>
              </w:rPr>
            </w:pPr>
            <w:r>
              <w:rPr>
                <w:rFonts w:eastAsia="Times New Roman"/>
                <w:color w:val="000000"/>
                <w:sz w:val="18"/>
                <w:szCs w:val="18"/>
              </w:rPr>
              <w:t>%</w:t>
            </w:r>
          </w:p>
        </w:tc>
      </w:tr>
      <w:tr w:rsidR="00000000" w14:paraId="30C745BB" w14:textId="77777777">
        <w:trPr>
          <w:divId w:val="784034935"/>
        </w:trPr>
        <w:tc>
          <w:tcPr>
            <w:tcW w:w="0" w:type="auto"/>
            <w:gridSpan w:val="3"/>
            <w:shd w:val="clear" w:color="auto" w:fill="CCEEFF"/>
            <w:tcMar>
              <w:top w:w="30" w:type="dxa"/>
              <w:left w:w="20" w:type="dxa"/>
              <w:bottom w:w="30" w:type="dxa"/>
              <w:right w:w="20" w:type="dxa"/>
            </w:tcMar>
            <w:vAlign w:val="bottom"/>
            <w:hideMark/>
          </w:tcPr>
          <w:p w14:paraId="60EBFBCE" w14:textId="77777777" w:rsidR="00000000" w:rsidRDefault="000C49AD">
            <w:pPr>
              <w:spacing w:after="100"/>
              <w:rPr>
                <w:rFonts w:eastAsia="Times New Roman"/>
              </w:rPr>
            </w:pPr>
            <w:r>
              <w:rPr>
                <w:rFonts w:eastAsia="Times New Roman"/>
                <w:color w:val="000000"/>
                <w:sz w:val="18"/>
                <w:szCs w:val="18"/>
              </w:rPr>
              <w:t>Operating (loss) income</w:t>
            </w:r>
          </w:p>
        </w:tc>
        <w:tc>
          <w:tcPr>
            <w:tcW w:w="0" w:type="auto"/>
            <w:gridSpan w:val="3"/>
            <w:shd w:val="clear" w:color="auto" w:fill="CCEEFF"/>
            <w:tcMar>
              <w:top w:w="0" w:type="dxa"/>
              <w:left w:w="20" w:type="dxa"/>
              <w:bottom w:w="0" w:type="dxa"/>
              <w:right w:w="20" w:type="dxa"/>
            </w:tcMar>
            <w:vAlign w:val="center"/>
            <w:hideMark/>
          </w:tcPr>
          <w:p w14:paraId="58280A37"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1CCDE7" w14:textId="77777777" w:rsidR="00000000" w:rsidRDefault="000C49AD">
            <w:pPr>
              <w:spacing w:after="100"/>
              <w:jc w:val="right"/>
              <w:rPr>
                <w:rFonts w:eastAsia="Times New Roman"/>
              </w:rPr>
            </w:pPr>
            <w:r>
              <w:rPr>
                <w:rFonts w:eastAsia="Times New Roman"/>
                <w:color w:val="000000"/>
                <w:sz w:val="18"/>
                <w:szCs w:val="18"/>
              </w:rPr>
              <w:t>(85,546)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13DC4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F75774"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E2E30C" w14:textId="77777777" w:rsidR="00000000" w:rsidRDefault="000C49AD">
            <w:pPr>
              <w:spacing w:after="100"/>
              <w:jc w:val="right"/>
              <w:rPr>
                <w:rFonts w:eastAsia="Times New Roman"/>
              </w:rPr>
            </w:pPr>
            <w:r>
              <w:rPr>
                <w:rFonts w:eastAsia="Times New Roman"/>
                <w:color w:val="000000"/>
                <w:sz w:val="18"/>
                <w:szCs w:val="18"/>
              </w:rPr>
              <w:t>5,815 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2CF80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343F59"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6EF726" w14:textId="77777777" w:rsidR="00000000" w:rsidRDefault="000C49AD">
            <w:pPr>
              <w:spacing w:after="100"/>
              <w:jc w:val="right"/>
              <w:rPr>
                <w:rFonts w:eastAsia="Times New Roman"/>
              </w:rPr>
            </w:pPr>
            <w:r>
              <w:rPr>
                <w:rFonts w:eastAsia="Times New Roman"/>
                <w:color w:val="000000"/>
                <w:sz w:val="18"/>
                <w:szCs w:val="18"/>
              </w:rPr>
              <w:t>(91,361)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0C410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7635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19CFA0" w14:textId="77777777" w:rsidR="00000000" w:rsidRDefault="000C49AD">
            <w:pPr>
              <w:spacing w:after="100"/>
              <w:jc w:val="right"/>
              <w:rPr>
                <w:rFonts w:eastAsia="Times New Roman"/>
              </w:rPr>
            </w:pPr>
            <w:r>
              <w:rPr>
                <w:rFonts w:eastAsia="Times New Roman"/>
                <w:color w:val="000000"/>
                <w:sz w:val="18"/>
                <w:szCs w:val="18"/>
              </w:rPr>
              <w:t>(1,571.1)</w:t>
            </w:r>
          </w:p>
        </w:tc>
        <w:tc>
          <w:tcPr>
            <w:tcW w:w="0" w:type="auto"/>
            <w:shd w:val="clear" w:color="auto" w:fill="CCEEFF"/>
            <w:tcMar>
              <w:top w:w="30" w:type="dxa"/>
              <w:left w:w="0" w:type="dxa"/>
              <w:bottom w:w="30" w:type="dxa"/>
              <w:right w:w="20" w:type="dxa"/>
            </w:tcMar>
            <w:vAlign w:val="bottom"/>
            <w:hideMark/>
          </w:tcPr>
          <w:p w14:paraId="743F059D" w14:textId="77777777" w:rsidR="00000000" w:rsidRDefault="000C49AD">
            <w:pPr>
              <w:spacing w:after="100"/>
              <w:jc w:val="right"/>
              <w:rPr>
                <w:rFonts w:eastAsia="Times New Roman"/>
              </w:rPr>
            </w:pPr>
            <w:r>
              <w:rPr>
                <w:rFonts w:eastAsia="Times New Roman"/>
                <w:color w:val="000000"/>
                <w:sz w:val="18"/>
                <w:szCs w:val="18"/>
              </w:rPr>
              <w:t>%</w:t>
            </w:r>
          </w:p>
        </w:tc>
      </w:tr>
      <w:tr w:rsidR="00000000" w14:paraId="699A0FA0" w14:textId="77777777">
        <w:trPr>
          <w:divId w:val="784034935"/>
        </w:trPr>
        <w:tc>
          <w:tcPr>
            <w:tcW w:w="0" w:type="auto"/>
            <w:gridSpan w:val="3"/>
            <w:shd w:val="clear" w:color="auto" w:fill="FFFFFF"/>
            <w:tcMar>
              <w:top w:w="30" w:type="dxa"/>
              <w:left w:w="155" w:type="dxa"/>
              <w:bottom w:w="30" w:type="dxa"/>
              <w:right w:w="20" w:type="dxa"/>
            </w:tcMar>
            <w:vAlign w:val="bottom"/>
            <w:hideMark/>
          </w:tcPr>
          <w:p w14:paraId="67CAEDC6" w14:textId="77777777" w:rsidR="00000000" w:rsidRDefault="000C49AD">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FFFFFF"/>
            <w:tcMar>
              <w:top w:w="0" w:type="dxa"/>
              <w:left w:w="20" w:type="dxa"/>
              <w:bottom w:w="0" w:type="dxa"/>
              <w:right w:w="20" w:type="dxa"/>
            </w:tcMar>
            <w:vAlign w:val="center"/>
            <w:hideMark/>
          </w:tcPr>
          <w:p w14:paraId="6F10B2C6"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EA73AB5" w14:textId="77777777" w:rsidR="00000000" w:rsidRDefault="000C49AD">
            <w:pPr>
              <w:spacing w:after="100"/>
              <w:jc w:val="right"/>
              <w:rPr>
                <w:rFonts w:eastAsia="Times New Roman"/>
              </w:rPr>
            </w:pPr>
            <w:r>
              <w:rPr>
                <w:rFonts w:eastAsia="Times New Roman"/>
                <w:color w:val="000000"/>
                <w:sz w:val="18"/>
                <w:szCs w:val="18"/>
              </w:rPr>
              <w:t>2,126 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084176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83C389"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7F119D1" w14:textId="77777777" w:rsidR="00000000" w:rsidRDefault="000C49AD">
            <w:pPr>
              <w:spacing w:after="100"/>
              <w:jc w:val="right"/>
              <w:rPr>
                <w:rFonts w:eastAsia="Times New Roman"/>
              </w:rPr>
            </w:pPr>
            <w:r>
              <w:rPr>
                <w:rFonts w:eastAsia="Times New Roman"/>
                <w:color w:val="000000"/>
                <w:sz w:val="18"/>
                <w:szCs w:val="18"/>
              </w:rPr>
              <w:t>(832)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781F7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D2A4B"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2C7350" w14:textId="77777777" w:rsidR="00000000" w:rsidRDefault="000C49AD">
            <w:pPr>
              <w:spacing w:after="100"/>
              <w:jc w:val="right"/>
              <w:rPr>
                <w:rFonts w:eastAsia="Times New Roman"/>
              </w:rPr>
            </w:pPr>
            <w:r>
              <w:rPr>
                <w:rFonts w:eastAsia="Times New Roman"/>
                <w:color w:val="000000"/>
                <w:sz w:val="18"/>
                <w:szCs w:val="18"/>
              </w:rPr>
              <w:t>2,958 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50856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A82E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1BD000" w14:textId="77777777" w:rsidR="00000000" w:rsidRDefault="000C49AD">
            <w:pPr>
              <w:spacing w:after="100"/>
              <w:jc w:val="right"/>
              <w:rPr>
                <w:rFonts w:eastAsia="Times New Roman"/>
              </w:rPr>
            </w:pPr>
            <w:r>
              <w:rPr>
                <w:rFonts w:eastAsia="Times New Roman"/>
                <w:color w:val="000000"/>
                <w:sz w:val="18"/>
                <w:szCs w:val="18"/>
              </w:rPr>
              <w:t>355.5 </w:t>
            </w:r>
          </w:p>
        </w:tc>
        <w:tc>
          <w:tcPr>
            <w:tcW w:w="0" w:type="auto"/>
            <w:shd w:val="clear" w:color="auto" w:fill="FFFFFF"/>
            <w:tcMar>
              <w:top w:w="30" w:type="dxa"/>
              <w:left w:w="0" w:type="dxa"/>
              <w:bottom w:w="30" w:type="dxa"/>
              <w:right w:w="20" w:type="dxa"/>
            </w:tcMar>
            <w:vAlign w:val="bottom"/>
            <w:hideMark/>
          </w:tcPr>
          <w:p w14:paraId="390756CF" w14:textId="77777777" w:rsidR="00000000" w:rsidRDefault="000C49AD">
            <w:pPr>
              <w:spacing w:after="100"/>
              <w:jc w:val="right"/>
              <w:rPr>
                <w:rFonts w:eastAsia="Times New Roman"/>
              </w:rPr>
            </w:pPr>
            <w:r>
              <w:rPr>
                <w:rFonts w:eastAsia="Times New Roman"/>
                <w:color w:val="000000"/>
                <w:sz w:val="18"/>
                <w:szCs w:val="18"/>
              </w:rPr>
              <w:t>%</w:t>
            </w:r>
          </w:p>
        </w:tc>
      </w:tr>
      <w:tr w:rsidR="00000000" w14:paraId="24EE3076" w14:textId="77777777">
        <w:trPr>
          <w:divId w:val="784034935"/>
        </w:trPr>
        <w:tc>
          <w:tcPr>
            <w:tcW w:w="0" w:type="auto"/>
            <w:gridSpan w:val="3"/>
            <w:shd w:val="clear" w:color="auto" w:fill="CCEEFF"/>
            <w:tcMar>
              <w:top w:w="30" w:type="dxa"/>
              <w:left w:w="155" w:type="dxa"/>
              <w:bottom w:w="30" w:type="dxa"/>
              <w:right w:w="20" w:type="dxa"/>
            </w:tcMar>
            <w:vAlign w:val="bottom"/>
            <w:hideMark/>
          </w:tcPr>
          <w:p w14:paraId="56565174" w14:textId="77777777" w:rsidR="00000000" w:rsidRDefault="000C49AD">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14:paraId="487FB14C"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5C18880" w14:textId="77777777" w:rsidR="00000000" w:rsidRDefault="000C49AD">
            <w:pPr>
              <w:spacing w:after="100"/>
              <w:jc w:val="right"/>
              <w:rPr>
                <w:rFonts w:eastAsia="Times New Roman"/>
              </w:rPr>
            </w:pPr>
            <w:r>
              <w:rPr>
                <w:rFonts w:eastAsia="Times New Roman"/>
                <w:color w:val="000000"/>
                <w:sz w:val="18"/>
                <w:szCs w:val="18"/>
              </w:rPr>
              <w:t>(9,942)</w:t>
            </w:r>
          </w:p>
        </w:tc>
        <w:tc>
          <w:tcPr>
            <w:tcW w:w="0" w:type="auto"/>
            <w:shd w:val="clear" w:color="auto" w:fill="CCEEFF"/>
            <w:tcMar>
              <w:top w:w="30" w:type="dxa"/>
              <w:left w:w="0" w:type="dxa"/>
              <w:bottom w:w="30" w:type="dxa"/>
              <w:right w:w="20" w:type="dxa"/>
            </w:tcMar>
            <w:vAlign w:val="bottom"/>
            <w:hideMark/>
          </w:tcPr>
          <w:p w14:paraId="4C9E72D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7670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27A293" w14:textId="77777777" w:rsidR="00000000" w:rsidRDefault="000C49AD">
            <w:pPr>
              <w:spacing w:after="100"/>
              <w:jc w:val="right"/>
              <w:rPr>
                <w:rFonts w:eastAsia="Times New Roman"/>
              </w:rPr>
            </w:pPr>
            <w:r>
              <w:rPr>
                <w:rFonts w:eastAsia="Times New Roman"/>
                <w:color w:val="000000"/>
                <w:sz w:val="18"/>
                <w:szCs w:val="18"/>
              </w:rPr>
              <w:t>(12,994)</w:t>
            </w:r>
          </w:p>
        </w:tc>
        <w:tc>
          <w:tcPr>
            <w:tcW w:w="0" w:type="auto"/>
            <w:shd w:val="clear" w:color="auto" w:fill="CCEEFF"/>
            <w:tcMar>
              <w:top w:w="30" w:type="dxa"/>
              <w:left w:w="0" w:type="dxa"/>
              <w:bottom w:w="30" w:type="dxa"/>
              <w:right w:w="20" w:type="dxa"/>
            </w:tcMar>
            <w:vAlign w:val="bottom"/>
            <w:hideMark/>
          </w:tcPr>
          <w:p w14:paraId="3594BC2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289A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674D3E" w14:textId="77777777" w:rsidR="00000000" w:rsidRDefault="000C49AD">
            <w:pPr>
              <w:spacing w:after="100"/>
              <w:jc w:val="right"/>
              <w:rPr>
                <w:rFonts w:eastAsia="Times New Roman"/>
              </w:rPr>
            </w:pPr>
            <w:r>
              <w:rPr>
                <w:rFonts w:eastAsia="Times New Roman"/>
                <w:color w:val="000000"/>
                <w:sz w:val="18"/>
                <w:szCs w:val="18"/>
              </w:rPr>
              <w:t>3,052 </w:t>
            </w:r>
          </w:p>
        </w:tc>
        <w:tc>
          <w:tcPr>
            <w:tcW w:w="0" w:type="auto"/>
            <w:shd w:val="clear" w:color="auto" w:fill="CCEEFF"/>
            <w:tcMar>
              <w:top w:w="30" w:type="dxa"/>
              <w:left w:w="0" w:type="dxa"/>
              <w:bottom w:w="30" w:type="dxa"/>
              <w:right w:w="20" w:type="dxa"/>
            </w:tcMar>
            <w:vAlign w:val="bottom"/>
            <w:hideMark/>
          </w:tcPr>
          <w:p w14:paraId="780B163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6136B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7DF85C" w14:textId="77777777" w:rsidR="00000000" w:rsidRDefault="000C49AD">
            <w:pPr>
              <w:spacing w:after="100"/>
              <w:jc w:val="right"/>
              <w:rPr>
                <w:rFonts w:eastAsia="Times New Roman"/>
              </w:rPr>
            </w:pPr>
            <w:r>
              <w:rPr>
                <w:rFonts w:eastAsia="Times New Roman"/>
                <w:color w:val="000000"/>
                <w:sz w:val="18"/>
                <w:szCs w:val="18"/>
              </w:rPr>
              <w:t>23.5 </w:t>
            </w:r>
          </w:p>
        </w:tc>
        <w:tc>
          <w:tcPr>
            <w:tcW w:w="0" w:type="auto"/>
            <w:shd w:val="clear" w:color="auto" w:fill="CCEEFF"/>
            <w:tcMar>
              <w:top w:w="30" w:type="dxa"/>
              <w:left w:w="0" w:type="dxa"/>
              <w:bottom w:w="30" w:type="dxa"/>
              <w:right w:w="20" w:type="dxa"/>
            </w:tcMar>
            <w:vAlign w:val="bottom"/>
            <w:hideMark/>
          </w:tcPr>
          <w:p w14:paraId="33AD9307" w14:textId="77777777" w:rsidR="00000000" w:rsidRDefault="000C49AD">
            <w:pPr>
              <w:spacing w:after="100"/>
              <w:jc w:val="right"/>
              <w:rPr>
                <w:rFonts w:eastAsia="Times New Roman"/>
              </w:rPr>
            </w:pPr>
            <w:r>
              <w:rPr>
                <w:rFonts w:eastAsia="Times New Roman"/>
                <w:color w:val="000000"/>
                <w:sz w:val="18"/>
                <w:szCs w:val="18"/>
              </w:rPr>
              <w:t>%</w:t>
            </w:r>
          </w:p>
        </w:tc>
      </w:tr>
      <w:tr w:rsidR="00000000" w14:paraId="4FDF1134" w14:textId="77777777">
        <w:trPr>
          <w:divId w:val="784034935"/>
        </w:trPr>
        <w:tc>
          <w:tcPr>
            <w:tcW w:w="0" w:type="auto"/>
            <w:gridSpan w:val="3"/>
            <w:shd w:val="clear" w:color="auto" w:fill="FFFFFF"/>
            <w:tcMar>
              <w:top w:w="30" w:type="dxa"/>
              <w:left w:w="155" w:type="dxa"/>
              <w:bottom w:w="30" w:type="dxa"/>
              <w:right w:w="20" w:type="dxa"/>
            </w:tcMar>
            <w:vAlign w:val="bottom"/>
            <w:hideMark/>
          </w:tcPr>
          <w:p w14:paraId="60C5EC31" w14:textId="77777777" w:rsidR="00000000" w:rsidRDefault="000C49AD">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FFFFFF"/>
            <w:tcMar>
              <w:top w:w="0" w:type="dxa"/>
              <w:left w:w="20" w:type="dxa"/>
              <w:bottom w:w="0" w:type="dxa"/>
              <w:right w:w="20" w:type="dxa"/>
            </w:tcMar>
            <w:vAlign w:val="center"/>
            <w:hideMark/>
          </w:tcPr>
          <w:p w14:paraId="2402FF0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FE6040" w14:textId="77777777" w:rsidR="00000000" w:rsidRDefault="000C49AD">
            <w:pPr>
              <w:spacing w:after="100"/>
              <w:jc w:val="right"/>
              <w:rPr>
                <w:rFonts w:eastAsia="Times New Roman"/>
              </w:rPr>
            </w:pPr>
            <w:r>
              <w:rPr>
                <w:rFonts w:eastAsia="Times New Roman"/>
                <w:color w:val="000000"/>
                <w:sz w:val="18"/>
                <w:szCs w:val="18"/>
              </w:rPr>
              <w:t>217 </w:t>
            </w:r>
          </w:p>
        </w:tc>
        <w:tc>
          <w:tcPr>
            <w:tcW w:w="0" w:type="auto"/>
            <w:shd w:val="clear" w:color="auto" w:fill="FFFFFF"/>
            <w:tcMar>
              <w:top w:w="30" w:type="dxa"/>
              <w:left w:w="0" w:type="dxa"/>
              <w:bottom w:w="30" w:type="dxa"/>
              <w:right w:w="20" w:type="dxa"/>
            </w:tcMar>
            <w:vAlign w:val="bottom"/>
            <w:hideMark/>
          </w:tcPr>
          <w:p w14:paraId="36BF2D4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38AED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987B33" w14:textId="77777777" w:rsidR="00000000" w:rsidRDefault="000C49AD">
            <w:pPr>
              <w:spacing w:after="100"/>
              <w:jc w:val="right"/>
              <w:rPr>
                <w:rFonts w:eastAsia="Times New Roman"/>
              </w:rPr>
            </w:pPr>
            <w:r>
              <w:rPr>
                <w:rFonts w:eastAsia="Times New Roman"/>
                <w:color w:val="000000"/>
                <w:sz w:val="18"/>
                <w:szCs w:val="18"/>
              </w:rPr>
              <w:t>3,364 </w:t>
            </w:r>
          </w:p>
        </w:tc>
        <w:tc>
          <w:tcPr>
            <w:tcW w:w="0" w:type="auto"/>
            <w:shd w:val="clear" w:color="auto" w:fill="FFFFFF"/>
            <w:tcMar>
              <w:top w:w="30" w:type="dxa"/>
              <w:left w:w="0" w:type="dxa"/>
              <w:bottom w:w="30" w:type="dxa"/>
              <w:right w:w="20" w:type="dxa"/>
            </w:tcMar>
            <w:vAlign w:val="bottom"/>
            <w:hideMark/>
          </w:tcPr>
          <w:p w14:paraId="20BB082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3A11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B7FE05" w14:textId="77777777" w:rsidR="00000000" w:rsidRDefault="000C49AD">
            <w:pPr>
              <w:spacing w:after="100"/>
              <w:jc w:val="right"/>
              <w:rPr>
                <w:rFonts w:eastAsia="Times New Roman"/>
              </w:rPr>
            </w:pPr>
            <w:r>
              <w:rPr>
                <w:rFonts w:eastAsia="Times New Roman"/>
                <w:color w:val="000000"/>
                <w:sz w:val="18"/>
                <w:szCs w:val="18"/>
              </w:rPr>
              <w:t>(3,147)</w:t>
            </w:r>
          </w:p>
        </w:tc>
        <w:tc>
          <w:tcPr>
            <w:tcW w:w="0" w:type="auto"/>
            <w:shd w:val="clear" w:color="auto" w:fill="FFFFFF"/>
            <w:tcMar>
              <w:top w:w="30" w:type="dxa"/>
              <w:left w:w="0" w:type="dxa"/>
              <w:bottom w:w="30" w:type="dxa"/>
              <w:right w:w="20" w:type="dxa"/>
            </w:tcMar>
            <w:vAlign w:val="bottom"/>
            <w:hideMark/>
          </w:tcPr>
          <w:p w14:paraId="1A98D9A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E30C0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521887" w14:textId="77777777" w:rsidR="00000000" w:rsidRDefault="000C49AD">
            <w:pPr>
              <w:spacing w:after="100"/>
              <w:jc w:val="right"/>
              <w:rPr>
                <w:rFonts w:eastAsia="Times New Roman"/>
              </w:rPr>
            </w:pPr>
            <w:r>
              <w:rPr>
                <w:rFonts w:eastAsia="Times New Roman"/>
                <w:color w:val="000000"/>
                <w:sz w:val="18"/>
                <w:szCs w:val="18"/>
              </w:rPr>
              <w:t>(93.5)</w:t>
            </w:r>
          </w:p>
        </w:tc>
        <w:tc>
          <w:tcPr>
            <w:tcW w:w="0" w:type="auto"/>
            <w:shd w:val="clear" w:color="auto" w:fill="FFFFFF"/>
            <w:tcMar>
              <w:top w:w="30" w:type="dxa"/>
              <w:left w:w="0" w:type="dxa"/>
              <w:bottom w:w="30" w:type="dxa"/>
              <w:right w:w="20" w:type="dxa"/>
            </w:tcMar>
            <w:vAlign w:val="bottom"/>
            <w:hideMark/>
          </w:tcPr>
          <w:p w14:paraId="7983C9BB" w14:textId="77777777" w:rsidR="00000000" w:rsidRDefault="000C49AD">
            <w:pPr>
              <w:spacing w:after="100"/>
              <w:jc w:val="right"/>
              <w:rPr>
                <w:rFonts w:eastAsia="Times New Roman"/>
              </w:rPr>
            </w:pPr>
            <w:r>
              <w:rPr>
                <w:rFonts w:eastAsia="Times New Roman"/>
                <w:color w:val="000000"/>
                <w:sz w:val="18"/>
                <w:szCs w:val="18"/>
              </w:rPr>
              <w:t>%</w:t>
            </w:r>
          </w:p>
        </w:tc>
      </w:tr>
      <w:tr w:rsidR="00000000" w14:paraId="586F2810" w14:textId="77777777">
        <w:trPr>
          <w:divId w:val="784034935"/>
        </w:trPr>
        <w:tc>
          <w:tcPr>
            <w:tcW w:w="0" w:type="auto"/>
            <w:gridSpan w:val="3"/>
            <w:shd w:val="clear" w:color="auto" w:fill="CCEEFF"/>
            <w:tcMar>
              <w:top w:w="30" w:type="dxa"/>
              <w:left w:w="155" w:type="dxa"/>
              <w:bottom w:w="30" w:type="dxa"/>
              <w:right w:w="20" w:type="dxa"/>
            </w:tcMar>
            <w:vAlign w:val="bottom"/>
            <w:hideMark/>
          </w:tcPr>
          <w:p w14:paraId="3BA3E4E9" w14:textId="77777777" w:rsidR="00000000" w:rsidRDefault="000C49AD">
            <w:pPr>
              <w:spacing w:after="100"/>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CCEEFF"/>
            <w:tcMar>
              <w:top w:w="0" w:type="dxa"/>
              <w:left w:w="20" w:type="dxa"/>
              <w:bottom w:w="0" w:type="dxa"/>
              <w:right w:w="20" w:type="dxa"/>
            </w:tcMar>
            <w:vAlign w:val="center"/>
            <w:hideMark/>
          </w:tcPr>
          <w:p w14:paraId="1991A380"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3A2BB6"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69ABA02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C23D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67722D" w14:textId="77777777" w:rsidR="00000000" w:rsidRDefault="000C49AD">
            <w:pPr>
              <w:spacing w:after="100"/>
              <w:jc w:val="right"/>
              <w:rPr>
                <w:rFonts w:eastAsia="Times New Roman"/>
              </w:rPr>
            </w:pPr>
            <w:r>
              <w:rPr>
                <w:rFonts w:eastAsia="Times New Roman"/>
                <w:color w:val="000000"/>
                <w:sz w:val="18"/>
                <w:szCs w:val="18"/>
              </w:rPr>
              <w:t>(435)</w:t>
            </w:r>
          </w:p>
        </w:tc>
        <w:tc>
          <w:tcPr>
            <w:tcW w:w="0" w:type="auto"/>
            <w:shd w:val="clear" w:color="auto" w:fill="CCEEFF"/>
            <w:tcMar>
              <w:top w:w="30" w:type="dxa"/>
              <w:left w:w="0" w:type="dxa"/>
              <w:bottom w:w="30" w:type="dxa"/>
              <w:right w:w="20" w:type="dxa"/>
            </w:tcMar>
            <w:vAlign w:val="bottom"/>
            <w:hideMark/>
          </w:tcPr>
          <w:p w14:paraId="2B94136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9DF5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AD769" w14:textId="77777777" w:rsidR="00000000" w:rsidRDefault="000C49AD">
            <w:pPr>
              <w:spacing w:after="100"/>
              <w:jc w:val="right"/>
              <w:rPr>
                <w:rFonts w:eastAsia="Times New Roman"/>
              </w:rPr>
            </w:pPr>
            <w:r>
              <w:rPr>
                <w:rFonts w:eastAsia="Times New Roman"/>
                <w:color w:val="000000"/>
                <w:sz w:val="18"/>
                <w:szCs w:val="18"/>
              </w:rPr>
              <w:t>435 </w:t>
            </w:r>
          </w:p>
        </w:tc>
        <w:tc>
          <w:tcPr>
            <w:tcW w:w="0" w:type="auto"/>
            <w:shd w:val="clear" w:color="auto" w:fill="CCEEFF"/>
            <w:tcMar>
              <w:top w:w="30" w:type="dxa"/>
              <w:left w:w="0" w:type="dxa"/>
              <w:bottom w:w="30" w:type="dxa"/>
              <w:right w:w="20" w:type="dxa"/>
            </w:tcMar>
            <w:vAlign w:val="bottom"/>
            <w:hideMark/>
          </w:tcPr>
          <w:p w14:paraId="55E6D52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CE6E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8317AB" w14:textId="77777777" w:rsidR="00000000" w:rsidRDefault="000C49AD">
            <w:pPr>
              <w:spacing w:after="100"/>
              <w:jc w:val="right"/>
              <w:rPr>
                <w:rFonts w:eastAsia="Times New Roman"/>
              </w:rPr>
            </w:pPr>
            <w:r>
              <w:rPr>
                <w:rFonts w:eastAsia="Times New Roman"/>
                <w:color w:val="000000"/>
                <w:sz w:val="18"/>
                <w:szCs w:val="18"/>
              </w:rPr>
              <w:t>100.0 </w:t>
            </w:r>
          </w:p>
        </w:tc>
        <w:tc>
          <w:tcPr>
            <w:tcW w:w="0" w:type="auto"/>
            <w:shd w:val="clear" w:color="auto" w:fill="CCEEFF"/>
            <w:tcMar>
              <w:top w:w="30" w:type="dxa"/>
              <w:left w:w="0" w:type="dxa"/>
              <w:bottom w:w="30" w:type="dxa"/>
              <w:right w:w="20" w:type="dxa"/>
            </w:tcMar>
            <w:vAlign w:val="bottom"/>
            <w:hideMark/>
          </w:tcPr>
          <w:p w14:paraId="032FB63E" w14:textId="77777777" w:rsidR="00000000" w:rsidRDefault="000C49AD">
            <w:pPr>
              <w:spacing w:after="100"/>
              <w:jc w:val="right"/>
              <w:rPr>
                <w:rFonts w:eastAsia="Times New Roman"/>
              </w:rPr>
            </w:pPr>
            <w:r>
              <w:rPr>
                <w:rFonts w:eastAsia="Times New Roman"/>
                <w:color w:val="000000"/>
                <w:sz w:val="18"/>
                <w:szCs w:val="18"/>
              </w:rPr>
              <w:t>%</w:t>
            </w:r>
          </w:p>
        </w:tc>
      </w:tr>
      <w:tr w:rsidR="00000000" w14:paraId="367E84B2" w14:textId="77777777">
        <w:trPr>
          <w:divId w:val="784034935"/>
        </w:trPr>
        <w:tc>
          <w:tcPr>
            <w:tcW w:w="0" w:type="auto"/>
            <w:gridSpan w:val="3"/>
            <w:shd w:val="clear" w:color="auto" w:fill="FFFFFF"/>
            <w:tcMar>
              <w:top w:w="30" w:type="dxa"/>
              <w:left w:w="20" w:type="dxa"/>
              <w:bottom w:w="30" w:type="dxa"/>
              <w:right w:w="20" w:type="dxa"/>
            </w:tcMar>
            <w:vAlign w:val="bottom"/>
            <w:hideMark/>
          </w:tcPr>
          <w:p w14:paraId="3B60C8DA" w14:textId="77777777" w:rsidR="00000000" w:rsidRDefault="000C49AD">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0B063847"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A9B08C" w14:textId="77777777" w:rsidR="00000000" w:rsidRDefault="000C49AD">
            <w:pPr>
              <w:spacing w:after="100"/>
              <w:jc w:val="right"/>
              <w:rPr>
                <w:rFonts w:eastAsia="Times New Roman"/>
              </w:rPr>
            </w:pPr>
            <w:r>
              <w:rPr>
                <w:rFonts w:eastAsia="Times New Roman"/>
                <w:color w:val="000000"/>
                <w:sz w:val="18"/>
                <w:szCs w:val="18"/>
              </w:rPr>
              <w:t>(93,145)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E6998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9D2331"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C5BE38B" w14:textId="77777777" w:rsidR="00000000" w:rsidRDefault="000C49AD">
            <w:pPr>
              <w:spacing w:after="100"/>
              <w:jc w:val="right"/>
              <w:rPr>
                <w:rFonts w:eastAsia="Times New Roman"/>
              </w:rPr>
            </w:pPr>
            <w:r>
              <w:rPr>
                <w:rFonts w:eastAsia="Times New Roman"/>
                <w:color w:val="000000"/>
                <w:sz w:val="18"/>
                <w:szCs w:val="18"/>
              </w:rPr>
              <w:t>(5,082)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C35360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672939"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A558D5" w14:textId="77777777" w:rsidR="00000000" w:rsidRDefault="000C49AD">
            <w:pPr>
              <w:spacing w:after="100"/>
              <w:jc w:val="right"/>
              <w:rPr>
                <w:rFonts w:eastAsia="Times New Roman"/>
              </w:rPr>
            </w:pPr>
            <w:r>
              <w:rPr>
                <w:rFonts w:eastAsia="Times New Roman"/>
                <w:color w:val="000000"/>
                <w:sz w:val="18"/>
                <w:szCs w:val="18"/>
              </w:rPr>
              <w:t>(88,063)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4DB72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78097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10F4B3" w14:textId="77777777" w:rsidR="00000000" w:rsidRDefault="000C49AD">
            <w:pPr>
              <w:spacing w:after="100"/>
              <w:jc w:val="right"/>
              <w:rPr>
                <w:rFonts w:eastAsia="Times New Roman"/>
              </w:rPr>
            </w:pPr>
            <w:r>
              <w:rPr>
                <w:rFonts w:eastAsia="Times New Roman"/>
                <w:color w:val="000000"/>
                <w:sz w:val="18"/>
                <w:szCs w:val="18"/>
              </w:rPr>
              <w:t>(1,732.8)</w:t>
            </w:r>
          </w:p>
        </w:tc>
        <w:tc>
          <w:tcPr>
            <w:tcW w:w="0" w:type="auto"/>
            <w:shd w:val="clear" w:color="auto" w:fill="FFFFFF"/>
            <w:tcMar>
              <w:top w:w="30" w:type="dxa"/>
              <w:left w:w="0" w:type="dxa"/>
              <w:bottom w:w="30" w:type="dxa"/>
              <w:right w:w="20" w:type="dxa"/>
            </w:tcMar>
            <w:vAlign w:val="bottom"/>
            <w:hideMark/>
          </w:tcPr>
          <w:p w14:paraId="27886459" w14:textId="77777777" w:rsidR="00000000" w:rsidRDefault="000C49AD">
            <w:pPr>
              <w:spacing w:after="100"/>
              <w:jc w:val="right"/>
              <w:rPr>
                <w:rFonts w:eastAsia="Times New Roman"/>
              </w:rPr>
            </w:pPr>
            <w:r>
              <w:rPr>
                <w:rFonts w:eastAsia="Times New Roman"/>
                <w:color w:val="000000"/>
                <w:sz w:val="18"/>
                <w:szCs w:val="18"/>
              </w:rPr>
              <w:t>%</w:t>
            </w:r>
          </w:p>
        </w:tc>
      </w:tr>
      <w:tr w:rsidR="00000000" w14:paraId="3AF8F394" w14:textId="77777777">
        <w:trPr>
          <w:divId w:val="784034935"/>
        </w:trPr>
        <w:tc>
          <w:tcPr>
            <w:tcW w:w="0" w:type="auto"/>
            <w:gridSpan w:val="3"/>
            <w:shd w:val="clear" w:color="auto" w:fill="CCEEFF"/>
            <w:tcMar>
              <w:top w:w="30" w:type="dxa"/>
              <w:left w:w="155" w:type="dxa"/>
              <w:bottom w:w="30" w:type="dxa"/>
              <w:right w:w="20" w:type="dxa"/>
            </w:tcMar>
            <w:vAlign w:val="bottom"/>
            <w:hideMark/>
          </w:tcPr>
          <w:p w14:paraId="2EB57CC1" w14:textId="77777777" w:rsidR="00000000" w:rsidRDefault="000C49AD">
            <w:pPr>
              <w:spacing w:after="100"/>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14:paraId="037FB4A9"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4261E1" w14:textId="77777777" w:rsidR="00000000" w:rsidRDefault="000C49AD">
            <w:pPr>
              <w:spacing w:after="100"/>
              <w:jc w:val="right"/>
              <w:rPr>
                <w:rFonts w:eastAsia="Times New Roman"/>
              </w:rPr>
            </w:pPr>
            <w:r>
              <w:rPr>
                <w:rFonts w:eastAsia="Times New Roman"/>
                <w:color w:val="000000"/>
                <w:sz w:val="18"/>
                <w:szCs w:val="18"/>
              </w:rPr>
              <w:t>(15,816)</w:t>
            </w:r>
          </w:p>
        </w:tc>
        <w:tc>
          <w:tcPr>
            <w:tcW w:w="0" w:type="auto"/>
            <w:shd w:val="clear" w:color="auto" w:fill="CCEEFF"/>
            <w:tcMar>
              <w:top w:w="30" w:type="dxa"/>
              <w:left w:w="0" w:type="dxa"/>
              <w:bottom w:w="30" w:type="dxa"/>
              <w:right w:w="20" w:type="dxa"/>
            </w:tcMar>
            <w:vAlign w:val="bottom"/>
            <w:hideMark/>
          </w:tcPr>
          <w:p w14:paraId="6EB1CE3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40761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FEF1B2" w14:textId="77777777" w:rsidR="00000000" w:rsidRDefault="000C49AD">
            <w:pPr>
              <w:spacing w:after="100"/>
              <w:jc w:val="right"/>
              <w:rPr>
                <w:rFonts w:eastAsia="Times New Roman"/>
              </w:rPr>
            </w:pPr>
            <w:r>
              <w:rPr>
                <w:rFonts w:eastAsia="Times New Roman"/>
                <w:color w:val="000000"/>
                <w:sz w:val="18"/>
                <w:szCs w:val="18"/>
              </w:rPr>
              <w:t>(12,110)</w:t>
            </w:r>
          </w:p>
        </w:tc>
        <w:tc>
          <w:tcPr>
            <w:tcW w:w="0" w:type="auto"/>
            <w:shd w:val="clear" w:color="auto" w:fill="CCEEFF"/>
            <w:tcMar>
              <w:top w:w="30" w:type="dxa"/>
              <w:left w:w="0" w:type="dxa"/>
              <w:bottom w:w="30" w:type="dxa"/>
              <w:right w:w="20" w:type="dxa"/>
            </w:tcMar>
            <w:vAlign w:val="bottom"/>
            <w:hideMark/>
          </w:tcPr>
          <w:p w14:paraId="0C8B335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3DB69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1E5B2" w14:textId="77777777" w:rsidR="00000000" w:rsidRDefault="000C49AD">
            <w:pPr>
              <w:spacing w:after="100"/>
              <w:jc w:val="right"/>
              <w:rPr>
                <w:rFonts w:eastAsia="Times New Roman"/>
              </w:rPr>
            </w:pPr>
            <w:r>
              <w:rPr>
                <w:rFonts w:eastAsia="Times New Roman"/>
                <w:color w:val="000000"/>
                <w:sz w:val="18"/>
                <w:szCs w:val="18"/>
              </w:rPr>
              <w:t>(3,706)</w:t>
            </w:r>
          </w:p>
        </w:tc>
        <w:tc>
          <w:tcPr>
            <w:tcW w:w="0" w:type="auto"/>
            <w:shd w:val="clear" w:color="auto" w:fill="CCEEFF"/>
            <w:tcMar>
              <w:top w:w="30" w:type="dxa"/>
              <w:left w:w="0" w:type="dxa"/>
              <w:bottom w:w="30" w:type="dxa"/>
              <w:right w:w="20" w:type="dxa"/>
            </w:tcMar>
            <w:vAlign w:val="bottom"/>
            <w:hideMark/>
          </w:tcPr>
          <w:p w14:paraId="55258B4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DADD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E2DE22" w14:textId="77777777" w:rsidR="00000000" w:rsidRDefault="000C49AD">
            <w:pPr>
              <w:spacing w:after="100"/>
              <w:jc w:val="right"/>
              <w:rPr>
                <w:rFonts w:eastAsia="Times New Roman"/>
              </w:rPr>
            </w:pPr>
            <w:r>
              <w:rPr>
                <w:rFonts w:eastAsia="Times New Roman"/>
                <w:color w:val="000000"/>
                <w:sz w:val="18"/>
                <w:szCs w:val="18"/>
              </w:rPr>
              <w:t>(30.6)</w:t>
            </w:r>
          </w:p>
        </w:tc>
        <w:tc>
          <w:tcPr>
            <w:tcW w:w="0" w:type="auto"/>
            <w:shd w:val="clear" w:color="auto" w:fill="CCEEFF"/>
            <w:tcMar>
              <w:top w:w="30" w:type="dxa"/>
              <w:left w:w="0" w:type="dxa"/>
              <w:bottom w:w="30" w:type="dxa"/>
              <w:right w:w="20" w:type="dxa"/>
            </w:tcMar>
            <w:vAlign w:val="bottom"/>
            <w:hideMark/>
          </w:tcPr>
          <w:p w14:paraId="2A708DB4" w14:textId="77777777" w:rsidR="00000000" w:rsidRDefault="000C49AD">
            <w:pPr>
              <w:spacing w:after="100"/>
              <w:jc w:val="right"/>
              <w:rPr>
                <w:rFonts w:eastAsia="Times New Roman"/>
              </w:rPr>
            </w:pPr>
            <w:r>
              <w:rPr>
                <w:rFonts w:eastAsia="Times New Roman"/>
                <w:color w:val="000000"/>
                <w:sz w:val="18"/>
                <w:szCs w:val="18"/>
              </w:rPr>
              <w:t>%</w:t>
            </w:r>
          </w:p>
        </w:tc>
      </w:tr>
      <w:tr w:rsidR="00000000" w14:paraId="03C46E2A" w14:textId="77777777">
        <w:trPr>
          <w:divId w:val="784034935"/>
        </w:trPr>
        <w:tc>
          <w:tcPr>
            <w:tcW w:w="0" w:type="auto"/>
            <w:gridSpan w:val="3"/>
            <w:shd w:val="clear" w:color="auto" w:fill="FFFFFF"/>
            <w:tcMar>
              <w:top w:w="30" w:type="dxa"/>
              <w:left w:w="20" w:type="dxa"/>
              <w:bottom w:w="30" w:type="dxa"/>
              <w:right w:w="20" w:type="dxa"/>
            </w:tcMar>
            <w:vAlign w:val="bottom"/>
            <w:hideMark/>
          </w:tcPr>
          <w:p w14:paraId="7BA54FA6" w14:textId="77777777" w:rsidR="00000000" w:rsidRDefault="000C49AD">
            <w:pPr>
              <w:spacing w:after="100"/>
              <w:rPr>
                <w:rFonts w:eastAsia="Times New Roman"/>
              </w:rPr>
            </w:pPr>
            <w:r>
              <w:rPr>
                <w:rFonts w:eastAsia="Times New Roman"/>
                <w:color w:val="000000"/>
                <w:sz w:val="18"/>
                <w:szCs w:val="18"/>
              </w:rPr>
              <w:t xml:space="preserve">Net (loss) income </w:t>
            </w:r>
          </w:p>
        </w:tc>
        <w:tc>
          <w:tcPr>
            <w:tcW w:w="0" w:type="auto"/>
            <w:gridSpan w:val="3"/>
            <w:shd w:val="clear" w:color="auto" w:fill="FFFFFF"/>
            <w:tcMar>
              <w:top w:w="0" w:type="dxa"/>
              <w:left w:w="20" w:type="dxa"/>
              <w:bottom w:w="0" w:type="dxa"/>
              <w:right w:w="20" w:type="dxa"/>
            </w:tcMar>
            <w:vAlign w:val="center"/>
            <w:hideMark/>
          </w:tcPr>
          <w:p w14:paraId="0FEDA02C" w14:textId="77777777" w:rsidR="00000000" w:rsidRDefault="000C49A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A267E0B"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1BE3F78" w14:textId="77777777" w:rsidR="00000000" w:rsidRDefault="000C49AD">
            <w:pPr>
              <w:spacing w:after="100"/>
              <w:jc w:val="right"/>
              <w:rPr>
                <w:rFonts w:eastAsia="Times New Roman"/>
              </w:rPr>
            </w:pPr>
            <w:r>
              <w:rPr>
                <w:rFonts w:eastAsia="Times New Roman"/>
                <w:color w:val="000000"/>
                <w:sz w:val="18"/>
                <w:szCs w:val="18"/>
              </w:rPr>
              <w:t>(77,329)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959F6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113730"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47F278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D1CEA1F" w14:textId="77777777" w:rsidR="00000000" w:rsidRDefault="000C49AD">
            <w:pPr>
              <w:spacing w:after="100"/>
              <w:jc w:val="right"/>
              <w:rPr>
                <w:rFonts w:eastAsia="Times New Roman"/>
              </w:rPr>
            </w:pPr>
            <w:r>
              <w:rPr>
                <w:rFonts w:eastAsia="Times New Roman"/>
                <w:color w:val="000000"/>
                <w:sz w:val="18"/>
                <w:szCs w:val="18"/>
              </w:rPr>
              <w:t>7,028 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94E6CF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B656E7"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E30D7B4"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2CFCA90" w14:textId="77777777" w:rsidR="00000000" w:rsidRDefault="000C49AD">
            <w:pPr>
              <w:spacing w:after="100"/>
              <w:jc w:val="right"/>
              <w:rPr>
                <w:rFonts w:eastAsia="Times New Roman"/>
              </w:rPr>
            </w:pPr>
            <w:r>
              <w:rPr>
                <w:rFonts w:eastAsia="Times New Roman"/>
                <w:color w:val="000000"/>
                <w:sz w:val="18"/>
                <w:szCs w:val="18"/>
              </w:rPr>
              <w:t>(84,357)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9ADCA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10443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16DA3C" w14:textId="77777777" w:rsidR="00000000" w:rsidRDefault="000C49AD">
            <w:pPr>
              <w:spacing w:after="100"/>
              <w:jc w:val="right"/>
              <w:rPr>
                <w:rFonts w:eastAsia="Times New Roman"/>
              </w:rPr>
            </w:pPr>
            <w:r>
              <w:rPr>
                <w:rFonts w:eastAsia="Times New Roman"/>
                <w:color w:val="000000"/>
                <w:sz w:val="18"/>
                <w:szCs w:val="18"/>
              </w:rPr>
              <w:t>(1,200.3)</w:t>
            </w:r>
          </w:p>
        </w:tc>
        <w:tc>
          <w:tcPr>
            <w:tcW w:w="0" w:type="auto"/>
            <w:shd w:val="clear" w:color="auto" w:fill="FFFFFF"/>
            <w:tcMar>
              <w:top w:w="30" w:type="dxa"/>
              <w:left w:w="0" w:type="dxa"/>
              <w:bottom w:w="30" w:type="dxa"/>
              <w:right w:w="20" w:type="dxa"/>
            </w:tcMar>
            <w:vAlign w:val="bottom"/>
            <w:hideMark/>
          </w:tcPr>
          <w:p w14:paraId="7EBF1638" w14:textId="77777777" w:rsidR="00000000" w:rsidRDefault="000C49AD">
            <w:pPr>
              <w:spacing w:after="100"/>
              <w:jc w:val="right"/>
              <w:rPr>
                <w:rFonts w:eastAsia="Times New Roman"/>
              </w:rPr>
            </w:pPr>
            <w:r>
              <w:rPr>
                <w:rFonts w:eastAsia="Times New Roman"/>
                <w:color w:val="000000"/>
                <w:sz w:val="18"/>
                <w:szCs w:val="18"/>
              </w:rPr>
              <w:t>%</w:t>
            </w:r>
          </w:p>
        </w:tc>
      </w:tr>
      <w:tr w:rsidR="00000000" w14:paraId="236F57E1" w14:textId="77777777">
        <w:trPr>
          <w:divId w:val="784034935"/>
        </w:trPr>
        <w:tc>
          <w:tcPr>
            <w:tcW w:w="0" w:type="auto"/>
            <w:gridSpan w:val="3"/>
            <w:shd w:val="clear" w:color="auto" w:fill="CCEEFF"/>
            <w:tcMar>
              <w:top w:w="30" w:type="dxa"/>
              <w:left w:w="20" w:type="dxa"/>
              <w:bottom w:w="30" w:type="dxa"/>
              <w:right w:w="20" w:type="dxa"/>
            </w:tcMar>
            <w:vAlign w:val="bottom"/>
            <w:hideMark/>
          </w:tcPr>
          <w:p w14:paraId="21C2F2A3" w14:textId="77777777" w:rsidR="00000000" w:rsidRDefault="000C49AD">
            <w:pPr>
              <w:spacing w:after="100"/>
              <w:rPr>
                <w:rFonts w:eastAsia="Times New Roman"/>
              </w:rPr>
            </w:pPr>
            <w:r>
              <w:rPr>
                <w:rFonts w:eastAsia="Times New Roman"/>
                <w:color w:val="000000"/>
                <w:sz w:val="18"/>
                <w:szCs w:val="18"/>
              </w:rPr>
              <w:t>Net (loss) income per share - diluted</w:t>
            </w:r>
          </w:p>
        </w:tc>
        <w:tc>
          <w:tcPr>
            <w:tcW w:w="0" w:type="auto"/>
            <w:gridSpan w:val="3"/>
            <w:shd w:val="clear" w:color="auto" w:fill="CCEEFF"/>
            <w:tcMar>
              <w:top w:w="0" w:type="dxa"/>
              <w:left w:w="20" w:type="dxa"/>
              <w:bottom w:w="0" w:type="dxa"/>
              <w:right w:w="20" w:type="dxa"/>
            </w:tcMar>
            <w:vAlign w:val="center"/>
            <w:hideMark/>
          </w:tcPr>
          <w:p w14:paraId="4EE32597" w14:textId="77777777" w:rsidR="00000000" w:rsidRDefault="000C49AD">
            <w:pPr>
              <w:spacing w:after="100"/>
              <w:rPr>
                <w:rFonts w:eastAsia="Times New Roman"/>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B25EB8B"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8CA1D97" w14:textId="77777777" w:rsidR="00000000" w:rsidRDefault="000C49AD">
            <w:pPr>
              <w:spacing w:after="100"/>
              <w:jc w:val="right"/>
              <w:rPr>
                <w:rFonts w:eastAsia="Times New Roman"/>
              </w:rPr>
            </w:pPr>
            <w:r>
              <w:rPr>
                <w:rFonts w:eastAsia="Times New Roman"/>
                <w:color w:val="000000"/>
                <w:sz w:val="18"/>
                <w:szCs w:val="18"/>
              </w:rPr>
              <w:t>(1.32)</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7CDE31D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B45BE" w14:textId="77777777" w:rsidR="00000000" w:rsidRDefault="000C49A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5E1F8A39"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7B06A4D0" w14:textId="77777777" w:rsidR="00000000" w:rsidRDefault="000C49AD">
            <w:pPr>
              <w:spacing w:after="100"/>
              <w:jc w:val="right"/>
              <w:rPr>
                <w:rFonts w:eastAsia="Times New Roman"/>
              </w:rPr>
            </w:pPr>
            <w:r>
              <w:rPr>
                <w:rFonts w:eastAsia="Times New Roman"/>
                <w:color w:val="000000"/>
                <w:sz w:val="18"/>
                <w:szCs w:val="18"/>
              </w:rPr>
              <w:t>0.13 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8EDC64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DCA8C6" w14:textId="77777777" w:rsidR="00000000" w:rsidRDefault="000C49AD">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0438DFF"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3AAB2FDA" w14:textId="77777777" w:rsidR="00000000" w:rsidRDefault="000C49AD">
            <w:pPr>
              <w:spacing w:after="100"/>
              <w:jc w:val="right"/>
              <w:rPr>
                <w:rFonts w:eastAsia="Times New Roman"/>
              </w:rPr>
            </w:pPr>
            <w:r>
              <w:rPr>
                <w:rFonts w:eastAsia="Times New Roman"/>
                <w:color w:val="000000"/>
                <w:sz w:val="18"/>
                <w:szCs w:val="18"/>
              </w:rPr>
              <w:t>(1.45)</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4578B3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84E77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AFBCCF" w14:textId="77777777" w:rsidR="00000000" w:rsidRDefault="000C49AD">
            <w:pPr>
              <w:spacing w:after="100"/>
              <w:jc w:val="right"/>
              <w:rPr>
                <w:rFonts w:eastAsia="Times New Roman"/>
              </w:rPr>
            </w:pPr>
            <w:r>
              <w:rPr>
                <w:rFonts w:eastAsia="Times New Roman"/>
                <w:color w:val="000000"/>
                <w:sz w:val="18"/>
                <w:szCs w:val="18"/>
              </w:rPr>
              <w:t>(1,115.4)</w:t>
            </w:r>
          </w:p>
        </w:tc>
        <w:tc>
          <w:tcPr>
            <w:tcW w:w="0" w:type="auto"/>
            <w:shd w:val="clear" w:color="auto" w:fill="CCEEFF"/>
            <w:tcMar>
              <w:top w:w="30" w:type="dxa"/>
              <w:left w:w="0" w:type="dxa"/>
              <w:bottom w:w="30" w:type="dxa"/>
              <w:right w:w="20" w:type="dxa"/>
            </w:tcMar>
            <w:vAlign w:val="bottom"/>
            <w:hideMark/>
          </w:tcPr>
          <w:p w14:paraId="26EB141D" w14:textId="77777777" w:rsidR="00000000" w:rsidRDefault="000C49AD">
            <w:pPr>
              <w:spacing w:after="100"/>
              <w:jc w:val="right"/>
              <w:rPr>
                <w:rFonts w:eastAsia="Times New Roman"/>
              </w:rPr>
            </w:pPr>
            <w:r>
              <w:rPr>
                <w:rFonts w:eastAsia="Times New Roman"/>
                <w:color w:val="000000"/>
                <w:sz w:val="18"/>
                <w:szCs w:val="18"/>
              </w:rPr>
              <w:t>%</w:t>
            </w:r>
          </w:p>
        </w:tc>
      </w:tr>
    </w:tbl>
    <w:p w14:paraId="018B2730" w14:textId="77777777" w:rsidR="00000000" w:rsidRDefault="000C49AD">
      <w:pPr>
        <w:jc w:val="both"/>
        <w:rPr>
          <w:rFonts w:eastAsia="Times New Roman"/>
        </w:rPr>
      </w:pPr>
    </w:p>
    <w:p w14:paraId="526B04C0" w14:textId="77777777" w:rsidR="00000000" w:rsidRDefault="000C49AD">
      <w:pPr>
        <w:jc w:val="both"/>
        <w:rPr>
          <w:rFonts w:eastAsia="Times New Roman"/>
        </w:rPr>
      </w:pPr>
      <w:r>
        <w:rPr>
          <w:rFonts w:eastAsia="Times New Roman"/>
          <w:color w:val="000000"/>
          <w:sz w:val="20"/>
          <w:szCs w:val="20"/>
        </w:rPr>
        <w:t>On June 30, 2020,</w:t>
      </w:r>
      <w:r>
        <w:rPr>
          <w:rFonts w:eastAsia="Times New Roman"/>
          <w:color w:val="000000"/>
          <w:sz w:val="20"/>
          <w:szCs w:val="20"/>
        </w:rPr>
        <w:t xml:space="preserve"> we announced the sale of the Hospital Products, including our three FDA-approved commercial products, Akovaz, Bloxiverz and Vazculep, as well as Nouress, to the Exela Buyer. As a result of the sale, the Company recorded a gain on the sale of the Hospital </w:t>
      </w:r>
      <w:r>
        <w:rPr>
          <w:rFonts w:eastAsia="Times New Roman"/>
          <w:color w:val="000000"/>
          <w:sz w:val="20"/>
          <w:szCs w:val="20"/>
        </w:rPr>
        <w:t>Products of $45,760 and no longer recorded revenue, cost of products, intangible amortization and changes to the fair value of the contingent consideration related to these products subsequent to the Closing Date.</w:t>
      </w:r>
    </w:p>
    <w:tbl>
      <w:tblPr>
        <w:tblW w:w="5000" w:type="pct"/>
        <w:tblCellMar>
          <w:top w:w="15" w:type="dxa"/>
          <w:left w:w="15" w:type="dxa"/>
          <w:bottom w:w="15" w:type="dxa"/>
          <w:right w:w="15" w:type="dxa"/>
        </w:tblCellMar>
        <w:tblLook w:val="04A0" w:firstRow="1" w:lastRow="0" w:firstColumn="1" w:lastColumn="0" w:noHBand="0" w:noVBand="1"/>
      </w:tblPr>
      <w:tblGrid>
        <w:gridCol w:w="38"/>
        <w:gridCol w:w="3944"/>
        <w:gridCol w:w="37"/>
        <w:gridCol w:w="36"/>
        <w:gridCol w:w="36"/>
        <w:gridCol w:w="36"/>
        <w:gridCol w:w="110"/>
        <w:gridCol w:w="786"/>
        <w:gridCol w:w="36"/>
        <w:gridCol w:w="36"/>
        <w:gridCol w:w="36"/>
        <w:gridCol w:w="36"/>
        <w:gridCol w:w="110"/>
        <w:gridCol w:w="786"/>
        <w:gridCol w:w="36"/>
        <w:gridCol w:w="36"/>
        <w:gridCol w:w="36"/>
        <w:gridCol w:w="36"/>
        <w:gridCol w:w="36"/>
        <w:gridCol w:w="36"/>
        <w:gridCol w:w="110"/>
        <w:gridCol w:w="786"/>
        <w:gridCol w:w="36"/>
        <w:gridCol w:w="36"/>
        <w:gridCol w:w="36"/>
        <w:gridCol w:w="36"/>
        <w:gridCol w:w="39"/>
        <w:gridCol w:w="778"/>
        <w:gridCol w:w="170"/>
      </w:tblGrid>
      <w:tr w:rsidR="00000000" w14:paraId="4A33214C" w14:textId="77777777">
        <w:trPr>
          <w:divId w:val="939683965"/>
        </w:trPr>
        <w:tc>
          <w:tcPr>
            <w:tcW w:w="50" w:type="pct"/>
            <w:vAlign w:val="center"/>
            <w:hideMark/>
          </w:tcPr>
          <w:p w14:paraId="6EA208F3" w14:textId="77777777" w:rsidR="00000000" w:rsidRDefault="000C49AD">
            <w:pPr>
              <w:jc w:val="both"/>
              <w:rPr>
                <w:rFonts w:eastAsia="Times New Roman"/>
              </w:rPr>
            </w:pPr>
          </w:p>
        </w:tc>
        <w:tc>
          <w:tcPr>
            <w:tcW w:w="2430" w:type="pct"/>
            <w:vAlign w:val="center"/>
            <w:hideMark/>
          </w:tcPr>
          <w:p w14:paraId="593E375B" w14:textId="77777777" w:rsidR="00000000" w:rsidRDefault="000C49AD">
            <w:pPr>
              <w:spacing w:after="100"/>
              <w:rPr>
                <w:rFonts w:eastAsia="Times New Roman"/>
                <w:sz w:val="20"/>
                <w:szCs w:val="20"/>
              </w:rPr>
            </w:pPr>
          </w:p>
        </w:tc>
        <w:tc>
          <w:tcPr>
            <w:tcW w:w="5" w:type="pct"/>
            <w:vAlign w:val="center"/>
            <w:hideMark/>
          </w:tcPr>
          <w:p w14:paraId="42DE793F" w14:textId="77777777" w:rsidR="00000000" w:rsidRDefault="000C49AD">
            <w:pPr>
              <w:spacing w:after="100"/>
              <w:rPr>
                <w:rFonts w:eastAsia="Times New Roman"/>
                <w:sz w:val="20"/>
                <w:szCs w:val="20"/>
              </w:rPr>
            </w:pPr>
          </w:p>
        </w:tc>
        <w:tc>
          <w:tcPr>
            <w:tcW w:w="5" w:type="pct"/>
            <w:vAlign w:val="center"/>
            <w:hideMark/>
          </w:tcPr>
          <w:p w14:paraId="6BDE41E5" w14:textId="77777777" w:rsidR="00000000" w:rsidRDefault="000C49AD">
            <w:pPr>
              <w:spacing w:after="100"/>
              <w:rPr>
                <w:rFonts w:eastAsia="Times New Roman"/>
                <w:sz w:val="20"/>
                <w:szCs w:val="20"/>
              </w:rPr>
            </w:pPr>
          </w:p>
        </w:tc>
        <w:tc>
          <w:tcPr>
            <w:tcW w:w="26" w:type="pct"/>
            <w:vAlign w:val="center"/>
            <w:hideMark/>
          </w:tcPr>
          <w:p w14:paraId="4892F07E" w14:textId="77777777" w:rsidR="00000000" w:rsidRDefault="000C49AD">
            <w:pPr>
              <w:spacing w:after="100"/>
              <w:rPr>
                <w:rFonts w:eastAsia="Times New Roman"/>
                <w:sz w:val="20"/>
                <w:szCs w:val="20"/>
              </w:rPr>
            </w:pPr>
          </w:p>
        </w:tc>
        <w:tc>
          <w:tcPr>
            <w:tcW w:w="5" w:type="pct"/>
            <w:vAlign w:val="center"/>
            <w:hideMark/>
          </w:tcPr>
          <w:p w14:paraId="4820E6D1" w14:textId="77777777" w:rsidR="00000000" w:rsidRDefault="000C49AD">
            <w:pPr>
              <w:spacing w:after="100"/>
              <w:rPr>
                <w:rFonts w:eastAsia="Times New Roman"/>
                <w:sz w:val="20"/>
                <w:szCs w:val="20"/>
              </w:rPr>
            </w:pPr>
          </w:p>
        </w:tc>
        <w:tc>
          <w:tcPr>
            <w:tcW w:w="50" w:type="pct"/>
            <w:vAlign w:val="center"/>
            <w:hideMark/>
          </w:tcPr>
          <w:p w14:paraId="3143BFFC" w14:textId="77777777" w:rsidR="00000000" w:rsidRDefault="000C49AD">
            <w:pPr>
              <w:spacing w:after="100"/>
              <w:rPr>
                <w:rFonts w:eastAsia="Times New Roman"/>
                <w:sz w:val="20"/>
                <w:szCs w:val="20"/>
              </w:rPr>
            </w:pPr>
          </w:p>
        </w:tc>
        <w:tc>
          <w:tcPr>
            <w:tcW w:w="537" w:type="pct"/>
            <w:vAlign w:val="center"/>
            <w:hideMark/>
          </w:tcPr>
          <w:p w14:paraId="0F28FB25" w14:textId="77777777" w:rsidR="00000000" w:rsidRDefault="000C49AD">
            <w:pPr>
              <w:spacing w:after="100"/>
              <w:rPr>
                <w:rFonts w:eastAsia="Times New Roman"/>
                <w:sz w:val="20"/>
                <w:szCs w:val="20"/>
              </w:rPr>
            </w:pPr>
          </w:p>
        </w:tc>
        <w:tc>
          <w:tcPr>
            <w:tcW w:w="5" w:type="pct"/>
            <w:vAlign w:val="center"/>
            <w:hideMark/>
          </w:tcPr>
          <w:p w14:paraId="323770B1" w14:textId="77777777" w:rsidR="00000000" w:rsidRDefault="000C49AD">
            <w:pPr>
              <w:spacing w:after="100"/>
              <w:rPr>
                <w:rFonts w:eastAsia="Times New Roman"/>
                <w:sz w:val="20"/>
                <w:szCs w:val="20"/>
              </w:rPr>
            </w:pPr>
          </w:p>
        </w:tc>
        <w:tc>
          <w:tcPr>
            <w:tcW w:w="5" w:type="pct"/>
            <w:vAlign w:val="center"/>
            <w:hideMark/>
          </w:tcPr>
          <w:p w14:paraId="13EAFD43" w14:textId="77777777" w:rsidR="00000000" w:rsidRDefault="000C49AD">
            <w:pPr>
              <w:spacing w:after="100"/>
              <w:rPr>
                <w:rFonts w:eastAsia="Times New Roman"/>
                <w:sz w:val="20"/>
                <w:szCs w:val="20"/>
              </w:rPr>
            </w:pPr>
          </w:p>
        </w:tc>
        <w:tc>
          <w:tcPr>
            <w:tcW w:w="26" w:type="pct"/>
            <w:vAlign w:val="center"/>
            <w:hideMark/>
          </w:tcPr>
          <w:p w14:paraId="3902A757" w14:textId="77777777" w:rsidR="00000000" w:rsidRDefault="000C49AD">
            <w:pPr>
              <w:spacing w:after="100"/>
              <w:rPr>
                <w:rFonts w:eastAsia="Times New Roman"/>
                <w:sz w:val="20"/>
                <w:szCs w:val="20"/>
              </w:rPr>
            </w:pPr>
          </w:p>
        </w:tc>
        <w:tc>
          <w:tcPr>
            <w:tcW w:w="5" w:type="pct"/>
            <w:vAlign w:val="center"/>
            <w:hideMark/>
          </w:tcPr>
          <w:p w14:paraId="35DA90B1" w14:textId="77777777" w:rsidR="00000000" w:rsidRDefault="000C49AD">
            <w:pPr>
              <w:spacing w:after="100"/>
              <w:rPr>
                <w:rFonts w:eastAsia="Times New Roman"/>
                <w:sz w:val="20"/>
                <w:szCs w:val="20"/>
              </w:rPr>
            </w:pPr>
          </w:p>
        </w:tc>
        <w:tc>
          <w:tcPr>
            <w:tcW w:w="50" w:type="pct"/>
            <w:vAlign w:val="center"/>
            <w:hideMark/>
          </w:tcPr>
          <w:p w14:paraId="1CEDB935" w14:textId="77777777" w:rsidR="00000000" w:rsidRDefault="000C49AD">
            <w:pPr>
              <w:spacing w:after="100"/>
              <w:rPr>
                <w:rFonts w:eastAsia="Times New Roman"/>
                <w:sz w:val="20"/>
                <w:szCs w:val="20"/>
              </w:rPr>
            </w:pPr>
          </w:p>
        </w:tc>
        <w:tc>
          <w:tcPr>
            <w:tcW w:w="537" w:type="pct"/>
            <w:vAlign w:val="center"/>
            <w:hideMark/>
          </w:tcPr>
          <w:p w14:paraId="66E6F719" w14:textId="77777777" w:rsidR="00000000" w:rsidRDefault="000C49AD">
            <w:pPr>
              <w:spacing w:after="100"/>
              <w:rPr>
                <w:rFonts w:eastAsia="Times New Roman"/>
                <w:sz w:val="20"/>
                <w:szCs w:val="20"/>
              </w:rPr>
            </w:pPr>
          </w:p>
        </w:tc>
        <w:tc>
          <w:tcPr>
            <w:tcW w:w="5" w:type="pct"/>
            <w:vAlign w:val="center"/>
            <w:hideMark/>
          </w:tcPr>
          <w:p w14:paraId="45A279E9" w14:textId="77777777" w:rsidR="00000000" w:rsidRDefault="000C49AD">
            <w:pPr>
              <w:spacing w:after="100"/>
              <w:rPr>
                <w:rFonts w:eastAsia="Times New Roman"/>
                <w:sz w:val="20"/>
                <w:szCs w:val="20"/>
              </w:rPr>
            </w:pPr>
          </w:p>
        </w:tc>
        <w:tc>
          <w:tcPr>
            <w:tcW w:w="5" w:type="pct"/>
            <w:vAlign w:val="center"/>
            <w:hideMark/>
          </w:tcPr>
          <w:p w14:paraId="052BB4D8" w14:textId="77777777" w:rsidR="00000000" w:rsidRDefault="000C49AD">
            <w:pPr>
              <w:spacing w:after="100"/>
              <w:rPr>
                <w:rFonts w:eastAsia="Times New Roman"/>
                <w:sz w:val="20"/>
                <w:szCs w:val="20"/>
              </w:rPr>
            </w:pPr>
          </w:p>
        </w:tc>
        <w:tc>
          <w:tcPr>
            <w:tcW w:w="26" w:type="pct"/>
            <w:vAlign w:val="center"/>
            <w:hideMark/>
          </w:tcPr>
          <w:p w14:paraId="78C563BC" w14:textId="77777777" w:rsidR="00000000" w:rsidRDefault="000C49AD">
            <w:pPr>
              <w:spacing w:after="100"/>
              <w:rPr>
                <w:rFonts w:eastAsia="Times New Roman"/>
                <w:sz w:val="20"/>
                <w:szCs w:val="20"/>
              </w:rPr>
            </w:pPr>
          </w:p>
        </w:tc>
        <w:tc>
          <w:tcPr>
            <w:tcW w:w="5" w:type="pct"/>
            <w:vAlign w:val="center"/>
            <w:hideMark/>
          </w:tcPr>
          <w:p w14:paraId="47901603" w14:textId="77777777" w:rsidR="00000000" w:rsidRDefault="000C49AD">
            <w:pPr>
              <w:spacing w:after="100"/>
              <w:rPr>
                <w:rFonts w:eastAsia="Times New Roman"/>
                <w:sz w:val="20"/>
                <w:szCs w:val="20"/>
              </w:rPr>
            </w:pPr>
          </w:p>
        </w:tc>
        <w:tc>
          <w:tcPr>
            <w:tcW w:w="0" w:type="auto"/>
            <w:vAlign w:val="center"/>
            <w:hideMark/>
          </w:tcPr>
          <w:p w14:paraId="7DA94E86" w14:textId="77777777" w:rsidR="00000000" w:rsidRDefault="000C49AD">
            <w:pPr>
              <w:spacing w:after="100"/>
              <w:rPr>
                <w:rFonts w:eastAsia="Times New Roman"/>
                <w:sz w:val="20"/>
                <w:szCs w:val="20"/>
              </w:rPr>
            </w:pPr>
          </w:p>
        </w:tc>
        <w:tc>
          <w:tcPr>
            <w:tcW w:w="0" w:type="auto"/>
            <w:vAlign w:val="center"/>
            <w:hideMark/>
          </w:tcPr>
          <w:p w14:paraId="633657EC" w14:textId="77777777" w:rsidR="00000000" w:rsidRDefault="000C49AD">
            <w:pPr>
              <w:spacing w:after="100"/>
              <w:rPr>
                <w:rFonts w:eastAsia="Times New Roman"/>
                <w:sz w:val="20"/>
                <w:szCs w:val="20"/>
              </w:rPr>
            </w:pPr>
          </w:p>
        </w:tc>
        <w:tc>
          <w:tcPr>
            <w:tcW w:w="50" w:type="pct"/>
            <w:vAlign w:val="center"/>
            <w:hideMark/>
          </w:tcPr>
          <w:p w14:paraId="36D7F2A5" w14:textId="77777777" w:rsidR="00000000" w:rsidRDefault="000C49AD">
            <w:pPr>
              <w:spacing w:after="100"/>
              <w:rPr>
                <w:rFonts w:eastAsia="Times New Roman"/>
                <w:sz w:val="20"/>
                <w:szCs w:val="20"/>
              </w:rPr>
            </w:pPr>
          </w:p>
        </w:tc>
        <w:tc>
          <w:tcPr>
            <w:tcW w:w="537" w:type="pct"/>
            <w:vAlign w:val="center"/>
            <w:hideMark/>
          </w:tcPr>
          <w:p w14:paraId="15846BBA" w14:textId="77777777" w:rsidR="00000000" w:rsidRDefault="000C49AD">
            <w:pPr>
              <w:spacing w:after="100"/>
              <w:rPr>
                <w:rFonts w:eastAsia="Times New Roman"/>
                <w:sz w:val="20"/>
                <w:szCs w:val="20"/>
              </w:rPr>
            </w:pPr>
          </w:p>
        </w:tc>
        <w:tc>
          <w:tcPr>
            <w:tcW w:w="5" w:type="pct"/>
            <w:vAlign w:val="center"/>
            <w:hideMark/>
          </w:tcPr>
          <w:p w14:paraId="14257280" w14:textId="77777777" w:rsidR="00000000" w:rsidRDefault="000C49AD">
            <w:pPr>
              <w:spacing w:after="100"/>
              <w:rPr>
                <w:rFonts w:eastAsia="Times New Roman"/>
                <w:sz w:val="20"/>
                <w:szCs w:val="20"/>
              </w:rPr>
            </w:pPr>
          </w:p>
        </w:tc>
        <w:tc>
          <w:tcPr>
            <w:tcW w:w="5" w:type="pct"/>
            <w:vAlign w:val="center"/>
            <w:hideMark/>
          </w:tcPr>
          <w:p w14:paraId="7BA64740" w14:textId="77777777" w:rsidR="00000000" w:rsidRDefault="000C49AD">
            <w:pPr>
              <w:spacing w:after="100"/>
              <w:rPr>
                <w:rFonts w:eastAsia="Times New Roman"/>
                <w:sz w:val="20"/>
                <w:szCs w:val="20"/>
              </w:rPr>
            </w:pPr>
          </w:p>
        </w:tc>
        <w:tc>
          <w:tcPr>
            <w:tcW w:w="26" w:type="pct"/>
            <w:vAlign w:val="center"/>
            <w:hideMark/>
          </w:tcPr>
          <w:p w14:paraId="35086FA4" w14:textId="77777777" w:rsidR="00000000" w:rsidRDefault="000C49AD">
            <w:pPr>
              <w:spacing w:after="100"/>
              <w:rPr>
                <w:rFonts w:eastAsia="Times New Roman"/>
                <w:sz w:val="20"/>
                <w:szCs w:val="20"/>
              </w:rPr>
            </w:pPr>
          </w:p>
        </w:tc>
        <w:tc>
          <w:tcPr>
            <w:tcW w:w="5" w:type="pct"/>
            <w:vAlign w:val="center"/>
            <w:hideMark/>
          </w:tcPr>
          <w:p w14:paraId="1FAFB721" w14:textId="77777777" w:rsidR="00000000" w:rsidRDefault="000C49AD">
            <w:pPr>
              <w:spacing w:after="100"/>
              <w:rPr>
                <w:rFonts w:eastAsia="Times New Roman"/>
                <w:sz w:val="20"/>
                <w:szCs w:val="20"/>
              </w:rPr>
            </w:pPr>
          </w:p>
        </w:tc>
        <w:tc>
          <w:tcPr>
            <w:tcW w:w="50" w:type="pct"/>
            <w:vAlign w:val="center"/>
            <w:hideMark/>
          </w:tcPr>
          <w:p w14:paraId="33112A95" w14:textId="77777777" w:rsidR="00000000" w:rsidRDefault="000C49AD">
            <w:pPr>
              <w:spacing w:after="100"/>
              <w:rPr>
                <w:rFonts w:eastAsia="Times New Roman"/>
                <w:sz w:val="20"/>
                <w:szCs w:val="20"/>
              </w:rPr>
            </w:pPr>
          </w:p>
        </w:tc>
        <w:tc>
          <w:tcPr>
            <w:tcW w:w="537" w:type="pct"/>
            <w:vAlign w:val="center"/>
            <w:hideMark/>
          </w:tcPr>
          <w:p w14:paraId="349B5572" w14:textId="77777777" w:rsidR="00000000" w:rsidRDefault="000C49AD">
            <w:pPr>
              <w:spacing w:after="100"/>
              <w:rPr>
                <w:rFonts w:eastAsia="Times New Roman"/>
                <w:sz w:val="20"/>
                <w:szCs w:val="20"/>
              </w:rPr>
            </w:pPr>
          </w:p>
        </w:tc>
        <w:tc>
          <w:tcPr>
            <w:tcW w:w="5" w:type="pct"/>
            <w:vAlign w:val="center"/>
            <w:hideMark/>
          </w:tcPr>
          <w:p w14:paraId="4629BC8C" w14:textId="77777777" w:rsidR="00000000" w:rsidRDefault="000C49AD">
            <w:pPr>
              <w:spacing w:after="100"/>
              <w:rPr>
                <w:rFonts w:eastAsia="Times New Roman"/>
                <w:sz w:val="20"/>
                <w:szCs w:val="20"/>
              </w:rPr>
            </w:pPr>
          </w:p>
        </w:tc>
      </w:tr>
      <w:tr w:rsidR="00000000" w14:paraId="64FE75AB" w14:textId="77777777">
        <w:trPr>
          <w:divId w:val="939683965"/>
        </w:trPr>
        <w:tc>
          <w:tcPr>
            <w:tcW w:w="0" w:type="auto"/>
            <w:gridSpan w:val="3"/>
            <w:vAlign w:val="center"/>
            <w:hideMark/>
          </w:tcPr>
          <w:p w14:paraId="269143AB" w14:textId="77777777" w:rsidR="00000000" w:rsidRDefault="000C49AD">
            <w:pPr>
              <w:spacing w:after="100"/>
              <w:rPr>
                <w:rFonts w:eastAsia="Times New Roman"/>
                <w:sz w:val="20"/>
                <w:szCs w:val="20"/>
              </w:rPr>
            </w:pPr>
          </w:p>
        </w:tc>
        <w:tc>
          <w:tcPr>
            <w:tcW w:w="0" w:type="auto"/>
            <w:gridSpan w:val="3"/>
            <w:vAlign w:val="center"/>
            <w:hideMark/>
          </w:tcPr>
          <w:p w14:paraId="2DDDAF8B" w14:textId="77777777" w:rsidR="00000000" w:rsidRDefault="000C49AD">
            <w:pPr>
              <w:spacing w:after="100"/>
              <w:rPr>
                <w:rFonts w:eastAsia="Times New Roman"/>
                <w:sz w:val="20"/>
                <w:szCs w:val="20"/>
              </w:rPr>
            </w:pPr>
          </w:p>
        </w:tc>
        <w:tc>
          <w:tcPr>
            <w:tcW w:w="0" w:type="auto"/>
            <w:gridSpan w:val="3"/>
            <w:vAlign w:val="center"/>
            <w:hideMark/>
          </w:tcPr>
          <w:p w14:paraId="2CA438B8" w14:textId="77777777" w:rsidR="00000000" w:rsidRDefault="000C49AD">
            <w:pPr>
              <w:spacing w:after="100"/>
              <w:rPr>
                <w:rFonts w:eastAsia="Times New Roman"/>
                <w:sz w:val="20"/>
                <w:szCs w:val="20"/>
              </w:rPr>
            </w:pPr>
          </w:p>
        </w:tc>
        <w:tc>
          <w:tcPr>
            <w:tcW w:w="0" w:type="auto"/>
            <w:gridSpan w:val="3"/>
            <w:vAlign w:val="center"/>
            <w:hideMark/>
          </w:tcPr>
          <w:p w14:paraId="3320C0CA" w14:textId="77777777" w:rsidR="00000000" w:rsidRDefault="000C49AD">
            <w:pPr>
              <w:spacing w:after="100"/>
              <w:rPr>
                <w:rFonts w:eastAsia="Times New Roman"/>
                <w:sz w:val="20"/>
                <w:szCs w:val="20"/>
              </w:rPr>
            </w:pPr>
          </w:p>
        </w:tc>
        <w:tc>
          <w:tcPr>
            <w:tcW w:w="0" w:type="auto"/>
            <w:gridSpan w:val="3"/>
            <w:vAlign w:val="center"/>
            <w:hideMark/>
          </w:tcPr>
          <w:p w14:paraId="0A90C5F9" w14:textId="77777777" w:rsidR="00000000" w:rsidRDefault="000C49AD">
            <w:pPr>
              <w:spacing w:after="100"/>
              <w:rPr>
                <w:rFonts w:eastAsia="Times New Roman"/>
                <w:sz w:val="20"/>
                <w:szCs w:val="20"/>
              </w:rPr>
            </w:pPr>
          </w:p>
        </w:tc>
        <w:tc>
          <w:tcPr>
            <w:tcW w:w="0" w:type="auto"/>
            <w:gridSpan w:val="3"/>
            <w:vAlign w:val="center"/>
            <w:hideMark/>
          </w:tcPr>
          <w:p w14:paraId="6F07AAF6" w14:textId="77777777" w:rsidR="00000000" w:rsidRDefault="000C49AD">
            <w:pPr>
              <w:spacing w:after="100"/>
              <w:rPr>
                <w:rFonts w:eastAsia="Times New Roman"/>
                <w:sz w:val="20"/>
                <w:szCs w:val="20"/>
              </w:rPr>
            </w:pPr>
          </w:p>
        </w:tc>
        <w:tc>
          <w:tcPr>
            <w:tcW w:w="0" w:type="auto"/>
            <w:vAlign w:val="center"/>
            <w:hideMark/>
          </w:tcPr>
          <w:p w14:paraId="1436807A" w14:textId="77777777" w:rsidR="00000000" w:rsidRDefault="000C49AD">
            <w:pPr>
              <w:spacing w:after="100"/>
              <w:rPr>
                <w:rFonts w:eastAsia="Times New Roman"/>
                <w:sz w:val="20"/>
                <w:szCs w:val="20"/>
              </w:rPr>
            </w:pPr>
          </w:p>
        </w:tc>
        <w:tc>
          <w:tcPr>
            <w:tcW w:w="0" w:type="auto"/>
            <w:vAlign w:val="center"/>
            <w:hideMark/>
          </w:tcPr>
          <w:p w14:paraId="09EB8B62" w14:textId="77777777" w:rsidR="00000000" w:rsidRDefault="000C49AD">
            <w:pPr>
              <w:spacing w:after="100"/>
              <w:rPr>
                <w:rFonts w:eastAsia="Times New Roman"/>
                <w:sz w:val="20"/>
                <w:szCs w:val="20"/>
              </w:rPr>
            </w:pPr>
          </w:p>
        </w:tc>
        <w:tc>
          <w:tcPr>
            <w:tcW w:w="0" w:type="auto"/>
            <w:gridSpan w:val="3"/>
            <w:vAlign w:val="center"/>
            <w:hideMark/>
          </w:tcPr>
          <w:p w14:paraId="2C4EF7E2" w14:textId="77777777" w:rsidR="00000000" w:rsidRDefault="000C49AD">
            <w:pPr>
              <w:spacing w:after="100"/>
              <w:rPr>
                <w:rFonts w:eastAsia="Times New Roman"/>
                <w:sz w:val="20"/>
                <w:szCs w:val="20"/>
              </w:rPr>
            </w:pPr>
          </w:p>
        </w:tc>
        <w:tc>
          <w:tcPr>
            <w:tcW w:w="0" w:type="auto"/>
            <w:vAlign w:val="center"/>
            <w:hideMark/>
          </w:tcPr>
          <w:p w14:paraId="6C88654D" w14:textId="77777777" w:rsidR="00000000" w:rsidRDefault="000C49AD">
            <w:pPr>
              <w:spacing w:after="100"/>
              <w:rPr>
                <w:rFonts w:eastAsia="Times New Roman"/>
                <w:sz w:val="20"/>
                <w:szCs w:val="20"/>
              </w:rPr>
            </w:pPr>
          </w:p>
        </w:tc>
        <w:tc>
          <w:tcPr>
            <w:tcW w:w="0" w:type="auto"/>
            <w:vAlign w:val="center"/>
            <w:hideMark/>
          </w:tcPr>
          <w:p w14:paraId="47A330C3" w14:textId="77777777" w:rsidR="00000000" w:rsidRDefault="000C49AD">
            <w:pPr>
              <w:spacing w:after="100"/>
              <w:rPr>
                <w:rFonts w:eastAsia="Times New Roman"/>
                <w:sz w:val="20"/>
                <w:szCs w:val="20"/>
              </w:rPr>
            </w:pPr>
          </w:p>
        </w:tc>
        <w:tc>
          <w:tcPr>
            <w:tcW w:w="0" w:type="auto"/>
            <w:vAlign w:val="center"/>
            <w:hideMark/>
          </w:tcPr>
          <w:p w14:paraId="5A9270FF" w14:textId="77777777" w:rsidR="00000000" w:rsidRDefault="000C49AD">
            <w:pPr>
              <w:spacing w:after="100"/>
              <w:rPr>
                <w:rFonts w:eastAsia="Times New Roman"/>
                <w:sz w:val="20"/>
                <w:szCs w:val="20"/>
              </w:rPr>
            </w:pPr>
          </w:p>
        </w:tc>
        <w:tc>
          <w:tcPr>
            <w:tcW w:w="0" w:type="auto"/>
            <w:vAlign w:val="center"/>
            <w:hideMark/>
          </w:tcPr>
          <w:p w14:paraId="3F05BD67" w14:textId="77777777" w:rsidR="00000000" w:rsidRDefault="000C49AD">
            <w:pPr>
              <w:spacing w:after="100"/>
              <w:rPr>
                <w:rFonts w:eastAsia="Times New Roman"/>
                <w:sz w:val="20"/>
                <w:szCs w:val="20"/>
              </w:rPr>
            </w:pPr>
          </w:p>
        </w:tc>
        <w:tc>
          <w:tcPr>
            <w:tcW w:w="0" w:type="auto"/>
            <w:vAlign w:val="center"/>
            <w:hideMark/>
          </w:tcPr>
          <w:p w14:paraId="5A3FFF4B" w14:textId="77777777" w:rsidR="00000000" w:rsidRDefault="000C49AD">
            <w:pPr>
              <w:spacing w:after="100"/>
              <w:rPr>
                <w:rFonts w:eastAsia="Times New Roman"/>
                <w:sz w:val="20"/>
                <w:szCs w:val="20"/>
              </w:rPr>
            </w:pPr>
          </w:p>
        </w:tc>
        <w:tc>
          <w:tcPr>
            <w:tcW w:w="0" w:type="auto"/>
            <w:vAlign w:val="center"/>
            <w:hideMark/>
          </w:tcPr>
          <w:p w14:paraId="6431C925" w14:textId="77777777" w:rsidR="00000000" w:rsidRDefault="000C49AD">
            <w:pPr>
              <w:spacing w:after="100"/>
              <w:rPr>
                <w:rFonts w:eastAsia="Times New Roman"/>
                <w:sz w:val="20"/>
                <w:szCs w:val="20"/>
              </w:rPr>
            </w:pPr>
          </w:p>
        </w:tc>
      </w:tr>
      <w:tr w:rsidR="00000000" w14:paraId="614D0948" w14:textId="77777777">
        <w:trPr>
          <w:divId w:val="939683965"/>
        </w:trPr>
        <w:tc>
          <w:tcPr>
            <w:tcW w:w="0" w:type="auto"/>
            <w:gridSpan w:val="3"/>
            <w:tcMar>
              <w:top w:w="30" w:type="dxa"/>
              <w:left w:w="20" w:type="dxa"/>
              <w:bottom w:w="30" w:type="dxa"/>
              <w:right w:w="20" w:type="dxa"/>
            </w:tcMar>
            <w:vAlign w:val="bottom"/>
            <w:hideMark/>
          </w:tcPr>
          <w:p w14:paraId="10F50A2C"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39406CA" w14:textId="77777777" w:rsidR="00000000" w:rsidRDefault="000C49AD">
            <w:pPr>
              <w:spacing w:after="100"/>
              <w:rPr>
                <w:rFonts w:eastAsia="Times New Roman"/>
              </w:rPr>
            </w:pPr>
          </w:p>
        </w:tc>
        <w:tc>
          <w:tcPr>
            <w:tcW w:w="0" w:type="auto"/>
            <w:gridSpan w:val="12"/>
            <w:tcMar>
              <w:top w:w="30" w:type="dxa"/>
              <w:left w:w="20" w:type="dxa"/>
              <w:bottom w:w="30" w:type="dxa"/>
              <w:right w:w="20" w:type="dxa"/>
            </w:tcMar>
            <w:vAlign w:val="bottom"/>
            <w:hideMark/>
          </w:tcPr>
          <w:p w14:paraId="00D52DD5" w14:textId="77777777" w:rsidR="00000000" w:rsidRDefault="000C49AD">
            <w:pPr>
              <w:spacing w:after="100"/>
              <w:jc w:val="center"/>
              <w:rPr>
                <w:rFonts w:eastAsia="Times New Roman"/>
              </w:rPr>
            </w:pPr>
            <w:r>
              <w:rPr>
                <w:rFonts w:eastAsia="Times New Roman"/>
                <w:b/>
                <w:bCs/>
                <w:color w:val="000000"/>
                <w:sz w:val="18"/>
                <w:szCs w:val="18"/>
              </w:rPr>
              <w:t>Years Ended December 31,</w:t>
            </w:r>
          </w:p>
        </w:tc>
        <w:tc>
          <w:tcPr>
            <w:tcW w:w="0" w:type="auto"/>
            <w:vAlign w:val="center"/>
            <w:hideMark/>
          </w:tcPr>
          <w:p w14:paraId="0D4BEB92" w14:textId="77777777" w:rsidR="00000000" w:rsidRDefault="000C49AD">
            <w:pPr>
              <w:spacing w:after="100"/>
              <w:jc w:val="center"/>
              <w:rPr>
                <w:rFonts w:eastAsia="Times New Roman"/>
              </w:rPr>
            </w:pPr>
          </w:p>
        </w:tc>
        <w:tc>
          <w:tcPr>
            <w:tcW w:w="0" w:type="auto"/>
            <w:gridSpan w:val="7"/>
            <w:tcMar>
              <w:top w:w="30" w:type="dxa"/>
              <w:left w:w="20" w:type="dxa"/>
              <w:bottom w:w="30" w:type="dxa"/>
              <w:right w:w="20" w:type="dxa"/>
            </w:tcMar>
            <w:vAlign w:val="bottom"/>
            <w:hideMark/>
          </w:tcPr>
          <w:p w14:paraId="3498F371" w14:textId="77777777" w:rsidR="00000000" w:rsidRDefault="000C49AD">
            <w:pPr>
              <w:spacing w:after="100"/>
              <w:jc w:val="center"/>
              <w:rPr>
                <w:rFonts w:eastAsia="Times New Roman"/>
              </w:rPr>
            </w:pPr>
            <w:r>
              <w:rPr>
                <w:rFonts w:eastAsia="Times New Roman"/>
                <w:b/>
                <w:bCs/>
                <w:color w:val="000000"/>
                <w:sz w:val="18"/>
                <w:szCs w:val="18"/>
              </w:rPr>
              <w:t>Change</w:t>
            </w:r>
          </w:p>
        </w:tc>
        <w:tc>
          <w:tcPr>
            <w:tcW w:w="0" w:type="auto"/>
            <w:vAlign w:val="center"/>
            <w:hideMark/>
          </w:tcPr>
          <w:p w14:paraId="6AC00C41" w14:textId="77777777" w:rsidR="00000000" w:rsidRDefault="000C49AD">
            <w:pPr>
              <w:spacing w:after="100"/>
              <w:rPr>
                <w:rFonts w:eastAsia="Times New Roman"/>
                <w:sz w:val="20"/>
                <w:szCs w:val="20"/>
              </w:rPr>
            </w:pPr>
          </w:p>
        </w:tc>
        <w:tc>
          <w:tcPr>
            <w:tcW w:w="0" w:type="auto"/>
            <w:vAlign w:val="center"/>
            <w:hideMark/>
          </w:tcPr>
          <w:p w14:paraId="64A305C5" w14:textId="77777777" w:rsidR="00000000" w:rsidRDefault="000C49AD">
            <w:pPr>
              <w:spacing w:after="100"/>
              <w:rPr>
                <w:rFonts w:eastAsia="Times New Roman"/>
                <w:sz w:val="20"/>
                <w:szCs w:val="20"/>
              </w:rPr>
            </w:pPr>
          </w:p>
        </w:tc>
        <w:tc>
          <w:tcPr>
            <w:tcW w:w="0" w:type="auto"/>
            <w:vAlign w:val="center"/>
            <w:hideMark/>
          </w:tcPr>
          <w:p w14:paraId="5D214B27" w14:textId="77777777" w:rsidR="00000000" w:rsidRDefault="000C49AD">
            <w:pPr>
              <w:spacing w:after="100"/>
              <w:rPr>
                <w:rFonts w:eastAsia="Times New Roman"/>
                <w:sz w:val="20"/>
                <w:szCs w:val="20"/>
              </w:rPr>
            </w:pPr>
          </w:p>
        </w:tc>
      </w:tr>
      <w:tr w:rsidR="00000000" w14:paraId="55D71BF4" w14:textId="77777777">
        <w:trPr>
          <w:divId w:val="939683965"/>
        </w:trPr>
        <w:tc>
          <w:tcPr>
            <w:tcW w:w="0" w:type="auto"/>
            <w:gridSpan w:val="3"/>
            <w:tcMar>
              <w:top w:w="30" w:type="dxa"/>
              <w:left w:w="20" w:type="dxa"/>
              <w:bottom w:w="30" w:type="dxa"/>
              <w:right w:w="20" w:type="dxa"/>
            </w:tcMar>
            <w:vAlign w:val="bottom"/>
            <w:hideMark/>
          </w:tcPr>
          <w:p w14:paraId="636A017F" w14:textId="77777777" w:rsidR="00000000" w:rsidRDefault="000C49AD">
            <w:pPr>
              <w:spacing w:after="100"/>
              <w:rPr>
                <w:rFonts w:eastAsia="Times New Roman"/>
              </w:rPr>
            </w:pPr>
            <w:r>
              <w:rPr>
                <w:rFonts w:eastAsia="Times New Roman"/>
                <w:b/>
                <w:bCs/>
                <w:color w:val="000000"/>
                <w:sz w:val="18"/>
                <w:szCs w:val="18"/>
              </w:rPr>
              <w:t>Research and Development Expenses</w:t>
            </w:r>
          </w:p>
        </w:tc>
        <w:tc>
          <w:tcPr>
            <w:tcW w:w="0" w:type="auto"/>
            <w:gridSpan w:val="3"/>
            <w:tcMar>
              <w:top w:w="0" w:type="dxa"/>
              <w:left w:w="20" w:type="dxa"/>
              <w:bottom w:w="0" w:type="dxa"/>
              <w:right w:w="20" w:type="dxa"/>
            </w:tcMar>
            <w:vAlign w:val="center"/>
            <w:hideMark/>
          </w:tcPr>
          <w:p w14:paraId="74C84604"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330256"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39ED72E3"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5D398B"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4475637C" w14:textId="77777777" w:rsidR="00000000" w:rsidRDefault="000C49AD">
            <w:pPr>
              <w:spacing w:after="100"/>
              <w:jc w:val="center"/>
              <w:rPr>
                <w:rFonts w:eastAsia="Times New Roman"/>
              </w:rPr>
            </w:pPr>
          </w:p>
        </w:tc>
        <w:tc>
          <w:tcPr>
            <w:tcW w:w="0" w:type="auto"/>
            <w:vAlign w:val="center"/>
            <w:hideMark/>
          </w:tcPr>
          <w:p w14:paraId="66766BA7" w14:textId="77777777" w:rsidR="00000000" w:rsidRDefault="000C49AD">
            <w:pPr>
              <w:spacing w:after="100"/>
              <w:rPr>
                <w:rFonts w:eastAsia="Times New Roman"/>
                <w:sz w:val="20"/>
                <w:szCs w:val="20"/>
              </w:rPr>
            </w:pPr>
          </w:p>
        </w:tc>
        <w:tc>
          <w:tcPr>
            <w:tcW w:w="0" w:type="auto"/>
            <w:vAlign w:val="center"/>
            <w:hideMark/>
          </w:tcPr>
          <w:p w14:paraId="680CDD2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08DFCAF" w14:textId="77777777" w:rsidR="00000000" w:rsidRDefault="000C49A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7223B0A5"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3C996F" w14:textId="77777777" w:rsidR="00000000" w:rsidRDefault="000C49AD">
            <w:pPr>
              <w:spacing w:after="100"/>
              <w:jc w:val="center"/>
              <w:rPr>
                <w:rFonts w:eastAsia="Times New Roman"/>
              </w:rPr>
            </w:pPr>
            <w:r>
              <w:rPr>
                <w:rFonts w:eastAsia="Times New Roman"/>
                <w:b/>
                <w:bCs/>
                <w:color w:val="000000"/>
                <w:sz w:val="18"/>
                <w:szCs w:val="18"/>
              </w:rPr>
              <w:t>%</w:t>
            </w:r>
          </w:p>
        </w:tc>
      </w:tr>
      <w:tr w:rsidR="00000000" w14:paraId="12787618" w14:textId="77777777">
        <w:trPr>
          <w:divId w:val="939683965"/>
          <w:trHeight w:val="60"/>
        </w:trPr>
        <w:tc>
          <w:tcPr>
            <w:tcW w:w="0" w:type="auto"/>
            <w:gridSpan w:val="3"/>
            <w:tcBorders>
              <w:top w:val="single" w:sz="8" w:space="0" w:color="000000"/>
            </w:tcBorders>
            <w:tcMar>
              <w:top w:w="0" w:type="dxa"/>
              <w:left w:w="20" w:type="dxa"/>
              <w:bottom w:w="0" w:type="dxa"/>
              <w:right w:w="20" w:type="dxa"/>
            </w:tcMar>
            <w:vAlign w:val="center"/>
            <w:hideMark/>
          </w:tcPr>
          <w:p w14:paraId="3858374F"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B4E991C"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1547E9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8A5D2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23536A"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43F717" w14:textId="77777777" w:rsidR="00000000" w:rsidRDefault="000C49AD">
            <w:pPr>
              <w:spacing w:after="100"/>
              <w:rPr>
                <w:rFonts w:eastAsia="Times New Roman"/>
                <w:sz w:val="20"/>
                <w:szCs w:val="20"/>
              </w:rPr>
            </w:pPr>
          </w:p>
        </w:tc>
        <w:tc>
          <w:tcPr>
            <w:tcW w:w="0" w:type="auto"/>
            <w:vAlign w:val="center"/>
            <w:hideMark/>
          </w:tcPr>
          <w:p w14:paraId="4C6B0CF7" w14:textId="77777777" w:rsidR="00000000" w:rsidRDefault="000C49AD">
            <w:pPr>
              <w:spacing w:after="100"/>
              <w:rPr>
                <w:rFonts w:eastAsia="Times New Roman"/>
                <w:sz w:val="20"/>
                <w:szCs w:val="20"/>
              </w:rPr>
            </w:pPr>
          </w:p>
        </w:tc>
        <w:tc>
          <w:tcPr>
            <w:tcW w:w="0" w:type="auto"/>
            <w:vAlign w:val="center"/>
            <w:hideMark/>
          </w:tcPr>
          <w:p w14:paraId="41DD30E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DA8F6B6"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0D8F3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3B13EE" w14:textId="77777777" w:rsidR="00000000" w:rsidRDefault="000C49AD">
            <w:pPr>
              <w:spacing w:after="100"/>
              <w:rPr>
                <w:rFonts w:eastAsia="Times New Roman"/>
                <w:sz w:val="20"/>
                <w:szCs w:val="20"/>
              </w:rPr>
            </w:pPr>
          </w:p>
        </w:tc>
      </w:tr>
      <w:tr w:rsidR="00000000" w14:paraId="06CC9893" w14:textId="77777777">
        <w:trPr>
          <w:divId w:val="939683965"/>
        </w:trPr>
        <w:tc>
          <w:tcPr>
            <w:tcW w:w="0" w:type="auto"/>
            <w:gridSpan w:val="3"/>
            <w:shd w:val="clear" w:color="auto" w:fill="CCEEFF"/>
            <w:tcMar>
              <w:top w:w="30" w:type="dxa"/>
              <w:left w:w="155" w:type="dxa"/>
              <w:bottom w:w="30" w:type="dxa"/>
              <w:right w:w="20" w:type="dxa"/>
            </w:tcMar>
            <w:vAlign w:val="bottom"/>
            <w:hideMark/>
          </w:tcPr>
          <w:p w14:paraId="32572806" w14:textId="77777777" w:rsidR="00000000" w:rsidRDefault="000C49AD">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CCEEFF"/>
            <w:tcMar>
              <w:top w:w="0" w:type="dxa"/>
              <w:left w:w="20" w:type="dxa"/>
              <w:bottom w:w="0" w:type="dxa"/>
              <w:right w:w="20" w:type="dxa"/>
            </w:tcMar>
            <w:vAlign w:val="center"/>
            <w:hideMark/>
          </w:tcPr>
          <w:p w14:paraId="54A73596"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DBF994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A6908B3" w14:textId="77777777" w:rsidR="00000000" w:rsidRDefault="000C49AD">
            <w:pPr>
              <w:spacing w:after="100"/>
              <w:jc w:val="right"/>
              <w:rPr>
                <w:rFonts w:eastAsia="Times New Roman"/>
              </w:rPr>
            </w:pPr>
            <w:r>
              <w:rPr>
                <w:rFonts w:eastAsia="Times New Roman"/>
                <w:color w:val="000000"/>
                <w:sz w:val="18"/>
                <w:szCs w:val="18"/>
              </w:rPr>
              <w:t>17,104 </w:t>
            </w:r>
          </w:p>
        </w:tc>
        <w:tc>
          <w:tcPr>
            <w:tcW w:w="0" w:type="auto"/>
            <w:shd w:val="clear" w:color="auto" w:fill="CCEEFF"/>
            <w:tcMar>
              <w:top w:w="30" w:type="dxa"/>
              <w:left w:w="0" w:type="dxa"/>
              <w:bottom w:w="30" w:type="dxa"/>
              <w:right w:w="20" w:type="dxa"/>
            </w:tcMar>
            <w:vAlign w:val="bottom"/>
            <w:hideMark/>
          </w:tcPr>
          <w:p w14:paraId="1A7F79D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12902"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3F02A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B557ABC" w14:textId="77777777" w:rsidR="00000000" w:rsidRDefault="000C49AD">
            <w:pPr>
              <w:spacing w:after="100"/>
              <w:jc w:val="right"/>
              <w:rPr>
                <w:rFonts w:eastAsia="Times New Roman"/>
              </w:rPr>
            </w:pPr>
            <w:r>
              <w:rPr>
                <w:rFonts w:eastAsia="Times New Roman"/>
                <w:color w:val="000000"/>
                <w:sz w:val="18"/>
                <w:szCs w:val="18"/>
              </w:rPr>
              <w:t>20,442 </w:t>
            </w:r>
          </w:p>
        </w:tc>
        <w:tc>
          <w:tcPr>
            <w:tcW w:w="0" w:type="auto"/>
            <w:shd w:val="clear" w:color="auto" w:fill="CCEEFF"/>
            <w:tcMar>
              <w:top w:w="30" w:type="dxa"/>
              <w:left w:w="0" w:type="dxa"/>
              <w:bottom w:w="30" w:type="dxa"/>
              <w:right w:w="20" w:type="dxa"/>
            </w:tcMar>
            <w:vAlign w:val="bottom"/>
            <w:hideMark/>
          </w:tcPr>
          <w:p w14:paraId="195275B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B7575" w14:textId="77777777" w:rsidR="00000000" w:rsidRDefault="000C49AD">
            <w:pPr>
              <w:spacing w:after="100"/>
              <w:jc w:val="right"/>
              <w:rPr>
                <w:rFonts w:eastAsia="Times New Roman"/>
                <w:sz w:val="20"/>
                <w:szCs w:val="20"/>
              </w:rPr>
            </w:pPr>
          </w:p>
        </w:tc>
        <w:tc>
          <w:tcPr>
            <w:tcW w:w="0" w:type="auto"/>
            <w:vAlign w:val="center"/>
            <w:hideMark/>
          </w:tcPr>
          <w:p w14:paraId="1A55B9E9" w14:textId="77777777" w:rsidR="00000000" w:rsidRDefault="000C49AD">
            <w:pPr>
              <w:spacing w:after="100"/>
              <w:rPr>
                <w:rFonts w:eastAsia="Times New Roman"/>
                <w:sz w:val="20"/>
                <w:szCs w:val="20"/>
              </w:rPr>
            </w:pPr>
          </w:p>
        </w:tc>
        <w:tc>
          <w:tcPr>
            <w:tcW w:w="0" w:type="auto"/>
            <w:vAlign w:val="center"/>
            <w:hideMark/>
          </w:tcPr>
          <w:p w14:paraId="65C9E028" w14:textId="77777777" w:rsidR="00000000" w:rsidRDefault="000C49A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A9476F"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5262C30" w14:textId="77777777" w:rsidR="00000000" w:rsidRDefault="000C49AD">
            <w:pPr>
              <w:spacing w:after="100"/>
              <w:jc w:val="right"/>
              <w:rPr>
                <w:rFonts w:eastAsia="Times New Roman"/>
              </w:rPr>
            </w:pPr>
            <w:r>
              <w:rPr>
                <w:rFonts w:eastAsia="Times New Roman"/>
                <w:color w:val="000000"/>
                <w:sz w:val="18"/>
                <w:szCs w:val="18"/>
              </w:rPr>
              <w:t>(3,338)</w:t>
            </w:r>
          </w:p>
        </w:tc>
        <w:tc>
          <w:tcPr>
            <w:tcW w:w="0" w:type="auto"/>
            <w:shd w:val="clear" w:color="auto" w:fill="CCEEFF"/>
            <w:tcMar>
              <w:top w:w="30" w:type="dxa"/>
              <w:left w:w="0" w:type="dxa"/>
              <w:bottom w:w="30" w:type="dxa"/>
              <w:right w:w="20" w:type="dxa"/>
            </w:tcMar>
            <w:vAlign w:val="bottom"/>
            <w:hideMark/>
          </w:tcPr>
          <w:p w14:paraId="347A167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BD863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D2A66C" w14:textId="77777777" w:rsidR="00000000" w:rsidRDefault="000C49AD">
            <w:pPr>
              <w:spacing w:after="100"/>
              <w:jc w:val="right"/>
              <w:rPr>
                <w:rFonts w:eastAsia="Times New Roman"/>
              </w:rPr>
            </w:pPr>
            <w:r>
              <w:rPr>
                <w:rFonts w:eastAsia="Times New Roman"/>
                <w:color w:val="000000"/>
                <w:sz w:val="18"/>
                <w:szCs w:val="18"/>
              </w:rPr>
              <w:t>(16.3)</w:t>
            </w:r>
          </w:p>
        </w:tc>
        <w:tc>
          <w:tcPr>
            <w:tcW w:w="0" w:type="auto"/>
            <w:shd w:val="clear" w:color="auto" w:fill="CCEEFF"/>
            <w:tcMar>
              <w:top w:w="30" w:type="dxa"/>
              <w:left w:w="0" w:type="dxa"/>
              <w:bottom w:w="30" w:type="dxa"/>
              <w:right w:w="20" w:type="dxa"/>
            </w:tcMar>
            <w:vAlign w:val="bottom"/>
            <w:hideMark/>
          </w:tcPr>
          <w:p w14:paraId="23477127" w14:textId="77777777" w:rsidR="00000000" w:rsidRDefault="000C49AD">
            <w:pPr>
              <w:spacing w:after="100"/>
              <w:jc w:val="right"/>
              <w:rPr>
                <w:rFonts w:eastAsia="Times New Roman"/>
              </w:rPr>
            </w:pPr>
            <w:r>
              <w:rPr>
                <w:rFonts w:eastAsia="Times New Roman"/>
                <w:color w:val="000000"/>
                <w:sz w:val="18"/>
                <w:szCs w:val="18"/>
              </w:rPr>
              <w:t>%</w:t>
            </w:r>
          </w:p>
        </w:tc>
      </w:tr>
    </w:tbl>
    <w:p w14:paraId="7205E3BD" w14:textId="77777777" w:rsidR="00000000" w:rsidRDefault="000C49AD">
      <w:pPr>
        <w:jc w:val="both"/>
        <w:rPr>
          <w:rFonts w:eastAsia="Times New Roman"/>
        </w:rPr>
      </w:pPr>
      <w:r>
        <w:rPr>
          <w:rFonts w:eastAsia="Times New Roman"/>
          <w:color w:val="000000"/>
          <w:sz w:val="20"/>
          <w:szCs w:val="20"/>
        </w:rPr>
        <w:t> </w:t>
      </w:r>
    </w:p>
    <w:p w14:paraId="66FECD88" w14:textId="77777777" w:rsidR="00000000" w:rsidRDefault="000C49AD">
      <w:pPr>
        <w:jc w:val="both"/>
        <w:rPr>
          <w:rFonts w:eastAsia="Times New Roman"/>
        </w:rPr>
      </w:pPr>
      <w:r>
        <w:rPr>
          <w:rFonts w:eastAsia="Times New Roman"/>
          <w:color w:val="000000"/>
          <w:sz w:val="20"/>
          <w:szCs w:val="20"/>
        </w:rPr>
        <w:t>Research and development (“R&amp;D”) expenses decreased by $3,338 or 16.3% during the year ended December 31, 2021 as co</w:t>
      </w:r>
      <w:r>
        <w:rPr>
          <w:rFonts w:eastAsia="Times New Roman"/>
          <w:color w:val="000000"/>
          <w:sz w:val="20"/>
          <w:szCs w:val="20"/>
        </w:rPr>
        <w:t>mpared to the same period in 2020. This decrease was driven by lower clinical studies expense due to the completion of the FT218 clinical study during the year ended December 31, 2020, offset by higher pre-NDA approval activities and higher compensation ex</w:t>
      </w:r>
      <w:r>
        <w:rPr>
          <w:rFonts w:eastAsia="Times New Roman"/>
          <w:color w:val="000000"/>
          <w:sz w:val="20"/>
          <w:szCs w:val="20"/>
        </w:rPr>
        <w:t>pense.</w:t>
      </w:r>
    </w:p>
    <w:p w14:paraId="581FCE9E" w14:textId="77777777" w:rsidR="00000000" w:rsidRDefault="000C49AD">
      <w:pPr>
        <w:divId w:val="348064327"/>
        <w:rPr>
          <w:rFonts w:eastAsia="Times New Roman"/>
        </w:rPr>
      </w:pPr>
    </w:p>
    <w:p w14:paraId="57467909" w14:textId="77777777" w:rsidR="00000000" w:rsidRDefault="000C49AD">
      <w:pPr>
        <w:jc w:val="center"/>
        <w:divId w:val="1136222760"/>
        <w:rPr>
          <w:rFonts w:eastAsia="Times New Roman"/>
        </w:rPr>
      </w:pPr>
      <w:r>
        <w:rPr>
          <w:rFonts w:eastAsia="Times New Roman"/>
          <w:color w:val="000000"/>
          <w:sz w:val="20"/>
          <w:szCs w:val="20"/>
        </w:rPr>
        <w:t>-69-</w:t>
      </w:r>
    </w:p>
    <w:p w14:paraId="459E2EDA" w14:textId="77777777" w:rsidR="00000000" w:rsidRDefault="000C49AD">
      <w:pPr>
        <w:rPr>
          <w:rFonts w:eastAsia="Times New Roman"/>
        </w:rPr>
      </w:pPr>
      <w:r>
        <w:rPr>
          <w:rFonts w:eastAsia="Times New Roman"/>
        </w:rPr>
        <w:pict w14:anchorId="12BA801F">
          <v:rect id="_x0000_i1094" style="width:0;height:1.5pt" o:hralign="center" o:hrstd="t" o:hr="t" fillcolor="#a0a0a0" stroked="f"/>
        </w:pict>
      </w:r>
    </w:p>
    <w:p w14:paraId="60784034" w14:textId="77777777" w:rsidR="00000000" w:rsidRDefault="000C49AD">
      <w:pPr>
        <w:divId w:val="15334956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980"/>
        <w:gridCol w:w="36"/>
        <w:gridCol w:w="36"/>
        <w:gridCol w:w="36"/>
        <w:gridCol w:w="36"/>
        <w:gridCol w:w="110"/>
        <w:gridCol w:w="795"/>
        <w:gridCol w:w="36"/>
        <w:gridCol w:w="36"/>
        <w:gridCol w:w="36"/>
        <w:gridCol w:w="36"/>
        <w:gridCol w:w="110"/>
        <w:gridCol w:w="795"/>
        <w:gridCol w:w="36"/>
        <w:gridCol w:w="36"/>
        <w:gridCol w:w="36"/>
        <w:gridCol w:w="36"/>
        <w:gridCol w:w="110"/>
        <w:gridCol w:w="795"/>
        <w:gridCol w:w="36"/>
        <w:gridCol w:w="36"/>
        <w:gridCol w:w="36"/>
        <w:gridCol w:w="36"/>
        <w:gridCol w:w="41"/>
        <w:gridCol w:w="787"/>
        <w:gridCol w:w="170"/>
      </w:tblGrid>
      <w:tr w:rsidR="00000000" w14:paraId="5F5846A2" w14:textId="77777777">
        <w:trPr>
          <w:divId w:val="1289237427"/>
        </w:trPr>
        <w:tc>
          <w:tcPr>
            <w:tcW w:w="50" w:type="pct"/>
            <w:vAlign w:val="center"/>
            <w:hideMark/>
          </w:tcPr>
          <w:p w14:paraId="0043F106" w14:textId="77777777" w:rsidR="00000000" w:rsidRDefault="000C49AD">
            <w:pPr>
              <w:rPr>
                <w:rFonts w:eastAsia="Times New Roman"/>
              </w:rPr>
            </w:pPr>
          </w:p>
        </w:tc>
        <w:tc>
          <w:tcPr>
            <w:tcW w:w="2430" w:type="pct"/>
            <w:vAlign w:val="center"/>
            <w:hideMark/>
          </w:tcPr>
          <w:p w14:paraId="49821665" w14:textId="77777777" w:rsidR="00000000" w:rsidRDefault="000C49AD">
            <w:pPr>
              <w:spacing w:after="100"/>
              <w:rPr>
                <w:rFonts w:eastAsia="Times New Roman"/>
                <w:sz w:val="20"/>
                <w:szCs w:val="20"/>
              </w:rPr>
            </w:pPr>
          </w:p>
        </w:tc>
        <w:tc>
          <w:tcPr>
            <w:tcW w:w="5" w:type="pct"/>
            <w:vAlign w:val="center"/>
            <w:hideMark/>
          </w:tcPr>
          <w:p w14:paraId="1EA208C5" w14:textId="77777777" w:rsidR="00000000" w:rsidRDefault="000C49AD">
            <w:pPr>
              <w:spacing w:after="100"/>
              <w:rPr>
                <w:rFonts w:eastAsia="Times New Roman"/>
                <w:sz w:val="20"/>
                <w:szCs w:val="20"/>
              </w:rPr>
            </w:pPr>
          </w:p>
        </w:tc>
        <w:tc>
          <w:tcPr>
            <w:tcW w:w="5" w:type="pct"/>
            <w:vAlign w:val="center"/>
            <w:hideMark/>
          </w:tcPr>
          <w:p w14:paraId="49373AE4" w14:textId="77777777" w:rsidR="00000000" w:rsidRDefault="000C49AD">
            <w:pPr>
              <w:spacing w:after="100"/>
              <w:rPr>
                <w:rFonts w:eastAsia="Times New Roman"/>
                <w:sz w:val="20"/>
                <w:szCs w:val="20"/>
              </w:rPr>
            </w:pPr>
          </w:p>
        </w:tc>
        <w:tc>
          <w:tcPr>
            <w:tcW w:w="26" w:type="pct"/>
            <w:vAlign w:val="center"/>
            <w:hideMark/>
          </w:tcPr>
          <w:p w14:paraId="66DB280C" w14:textId="77777777" w:rsidR="00000000" w:rsidRDefault="000C49AD">
            <w:pPr>
              <w:spacing w:after="100"/>
              <w:rPr>
                <w:rFonts w:eastAsia="Times New Roman"/>
                <w:sz w:val="20"/>
                <w:szCs w:val="20"/>
              </w:rPr>
            </w:pPr>
          </w:p>
        </w:tc>
        <w:tc>
          <w:tcPr>
            <w:tcW w:w="5" w:type="pct"/>
            <w:vAlign w:val="center"/>
            <w:hideMark/>
          </w:tcPr>
          <w:p w14:paraId="009C51CB" w14:textId="77777777" w:rsidR="00000000" w:rsidRDefault="000C49AD">
            <w:pPr>
              <w:spacing w:after="100"/>
              <w:rPr>
                <w:rFonts w:eastAsia="Times New Roman"/>
                <w:sz w:val="20"/>
                <w:szCs w:val="20"/>
              </w:rPr>
            </w:pPr>
          </w:p>
        </w:tc>
        <w:tc>
          <w:tcPr>
            <w:tcW w:w="50" w:type="pct"/>
            <w:vAlign w:val="center"/>
            <w:hideMark/>
          </w:tcPr>
          <w:p w14:paraId="07FA8EC6" w14:textId="77777777" w:rsidR="00000000" w:rsidRDefault="000C49AD">
            <w:pPr>
              <w:spacing w:after="100"/>
              <w:rPr>
                <w:rFonts w:eastAsia="Times New Roman"/>
                <w:sz w:val="20"/>
                <w:szCs w:val="20"/>
              </w:rPr>
            </w:pPr>
          </w:p>
        </w:tc>
        <w:tc>
          <w:tcPr>
            <w:tcW w:w="537" w:type="pct"/>
            <w:vAlign w:val="center"/>
            <w:hideMark/>
          </w:tcPr>
          <w:p w14:paraId="3243F3FC" w14:textId="77777777" w:rsidR="00000000" w:rsidRDefault="000C49AD">
            <w:pPr>
              <w:spacing w:after="100"/>
              <w:rPr>
                <w:rFonts w:eastAsia="Times New Roman"/>
                <w:sz w:val="20"/>
                <w:szCs w:val="20"/>
              </w:rPr>
            </w:pPr>
          </w:p>
        </w:tc>
        <w:tc>
          <w:tcPr>
            <w:tcW w:w="5" w:type="pct"/>
            <w:vAlign w:val="center"/>
            <w:hideMark/>
          </w:tcPr>
          <w:p w14:paraId="73F3D669" w14:textId="77777777" w:rsidR="00000000" w:rsidRDefault="000C49AD">
            <w:pPr>
              <w:spacing w:after="100"/>
              <w:rPr>
                <w:rFonts w:eastAsia="Times New Roman"/>
                <w:sz w:val="20"/>
                <w:szCs w:val="20"/>
              </w:rPr>
            </w:pPr>
          </w:p>
        </w:tc>
        <w:tc>
          <w:tcPr>
            <w:tcW w:w="5" w:type="pct"/>
            <w:vAlign w:val="center"/>
            <w:hideMark/>
          </w:tcPr>
          <w:p w14:paraId="6C7563C1" w14:textId="77777777" w:rsidR="00000000" w:rsidRDefault="000C49AD">
            <w:pPr>
              <w:spacing w:after="100"/>
              <w:rPr>
                <w:rFonts w:eastAsia="Times New Roman"/>
                <w:sz w:val="20"/>
                <w:szCs w:val="20"/>
              </w:rPr>
            </w:pPr>
          </w:p>
        </w:tc>
        <w:tc>
          <w:tcPr>
            <w:tcW w:w="26" w:type="pct"/>
            <w:vAlign w:val="center"/>
            <w:hideMark/>
          </w:tcPr>
          <w:p w14:paraId="6E80D108" w14:textId="77777777" w:rsidR="00000000" w:rsidRDefault="000C49AD">
            <w:pPr>
              <w:spacing w:after="100"/>
              <w:rPr>
                <w:rFonts w:eastAsia="Times New Roman"/>
                <w:sz w:val="20"/>
                <w:szCs w:val="20"/>
              </w:rPr>
            </w:pPr>
          </w:p>
        </w:tc>
        <w:tc>
          <w:tcPr>
            <w:tcW w:w="5" w:type="pct"/>
            <w:vAlign w:val="center"/>
            <w:hideMark/>
          </w:tcPr>
          <w:p w14:paraId="5EE00BBA" w14:textId="77777777" w:rsidR="00000000" w:rsidRDefault="000C49AD">
            <w:pPr>
              <w:spacing w:after="100"/>
              <w:rPr>
                <w:rFonts w:eastAsia="Times New Roman"/>
                <w:sz w:val="20"/>
                <w:szCs w:val="20"/>
              </w:rPr>
            </w:pPr>
          </w:p>
        </w:tc>
        <w:tc>
          <w:tcPr>
            <w:tcW w:w="50" w:type="pct"/>
            <w:vAlign w:val="center"/>
            <w:hideMark/>
          </w:tcPr>
          <w:p w14:paraId="542EC718" w14:textId="77777777" w:rsidR="00000000" w:rsidRDefault="000C49AD">
            <w:pPr>
              <w:spacing w:after="100"/>
              <w:rPr>
                <w:rFonts w:eastAsia="Times New Roman"/>
                <w:sz w:val="20"/>
                <w:szCs w:val="20"/>
              </w:rPr>
            </w:pPr>
          </w:p>
        </w:tc>
        <w:tc>
          <w:tcPr>
            <w:tcW w:w="537" w:type="pct"/>
            <w:vAlign w:val="center"/>
            <w:hideMark/>
          </w:tcPr>
          <w:p w14:paraId="2198CC78" w14:textId="77777777" w:rsidR="00000000" w:rsidRDefault="000C49AD">
            <w:pPr>
              <w:spacing w:after="100"/>
              <w:rPr>
                <w:rFonts w:eastAsia="Times New Roman"/>
                <w:sz w:val="20"/>
                <w:szCs w:val="20"/>
              </w:rPr>
            </w:pPr>
          </w:p>
        </w:tc>
        <w:tc>
          <w:tcPr>
            <w:tcW w:w="5" w:type="pct"/>
            <w:vAlign w:val="center"/>
            <w:hideMark/>
          </w:tcPr>
          <w:p w14:paraId="7DE8EEE2" w14:textId="77777777" w:rsidR="00000000" w:rsidRDefault="000C49AD">
            <w:pPr>
              <w:spacing w:after="100"/>
              <w:rPr>
                <w:rFonts w:eastAsia="Times New Roman"/>
                <w:sz w:val="20"/>
                <w:szCs w:val="20"/>
              </w:rPr>
            </w:pPr>
          </w:p>
        </w:tc>
        <w:tc>
          <w:tcPr>
            <w:tcW w:w="5" w:type="pct"/>
            <w:vAlign w:val="center"/>
            <w:hideMark/>
          </w:tcPr>
          <w:p w14:paraId="6C214564" w14:textId="77777777" w:rsidR="00000000" w:rsidRDefault="000C49AD">
            <w:pPr>
              <w:spacing w:after="100"/>
              <w:rPr>
                <w:rFonts w:eastAsia="Times New Roman"/>
                <w:sz w:val="20"/>
                <w:szCs w:val="20"/>
              </w:rPr>
            </w:pPr>
          </w:p>
        </w:tc>
        <w:tc>
          <w:tcPr>
            <w:tcW w:w="26" w:type="pct"/>
            <w:vAlign w:val="center"/>
            <w:hideMark/>
          </w:tcPr>
          <w:p w14:paraId="536FFFBE" w14:textId="77777777" w:rsidR="00000000" w:rsidRDefault="000C49AD">
            <w:pPr>
              <w:spacing w:after="100"/>
              <w:rPr>
                <w:rFonts w:eastAsia="Times New Roman"/>
                <w:sz w:val="20"/>
                <w:szCs w:val="20"/>
              </w:rPr>
            </w:pPr>
          </w:p>
        </w:tc>
        <w:tc>
          <w:tcPr>
            <w:tcW w:w="5" w:type="pct"/>
            <w:vAlign w:val="center"/>
            <w:hideMark/>
          </w:tcPr>
          <w:p w14:paraId="0AB303F4" w14:textId="77777777" w:rsidR="00000000" w:rsidRDefault="000C49AD">
            <w:pPr>
              <w:spacing w:after="100"/>
              <w:rPr>
                <w:rFonts w:eastAsia="Times New Roman"/>
                <w:sz w:val="20"/>
                <w:szCs w:val="20"/>
              </w:rPr>
            </w:pPr>
          </w:p>
        </w:tc>
        <w:tc>
          <w:tcPr>
            <w:tcW w:w="50" w:type="pct"/>
            <w:vAlign w:val="center"/>
            <w:hideMark/>
          </w:tcPr>
          <w:p w14:paraId="10AB58A6" w14:textId="77777777" w:rsidR="00000000" w:rsidRDefault="000C49AD">
            <w:pPr>
              <w:spacing w:after="100"/>
              <w:rPr>
                <w:rFonts w:eastAsia="Times New Roman"/>
                <w:sz w:val="20"/>
                <w:szCs w:val="20"/>
              </w:rPr>
            </w:pPr>
          </w:p>
        </w:tc>
        <w:tc>
          <w:tcPr>
            <w:tcW w:w="537" w:type="pct"/>
            <w:vAlign w:val="center"/>
            <w:hideMark/>
          </w:tcPr>
          <w:p w14:paraId="187483D7" w14:textId="77777777" w:rsidR="00000000" w:rsidRDefault="000C49AD">
            <w:pPr>
              <w:spacing w:after="100"/>
              <w:rPr>
                <w:rFonts w:eastAsia="Times New Roman"/>
                <w:sz w:val="20"/>
                <w:szCs w:val="20"/>
              </w:rPr>
            </w:pPr>
          </w:p>
        </w:tc>
        <w:tc>
          <w:tcPr>
            <w:tcW w:w="5" w:type="pct"/>
            <w:vAlign w:val="center"/>
            <w:hideMark/>
          </w:tcPr>
          <w:p w14:paraId="48F29709" w14:textId="77777777" w:rsidR="00000000" w:rsidRDefault="000C49AD">
            <w:pPr>
              <w:spacing w:after="100"/>
              <w:rPr>
                <w:rFonts w:eastAsia="Times New Roman"/>
                <w:sz w:val="20"/>
                <w:szCs w:val="20"/>
              </w:rPr>
            </w:pPr>
          </w:p>
        </w:tc>
        <w:tc>
          <w:tcPr>
            <w:tcW w:w="5" w:type="pct"/>
            <w:vAlign w:val="center"/>
            <w:hideMark/>
          </w:tcPr>
          <w:p w14:paraId="1D991C7F" w14:textId="77777777" w:rsidR="00000000" w:rsidRDefault="000C49AD">
            <w:pPr>
              <w:spacing w:after="100"/>
              <w:rPr>
                <w:rFonts w:eastAsia="Times New Roman"/>
                <w:sz w:val="20"/>
                <w:szCs w:val="20"/>
              </w:rPr>
            </w:pPr>
          </w:p>
        </w:tc>
        <w:tc>
          <w:tcPr>
            <w:tcW w:w="26" w:type="pct"/>
            <w:vAlign w:val="center"/>
            <w:hideMark/>
          </w:tcPr>
          <w:p w14:paraId="15E70104" w14:textId="77777777" w:rsidR="00000000" w:rsidRDefault="000C49AD">
            <w:pPr>
              <w:spacing w:after="100"/>
              <w:rPr>
                <w:rFonts w:eastAsia="Times New Roman"/>
                <w:sz w:val="20"/>
                <w:szCs w:val="20"/>
              </w:rPr>
            </w:pPr>
          </w:p>
        </w:tc>
        <w:tc>
          <w:tcPr>
            <w:tcW w:w="5" w:type="pct"/>
            <w:vAlign w:val="center"/>
            <w:hideMark/>
          </w:tcPr>
          <w:p w14:paraId="5A1EB7DD" w14:textId="77777777" w:rsidR="00000000" w:rsidRDefault="000C49AD">
            <w:pPr>
              <w:spacing w:after="100"/>
              <w:rPr>
                <w:rFonts w:eastAsia="Times New Roman"/>
                <w:sz w:val="20"/>
                <w:szCs w:val="20"/>
              </w:rPr>
            </w:pPr>
          </w:p>
        </w:tc>
        <w:tc>
          <w:tcPr>
            <w:tcW w:w="50" w:type="pct"/>
            <w:vAlign w:val="center"/>
            <w:hideMark/>
          </w:tcPr>
          <w:p w14:paraId="67808913" w14:textId="77777777" w:rsidR="00000000" w:rsidRDefault="000C49AD">
            <w:pPr>
              <w:spacing w:after="100"/>
              <w:rPr>
                <w:rFonts w:eastAsia="Times New Roman"/>
                <w:sz w:val="20"/>
                <w:szCs w:val="20"/>
              </w:rPr>
            </w:pPr>
          </w:p>
        </w:tc>
        <w:tc>
          <w:tcPr>
            <w:tcW w:w="537" w:type="pct"/>
            <w:vAlign w:val="center"/>
            <w:hideMark/>
          </w:tcPr>
          <w:p w14:paraId="49179E67" w14:textId="77777777" w:rsidR="00000000" w:rsidRDefault="000C49AD">
            <w:pPr>
              <w:spacing w:after="100"/>
              <w:rPr>
                <w:rFonts w:eastAsia="Times New Roman"/>
                <w:sz w:val="20"/>
                <w:szCs w:val="20"/>
              </w:rPr>
            </w:pPr>
          </w:p>
        </w:tc>
        <w:tc>
          <w:tcPr>
            <w:tcW w:w="5" w:type="pct"/>
            <w:vAlign w:val="center"/>
            <w:hideMark/>
          </w:tcPr>
          <w:p w14:paraId="2A24C2F7" w14:textId="77777777" w:rsidR="00000000" w:rsidRDefault="000C49AD">
            <w:pPr>
              <w:spacing w:after="100"/>
              <w:rPr>
                <w:rFonts w:eastAsia="Times New Roman"/>
                <w:sz w:val="20"/>
                <w:szCs w:val="20"/>
              </w:rPr>
            </w:pPr>
          </w:p>
        </w:tc>
      </w:tr>
      <w:tr w:rsidR="00000000" w14:paraId="544A9C9C" w14:textId="77777777">
        <w:trPr>
          <w:divId w:val="1289237427"/>
        </w:trPr>
        <w:tc>
          <w:tcPr>
            <w:tcW w:w="0" w:type="auto"/>
            <w:gridSpan w:val="3"/>
            <w:vAlign w:val="center"/>
            <w:hideMark/>
          </w:tcPr>
          <w:p w14:paraId="589AAAF0" w14:textId="77777777" w:rsidR="00000000" w:rsidRDefault="000C49AD">
            <w:pPr>
              <w:spacing w:after="100"/>
              <w:rPr>
                <w:rFonts w:eastAsia="Times New Roman"/>
                <w:sz w:val="20"/>
                <w:szCs w:val="20"/>
              </w:rPr>
            </w:pPr>
          </w:p>
        </w:tc>
        <w:tc>
          <w:tcPr>
            <w:tcW w:w="0" w:type="auto"/>
            <w:gridSpan w:val="3"/>
            <w:vAlign w:val="center"/>
            <w:hideMark/>
          </w:tcPr>
          <w:p w14:paraId="409C9D38" w14:textId="77777777" w:rsidR="00000000" w:rsidRDefault="000C49AD">
            <w:pPr>
              <w:spacing w:after="100"/>
              <w:rPr>
                <w:rFonts w:eastAsia="Times New Roman"/>
                <w:sz w:val="20"/>
                <w:szCs w:val="20"/>
              </w:rPr>
            </w:pPr>
          </w:p>
        </w:tc>
        <w:tc>
          <w:tcPr>
            <w:tcW w:w="0" w:type="auto"/>
            <w:gridSpan w:val="3"/>
            <w:vAlign w:val="center"/>
            <w:hideMark/>
          </w:tcPr>
          <w:p w14:paraId="534833A0" w14:textId="77777777" w:rsidR="00000000" w:rsidRDefault="000C49AD">
            <w:pPr>
              <w:spacing w:after="100"/>
              <w:rPr>
                <w:rFonts w:eastAsia="Times New Roman"/>
                <w:sz w:val="20"/>
                <w:szCs w:val="20"/>
              </w:rPr>
            </w:pPr>
          </w:p>
        </w:tc>
        <w:tc>
          <w:tcPr>
            <w:tcW w:w="0" w:type="auto"/>
            <w:gridSpan w:val="3"/>
            <w:vAlign w:val="center"/>
            <w:hideMark/>
          </w:tcPr>
          <w:p w14:paraId="13F16981" w14:textId="77777777" w:rsidR="00000000" w:rsidRDefault="000C49AD">
            <w:pPr>
              <w:spacing w:after="100"/>
              <w:rPr>
                <w:rFonts w:eastAsia="Times New Roman"/>
                <w:sz w:val="20"/>
                <w:szCs w:val="20"/>
              </w:rPr>
            </w:pPr>
          </w:p>
        </w:tc>
        <w:tc>
          <w:tcPr>
            <w:tcW w:w="0" w:type="auto"/>
            <w:gridSpan w:val="3"/>
            <w:vAlign w:val="center"/>
            <w:hideMark/>
          </w:tcPr>
          <w:p w14:paraId="2F692E50" w14:textId="77777777" w:rsidR="00000000" w:rsidRDefault="000C49AD">
            <w:pPr>
              <w:spacing w:after="100"/>
              <w:rPr>
                <w:rFonts w:eastAsia="Times New Roman"/>
                <w:sz w:val="20"/>
                <w:szCs w:val="20"/>
              </w:rPr>
            </w:pPr>
          </w:p>
        </w:tc>
        <w:tc>
          <w:tcPr>
            <w:tcW w:w="0" w:type="auto"/>
            <w:gridSpan w:val="3"/>
            <w:vAlign w:val="center"/>
            <w:hideMark/>
          </w:tcPr>
          <w:p w14:paraId="71229298" w14:textId="77777777" w:rsidR="00000000" w:rsidRDefault="000C49AD">
            <w:pPr>
              <w:spacing w:after="100"/>
              <w:rPr>
                <w:rFonts w:eastAsia="Times New Roman"/>
                <w:sz w:val="20"/>
                <w:szCs w:val="20"/>
              </w:rPr>
            </w:pPr>
          </w:p>
        </w:tc>
        <w:tc>
          <w:tcPr>
            <w:tcW w:w="0" w:type="auto"/>
            <w:gridSpan w:val="3"/>
            <w:vAlign w:val="center"/>
            <w:hideMark/>
          </w:tcPr>
          <w:p w14:paraId="565EC1C3" w14:textId="77777777" w:rsidR="00000000" w:rsidRDefault="000C49AD">
            <w:pPr>
              <w:spacing w:after="100"/>
              <w:rPr>
                <w:rFonts w:eastAsia="Times New Roman"/>
                <w:sz w:val="20"/>
                <w:szCs w:val="20"/>
              </w:rPr>
            </w:pPr>
          </w:p>
        </w:tc>
        <w:tc>
          <w:tcPr>
            <w:tcW w:w="0" w:type="auto"/>
            <w:vAlign w:val="center"/>
            <w:hideMark/>
          </w:tcPr>
          <w:p w14:paraId="0C3C2917" w14:textId="77777777" w:rsidR="00000000" w:rsidRDefault="000C49AD">
            <w:pPr>
              <w:spacing w:after="100"/>
              <w:rPr>
                <w:rFonts w:eastAsia="Times New Roman"/>
                <w:sz w:val="20"/>
                <w:szCs w:val="20"/>
              </w:rPr>
            </w:pPr>
          </w:p>
        </w:tc>
        <w:tc>
          <w:tcPr>
            <w:tcW w:w="0" w:type="auto"/>
            <w:vAlign w:val="center"/>
            <w:hideMark/>
          </w:tcPr>
          <w:p w14:paraId="7B010343" w14:textId="77777777" w:rsidR="00000000" w:rsidRDefault="000C49AD">
            <w:pPr>
              <w:spacing w:after="100"/>
              <w:rPr>
                <w:rFonts w:eastAsia="Times New Roman"/>
                <w:sz w:val="20"/>
                <w:szCs w:val="20"/>
              </w:rPr>
            </w:pPr>
          </w:p>
        </w:tc>
        <w:tc>
          <w:tcPr>
            <w:tcW w:w="0" w:type="auto"/>
            <w:vAlign w:val="center"/>
            <w:hideMark/>
          </w:tcPr>
          <w:p w14:paraId="70E70C1C" w14:textId="77777777" w:rsidR="00000000" w:rsidRDefault="000C49AD">
            <w:pPr>
              <w:spacing w:after="100"/>
              <w:rPr>
                <w:rFonts w:eastAsia="Times New Roman"/>
                <w:sz w:val="20"/>
                <w:szCs w:val="20"/>
              </w:rPr>
            </w:pPr>
          </w:p>
        </w:tc>
        <w:tc>
          <w:tcPr>
            <w:tcW w:w="0" w:type="auto"/>
            <w:vAlign w:val="center"/>
            <w:hideMark/>
          </w:tcPr>
          <w:p w14:paraId="6AC8883A" w14:textId="77777777" w:rsidR="00000000" w:rsidRDefault="000C49AD">
            <w:pPr>
              <w:spacing w:after="100"/>
              <w:rPr>
                <w:rFonts w:eastAsia="Times New Roman"/>
                <w:sz w:val="20"/>
                <w:szCs w:val="20"/>
              </w:rPr>
            </w:pPr>
          </w:p>
        </w:tc>
        <w:tc>
          <w:tcPr>
            <w:tcW w:w="0" w:type="auto"/>
            <w:vAlign w:val="center"/>
            <w:hideMark/>
          </w:tcPr>
          <w:p w14:paraId="2A1F153A" w14:textId="77777777" w:rsidR="00000000" w:rsidRDefault="000C49AD">
            <w:pPr>
              <w:spacing w:after="100"/>
              <w:rPr>
                <w:rFonts w:eastAsia="Times New Roman"/>
                <w:sz w:val="20"/>
                <w:szCs w:val="20"/>
              </w:rPr>
            </w:pPr>
          </w:p>
        </w:tc>
        <w:tc>
          <w:tcPr>
            <w:tcW w:w="0" w:type="auto"/>
            <w:vAlign w:val="center"/>
            <w:hideMark/>
          </w:tcPr>
          <w:p w14:paraId="057E2B2A" w14:textId="77777777" w:rsidR="00000000" w:rsidRDefault="000C49AD">
            <w:pPr>
              <w:spacing w:after="100"/>
              <w:rPr>
                <w:rFonts w:eastAsia="Times New Roman"/>
                <w:sz w:val="20"/>
                <w:szCs w:val="20"/>
              </w:rPr>
            </w:pPr>
          </w:p>
        </w:tc>
      </w:tr>
      <w:tr w:rsidR="00000000" w14:paraId="15CDB55E" w14:textId="77777777">
        <w:trPr>
          <w:divId w:val="1289237427"/>
        </w:trPr>
        <w:tc>
          <w:tcPr>
            <w:tcW w:w="0" w:type="auto"/>
            <w:gridSpan w:val="3"/>
            <w:tcMar>
              <w:top w:w="30" w:type="dxa"/>
              <w:left w:w="20" w:type="dxa"/>
              <w:bottom w:w="30" w:type="dxa"/>
              <w:right w:w="20" w:type="dxa"/>
            </w:tcMar>
            <w:vAlign w:val="bottom"/>
            <w:hideMark/>
          </w:tcPr>
          <w:p w14:paraId="4D66E8E8"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001FD21" w14:textId="77777777" w:rsidR="00000000" w:rsidRDefault="000C49AD">
            <w:pPr>
              <w:spacing w:after="100"/>
              <w:rPr>
                <w:rFonts w:eastAsia="Times New Roman"/>
              </w:rPr>
            </w:pPr>
          </w:p>
        </w:tc>
        <w:tc>
          <w:tcPr>
            <w:tcW w:w="0" w:type="auto"/>
            <w:gridSpan w:val="9"/>
            <w:tcMar>
              <w:top w:w="30" w:type="dxa"/>
              <w:left w:w="20" w:type="dxa"/>
              <w:bottom w:w="30" w:type="dxa"/>
              <w:right w:w="20" w:type="dxa"/>
            </w:tcMar>
            <w:vAlign w:val="bottom"/>
            <w:hideMark/>
          </w:tcPr>
          <w:p w14:paraId="67587D3A" w14:textId="77777777" w:rsidR="00000000" w:rsidRDefault="000C49AD">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14:paraId="48C91AA6" w14:textId="77777777" w:rsidR="00000000" w:rsidRDefault="000C49A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6102E51" w14:textId="77777777" w:rsidR="00000000" w:rsidRDefault="000C49AD">
            <w:pPr>
              <w:spacing w:after="100"/>
              <w:jc w:val="center"/>
              <w:rPr>
                <w:rFonts w:eastAsia="Times New Roman"/>
              </w:rPr>
            </w:pPr>
            <w:r>
              <w:rPr>
                <w:rFonts w:eastAsia="Times New Roman"/>
                <w:b/>
                <w:bCs/>
                <w:color w:val="000000"/>
                <w:sz w:val="18"/>
                <w:szCs w:val="18"/>
              </w:rPr>
              <w:t>Change</w:t>
            </w:r>
          </w:p>
        </w:tc>
      </w:tr>
      <w:tr w:rsidR="00000000" w14:paraId="65291A0C" w14:textId="77777777">
        <w:trPr>
          <w:divId w:val="1289237427"/>
        </w:trPr>
        <w:tc>
          <w:tcPr>
            <w:tcW w:w="0" w:type="auto"/>
            <w:gridSpan w:val="3"/>
            <w:tcMar>
              <w:top w:w="30" w:type="dxa"/>
              <w:left w:w="20" w:type="dxa"/>
              <w:bottom w:w="30" w:type="dxa"/>
              <w:right w:w="20" w:type="dxa"/>
            </w:tcMar>
            <w:vAlign w:val="bottom"/>
            <w:hideMark/>
          </w:tcPr>
          <w:p w14:paraId="0FB385C2" w14:textId="77777777" w:rsidR="00000000" w:rsidRDefault="000C49AD">
            <w:pPr>
              <w:spacing w:after="100"/>
              <w:rPr>
                <w:rFonts w:eastAsia="Times New Roman"/>
              </w:rPr>
            </w:pPr>
            <w:r>
              <w:rPr>
                <w:rFonts w:eastAsia="Times New Roman"/>
                <w:b/>
                <w:bCs/>
                <w:color w:val="000000"/>
                <w:sz w:val="18"/>
                <w:szCs w:val="18"/>
              </w:rPr>
              <w:t>Selling, General and Administrative Expenses</w:t>
            </w:r>
          </w:p>
        </w:tc>
        <w:tc>
          <w:tcPr>
            <w:tcW w:w="0" w:type="auto"/>
            <w:gridSpan w:val="3"/>
            <w:tcMar>
              <w:top w:w="0" w:type="dxa"/>
              <w:left w:w="20" w:type="dxa"/>
              <w:bottom w:w="0" w:type="dxa"/>
              <w:right w:w="20" w:type="dxa"/>
            </w:tcMar>
            <w:vAlign w:val="center"/>
            <w:hideMark/>
          </w:tcPr>
          <w:p w14:paraId="751F1633"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A3A19B"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547B938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D82C57"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3729CE36"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D8C7D4" w14:textId="77777777" w:rsidR="00000000" w:rsidRDefault="000C49A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6C770487"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F59A31" w14:textId="77777777" w:rsidR="00000000" w:rsidRDefault="000C49AD">
            <w:pPr>
              <w:spacing w:after="100"/>
              <w:jc w:val="center"/>
              <w:rPr>
                <w:rFonts w:eastAsia="Times New Roman"/>
              </w:rPr>
            </w:pPr>
            <w:r>
              <w:rPr>
                <w:rFonts w:eastAsia="Times New Roman"/>
                <w:b/>
                <w:bCs/>
                <w:color w:val="000000"/>
                <w:sz w:val="18"/>
                <w:szCs w:val="18"/>
              </w:rPr>
              <w:t>%</w:t>
            </w:r>
          </w:p>
        </w:tc>
      </w:tr>
      <w:tr w:rsidR="00000000" w14:paraId="7E1AC13C" w14:textId="77777777">
        <w:trPr>
          <w:divId w:val="1289237427"/>
          <w:trHeight w:val="60"/>
        </w:trPr>
        <w:tc>
          <w:tcPr>
            <w:tcW w:w="0" w:type="auto"/>
            <w:gridSpan w:val="3"/>
            <w:tcBorders>
              <w:top w:val="single" w:sz="8" w:space="0" w:color="000000"/>
            </w:tcBorders>
            <w:tcMar>
              <w:top w:w="0" w:type="dxa"/>
              <w:left w:w="20" w:type="dxa"/>
              <w:bottom w:w="0" w:type="dxa"/>
              <w:right w:w="20" w:type="dxa"/>
            </w:tcMar>
            <w:vAlign w:val="center"/>
            <w:hideMark/>
          </w:tcPr>
          <w:p w14:paraId="74D92CCD"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A98AAA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DD6F3E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58943B"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3B59B3"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ECFFB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1A171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F3EB5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4989F0E" w14:textId="77777777" w:rsidR="00000000" w:rsidRDefault="000C49AD">
            <w:pPr>
              <w:spacing w:after="100"/>
              <w:rPr>
                <w:rFonts w:eastAsia="Times New Roman"/>
                <w:sz w:val="20"/>
                <w:szCs w:val="20"/>
              </w:rPr>
            </w:pPr>
          </w:p>
        </w:tc>
      </w:tr>
      <w:tr w:rsidR="00000000" w14:paraId="586B331C" w14:textId="77777777">
        <w:trPr>
          <w:divId w:val="1289237427"/>
        </w:trPr>
        <w:tc>
          <w:tcPr>
            <w:tcW w:w="0" w:type="auto"/>
            <w:gridSpan w:val="3"/>
            <w:shd w:val="clear" w:color="auto" w:fill="CCEEFF"/>
            <w:tcMar>
              <w:top w:w="30" w:type="dxa"/>
              <w:left w:w="155" w:type="dxa"/>
              <w:bottom w:w="30" w:type="dxa"/>
              <w:right w:w="20" w:type="dxa"/>
            </w:tcMar>
            <w:vAlign w:val="bottom"/>
            <w:hideMark/>
          </w:tcPr>
          <w:p w14:paraId="6374233D" w14:textId="77777777" w:rsidR="00000000" w:rsidRDefault="000C49AD">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7978D285"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B311FB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69AA2CC" w14:textId="77777777" w:rsidR="00000000" w:rsidRDefault="000C49AD">
            <w:pPr>
              <w:spacing w:after="100"/>
              <w:jc w:val="right"/>
              <w:rPr>
                <w:rFonts w:eastAsia="Times New Roman"/>
              </w:rPr>
            </w:pPr>
            <w:r>
              <w:rPr>
                <w:rFonts w:eastAsia="Times New Roman"/>
                <w:color w:val="000000"/>
                <w:sz w:val="18"/>
                <w:szCs w:val="18"/>
              </w:rPr>
              <w:t>68,495 </w:t>
            </w:r>
          </w:p>
        </w:tc>
        <w:tc>
          <w:tcPr>
            <w:tcW w:w="0" w:type="auto"/>
            <w:shd w:val="clear" w:color="auto" w:fill="CCEEFF"/>
            <w:tcMar>
              <w:top w:w="30" w:type="dxa"/>
              <w:left w:w="0" w:type="dxa"/>
              <w:bottom w:w="30" w:type="dxa"/>
              <w:right w:w="20" w:type="dxa"/>
            </w:tcMar>
            <w:vAlign w:val="bottom"/>
            <w:hideMark/>
          </w:tcPr>
          <w:p w14:paraId="4564347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3E8B15"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A6A7F2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29C721B" w14:textId="77777777" w:rsidR="00000000" w:rsidRDefault="000C49AD">
            <w:pPr>
              <w:spacing w:after="100"/>
              <w:jc w:val="right"/>
              <w:rPr>
                <w:rFonts w:eastAsia="Times New Roman"/>
              </w:rPr>
            </w:pPr>
            <w:r>
              <w:rPr>
                <w:rFonts w:eastAsia="Times New Roman"/>
                <w:color w:val="000000"/>
                <w:sz w:val="18"/>
                <w:szCs w:val="18"/>
              </w:rPr>
              <w:t>32,405 </w:t>
            </w:r>
          </w:p>
        </w:tc>
        <w:tc>
          <w:tcPr>
            <w:tcW w:w="0" w:type="auto"/>
            <w:shd w:val="clear" w:color="auto" w:fill="CCEEFF"/>
            <w:tcMar>
              <w:top w:w="30" w:type="dxa"/>
              <w:left w:w="0" w:type="dxa"/>
              <w:bottom w:w="30" w:type="dxa"/>
              <w:right w:w="20" w:type="dxa"/>
            </w:tcMar>
            <w:vAlign w:val="bottom"/>
            <w:hideMark/>
          </w:tcPr>
          <w:p w14:paraId="16D22A1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A645C6"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CF68FC"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FFB8442" w14:textId="77777777" w:rsidR="00000000" w:rsidRDefault="000C49AD">
            <w:pPr>
              <w:spacing w:after="100"/>
              <w:jc w:val="right"/>
              <w:rPr>
                <w:rFonts w:eastAsia="Times New Roman"/>
              </w:rPr>
            </w:pPr>
            <w:r>
              <w:rPr>
                <w:rFonts w:eastAsia="Times New Roman"/>
                <w:color w:val="000000"/>
                <w:sz w:val="18"/>
                <w:szCs w:val="18"/>
              </w:rPr>
              <w:t>36,090 </w:t>
            </w:r>
          </w:p>
        </w:tc>
        <w:tc>
          <w:tcPr>
            <w:tcW w:w="0" w:type="auto"/>
            <w:shd w:val="clear" w:color="auto" w:fill="CCEEFF"/>
            <w:tcMar>
              <w:top w:w="30" w:type="dxa"/>
              <w:left w:w="0" w:type="dxa"/>
              <w:bottom w:w="30" w:type="dxa"/>
              <w:right w:w="20" w:type="dxa"/>
            </w:tcMar>
            <w:vAlign w:val="bottom"/>
            <w:hideMark/>
          </w:tcPr>
          <w:p w14:paraId="3F0DA35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40A99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B5A214" w14:textId="77777777" w:rsidR="00000000" w:rsidRDefault="000C49AD">
            <w:pPr>
              <w:spacing w:after="100"/>
              <w:jc w:val="right"/>
              <w:rPr>
                <w:rFonts w:eastAsia="Times New Roman"/>
              </w:rPr>
            </w:pPr>
            <w:r>
              <w:rPr>
                <w:rFonts w:eastAsia="Times New Roman"/>
                <w:color w:val="000000"/>
                <w:sz w:val="18"/>
                <w:szCs w:val="18"/>
              </w:rPr>
              <w:t>111.4 </w:t>
            </w:r>
          </w:p>
        </w:tc>
        <w:tc>
          <w:tcPr>
            <w:tcW w:w="0" w:type="auto"/>
            <w:shd w:val="clear" w:color="auto" w:fill="CCEEFF"/>
            <w:tcMar>
              <w:top w:w="30" w:type="dxa"/>
              <w:left w:w="0" w:type="dxa"/>
              <w:bottom w:w="30" w:type="dxa"/>
              <w:right w:w="20" w:type="dxa"/>
            </w:tcMar>
            <w:vAlign w:val="bottom"/>
            <w:hideMark/>
          </w:tcPr>
          <w:p w14:paraId="2317858D" w14:textId="77777777" w:rsidR="00000000" w:rsidRDefault="000C49AD">
            <w:pPr>
              <w:spacing w:after="100"/>
              <w:jc w:val="right"/>
              <w:rPr>
                <w:rFonts w:eastAsia="Times New Roman"/>
              </w:rPr>
            </w:pPr>
            <w:r>
              <w:rPr>
                <w:rFonts w:eastAsia="Times New Roman"/>
                <w:color w:val="000000"/>
                <w:sz w:val="18"/>
                <w:szCs w:val="18"/>
              </w:rPr>
              <w:t>%</w:t>
            </w:r>
          </w:p>
        </w:tc>
      </w:tr>
    </w:tbl>
    <w:p w14:paraId="23949E8D" w14:textId="77777777" w:rsidR="00000000" w:rsidRDefault="000C49AD">
      <w:pPr>
        <w:jc w:val="both"/>
        <w:rPr>
          <w:rFonts w:eastAsia="Times New Roman"/>
        </w:rPr>
      </w:pPr>
      <w:r>
        <w:rPr>
          <w:rFonts w:eastAsia="Times New Roman"/>
          <w:b/>
          <w:bCs/>
          <w:i/>
          <w:iCs/>
          <w:color w:val="000000"/>
          <w:sz w:val="20"/>
          <w:szCs w:val="20"/>
        </w:rPr>
        <w:t> </w:t>
      </w:r>
    </w:p>
    <w:p w14:paraId="179357D9" w14:textId="77777777" w:rsidR="00000000" w:rsidRDefault="000C49AD">
      <w:pPr>
        <w:jc w:val="both"/>
        <w:rPr>
          <w:rFonts w:eastAsia="Times New Roman"/>
        </w:rPr>
      </w:pPr>
      <w:r>
        <w:rPr>
          <w:rFonts w:eastAsia="Times New Roman"/>
          <w:color w:val="000000"/>
          <w:sz w:val="20"/>
          <w:szCs w:val="20"/>
        </w:rPr>
        <w:t>Selling, general and administrative (“SG&amp;A”) expenses increased by $36,090 or 111.4% during the year ended December 31, 2021 as comp</w:t>
      </w:r>
      <w:r>
        <w:rPr>
          <w:rFonts w:eastAsia="Times New Roman"/>
          <w:color w:val="000000"/>
          <w:sz w:val="20"/>
          <w:szCs w:val="20"/>
        </w:rPr>
        <w:t>ared to the prior year. This increase was driven primarily by the Company’s continued commercial preparations and launch readiness activities for potential approval of FT218. These activities included an increase in marketing and market research costs of a</w:t>
      </w:r>
      <w:r>
        <w:rPr>
          <w:rFonts w:eastAsia="Times New Roman"/>
          <w:color w:val="000000"/>
          <w:sz w:val="20"/>
          <w:szCs w:val="20"/>
        </w:rPr>
        <w:t xml:space="preserve">pproximately $12,700 and an increase in other launch planning and preparation activities totaling $5,000. Compensation costs increased by approximately $11,000 due to an increase in headcount, primarily in commercial and medical affairs. Legal, technology </w:t>
      </w:r>
      <w:r>
        <w:rPr>
          <w:rFonts w:eastAsia="Times New Roman"/>
          <w:color w:val="000000"/>
          <w:sz w:val="20"/>
          <w:szCs w:val="20"/>
        </w:rPr>
        <w:t>and insurance costs increased by approximately $7,200.</w:t>
      </w:r>
    </w:p>
    <w:p w14:paraId="0A9DE465" w14:textId="77777777" w:rsidR="00000000" w:rsidRDefault="000C49AD">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979"/>
        <w:gridCol w:w="37"/>
        <w:gridCol w:w="36"/>
        <w:gridCol w:w="36"/>
        <w:gridCol w:w="36"/>
        <w:gridCol w:w="110"/>
        <w:gridCol w:w="795"/>
        <w:gridCol w:w="36"/>
        <w:gridCol w:w="36"/>
        <w:gridCol w:w="36"/>
        <w:gridCol w:w="36"/>
        <w:gridCol w:w="110"/>
        <w:gridCol w:w="795"/>
        <w:gridCol w:w="36"/>
        <w:gridCol w:w="36"/>
        <w:gridCol w:w="36"/>
        <w:gridCol w:w="36"/>
        <w:gridCol w:w="110"/>
        <w:gridCol w:w="795"/>
        <w:gridCol w:w="36"/>
        <w:gridCol w:w="36"/>
        <w:gridCol w:w="36"/>
        <w:gridCol w:w="36"/>
        <w:gridCol w:w="41"/>
        <w:gridCol w:w="786"/>
        <w:gridCol w:w="170"/>
      </w:tblGrid>
      <w:tr w:rsidR="00000000" w14:paraId="49D14FD8" w14:textId="77777777">
        <w:trPr>
          <w:jc w:val="center"/>
        </w:trPr>
        <w:tc>
          <w:tcPr>
            <w:tcW w:w="50" w:type="pct"/>
            <w:vAlign w:val="center"/>
            <w:hideMark/>
          </w:tcPr>
          <w:p w14:paraId="664FB1E2" w14:textId="77777777" w:rsidR="00000000" w:rsidRDefault="000C49AD">
            <w:pPr>
              <w:jc w:val="both"/>
              <w:rPr>
                <w:rFonts w:eastAsia="Times New Roman"/>
              </w:rPr>
            </w:pPr>
          </w:p>
        </w:tc>
        <w:tc>
          <w:tcPr>
            <w:tcW w:w="2430" w:type="pct"/>
            <w:vAlign w:val="center"/>
            <w:hideMark/>
          </w:tcPr>
          <w:p w14:paraId="1A6817FA" w14:textId="77777777" w:rsidR="00000000" w:rsidRDefault="000C49AD">
            <w:pPr>
              <w:spacing w:after="100"/>
              <w:rPr>
                <w:rFonts w:eastAsia="Times New Roman"/>
                <w:sz w:val="20"/>
                <w:szCs w:val="20"/>
              </w:rPr>
            </w:pPr>
          </w:p>
        </w:tc>
        <w:tc>
          <w:tcPr>
            <w:tcW w:w="5" w:type="pct"/>
            <w:vAlign w:val="center"/>
            <w:hideMark/>
          </w:tcPr>
          <w:p w14:paraId="266C8260" w14:textId="77777777" w:rsidR="00000000" w:rsidRDefault="000C49AD">
            <w:pPr>
              <w:spacing w:after="100"/>
              <w:rPr>
                <w:rFonts w:eastAsia="Times New Roman"/>
                <w:sz w:val="20"/>
                <w:szCs w:val="20"/>
              </w:rPr>
            </w:pPr>
          </w:p>
        </w:tc>
        <w:tc>
          <w:tcPr>
            <w:tcW w:w="5" w:type="pct"/>
            <w:vAlign w:val="center"/>
            <w:hideMark/>
          </w:tcPr>
          <w:p w14:paraId="2BD26B54" w14:textId="77777777" w:rsidR="00000000" w:rsidRDefault="000C49AD">
            <w:pPr>
              <w:spacing w:after="100"/>
              <w:rPr>
                <w:rFonts w:eastAsia="Times New Roman"/>
                <w:sz w:val="20"/>
                <w:szCs w:val="20"/>
              </w:rPr>
            </w:pPr>
          </w:p>
        </w:tc>
        <w:tc>
          <w:tcPr>
            <w:tcW w:w="26" w:type="pct"/>
            <w:vAlign w:val="center"/>
            <w:hideMark/>
          </w:tcPr>
          <w:p w14:paraId="426C2FCF" w14:textId="77777777" w:rsidR="00000000" w:rsidRDefault="000C49AD">
            <w:pPr>
              <w:spacing w:after="100"/>
              <w:rPr>
                <w:rFonts w:eastAsia="Times New Roman"/>
                <w:sz w:val="20"/>
                <w:szCs w:val="20"/>
              </w:rPr>
            </w:pPr>
          </w:p>
        </w:tc>
        <w:tc>
          <w:tcPr>
            <w:tcW w:w="5" w:type="pct"/>
            <w:vAlign w:val="center"/>
            <w:hideMark/>
          </w:tcPr>
          <w:p w14:paraId="4B72FE2D" w14:textId="77777777" w:rsidR="00000000" w:rsidRDefault="000C49AD">
            <w:pPr>
              <w:spacing w:after="100"/>
              <w:rPr>
                <w:rFonts w:eastAsia="Times New Roman"/>
                <w:sz w:val="20"/>
                <w:szCs w:val="20"/>
              </w:rPr>
            </w:pPr>
          </w:p>
        </w:tc>
        <w:tc>
          <w:tcPr>
            <w:tcW w:w="50" w:type="pct"/>
            <w:vAlign w:val="center"/>
            <w:hideMark/>
          </w:tcPr>
          <w:p w14:paraId="158DE65B" w14:textId="77777777" w:rsidR="00000000" w:rsidRDefault="000C49AD">
            <w:pPr>
              <w:spacing w:after="100"/>
              <w:rPr>
                <w:rFonts w:eastAsia="Times New Roman"/>
                <w:sz w:val="20"/>
                <w:szCs w:val="20"/>
              </w:rPr>
            </w:pPr>
          </w:p>
        </w:tc>
        <w:tc>
          <w:tcPr>
            <w:tcW w:w="537" w:type="pct"/>
            <w:vAlign w:val="center"/>
            <w:hideMark/>
          </w:tcPr>
          <w:p w14:paraId="7FCAFB02" w14:textId="77777777" w:rsidR="00000000" w:rsidRDefault="000C49AD">
            <w:pPr>
              <w:spacing w:after="100"/>
              <w:rPr>
                <w:rFonts w:eastAsia="Times New Roman"/>
                <w:sz w:val="20"/>
                <w:szCs w:val="20"/>
              </w:rPr>
            </w:pPr>
          </w:p>
        </w:tc>
        <w:tc>
          <w:tcPr>
            <w:tcW w:w="5" w:type="pct"/>
            <w:vAlign w:val="center"/>
            <w:hideMark/>
          </w:tcPr>
          <w:p w14:paraId="290C86A5" w14:textId="77777777" w:rsidR="00000000" w:rsidRDefault="000C49AD">
            <w:pPr>
              <w:spacing w:after="100"/>
              <w:rPr>
                <w:rFonts w:eastAsia="Times New Roman"/>
                <w:sz w:val="20"/>
                <w:szCs w:val="20"/>
              </w:rPr>
            </w:pPr>
          </w:p>
        </w:tc>
        <w:tc>
          <w:tcPr>
            <w:tcW w:w="5" w:type="pct"/>
            <w:vAlign w:val="center"/>
            <w:hideMark/>
          </w:tcPr>
          <w:p w14:paraId="609638CA" w14:textId="77777777" w:rsidR="00000000" w:rsidRDefault="000C49AD">
            <w:pPr>
              <w:spacing w:after="100"/>
              <w:rPr>
                <w:rFonts w:eastAsia="Times New Roman"/>
                <w:sz w:val="20"/>
                <w:szCs w:val="20"/>
              </w:rPr>
            </w:pPr>
          </w:p>
        </w:tc>
        <w:tc>
          <w:tcPr>
            <w:tcW w:w="26" w:type="pct"/>
            <w:vAlign w:val="center"/>
            <w:hideMark/>
          </w:tcPr>
          <w:p w14:paraId="7E0D76D8" w14:textId="77777777" w:rsidR="00000000" w:rsidRDefault="000C49AD">
            <w:pPr>
              <w:spacing w:after="100"/>
              <w:rPr>
                <w:rFonts w:eastAsia="Times New Roman"/>
                <w:sz w:val="20"/>
                <w:szCs w:val="20"/>
              </w:rPr>
            </w:pPr>
          </w:p>
        </w:tc>
        <w:tc>
          <w:tcPr>
            <w:tcW w:w="5" w:type="pct"/>
            <w:vAlign w:val="center"/>
            <w:hideMark/>
          </w:tcPr>
          <w:p w14:paraId="65953806" w14:textId="77777777" w:rsidR="00000000" w:rsidRDefault="000C49AD">
            <w:pPr>
              <w:spacing w:after="100"/>
              <w:rPr>
                <w:rFonts w:eastAsia="Times New Roman"/>
                <w:sz w:val="20"/>
                <w:szCs w:val="20"/>
              </w:rPr>
            </w:pPr>
          </w:p>
        </w:tc>
        <w:tc>
          <w:tcPr>
            <w:tcW w:w="50" w:type="pct"/>
            <w:vAlign w:val="center"/>
            <w:hideMark/>
          </w:tcPr>
          <w:p w14:paraId="28932C40" w14:textId="77777777" w:rsidR="00000000" w:rsidRDefault="000C49AD">
            <w:pPr>
              <w:spacing w:after="100"/>
              <w:rPr>
                <w:rFonts w:eastAsia="Times New Roman"/>
                <w:sz w:val="20"/>
                <w:szCs w:val="20"/>
              </w:rPr>
            </w:pPr>
          </w:p>
        </w:tc>
        <w:tc>
          <w:tcPr>
            <w:tcW w:w="537" w:type="pct"/>
            <w:vAlign w:val="center"/>
            <w:hideMark/>
          </w:tcPr>
          <w:p w14:paraId="31156692" w14:textId="77777777" w:rsidR="00000000" w:rsidRDefault="000C49AD">
            <w:pPr>
              <w:spacing w:after="100"/>
              <w:rPr>
                <w:rFonts w:eastAsia="Times New Roman"/>
                <w:sz w:val="20"/>
                <w:szCs w:val="20"/>
              </w:rPr>
            </w:pPr>
          </w:p>
        </w:tc>
        <w:tc>
          <w:tcPr>
            <w:tcW w:w="5" w:type="pct"/>
            <w:vAlign w:val="center"/>
            <w:hideMark/>
          </w:tcPr>
          <w:p w14:paraId="1D0CC848" w14:textId="77777777" w:rsidR="00000000" w:rsidRDefault="000C49AD">
            <w:pPr>
              <w:spacing w:after="100"/>
              <w:rPr>
                <w:rFonts w:eastAsia="Times New Roman"/>
                <w:sz w:val="20"/>
                <w:szCs w:val="20"/>
              </w:rPr>
            </w:pPr>
          </w:p>
        </w:tc>
        <w:tc>
          <w:tcPr>
            <w:tcW w:w="5" w:type="pct"/>
            <w:vAlign w:val="center"/>
            <w:hideMark/>
          </w:tcPr>
          <w:p w14:paraId="0E6C3273" w14:textId="77777777" w:rsidR="00000000" w:rsidRDefault="000C49AD">
            <w:pPr>
              <w:spacing w:after="100"/>
              <w:rPr>
                <w:rFonts w:eastAsia="Times New Roman"/>
                <w:sz w:val="20"/>
                <w:szCs w:val="20"/>
              </w:rPr>
            </w:pPr>
          </w:p>
        </w:tc>
        <w:tc>
          <w:tcPr>
            <w:tcW w:w="26" w:type="pct"/>
            <w:vAlign w:val="center"/>
            <w:hideMark/>
          </w:tcPr>
          <w:p w14:paraId="67D81368" w14:textId="77777777" w:rsidR="00000000" w:rsidRDefault="000C49AD">
            <w:pPr>
              <w:spacing w:after="100"/>
              <w:rPr>
                <w:rFonts w:eastAsia="Times New Roman"/>
                <w:sz w:val="20"/>
                <w:szCs w:val="20"/>
              </w:rPr>
            </w:pPr>
          </w:p>
        </w:tc>
        <w:tc>
          <w:tcPr>
            <w:tcW w:w="5" w:type="pct"/>
            <w:vAlign w:val="center"/>
            <w:hideMark/>
          </w:tcPr>
          <w:p w14:paraId="676D6E5F" w14:textId="77777777" w:rsidR="00000000" w:rsidRDefault="000C49AD">
            <w:pPr>
              <w:spacing w:after="100"/>
              <w:rPr>
                <w:rFonts w:eastAsia="Times New Roman"/>
                <w:sz w:val="20"/>
                <w:szCs w:val="20"/>
              </w:rPr>
            </w:pPr>
          </w:p>
        </w:tc>
        <w:tc>
          <w:tcPr>
            <w:tcW w:w="50" w:type="pct"/>
            <w:vAlign w:val="center"/>
            <w:hideMark/>
          </w:tcPr>
          <w:p w14:paraId="6C301A6F" w14:textId="77777777" w:rsidR="00000000" w:rsidRDefault="000C49AD">
            <w:pPr>
              <w:spacing w:after="100"/>
              <w:rPr>
                <w:rFonts w:eastAsia="Times New Roman"/>
                <w:sz w:val="20"/>
                <w:szCs w:val="20"/>
              </w:rPr>
            </w:pPr>
          </w:p>
        </w:tc>
        <w:tc>
          <w:tcPr>
            <w:tcW w:w="537" w:type="pct"/>
            <w:vAlign w:val="center"/>
            <w:hideMark/>
          </w:tcPr>
          <w:p w14:paraId="0C73120F" w14:textId="77777777" w:rsidR="00000000" w:rsidRDefault="000C49AD">
            <w:pPr>
              <w:spacing w:after="100"/>
              <w:rPr>
                <w:rFonts w:eastAsia="Times New Roman"/>
                <w:sz w:val="20"/>
                <w:szCs w:val="20"/>
              </w:rPr>
            </w:pPr>
          </w:p>
        </w:tc>
        <w:tc>
          <w:tcPr>
            <w:tcW w:w="5" w:type="pct"/>
            <w:vAlign w:val="center"/>
            <w:hideMark/>
          </w:tcPr>
          <w:p w14:paraId="35887522" w14:textId="77777777" w:rsidR="00000000" w:rsidRDefault="000C49AD">
            <w:pPr>
              <w:spacing w:after="100"/>
              <w:rPr>
                <w:rFonts w:eastAsia="Times New Roman"/>
                <w:sz w:val="20"/>
                <w:szCs w:val="20"/>
              </w:rPr>
            </w:pPr>
          </w:p>
        </w:tc>
        <w:tc>
          <w:tcPr>
            <w:tcW w:w="5" w:type="pct"/>
            <w:vAlign w:val="center"/>
            <w:hideMark/>
          </w:tcPr>
          <w:p w14:paraId="4F026F38" w14:textId="77777777" w:rsidR="00000000" w:rsidRDefault="000C49AD">
            <w:pPr>
              <w:spacing w:after="100"/>
              <w:rPr>
                <w:rFonts w:eastAsia="Times New Roman"/>
                <w:sz w:val="20"/>
                <w:szCs w:val="20"/>
              </w:rPr>
            </w:pPr>
          </w:p>
        </w:tc>
        <w:tc>
          <w:tcPr>
            <w:tcW w:w="26" w:type="pct"/>
            <w:vAlign w:val="center"/>
            <w:hideMark/>
          </w:tcPr>
          <w:p w14:paraId="2B719754" w14:textId="77777777" w:rsidR="00000000" w:rsidRDefault="000C49AD">
            <w:pPr>
              <w:spacing w:after="100"/>
              <w:rPr>
                <w:rFonts w:eastAsia="Times New Roman"/>
                <w:sz w:val="20"/>
                <w:szCs w:val="20"/>
              </w:rPr>
            </w:pPr>
          </w:p>
        </w:tc>
        <w:tc>
          <w:tcPr>
            <w:tcW w:w="5" w:type="pct"/>
            <w:vAlign w:val="center"/>
            <w:hideMark/>
          </w:tcPr>
          <w:p w14:paraId="3FC73F24" w14:textId="77777777" w:rsidR="00000000" w:rsidRDefault="000C49AD">
            <w:pPr>
              <w:spacing w:after="100"/>
              <w:rPr>
                <w:rFonts w:eastAsia="Times New Roman"/>
                <w:sz w:val="20"/>
                <w:szCs w:val="20"/>
              </w:rPr>
            </w:pPr>
          </w:p>
        </w:tc>
        <w:tc>
          <w:tcPr>
            <w:tcW w:w="50" w:type="pct"/>
            <w:vAlign w:val="center"/>
            <w:hideMark/>
          </w:tcPr>
          <w:p w14:paraId="59CE28CF" w14:textId="77777777" w:rsidR="00000000" w:rsidRDefault="000C49AD">
            <w:pPr>
              <w:spacing w:after="100"/>
              <w:rPr>
                <w:rFonts w:eastAsia="Times New Roman"/>
                <w:sz w:val="20"/>
                <w:szCs w:val="20"/>
              </w:rPr>
            </w:pPr>
          </w:p>
        </w:tc>
        <w:tc>
          <w:tcPr>
            <w:tcW w:w="537" w:type="pct"/>
            <w:vAlign w:val="center"/>
            <w:hideMark/>
          </w:tcPr>
          <w:p w14:paraId="55007A25" w14:textId="77777777" w:rsidR="00000000" w:rsidRDefault="000C49AD">
            <w:pPr>
              <w:spacing w:after="100"/>
              <w:rPr>
                <w:rFonts w:eastAsia="Times New Roman"/>
                <w:sz w:val="20"/>
                <w:szCs w:val="20"/>
              </w:rPr>
            </w:pPr>
          </w:p>
        </w:tc>
        <w:tc>
          <w:tcPr>
            <w:tcW w:w="5" w:type="pct"/>
            <w:vAlign w:val="center"/>
            <w:hideMark/>
          </w:tcPr>
          <w:p w14:paraId="0E5ABB54" w14:textId="77777777" w:rsidR="00000000" w:rsidRDefault="000C49AD">
            <w:pPr>
              <w:spacing w:after="100"/>
              <w:rPr>
                <w:rFonts w:eastAsia="Times New Roman"/>
                <w:sz w:val="20"/>
                <w:szCs w:val="20"/>
              </w:rPr>
            </w:pPr>
          </w:p>
        </w:tc>
      </w:tr>
      <w:tr w:rsidR="00000000" w14:paraId="0161F66F" w14:textId="77777777">
        <w:trPr>
          <w:jc w:val="center"/>
        </w:trPr>
        <w:tc>
          <w:tcPr>
            <w:tcW w:w="0" w:type="auto"/>
            <w:gridSpan w:val="3"/>
            <w:vAlign w:val="center"/>
            <w:hideMark/>
          </w:tcPr>
          <w:p w14:paraId="7DF0F27F" w14:textId="77777777" w:rsidR="00000000" w:rsidRDefault="000C49AD">
            <w:pPr>
              <w:spacing w:after="100"/>
              <w:rPr>
                <w:rFonts w:eastAsia="Times New Roman"/>
                <w:sz w:val="20"/>
                <w:szCs w:val="20"/>
              </w:rPr>
            </w:pPr>
          </w:p>
        </w:tc>
        <w:tc>
          <w:tcPr>
            <w:tcW w:w="0" w:type="auto"/>
            <w:gridSpan w:val="3"/>
            <w:vAlign w:val="center"/>
            <w:hideMark/>
          </w:tcPr>
          <w:p w14:paraId="1F93FAF5" w14:textId="77777777" w:rsidR="00000000" w:rsidRDefault="000C49AD">
            <w:pPr>
              <w:spacing w:after="100"/>
              <w:rPr>
                <w:rFonts w:eastAsia="Times New Roman"/>
                <w:sz w:val="20"/>
                <w:szCs w:val="20"/>
              </w:rPr>
            </w:pPr>
          </w:p>
        </w:tc>
        <w:tc>
          <w:tcPr>
            <w:tcW w:w="0" w:type="auto"/>
            <w:gridSpan w:val="3"/>
            <w:vAlign w:val="center"/>
            <w:hideMark/>
          </w:tcPr>
          <w:p w14:paraId="0B0F568F" w14:textId="77777777" w:rsidR="00000000" w:rsidRDefault="000C49AD">
            <w:pPr>
              <w:spacing w:after="100"/>
              <w:rPr>
                <w:rFonts w:eastAsia="Times New Roman"/>
                <w:sz w:val="20"/>
                <w:szCs w:val="20"/>
              </w:rPr>
            </w:pPr>
          </w:p>
        </w:tc>
        <w:tc>
          <w:tcPr>
            <w:tcW w:w="0" w:type="auto"/>
            <w:gridSpan w:val="3"/>
            <w:vAlign w:val="center"/>
            <w:hideMark/>
          </w:tcPr>
          <w:p w14:paraId="66785F59" w14:textId="77777777" w:rsidR="00000000" w:rsidRDefault="000C49AD">
            <w:pPr>
              <w:spacing w:after="100"/>
              <w:rPr>
                <w:rFonts w:eastAsia="Times New Roman"/>
                <w:sz w:val="20"/>
                <w:szCs w:val="20"/>
              </w:rPr>
            </w:pPr>
          </w:p>
        </w:tc>
        <w:tc>
          <w:tcPr>
            <w:tcW w:w="0" w:type="auto"/>
            <w:gridSpan w:val="3"/>
            <w:vAlign w:val="center"/>
            <w:hideMark/>
          </w:tcPr>
          <w:p w14:paraId="32EECA66" w14:textId="77777777" w:rsidR="00000000" w:rsidRDefault="000C49AD">
            <w:pPr>
              <w:spacing w:after="100"/>
              <w:rPr>
                <w:rFonts w:eastAsia="Times New Roman"/>
                <w:sz w:val="20"/>
                <w:szCs w:val="20"/>
              </w:rPr>
            </w:pPr>
          </w:p>
        </w:tc>
        <w:tc>
          <w:tcPr>
            <w:tcW w:w="0" w:type="auto"/>
            <w:gridSpan w:val="3"/>
            <w:vAlign w:val="center"/>
            <w:hideMark/>
          </w:tcPr>
          <w:p w14:paraId="0DD78892" w14:textId="77777777" w:rsidR="00000000" w:rsidRDefault="000C49AD">
            <w:pPr>
              <w:spacing w:after="100"/>
              <w:rPr>
                <w:rFonts w:eastAsia="Times New Roman"/>
                <w:sz w:val="20"/>
                <w:szCs w:val="20"/>
              </w:rPr>
            </w:pPr>
          </w:p>
        </w:tc>
        <w:tc>
          <w:tcPr>
            <w:tcW w:w="0" w:type="auto"/>
            <w:gridSpan w:val="3"/>
            <w:vAlign w:val="center"/>
            <w:hideMark/>
          </w:tcPr>
          <w:p w14:paraId="209EF087" w14:textId="77777777" w:rsidR="00000000" w:rsidRDefault="000C49AD">
            <w:pPr>
              <w:spacing w:after="100"/>
              <w:rPr>
                <w:rFonts w:eastAsia="Times New Roman"/>
                <w:sz w:val="20"/>
                <w:szCs w:val="20"/>
              </w:rPr>
            </w:pPr>
          </w:p>
        </w:tc>
        <w:tc>
          <w:tcPr>
            <w:tcW w:w="0" w:type="auto"/>
            <w:vAlign w:val="center"/>
            <w:hideMark/>
          </w:tcPr>
          <w:p w14:paraId="0C7E3A52" w14:textId="77777777" w:rsidR="00000000" w:rsidRDefault="000C49AD">
            <w:pPr>
              <w:spacing w:after="100"/>
              <w:rPr>
                <w:rFonts w:eastAsia="Times New Roman"/>
                <w:sz w:val="20"/>
                <w:szCs w:val="20"/>
              </w:rPr>
            </w:pPr>
          </w:p>
        </w:tc>
        <w:tc>
          <w:tcPr>
            <w:tcW w:w="0" w:type="auto"/>
            <w:vAlign w:val="center"/>
            <w:hideMark/>
          </w:tcPr>
          <w:p w14:paraId="61901602" w14:textId="77777777" w:rsidR="00000000" w:rsidRDefault="000C49AD">
            <w:pPr>
              <w:spacing w:after="100"/>
              <w:rPr>
                <w:rFonts w:eastAsia="Times New Roman"/>
                <w:sz w:val="20"/>
                <w:szCs w:val="20"/>
              </w:rPr>
            </w:pPr>
          </w:p>
        </w:tc>
        <w:tc>
          <w:tcPr>
            <w:tcW w:w="0" w:type="auto"/>
            <w:vAlign w:val="center"/>
            <w:hideMark/>
          </w:tcPr>
          <w:p w14:paraId="6FA929BC" w14:textId="77777777" w:rsidR="00000000" w:rsidRDefault="000C49AD">
            <w:pPr>
              <w:spacing w:after="100"/>
              <w:rPr>
                <w:rFonts w:eastAsia="Times New Roman"/>
                <w:sz w:val="20"/>
                <w:szCs w:val="20"/>
              </w:rPr>
            </w:pPr>
          </w:p>
        </w:tc>
        <w:tc>
          <w:tcPr>
            <w:tcW w:w="0" w:type="auto"/>
            <w:vAlign w:val="center"/>
            <w:hideMark/>
          </w:tcPr>
          <w:p w14:paraId="47B2F76D" w14:textId="77777777" w:rsidR="00000000" w:rsidRDefault="000C49AD">
            <w:pPr>
              <w:spacing w:after="100"/>
              <w:rPr>
                <w:rFonts w:eastAsia="Times New Roman"/>
                <w:sz w:val="20"/>
                <w:szCs w:val="20"/>
              </w:rPr>
            </w:pPr>
          </w:p>
        </w:tc>
        <w:tc>
          <w:tcPr>
            <w:tcW w:w="0" w:type="auto"/>
            <w:vAlign w:val="center"/>
            <w:hideMark/>
          </w:tcPr>
          <w:p w14:paraId="37CADA41" w14:textId="77777777" w:rsidR="00000000" w:rsidRDefault="000C49AD">
            <w:pPr>
              <w:spacing w:after="100"/>
              <w:rPr>
                <w:rFonts w:eastAsia="Times New Roman"/>
                <w:sz w:val="20"/>
                <w:szCs w:val="20"/>
              </w:rPr>
            </w:pPr>
          </w:p>
        </w:tc>
        <w:tc>
          <w:tcPr>
            <w:tcW w:w="0" w:type="auto"/>
            <w:vAlign w:val="center"/>
            <w:hideMark/>
          </w:tcPr>
          <w:p w14:paraId="7C23B84A" w14:textId="77777777" w:rsidR="00000000" w:rsidRDefault="000C49AD">
            <w:pPr>
              <w:spacing w:after="100"/>
              <w:rPr>
                <w:rFonts w:eastAsia="Times New Roman"/>
                <w:sz w:val="20"/>
                <w:szCs w:val="20"/>
              </w:rPr>
            </w:pPr>
          </w:p>
        </w:tc>
      </w:tr>
      <w:tr w:rsidR="00000000" w14:paraId="76D05F81" w14:textId="77777777">
        <w:trPr>
          <w:jc w:val="center"/>
        </w:trPr>
        <w:tc>
          <w:tcPr>
            <w:tcW w:w="0" w:type="auto"/>
            <w:gridSpan w:val="3"/>
            <w:tcMar>
              <w:top w:w="30" w:type="dxa"/>
              <w:left w:w="20" w:type="dxa"/>
              <w:bottom w:w="30" w:type="dxa"/>
              <w:right w:w="20" w:type="dxa"/>
            </w:tcMar>
            <w:vAlign w:val="bottom"/>
            <w:hideMark/>
          </w:tcPr>
          <w:p w14:paraId="2637A411"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F9DEC4E" w14:textId="77777777" w:rsidR="00000000" w:rsidRDefault="000C49AD">
            <w:pPr>
              <w:spacing w:after="100"/>
              <w:rPr>
                <w:rFonts w:eastAsia="Times New Roman"/>
              </w:rPr>
            </w:pPr>
          </w:p>
        </w:tc>
        <w:tc>
          <w:tcPr>
            <w:tcW w:w="0" w:type="auto"/>
            <w:gridSpan w:val="9"/>
            <w:tcMar>
              <w:top w:w="30" w:type="dxa"/>
              <w:left w:w="20" w:type="dxa"/>
              <w:bottom w:w="30" w:type="dxa"/>
              <w:right w:w="20" w:type="dxa"/>
            </w:tcMar>
            <w:vAlign w:val="bottom"/>
            <w:hideMark/>
          </w:tcPr>
          <w:p w14:paraId="287F404B" w14:textId="77777777" w:rsidR="00000000" w:rsidRDefault="000C49AD">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14:paraId="34D25836" w14:textId="77777777" w:rsidR="00000000" w:rsidRDefault="000C49A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48ED6BA" w14:textId="77777777" w:rsidR="00000000" w:rsidRDefault="000C49AD">
            <w:pPr>
              <w:spacing w:after="100"/>
              <w:jc w:val="center"/>
              <w:rPr>
                <w:rFonts w:eastAsia="Times New Roman"/>
              </w:rPr>
            </w:pPr>
            <w:r>
              <w:rPr>
                <w:rFonts w:eastAsia="Times New Roman"/>
                <w:b/>
                <w:bCs/>
                <w:color w:val="000000"/>
                <w:sz w:val="18"/>
                <w:szCs w:val="18"/>
              </w:rPr>
              <w:t>Change</w:t>
            </w:r>
          </w:p>
        </w:tc>
      </w:tr>
      <w:tr w:rsidR="00000000" w14:paraId="2E35ECBE" w14:textId="77777777">
        <w:trPr>
          <w:jc w:val="center"/>
        </w:trPr>
        <w:tc>
          <w:tcPr>
            <w:tcW w:w="0" w:type="auto"/>
            <w:gridSpan w:val="3"/>
            <w:tcMar>
              <w:top w:w="30" w:type="dxa"/>
              <w:left w:w="20" w:type="dxa"/>
              <w:bottom w:w="30" w:type="dxa"/>
              <w:right w:w="20" w:type="dxa"/>
            </w:tcMar>
            <w:vAlign w:val="bottom"/>
            <w:hideMark/>
          </w:tcPr>
          <w:p w14:paraId="32ECD213" w14:textId="77777777" w:rsidR="00000000" w:rsidRDefault="000C49AD">
            <w:pPr>
              <w:spacing w:after="100"/>
              <w:rPr>
                <w:rFonts w:eastAsia="Times New Roman"/>
              </w:rPr>
            </w:pPr>
            <w:r>
              <w:rPr>
                <w:rFonts w:eastAsia="Times New Roman"/>
                <w:b/>
                <w:bCs/>
                <w:color w:val="000000"/>
                <w:sz w:val="18"/>
                <w:szCs w:val="18"/>
              </w:rPr>
              <w:t>Investment and Other Income (Expense), net</w:t>
            </w:r>
          </w:p>
        </w:tc>
        <w:tc>
          <w:tcPr>
            <w:tcW w:w="0" w:type="auto"/>
            <w:gridSpan w:val="3"/>
            <w:tcMar>
              <w:top w:w="0" w:type="dxa"/>
              <w:left w:w="20" w:type="dxa"/>
              <w:bottom w:w="0" w:type="dxa"/>
              <w:right w:w="20" w:type="dxa"/>
            </w:tcMar>
            <w:vAlign w:val="center"/>
            <w:hideMark/>
          </w:tcPr>
          <w:p w14:paraId="4243E045"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FF87D7"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260B159A"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488E43"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0486679A"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3412875" w14:textId="77777777" w:rsidR="00000000" w:rsidRDefault="000C49A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65B9DC1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3DDC37" w14:textId="77777777" w:rsidR="00000000" w:rsidRDefault="000C49AD">
            <w:pPr>
              <w:spacing w:after="100"/>
              <w:jc w:val="center"/>
              <w:rPr>
                <w:rFonts w:eastAsia="Times New Roman"/>
              </w:rPr>
            </w:pPr>
            <w:r>
              <w:rPr>
                <w:rFonts w:eastAsia="Times New Roman"/>
                <w:b/>
                <w:bCs/>
                <w:color w:val="000000"/>
                <w:sz w:val="18"/>
                <w:szCs w:val="18"/>
              </w:rPr>
              <w:t>%</w:t>
            </w:r>
          </w:p>
        </w:tc>
      </w:tr>
      <w:tr w:rsidR="00000000" w14:paraId="17BA5EFD"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65C808CB"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606306F"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7CE03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FB3CD7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DF3750"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59B80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9F6A93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C631F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77B727" w14:textId="77777777" w:rsidR="00000000" w:rsidRDefault="000C49AD">
            <w:pPr>
              <w:spacing w:after="100"/>
              <w:rPr>
                <w:rFonts w:eastAsia="Times New Roman"/>
                <w:sz w:val="20"/>
                <w:szCs w:val="20"/>
              </w:rPr>
            </w:pPr>
          </w:p>
        </w:tc>
      </w:tr>
      <w:tr w:rsidR="00000000" w14:paraId="0CB3CF6C" w14:textId="77777777">
        <w:trPr>
          <w:jc w:val="center"/>
        </w:trPr>
        <w:tc>
          <w:tcPr>
            <w:tcW w:w="0" w:type="auto"/>
            <w:gridSpan w:val="3"/>
            <w:shd w:val="clear" w:color="auto" w:fill="CCEEFF"/>
            <w:tcMar>
              <w:top w:w="30" w:type="dxa"/>
              <w:left w:w="155" w:type="dxa"/>
              <w:bottom w:w="30" w:type="dxa"/>
              <w:right w:w="20" w:type="dxa"/>
            </w:tcMar>
            <w:vAlign w:val="bottom"/>
            <w:hideMark/>
          </w:tcPr>
          <w:p w14:paraId="63DAC149" w14:textId="77777777" w:rsidR="00000000" w:rsidRDefault="000C49AD">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CCEEFF"/>
            <w:tcMar>
              <w:top w:w="0" w:type="dxa"/>
              <w:left w:w="20" w:type="dxa"/>
              <w:bottom w:w="0" w:type="dxa"/>
              <w:right w:w="20" w:type="dxa"/>
            </w:tcMar>
            <w:vAlign w:val="center"/>
            <w:hideMark/>
          </w:tcPr>
          <w:p w14:paraId="5A360242"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50177AA"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4589EDC" w14:textId="77777777" w:rsidR="00000000" w:rsidRDefault="000C49AD">
            <w:pPr>
              <w:spacing w:after="100"/>
              <w:jc w:val="right"/>
              <w:rPr>
                <w:rFonts w:eastAsia="Times New Roman"/>
              </w:rPr>
            </w:pPr>
            <w:r>
              <w:rPr>
                <w:rFonts w:eastAsia="Times New Roman"/>
                <w:color w:val="000000"/>
                <w:sz w:val="18"/>
                <w:szCs w:val="18"/>
              </w:rPr>
              <w:t>2,126 </w:t>
            </w:r>
          </w:p>
        </w:tc>
        <w:tc>
          <w:tcPr>
            <w:tcW w:w="0" w:type="auto"/>
            <w:shd w:val="clear" w:color="auto" w:fill="CCEEFF"/>
            <w:tcMar>
              <w:top w:w="30" w:type="dxa"/>
              <w:left w:w="0" w:type="dxa"/>
              <w:bottom w:w="30" w:type="dxa"/>
              <w:right w:w="20" w:type="dxa"/>
            </w:tcMar>
            <w:vAlign w:val="bottom"/>
            <w:hideMark/>
          </w:tcPr>
          <w:p w14:paraId="56D3193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A3A46"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1A889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3F6D7C1" w14:textId="77777777" w:rsidR="00000000" w:rsidRDefault="000C49AD">
            <w:pPr>
              <w:spacing w:after="100"/>
              <w:jc w:val="right"/>
              <w:rPr>
                <w:rFonts w:eastAsia="Times New Roman"/>
              </w:rPr>
            </w:pPr>
            <w:r>
              <w:rPr>
                <w:rFonts w:eastAsia="Times New Roman"/>
                <w:color w:val="000000"/>
                <w:sz w:val="18"/>
                <w:szCs w:val="18"/>
              </w:rPr>
              <w:t>(832)</w:t>
            </w:r>
          </w:p>
        </w:tc>
        <w:tc>
          <w:tcPr>
            <w:tcW w:w="0" w:type="auto"/>
            <w:shd w:val="clear" w:color="auto" w:fill="CCEEFF"/>
            <w:tcMar>
              <w:top w:w="30" w:type="dxa"/>
              <w:left w:w="0" w:type="dxa"/>
              <w:bottom w:w="30" w:type="dxa"/>
              <w:right w:w="20" w:type="dxa"/>
            </w:tcMar>
            <w:vAlign w:val="bottom"/>
            <w:hideMark/>
          </w:tcPr>
          <w:p w14:paraId="0FBFEB3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F9098"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4AFB7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99E2C25" w14:textId="77777777" w:rsidR="00000000" w:rsidRDefault="000C49AD">
            <w:pPr>
              <w:spacing w:after="100"/>
              <w:jc w:val="right"/>
              <w:rPr>
                <w:rFonts w:eastAsia="Times New Roman"/>
              </w:rPr>
            </w:pPr>
            <w:r>
              <w:rPr>
                <w:rFonts w:eastAsia="Times New Roman"/>
                <w:color w:val="000000"/>
                <w:sz w:val="18"/>
                <w:szCs w:val="18"/>
              </w:rPr>
              <w:t>2,958 </w:t>
            </w:r>
          </w:p>
        </w:tc>
        <w:tc>
          <w:tcPr>
            <w:tcW w:w="0" w:type="auto"/>
            <w:shd w:val="clear" w:color="auto" w:fill="CCEEFF"/>
            <w:tcMar>
              <w:top w:w="30" w:type="dxa"/>
              <w:left w:w="0" w:type="dxa"/>
              <w:bottom w:w="30" w:type="dxa"/>
              <w:right w:w="20" w:type="dxa"/>
            </w:tcMar>
            <w:vAlign w:val="bottom"/>
            <w:hideMark/>
          </w:tcPr>
          <w:p w14:paraId="3410638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C714F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7B7F20" w14:textId="77777777" w:rsidR="00000000" w:rsidRDefault="000C49AD">
            <w:pPr>
              <w:spacing w:after="100"/>
              <w:jc w:val="right"/>
              <w:rPr>
                <w:rFonts w:eastAsia="Times New Roman"/>
              </w:rPr>
            </w:pPr>
            <w:r>
              <w:rPr>
                <w:rFonts w:eastAsia="Times New Roman"/>
                <w:color w:val="000000"/>
                <w:sz w:val="18"/>
                <w:szCs w:val="18"/>
              </w:rPr>
              <w:t>355.5 </w:t>
            </w:r>
          </w:p>
        </w:tc>
        <w:tc>
          <w:tcPr>
            <w:tcW w:w="0" w:type="auto"/>
            <w:shd w:val="clear" w:color="auto" w:fill="CCEEFF"/>
            <w:tcMar>
              <w:top w:w="30" w:type="dxa"/>
              <w:left w:w="0" w:type="dxa"/>
              <w:bottom w:w="30" w:type="dxa"/>
              <w:right w:w="20" w:type="dxa"/>
            </w:tcMar>
            <w:vAlign w:val="bottom"/>
            <w:hideMark/>
          </w:tcPr>
          <w:p w14:paraId="17C8C82B" w14:textId="77777777" w:rsidR="00000000" w:rsidRDefault="000C49AD">
            <w:pPr>
              <w:spacing w:after="100"/>
              <w:jc w:val="right"/>
              <w:rPr>
                <w:rFonts w:eastAsia="Times New Roman"/>
              </w:rPr>
            </w:pPr>
            <w:r>
              <w:rPr>
                <w:rFonts w:eastAsia="Times New Roman"/>
                <w:color w:val="000000"/>
                <w:sz w:val="18"/>
                <w:szCs w:val="18"/>
              </w:rPr>
              <w:t>%</w:t>
            </w:r>
          </w:p>
        </w:tc>
      </w:tr>
    </w:tbl>
    <w:p w14:paraId="692925BE" w14:textId="77777777" w:rsidR="00000000" w:rsidRDefault="000C49AD">
      <w:pPr>
        <w:jc w:val="both"/>
        <w:rPr>
          <w:rFonts w:eastAsia="Times New Roman"/>
        </w:rPr>
      </w:pPr>
    </w:p>
    <w:p w14:paraId="6A99DD1C" w14:textId="77777777" w:rsidR="00000000" w:rsidRDefault="000C49AD">
      <w:pPr>
        <w:jc w:val="both"/>
        <w:rPr>
          <w:rFonts w:eastAsia="Times New Roman"/>
        </w:rPr>
      </w:pPr>
      <w:r>
        <w:rPr>
          <w:rFonts w:eastAsia="Times New Roman"/>
          <w:color w:val="000000"/>
          <w:sz w:val="20"/>
          <w:szCs w:val="20"/>
        </w:rPr>
        <w:t xml:space="preserve">Investment and other income, net was $2,126 for the year ended December 31, 2021 as compared to investment and other expense, net </w:t>
      </w:r>
      <w:r>
        <w:rPr>
          <w:rFonts w:eastAsia="Times New Roman"/>
          <w:color w:val="000000"/>
          <w:sz w:val="20"/>
          <w:szCs w:val="20"/>
        </w:rPr>
        <w:t>of $832 for the year ended December 31, 2020. The increase in investment and other income (expense), net was driven by higher foreign currency gains of approximately $1,100, an $800 legal settlement related to a bankruptcy claim recognized in the prior per</w:t>
      </w:r>
      <w:r>
        <w:rPr>
          <w:rFonts w:eastAsia="Times New Roman"/>
          <w:color w:val="000000"/>
          <w:sz w:val="20"/>
          <w:szCs w:val="20"/>
        </w:rPr>
        <w:t>iod, higher interest income of approximately $600 and lower realized losses on our marketable securities of approximately $300.</w:t>
      </w:r>
    </w:p>
    <w:p w14:paraId="2BC47B60" w14:textId="77777777" w:rsidR="00000000" w:rsidRDefault="000C49AD">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979"/>
        <w:gridCol w:w="37"/>
        <w:gridCol w:w="36"/>
        <w:gridCol w:w="36"/>
        <w:gridCol w:w="36"/>
        <w:gridCol w:w="110"/>
        <w:gridCol w:w="795"/>
        <w:gridCol w:w="36"/>
        <w:gridCol w:w="36"/>
        <w:gridCol w:w="36"/>
        <w:gridCol w:w="36"/>
        <w:gridCol w:w="110"/>
        <w:gridCol w:w="795"/>
        <w:gridCol w:w="36"/>
        <w:gridCol w:w="36"/>
        <w:gridCol w:w="36"/>
        <w:gridCol w:w="36"/>
        <w:gridCol w:w="110"/>
        <w:gridCol w:w="795"/>
        <w:gridCol w:w="36"/>
        <w:gridCol w:w="36"/>
        <w:gridCol w:w="36"/>
        <w:gridCol w:w="36"/>
        <w:gridCol w:w="37"/>
        <w:gridCol w:w="790"/>
        <w:gridCol w:w="170"/>
      </w:tblGrid>
      <w:tr w:rsidR="00000000" w14:paraId="4ECC71B2" w14:textId="77777777">
        <w:tc>
          <w:tcPr>
            <w:tcW w:w="50" w:type="pct"/>
            <w:vAlign w:val="center"/>
            <w:hideMark/>
          </w:tcPr>
          <w:p w14:paraId="2BBDE38C" w14:textId="77777777" w:rsidR="00000000" w:rsidRDefault="000C49AD">
            <w:pPr>
              <w:jc w:val="both"/>
              <w:rPr>
                <w:rFonts w:eastAsia="Times New Roman"/>
              </w:rPr>
            </w:pPr>
          </w:p>
        </w:tc>
        <w:tc>
          <w:tcPr>
            <w:tcW w:w="2430" w:type="pct"/>
            <w:vAlign w:val="center"/>
            <w:hideMark/>
          </w:tcPr>
          <w:p w14:paraId="2ECF4B40" w14:textId="77777777" w:rsidR="00000000" w:rsidRDefault="000C49AD">
            <w:pPr>
              <w:spacing w:after="100"/>
              <w:rPr>
                <w:rFonts w:eastAsia="Times New Roman"/>
                <w:sz w:val="20"/>
                <w:szCs w:val="20"/>
              </w:rPr>
            </w:pPr>
          </w:p>
        </w:tc>
        <w:tc>
          <w:tcPr>
            <w:tcW w:w="5" w:type="pct"/>
            <w:vAlign w:val="center"/>
            <w:hideMark/>
          </w:tcPr>
          <w:p w14:paraId="6186A479" w14:textId="77777777" w:rsidR="00000000" w:rsidRDefault="000C49AD">
            <w:pPr>
              <w:spacing w:after="100"/>
              <w:rPr>
                <w:rFonts w:eastAsia="Times New Roman"/>
                <w:sz w:val="20"/>
                <w:szCs w:val="20"/>
              </w:rPr>
            </w:pPr>
          </w:p>
        </w:tc>
        <w:tc>
          <w:tcPr>
            <w:tcW w:w="5" w:type="pct"/>
            <w:vAlign w:val="center"/>
            <w:hideMark/>
          </w:tcPr>
          <w:p w14:paraId="0560A814" w14:textId="77777777" w:rsidR="00000000" w:rsidRDefault="000C49AD">
            <w:pPr>
              <w:spacing w:after="100"/>
              <w:rPr>
                <w:rFonts w:eastAsia="Times New Roman"/>
                <w:sz w:val="20"/>
                <w:szCs w:val="20"/>
              </w:rPr>
            </w:pPr>
          </w:p>
        </w:tc>
        <w:tc>
          <w:tcPr>
            <w:tcW w:w="26" w:type="pct"/>
            <w:vAlign w:val="center"/>
            <w:hideMark/>
          </w:tcPr>
          <w:p w14:paraId="681CACE1" w14:textId="77777777" w:rsidR="00000000" w:rsidRDefault="000C49AD">
            <w:pPr>
              <w:spacing w:after="100"/>
              <w:rPr>
                <w:rFonts w:eastAsia="Times New Roman"/>
                <w:sz w:val="20"/>
                <w:szCs w:val="20"/>
              </w:rPr>
            </w:pPr>
          </w:p>
        </w:tc>
        <w:tc>
          <w:tcPr>
            <w:tcW w:w="5" w:type="pct"/>
            <w:vAlign w:val="center"/>
            <w:hideMark/>
          </w:tcPr>
          <w:p w14:paraId="2F21149F" w14:textId="77777777" w:rsidR="00000000" w:rsidRDefault="000C49AD">
            <w:pPr>
              <w:spacing w:after="100"/>
              <w:rPr>
                <w:rFonts w:eastAsia="Times New Roman"/>
                <w:sz w:val="20"/>
                <w:szCs w:val="20"/>
              </w:rPr>
            </w:pPr>
          </w:p>
        </w:tc>
        <w:tc>
          <w:tcPr>
            <w:tcW w:w="50" w:type="pct"/>
            <w:vAlign w:val="center"/>
            <w:hideMark/>
          </w:tcPr>
          <w:p w14:paraId="2320EC48" w14:textId="77777777" w:rsidR="00000000" w:rsidRDefault="000C49AD">
            <w:pPr>
              <w:spacing w:after="100"/>
              <w:rPr>
                <w:rFonts w:eastAsia="Times New Roman"/>
                <w:sz w:val="20"/>
                <w:szCs w:val="20"/>
              </w:rPr>
            </w:pPr>
          </w:p>
        </w:tc>
        <w:tc>
          <w:tcPr>
            <w:tcW w:w="537" w:type="pct"/>
            <w:vAlign w:val="center"/>
            <w:hideMark/>
          </w:tcPr>
          <w:p w14:paraId="41155BCD" w14:textId="77777777" w:rsidR="00000000" w:rsidRDefault="000C49AD">
            <w:pPr>
              <w:spacing w:after="100"/>
              <w:rPr>
                <w:rFonts w:eastAsia="Times New Roman"/>
                <w:sz w:val="20"/>
                <w:szCs w:val="20"/>
              </w:rPr>
            </w:pPr>
          </w:p>
        </w:tc>
        <w:tc>
          <w:tcPr>
            <w:tcW w:w="5" w:type="pct"/>
            <w:vAlign w:val="center"/>
            <w:hideMark/>
          </w:tcPr>
          <w:p w14:paraId="6B6F928C" w14:textId="77777777" w:rsidR="00000000" w:rsidRDefault="000C49AD">
            <w:pPr>
              <w:spacing w:after="100"/>
              <w:rPr>
                <w:rFonts w:eastAsia="Times New Roman"/>
                <w:sz w:val="20"/>
                <w:szCs w:val="20"/>
              </w:rPr>
            </w:pPr>
          </w:p>
        </w:tc>
        <w:tc>
          <w:tcPr>
            <w:tcW w:w="5" w:type="pct"/>
            <w:vAlign w:val="center"/>
            <w:hideMark/>
          </w:tcPr>
          <w:p w14:paraId="32560536" w14:textId="77777777" w:rsidR="00000000" w:rsidRDefault="000C49AD">
            <w:pPr>
              <w:spacing w:after="100"/>
              <w:rPr>
                <w:rFonts w:eastAsia="Times New Roman"/>
                <w:sz w:val="20"/>
                <w:szCs w:val="20"/>
              </w:rPr>
            </w:pPr>
          </w:p>
        </w:tc>
        <w:tc>
          <w:tcPr>
            <w:tcW w:w="26" w:type="pct"/>
            <w:vAlign w:val="center"/>
            <w:hideMark/>
          </w:tcPr>
          <w:p w14:paraId="2912C84D" w14:textId="77777777" w:rsidR="00000000" w:rsidRDefault="000C49AD">
            <w:pPr>
              <w:spacing w:after="100"/>
              <w:rPr>
                <w:rFonts w:eastAsia="Times New Roman"/>
                <w:sz w:val="20"/>
                <w:szCs w:val="20"/>
              </w:rPr>
            </w:pPr>
          </w:p>
        </w:tc>
        <w:tc>
          <w:tcPr>
            <w:tcW w:w="5" w:type="pct"/>
            <w:vAlign w:val="center"/>
            <w:hideMark/>
          </w:tcPr>
          <w:p w14:paraId="509B0A16" w14:textId="77777777" w:rsidR="00000000" w:rsidRDefault="000C49AD">
            <w:pPr>
              <w:spacing w:after="100"/>
              <w:rPr>
                <w:rFonts w:eastAsia="Times New Roman"/>
                <w:sz w:val="20"/>
                <w:szCs w:val="20"/>
              </w:rPr>
            </w:pPr>
          </w:p>
        </w:tc>
        <w:tc>
          <w:tcPr>
            <w:tcW w:w="50" w:type="pct"/>
            <w:vAlign w:val="center"/>
            <w:hideMark/>
          </w:tcPr>
          <w:p w14:paraId="66DEDF35" w14:textId="77777777" w:rsidR="00000000" w:rsidRDefault="000C49AD">
            <w:pPr>
              <w:spacing w:after="100"/>
              <w:rPr>
                <w:rFonts w:eastAsia="Times New Roman"/>
                <w:sz w:val="20"/>
                <w:szCs w:val="20"/>
              </w:rPr>
            </w:pPr>
          </w:p>
        </w:tc>
        <w:tc>
          <w:tcPr>
            <w:tcW w:w="537" w:type="pct"/>
            <w:vAlign w:val="center"/>
            <w:hideMark/>
          </w:tcPr>
          <w:p w14:paraId="0F25DFB4" w14:textId="77777777" w:rsidR="00000000" w:rsidRDefault="000C49AD">
            <w:pPr>
              <w:spacing w:after="100"/>
              <w:rPr>
                <w:rFonts w:eastAsia="Times New Roman"/>
                <w:sz w:val="20"/>
                <w:szCs w:val="20"/>
              </w:rPr>
            </w:pPr>
          </w:p>
        </w:tc>
        <w:tc>
          <w:tcPr>
            <w:tcW w:w="5" w:type="pct"/>
            <w:vAlign w:val="center"/>
            <w:hideMark/>
          </w:tcPr>
          <w:p w14:paraId="3B03C200" w14:textId="77777777" w:rsidR="00000000" w:rsidRDefault="000C49AD">
            <w:pPr>
              <w:spacing w:after="100"/>
              <w:rPr>
                <w:rFonts w:eastAsia="Times New Roman"/>
                <w:sz w:val="20"/>
                <w:szCs w:val="20"/>
              </w:rPr>
            </w:pPr>
          </w:p>
        </w:tc>
        <w:tc>
          <w:tcPr>
            <w:tcW w:w="5" w:type="pct"/>
            <w:vAlign w:val="center"/>
            <w:hideMark/>
          </w:tcPr>
          <w:p w14:paraId="1A364A07" w14:textId="77777777" w:rsidR="00000000" w:rsidRDefault="000C49AD">
            <w:pPr>
              <w:spacing w:after="100"/>
              <w:rPr>
                <w:rFonts w:eastAsia="Times New Roman"/>
                <w:sz w:val="20"/>
                <w:szCs w:val="20"/>
              </w:rPr>
            </w:pPr>
          </w:p>
        </w:tc>
        <w:tc>
          <w:tcPr>
            <w:tcW w:w="26" w:type="pct"/>
            <w:vAlign w:val="center"/>
            <w:hideMark/>
          </w:tcPr>
          <w:p w14:paraId="2FC2A1B8" w14:textId="77777777" w:rsidR="00000000" w:rsidRDefault="000C49AD">
            <w:pPr>
              <w:spacing w:after="100"/>
              <w:rPr>
                <w:rFonts w:eastAsia="Times New Roman"/>
                <w:sz w:val="20"/>
                <w:szCs w:val="20"/>
              </w:rPr>
            </w:pPr>
          </w:p>
        </w:tc>
        <w:tc>
          <w:tcPr>
            <w:tcW w:w="5" w:type="pct"/>
            <w:vAlign w:val="center"/>
            <w:hideMark/>
          </w:tcPr>
          <w:p w14:paraId="58C2EC01" w14:textId="77777777" w:rsidR="00000000" w:rsidRDefault="000C49AD">
            <w:pPr>
              <w:spacing w:after="100"/>
              <w:rPr>
                <w:rFonts w:eastAsia="Times New Roman"/>
                <w:sz w:val="20"/>
                <w:szCs w:val="20"/>
              </w:rPr>
            </w:pPr>
          </w:p>
        </w:tc>
        <w:tc>
          <w:tcPr>
            <w:tcW w:w="50" w:type="pct"/>
            <w:vAlign w:val="center"/>
            <w:hideMark/>
          </w:tcPr>
          <w:p w14:paraId="48E4CC3D" w14:textId="77777777" w:rsidR="00000000" w:rsidRDefault="000C49AD">
            <w:pPr>
              <w:spacing w:after="100"/>
              <w:rPr>
                <w:rFonts w:eastAsia="Times New Roman"/>
                <w:sz w:val="20"/>
                <w:szCs w:val="20"/>
              </w:rPr>
            </w:pPr>
          </w:p>
        </w:tc>
        <w:tc>
          <w:tcPr>
            <w:tcW w:w="537" w:type="pct"/>
            <w:vAlign w:val="center"/>
            <w:hideMark/>
          </w:tcPr>
          <w:p w14:paraId="0C7C0CE4" w14:textId="77777777" w:rsidR="00000000" w:rsidRDefault="000C49AD">
            <w:pPr>
              <w:spacing w:after="100"/>
              <w:rPr>
                <w:rFonts w:eastAsia="Times New Roman"/>
                <w:sz w:val="20"/>
                <w:szCs w:val="20"/>
              </w:rPr>
            </w:pPr>
          </w:p>
        </w:tc>
        <w:tc>
          <w:tcPr>
            <w:tcW w:w="5" w:type="pct"/>
            <w:vAlign w:val="center"/>
            <w:hideMark/>
          </w:tcPr>
          <w:p w14:paraId="0E073A4F" w14:textId="77777777" w:rsidR="00000000" w:rsidRDefault="000C49AD">
            <w:pPr>
              <w:spacing w:after="100"/>
              <w:rPr>
                <w:rFonts w:eastAsia="Times New Roman"/>
                <w:sz w:val="20"/>
                <w:szCs w:val="20"/>
              </w:rPr>
            </w:pPr>
          </w:p>
        </w:tc>
        <w:tc>
          <w:tcPr>
            <w:tcW w:w="5" w:type="pct"/>
            <w:vAlign w:val="center"/>
            <w:hideMark/>
          </w:tcPr>
          <w:p w14:paraId="46549402" w14:textId="77777777" w:rsidR="00000000" w:rsidRDefault="000C49AD">
            <w:pPr>
              <w:spacing w:after="100"/>
              <w:rPr>
                <w:rFonts w:eastAsia="Times New Roman"/>
                <w:sz w:val="20"/>
                <w:szCs w:val="20"/>
              </w:rPr>
            </w:pPr>
          </w:p>
        </w:tc>
        <w:tc>
          <w:tcPr>
            <w:tcW w:w="26" w:type="pct"/>
            <w:vAlign w:val="center"/>
            <w:hideMark/>
          </w:tcPr>
          <w:p w14:paraId="35BEEA1E" w14:textId="77777777" w:rsidR="00000000" w:rsidRDefault="000C49AD">
            <w:pPr>
              <w:spacing w:after="100"/>
              <w:rPr>
                <w:rFonts w:eastAsia="Times New Roman"/>
                <w:sz w:val="20"/>
                <w:szCs w:val="20"/>
              </w:rPr>
            </w:pPr>
          </w:p>
        </w:tc>
        <w:tc>
          <w:tcPr>
            <w:tcW w:w="5" w:type="pct"/>
            <w:vAlign w:val="center"/>
            <w:hideMark/>
          </w:tcPr>
          <w:p w14:paraId="78284F1F" w14:textId="77777777" w:rsidR="00000000" w:rsidRDefault="000C49AD">
            <w:pPr>
              <w:spacing w:after="100"/>
              <w:rPr>
                <w:rFonts w:eastAsia="Times New Roman"/>
                <w:sz w:val="20"/>
                <w:szCs w:val="20"/>
              </w:rPr>
            </w:pPr>
          </w:p>
        </w:tc>
        <w:tc>
          <w:tcPr>
            <w:tcW w:w="50" w:type="pct"/>
            <w:vAlign w:val="center"/>
            <w:hideMark/>
          </w:tcPr>
          <w:p w14:paraId="3D704A61" w14:textId="77777777" w:rsidR="00000000" w:rsidRDefault="000C49AD">
            <w:pPr>
              <w:spacing w:after="100"/>
              <w:rPr>
                <w:rFonts w:eastAsia="Times New Roman"/>
                <w:sz w:val="20"/>
                <w:szCs w:val="20"/>
              </w:rPr>
            </w:pPr>
          </w:p>
        </w:tc>
        <w:tc>
          <w:tcPr>
            <w:tcW w:w="537" w:type="pct"/>
            <w:vAlign w:val="center"/>
            <w:hideMark/>
          </w:tcPr>
          <w:p w14:paraId="17E2374B" w14:textId="77777777" w:rsidR="00000000" w:rsidRDefault="000C49AD">
            <w:pPr>
              <w:spacing w:after="100"/>
              <w:rPr>
                <w:rFonts w:eastAsia="Times New Roman"/>
                <w:sz w:val="20"/>
                <w:szCs w:val="20"/>
              </w:rPr>
            </w:pPr>
          </w:p>
        </w:tc>
        <w:tc>
          <w:tcPr>
            <w:tcW w:w="5" w:type="pct"/>
            <w:vAlign w:val="center"/>
            <w:hideMark/>
          </w:tcPr>
          <w:p w14:paraId="5C6FF9BB" w14:textId="77777777" w:rsidR="00000000" w:rsidRDefault="000C49AD">
            <w:pPr>
              <w:spacing w:after="100"/>
              <w:rPr>
                <w:rFonts w:eastAsia="Times New Roman"/>
                <w:sz w:val="20"/>
                <w:szCs w:val="20"/>
              </w:rPr>
            </w:pPr>
          </w:p>
        </w:tc>
      </w:tr>
      <w:tr w:rsidR="00000000" w14:paraId="00DB82D5" w14:textId="77777777">
        <w:tc>
          <w:tcPr>
            <w:tcW w:w="0" w:type="auto"/>
            <w:gridSpan w:val="3"/>
            <w:vAlign w:val="center"/>
            <w:hideMark/>
          </w:tcPr>
          <w:p w14:paraId="14328FAF" w14:textId="77777777" w:rsidR="00000000" w:rsidRDefault="000C49AD">
            <w:pPr>
              <w:spacing w:after="100"/>
              <w:rPr>
                <w:rFonts w:eastAsia="Times New Roman"/>
                <w:sz w:val="20"/>
                <w:szCs w:val="20"/>
              </w:rPr>
            </w:pPr>
          </w:p>
        </w:tc>
        <w:tc>
          <w:tcPr>
            <w:tcW w:w="0" w:type="auto"/>
            <w:gridSpan w:val="3"/>
            <w:vAlign w:val="center"/>
            <w:hideMark/>
          </w:tcPr>
          <w:p w14:paraId="72BEF421" w14:textId="77777777" w:rsidR="00000000" w:rsidRDefault="000C49AD">
            <w:pPr>
              <w:spacing w:after="100"/>
              <w:rPr>
                <w:rFonts w:eastAsia="Times New Roman"/>
                <w:sz w:val="20"/>
                <w:szCs w:val="20"/>
              </w:rPr>
            </w:pPr>
          </w:p>
        </w:tc>
        <w:tc>
          <w:tcPr>
            <w:tcW w:w="0" w:type="auto"/>
            <w:gridSpan w:val="3"/>
            <w:vAlign w:val="center"/>
            <w:hideMark/>
          </w:tcPr>
          <w:p w14:paraId="22A881BD" w14:textId="77777777" w:rsidR="00000000" w:rsidRDefault="000C49AD">
            <w:pPr>
              <w:spacing w:after="100"/>
              <w:rPr>
                <w:rFonts w:eastAsia="Times New Roman"/>
                <w:sz w:val="20"/>
                <w:szCs w:val="20"/>
              </w:rPr>
            </w:pPr>
          </w:p>
        </w:tc>
        <w:tc>
          <w:tcPr>
            <w:tcW w:w="0" w:type="auto"/>
            <w:gridSpan w:val="3"/>
            <w:vAlign w:val="center"/>
            <w:hideMark/>
          </w:tcPr>
          <w:p w14:paraId="3585EAEE" w14:textId="77777777" w:rsidR="00000000" w:rsidRDefault="000C49AD">
            <w:pPr>
              <w:spacing w:after="100"/>
              <w:rPr>
                <w:rFonts w:eastAsia="Times New Roman"/>
                <w:sz w:val="20"/>
                <w:szCs w:val="20"/>
              </w:rPr>
            </w:pPr>
          </w:p>
        </w:tc>
        <w:tc>
          <w:tcPr>
            <w:tcW w:w="0" w:type="auto"/>
            <w:gridSpan w:val="3"/>
            <w:vAlign w:val="center"/>
            <w:hideMark/>
          </w:tcPr>
          <w:p w14:paraId="6D9279EF" w14:textId="77777777" w:rsidR="00000000" w:rsidRDefault="000C49AD">
            <w:pPr>
              <w:spacing w:after="100"/>
              <w:rPr>
                <w:rFonts w:eastAsia="Times New Roman"/>
                <w:sz w:val="20"/>
                <w:szCs w:val="20"/>
              </w:rPr>
            </w:pPr>
          </w:p>
        </w:tc>
        <w:tc>
          <w:tcPr>
            <w:tcW w:w="0" w:type="auto"/>
            <w:gridSpan w:val="3"/>
            <w:vAlign w:val="center"/>
            <w:hideMark/>
          </w:tcPr>
          <w:p w14:paraId="275CBEFC" w14:textId="77777777" w:rsidR="00000000" w:rsidRDefault="000C49AD">
            <w:pPr>
              <w:spacing w:after="100"/>
              <w:rPr>
                <w:rFonts w:eastAsia="Times New Roman"/>
                <w:sz w:val="20"/>
                <w:szCs w:val="20"/>
              </w:rPr>
            </w:pPr>
          </w:p>
        </w:tc>
        <w:tc>
          <w:tcPr>
            <w:tcW w:w="0" w:type="auto"/>
            <w:gridSpan w:val="3"/>
            <w:vAlign w:val="center"/>
            <w:hideMark/>
          </w:tcPr>
          <w:p w14:paraId="2C179873" w14:textId="77777777" w:rsidR="00000000" w:rsidRDefault="000C49AD">
            <w:pPr>
              <w:spacing w:after="100"/>
              <w:rPr>
                <w:rFonts w:eastAsia="Times New Roman"/>
                <w:sz w:val="20"/>
                <w:szCs w:val="20"/>
              </w:rPr>
            </w:pPr>
          </w:p>
        </w:tc>
        <w:tc>
          <w:tcPr>
            <w:tcW w:w="0" w:type="auto"/>
            <w:vAlign w:val="center"/>
            <w:hideMark/>
          </w:tcPr>
          <w:p w14:paraId="20403185" w14:textId="77777777" w:rsidR="00000000" w:rsidRDefault="000C49AD">
            <w:pPr>
              <w:spacing w:after="100"/>
              <w:rPr>
                <w:rFonts w:eastAsia="Times New Roman"/>
                <w:sz w:val="20"/>
                <w:szCs w:val="20"/>
              </w:rPr>
            </w:pPr>
          </w:p>
        </w:tc>
        <w:tc>
          <w:tcPr>
            <w:tcW w:w="0" w:type="auto"/>
            <w:vAlign w:val="center"/>
            <w:hideMark/>
          </w:tcPr>
          <w:p w14:paraId="59B88891" w14:textId="77777777" w:rsidR="00000000" w:rsidRDefault="000C49AD">
            <w:pPr>
              <w:spacing w:after="100"/>
              <w:rPr>
                <w:rFonts w:eastAsia="Times New Roman"/>
                <w:sz w:val="20"/>
                <w:szCs w:val="20"/>
              </w:rPr>
            </w:pPr>
          </w:p>
        </w:tc>
        <w:tc>
          <w:tcPr>
            <w:tcW w:w="0" w:type="auto"/>
            <w:vAlign w:val="center"/>
            <w:hideMark/>
          </w:tcPr>
          <w:p w14:paraId="175C06EF" w14:textId="77777777" w:rsidR="00000000" w:rsidRDefault="000C49AD">
            <w:pPr>
              <w:spacing w:after="100"/>
              <w:rPr>
                <w:rFonts w:eastAsia="Times New Roman"/>
                <w:sz w:val="20"/>
                <w:szCs w:val="20"/>
              </w:rPr>
            </w:pPr>
          </w:p>
        </w:tc>
        <w:tc>
          <w:tcPr>
            <w:tcW w:w="0" w:type="auto"/>
            <w:vAlign w:val="center"/>
            <w:hideMark/>
          </w:tcPr>
          <w:p w14:paraId="4082B3A6" w14:textId="77777777" w:rsidR="00000000" w:rsidRDefault="000C49AD">
            <w:pPr>
              <w:spacing w:after="100"/>
              <w:rPr>
                <w:rFonts w:eastAsia="Times New Roman"/>
                <w:sz w:val="20"/>
                <w:szCs w:val="20"/>
              </w:rPr>
            </w:pPr>
          </w:p>
        </w:tc>
        <w:tc>
          <w:tcPr>
            <w:tcW w:w="0" w:type="auto"/>
            <w:vAlign w:val="center"/>
            <w:hideMark/>
          </w:tcPr>
          <w:p w14:paraId="7132C350" w14:textId="77777777" w:rsidR="00000000" w:rsidRDefault="000C49AD">
            <w:pPr>
              <w:spacing w:after="100"/>
              <w:rPr>
                <w:rFonts w:eastAsia="Times New Roman"/>
                <w:sz w:val="20"/>
                <w:szCs w:val="20"/>
              </w:rPr>
            </w:pPr>
          </w:p>
        </w:tc>
        <w:tc>
          <w:tcPr>
            <w:tcW w:w="0" w:type="auto"/>
            <w:vAlign w:val="center"/>
            <w:hideMark/>
          </w:tcPr>
          <w:p w14:paraId="437BD65D" w14:textId="77777777" w:rsidR="00000000" w:rsidRDefault="000C49AD">
            <w:pPr>
              <w:spacing w:after="100"/>
              <w:rPr>
                <w:rFonts w:eastAsia="Times New Roman"/>
                <w:sz w:val="20"/>
                <w:szCs w:val="20"/>
              </w:rPr>
            </w:pPr>
          </w:p>
        </w:tc>
      </w:tr>
      <w:tr w:rsidR="00000000" w14:paraId="61CD4477" w14:textId="77777777">
        <w:tc>
          <w:tcPr>
            <w:tcW w:w="0" w:type="auto"/>
            <w:gridSpan w:val="3"/>
            <w:tcMar>
              <w:top w:w="30" w:type="dxa"/>
              <w:left w:w="20" w:type="dxa"/>
              <w:bottom w:w="30" w:type="dxa"/>
              <w:right w:w="20" w:type="dxa"/>
            </w:tcMar>
            <w:vAlign w:val="bottom"/>
            <w:hideMark/>
          </w:tcPr>
          <w:p w14:paraId="0036DF14"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418B07F" w14:textId="77777777" w:rsidR="00000000" w:rsidRDefault="000C49AD">
            <w:pPr>
              <w:spacing w:after="100"/>
              <w:rPr>
                <w:rFonts w:eastAsia="Times New Roman"/>
              </w:rPr>
            </w:pPr>
          </w:p>
        </w:tc>
        <w:tc>
          <w:tcPr>
            <w:tcW w:w="0" w:type="auto"/>
            <w:gridSpan w:val="9"/>
            <w:tcMar>
              <w:top w:w="30" w:type="dxa"/>
              <w:left w:w="20" w:type="dxa"/>
              <w:bottom w:w="30" w:type="dxa"/>
              <w:right w:w="20" w:type="dxa"/>
            </w:tcMar>
            <w:vAlign w:val="bottom"/>
            <w:hideMark/>
          </w:tcPr>
          <w:p w14:paraId="5237E03F" w14:textId="77777777" w:rsidR="00000000" w:rsidRDefault="000C49AD">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14:paraId="44A2B8BD" w14:textId="77777777" w:rsidR="00000000" w:rsidRDefault="000C49A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195FB0F" w14:textId="77777777" w:rsidR="00000000" w:rsidRDefault="000C49AD">
            <w:pPr>
              <w:spacing w:after="100"/>
              <w:jc w:val="center"/>
              <w:rPr>
                <w:rFonts w:eastAsia="Times New Roman"/>
              </w:rPr>
            </w:pPr>
            <w:r>
              <w:rPr>
                <w:rFonts w:eastAsia="Times New Roman"/>
                <w:b/>
                <w:bCs/>
                <w:color w:val="000000"/>
                <w:sz w:val="18"/>
                <w:szCs w:val="18"/>
              </w:rPr>
              <w:t>Change</w:t>
            </w:r>
          </w:p>
        </w:tc>
      </w:tr>
      <w:tr w:rsidR="00000000" w14:paraId="582973E0" w14:textId="77777777">
        <w:tc>
          <w:tcPr>
            <w:tcW w:w="0" w:type="auto"/>
            <w:gridSpan w:val="3"/>
            <w:tcMar>
              <w:top w:w="30" w:type="dxa"/>
              <w:left w:w="20" w:type="dxa"/>
              <w:bottom w:w="30" w:type="dxa"/>
              <w:right w:w="20" w:type="dxa"/>
            </w:tcMar>
            <w:vAlign w:val="bottom"/>
            <w:hideMark/>
          </w:tcPr>
          <w:p w14:paraId="1AC87727" w14:textId="77777777" w:rsidR="00000000" w:rsidRDefault="000C49AD">
            <w:pPr>
              <w:spacing w:after="100"/>
              <w:rPr>
                <w:rFonts w:eastAsia="Times New Roman"/>
              </w:rPr>
            </w:pPr>
            <w:r>
              <w:rPr>
                <w:rFonts w:eastAsia="Times New Roman"/>
                <w:b/>
                <w:bCs/>
                <w:color w:val="000000"/>
                <w:sz w:val="18"/>
                <w:szCs w:val="18"/>
              </w:rPr>
              <w:t>Interest Expense</w:t>
            </w:r>
          </w:p>
        </w:tc>
        <w:tc>
          <w:tcPr>
            <w:tcW w:w="0" w:type="auto"/>
            <w:gridSpan w:val="3"/>
            <w:tcMar>
              <w:top w:w="0" w:type="dxa"/>
              <w:left w:w="20" w:type="dxa"/>
              <w:bottom w:w="0" w:type="dxa"/>
              <w:right w:w="20" w:type="dxa"/>
            </w:tcMar>
            <w:vAlign w:val="center"/>
            <w:hideMark/>
          </w:tcPr>
          <w:p w14:paraId="178FD88E"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737AB5"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5D37314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6AE549"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04EAEF99"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3F67E66" w14:textId="77777777" w:rsidR="00000000" w:rsidRDefault="000C49A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625BE346"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2AD48F" w14:textId="77777777" w:rsidR="00000000" w:rsidRDefault="000C49AD">
            <w:pPr>
              <w:spacing w:after="100"/>
              <w:jc w:val="center"/>
              <w:rPr>
                <w:rFonts w:eastAsia="Times New Roman"/>
              </w:rPr>
            </w:pPr>
            <w:r>
              <w:rPr>
                <w:rFonts w:eastAsia="Times New Roman"/>
                <w:b/>
                <w:bCs/>
                <w:color w:val="000000"/>
                <w:sz w:val="18"/>
                <w:szCs w:val="18"/>
              </w:rPr>
              <w:t>%</w:t>
            </w:r>
          </w:p>
        </w:tc>
      </w:tr>
      <w:tr w:rsidR="00000000" w14:paraId="47102082"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494F3104"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E183BB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B7F6D0"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842B8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785D89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D2285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6165C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8B09B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FFA957" w14:textId="77777777" w:rsidR="00000000" w:rsidRDefault="000C49AD">
            <w:pPr>
              <w:spacing w:after="100"/>
              <w:rPr>
                <w:rFonts w:eastAsia="Times New Roman"/>
                <w:sz w:val="20"/>
                <w:szCs w:val="20"/>
              </w:rPr>
            </w:pPr>
          </w:p>
        </w:tc>
      </w:tr>
      <w:tr w:rsidR="00000000" w14:paraId="4F5D0A90" w14:textId="77777777">
        <w:tc>
          <w:tcPr>
            <w:tcW w:w="0" w:type="auto"/>
            <w:gridSpan w:val="3"/>
            <w:shd w:val="clear" w:color="auto" w:fill="CCEEFF"/>
            <w:tcMar>
              <w:top w:w="30" w:type="dxa"/>
              <w:left w:w="155" w:type="dxa"/>
              <w:bottom w:w="30" w:type="dxa"/>
              <w:right w:w="20" w:type="dxa"/>
            </w:tcMar>
            <w:vAlign w:val="bottom"/>
            <w:hideMark/>
          </w:tcPr>
          <w:p w14:paraId="50BBF404" w14:textId="77777777" w:rsidR="00000000" w:rsidRDefault="000C49AD">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14:paraId="558D20A8"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22AB9C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C24EA18" w14:textId="77777777" w:rsidR="00000000" w:rsidRDefault="000C49AD">
            <w:pPr>
              <w:spacing w:after="100"/>
              <w:jc w:val="right"/>
              <w:rPr>
                <w:rFonts w:eastAsia="Times New Roman"/>
              </w:rPr>
            </w:pPr>
            <w:r>
              <w:rPr>
                <w:rFonts w:eastAsia="Times New Roman"/>
                <w:color w:val="000000"/>
                <w:sz w:val="18"/>
                <w:szCs w:val="18"/>
              </w:rPr>
              <w:t>(9,942)</w:t>
            </w:r>
          </w:p>
        </w:tc>
        <w:tc>
          <w:tcPr>
            <w:tcW w:w="0" w:type="auto"/>
            <w:shd w:val="clear" w:color="auto" w:fill="CCEEFF"/>
            <w:tcMar>
              <w:top w:w="30" w:type="dxa"/>
              <w:left w:w="0" w:type="dxa"/>
              <w:bottom w:w="30" w:type="dxa"/>
              <w:right w:w="20" w:type="dxa"/>
            </w:tcMar>
            <w:vAlign w:val="bottom"/>
            <w:hideMark/>
          </w:tcPr>
          <w:p w14:paraId="0F35716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CA90E"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FE44B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0A011E1" w14:textId="77777777" w:rsidR="00000000" w:rsidRDefault="000C49AD">
            <w:pPr>
              <w:spacing w:after="100"/>
              <w:jc w:val="right"/>
              <w:rPr>
                <w:rFonts w:eastAsia="Times New Roman"/>
              </w:rPr>
            </w:pPr>
            <w:r>
              <w:rPr>
                <w:rFonts w:eastAsia="Times New Roman"/>
                <w:color w:val="000000"/>
                <w:sz w:val="18"/>
                <w:szCs w:val="18"/>
              </w:rPr>
              <w:t>(12,994)</w:t>
            </w:r>
          </w:p>
        </w:tc>
        <w:tc>
          <w:tcPr>
            <w:tcW w:w="0" w:type="auto"/>
            <w:shd w:val="clear" w:color="auto" w:fill="CCEEFF"/>
            <w:tcMar>
              <w:top w:w="30" w:type="dxa"/>
              <w:left w:w="0" w:type="dxa"/>
              <w:bottom w:w="30" w:type="dxa"/>
              <w:right w:w="20" w:type="dxa"/>
            </w:tcMar>
            <w:vAlign w:val="bottom"/>
            <w:hideMark/>
          </w:tcPr>
          <w:p w14:paraId="37DAAAF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CE752"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A313B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6387F5D" w14:textId="77777777" w:rsidR="00000000" w:rsidRDefault="000C49AD">
            <w:pPr>
              <w:spacing w:after="100"/>
              <w:jc w:val="right"/>
              <w:rPr>
                <w:rFonts w:eastAsia="Times New Roman"/>
              </w:rPr>
            </w:pPr>
            <w:r>
              <w:rPr>
                <w:rFonts w:eastAsia="Times New Roman"/>
                <w:color w:val="000000"/>
                <w:sz w:val="18"/>
                <w:szCs w:val="18"/>
              </w:rPr>
              <w:t>3,052 </w:t>
            </w:r>
          </w:p>
        </w:tc>
        <w:tc>
          <w:tcPr>
            <w:tcW w:w="0" w:type="auto"/>
            <w:shd w:val="clear" w:color="auto" w:fill="CCEEFF"/>
            <w:tcMar>
              <w:top w:w="30" w:type="dxa"/>
              <w:left w:w="0" w:type="dxa"/>
              <w:bottom w:w="30" w:type="dxa"/>
              <w:right w:w="20" w:type="dxa"/>
            </w:tcMar>
            <w:vAlign w:val="bottom"/>
            <w:hideMark/>
          </w:tcPr>
          <w:p w14:paraId="707B06D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29A9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B21C2D" w14:textId="77777777" w:rsidR="00000000" w:rsidRDefault="000C49AD">
            <w:pPr>
              <w:spacing w:after="100"/>
              <w:jc w:val="right"/>
              <w:rPr>
                <w:rFonts w:eastAsia="Times New Roman"/>
              </w:rPr>
            </w:pPr>
            <w:r>
              <w:rPr>
                <w:rFonts w:eastAsia="Times New Roman"/>
                <w:color w:val="000000"/>
                <w:sz w:val="18"/>
                <w:szCs w:val="18"/>
              </w:rPr>
              <w:t>23.5 </w:t>
            </w:r>
          </w:p>
        </w:tc>
        <w:tc>
          <w:tcPr>
            <w:tcW w:w="0" w:type="auto"/>
            <w:shd w:val="clear" w:color="auto" w:fill="CCEEFF"/>
            <w:tcMar>
              <w:top w:w="30" w:type="dxa"/>
              <w:left w:w="0" w:type="dxa"/>
              <w:bottom w:w="30" w:type="dxa"/>
              <w:right w:w="20" w:type="dxa"/>
            </w:tcMar>
            <w:vAlign w:val="bottom"/>
            <w:hideMark/>
          </w:tcPr>
          <w:p w14:paraId="09EFCB75" w14:textId="77777777" w:rsidR="00000000" w:rsidRDefault="000C49AD">
            <w:pPr>
              <w:spacing w:after="100"/>
              <w:jc w:val="right"/>
              <w:rPr>
                <w:rFonts w:eastAsia="Times New Roman"/>
              </w:rPr>
            </w:pPr>
            <w:r>
              <w:rPr>
                <w:rFonts w:eastAsia="Times New Roman"/>
                <w:color w:val="000000"/>
                <w:sz w:val="18"/>
                <w:szCs w:val="18"/>
              </w:rPr>
              <w:t>%</w:t>
            </w:r>
          </w:p>
        </w:tc>
      </w:tr>
    </w:tbl>
    <w:p w14:paraId="3F6B25F5" w14:textId="77777777" w:rsidR="00000000" w:rsidRDefault="000C49AD">
      <w:pPr>
        <w:jc w:val="both"/>
        <w:rPr>
          <w:rFonts w:eastAsia="Times New Roman"/>
        </w:rPr>
      </w:pPr>
    </w:p>
    <w:p w14:paraId="0C9BF436" w14:textId="77777777" w:rsidR="00000000" w:rsidRDefault="000C49AD">
      <w:pPr>
        <w:jc w:val="both"/>
        <w:rPr>
          <w:rFonts w:eastAsia="Times New Roman"/>
        </w:rPr>
      </w:pPr>
      <w:r>
        <w:rPr>
          <w:rFonts w:eastAsia="Times New Roman"/>
          <w:color w:val="000000"/>
          <w:sz w:val="20"/>
          <w:szCs w:val="20"/>
        </w:rPr>
        <w:t>Interest expense of $9,942 and $12,994 for the years ended December 31, 2021 and 2020, respectively, is related to interest on the F</w:t>
      </w:r>
      <w:r>
        <w:rPr>
          <w:rFonts w:eastAsia="Times New Roman"/>
          <w:color w:val="000000"/>
          <w:sz w:val="20"/>
          <w:szCs w:val="20"/>
        </w:rPr>
        <w:t xml:space="preserve">ebruary 2023 Notes. Included in these amounts are coupon interest expense of $6,469 for each period and the amortization of debt issuance costs of $1,248 and $998 for the year ended December 31, 2021 and 2020, respectively. Current period interest expense </w:t>
      </w:r>
      <w:r>
        <w:rPr>
          <w:rFonts w:eastAsia="Times New Roman"/>
          <w:color w:val="000000"/>
          <w:sz w:val="20"/>
          <w:szCs w:val="20"/>
        </w:rPr>
        <w:t xml:space="preserve">also included $2,225 of additional interest expense owed as a result of not removing a restrictive legend from the February 2023 Notes 365 days following original issuance of the February 2023 Notes on February 16, 2018. See </w:t>
      </w:r>
      <w:r>
        <w:rPr>
          <w:rFonts w:eastAsia="Times New Roman"/>
          <w:i/>
          <w:iCs/>
          <w:color w:val="000000"/>
          <w:sz w:val="20"/>
          <w:szCs w:val="20"/>
        </w:rPr>
        <w:t xml:space="preserve">Note 1: Summary of Significant </w:t>
      </w:r>
      <w:r>
        <w:rPr>
          <w:rFonts w:eastAsia="Times New Roman"/>
          <w:i/>
          <w:iCs/>
          <w:color w:val="000000"/>
          <w:sz w:val="20"/>
          <w:szCs w:val="20"/>
        </w:rPr>
        <w:t>Accounting Policies</w:t>
      </w:r>
      <w:r>
        <w:rPr>
          <w:rFonts w:eastAsia="Times New Roman"/>
          <w:color w:val="000000"/>
          <w:sz w:val="20"/>
          <w:szCs w:val="20"/>
        </w:rPr>
        <w:t xml:space="preserve"> to our audited consolidated financial statements included in Part II, Item 8 of this Annual Report on Form 10-K for further details. Prior period interest expense also included amortization of a debt discount of $5,527, which is no long</w:t>
      </w:r>
      <w:r>
        <w:rPr>
          <w:rFonts w:eastAsia="Times New Roman"/>
          <w:color w:val="000000"/>
          <w:sz w:val="20"/>
          <w:szCs w:val="20"/>
        </w:rPr>
        <w:t xml:space="preserve">er recognized upon our adoption of ASU 2020-06. See </w:t>
      </w:r>
      <w:r>
        <w:rPr>
          <w:rFonts w:eastAsia="Times New Roman"/>
          <w:i/>
          <w:iCs/>
          <w:color w:val="000000"/>
          <w:sz w:val="20"/>
          <w:szCs w:val="20"/>
        </w:rPr>
        <w:t>Note 11: Long Term Debt</w:t>
      </w:r>
      <w:r>
        <w:rPr>
          <w:rFonts w:eastAsia="Times New Roman"/>
          <w:color w:val="000000"/>
          <w:sz w:val="20"/>
          <w:szCs w:val="20"/>
        </w:rPr>
        <w:t xml:space="preserve"> to our audited consolidated financial statements included in Part II, Item 8 of this Annual Report on Form 10-K for further details for further details.</w:t>
      </w:r>
    </w:p>
    <w:p w14:paraId="55F464AD" w14:textId="77777777" w:rsidR="00000000" w:rsidRDefault="000C49AD">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3979"/>
        <w:gridCol w:w="37"/>
        <w:gridCol w:w="36"/>
        <w:gridCol w:w="36"/>
        <w:gridCol w:w="36"/>
        <w:gridCol w:w="110"/>
        <w:gridCol w:w="795"/>
        <w:gridCol w:w="36"/>
        <w:gridCol w:w="36"/>
        <w:gridCol w:w="36"/>
        <w:gridCol w:w="36"/>
        <w:gridCol w:w="110"/>
        <w:gridCol w:w="795"/>
        <w:gridCol w:w="36"/>
        <w:gridCol w:w="36"/>
        <w:gridCol w:w="36"/>
        <w:gridCol w:w="36"/>
        <w:gridCol w:w="110"/>
        <w:gridCol w:w="795"/>
        <w:gridCol w:w="36"/>
        <w:gridCol w:w="36"/>
        <w:gridCol w:w="36"/>
        <w:gridCol w:w="36"/>
        <w:gridCol w:w="39"/>
        <w:gridCol w:w="788"/>
        <w:gridCol w:w="170"/>
      </w:tblGrid>
      <w:tr w:rsidR="00000000" w14:paraId="61A24EAC" w14:textId="77777777">
        <w:tc>
          <w:tcPr>
            <w:tcW w:w="50" w:type="pct"/>
            <w:vAlign w:val="center"/>
            <w:hideMark/>
          </w:tcPr>
          <w:p w14:paraId="1BC72F5F" w14:textId="77777777" w:rsidR="00000000" w:rsidRDefault="000C49AD">
            <w:pPr>
              <w:jc w:val="both"/>
              <w:rPr>
                <w:rFonts w:eastAsia="Times New Roman"/>
              </w:rPr>
            </w:pPr>
          </w:p>
        </w:tc>
        <w:tc>
          <w:tcPr>
            <w:tcW w:w="2430" w:type="pct"/>
            <w:vAlign w:val="center"/>
            <w:hideMark/>
          </w:tcPr>
          <w:p w14:paraId="4370FFEA" w14:textId="77777777" w:rsidR="00000000" w:rsidRDefault="000C49AD">
            <w:pPr>
              <w:spacing w:after="100"/>
              <w:rPr>
                <w:rFonts w:eastAsia="Times New Roman"/>
                <w:sz w:val="20"/>
                <w:szCs w:val="20"/>
              </w:rPr>
            </w:pPr>
          </w:p>
        </w:tc>
        <w:tc>
          <w:tcPr>
            <w:tcW w:w="5" w:type="pct"/>
            <w:vAlign w:val="center"/>
            <w:hideMark/>
          </w:tcPr>
          <w:p w14:paraId="61169AE2" w14:textId="77777777" w:rsidR="00000000" w:rsidRDefault="000C49AD">
            <w:pPr>
              <w:spacing w:after="100"/>
              <w:rPr>
                <w:rFonts w:eastAsia="Times New Roman"/>
                <w:sz w:val="20"/>
                <w:szCs w:val="20"/>
              </w:rPr>
            </w:pPr>
          </w:p>
        </w:tc>
        <w:tc>
          <w:tcPr>
            <w:tcW w:w="5" w:type="pct"/>
            <w:vAlign w:val="center"/>
            <w:hideMark/>
          </w:tcPr>
          <w:p w14:paraId="3B40B900" w14:textId="77777777" w:rsidR="00000000" w:rsidRDefault="000C49AD">
            <w:pPr>
              <w:spacing w:after="100"/>
              <w:rPr>
                <w:rFonts w:eastAsia="Times New Roman"/>
                <w:sz w:val="20"/>
                <w:szCs w:val="20"/>
              </w:rPr>
            </w:pPr>
          </w:p>
        </w:tc>
        <w:tc>
          <w:tcPr>
            <w:tcW w:w="26" w:type="pct"/>
            <w:vAlign w:val="center"/>
            <w:hideMark/>
          </w:tcPr>
          <w:p w14:paraId="3D061A3B" w14:textId="77777777" w:rsidR="00000000" w:rsidRDefault="000C49AD">
            <w:pPr>
              <w:spacing w:after="100"/>
              <w:rPr>
                <w:rFonts w:eastAsia="Times New Roman"/>
                <w:sz w:val="20"/>
                <w:szCs w:val="20"/>
              </w:rPr>
            </w:pPr>
          </w:p>
        </w:tc>
        <w:tc>
          <w:tcPr>
            <w:tcW w:w="5" w:type="pct"/>
            <w:vAlign w:val="center"/>
            <w:hideMark/>
          </w:tcPr>
          <w:p w14:paraId="2E290C1F" w14:textId="77777777" w:rsidR="00000000" w:rsidRDefault="000C49AD">
            <w:pPr>
              <w:spacing w:after="100"/>
              <w:rPr>
                <w:rFonts w:eastAsia="Times New Roman"/>
                <w:sz w:val="20"/>
                <w:szCs w:val="20"/>
              </w:rPr>
            </w:pPr>
          </w:p>
        </w:tc>
        <w:tc>
          <w:tcPr>
            <w:tcW w:w="50" w:type="pct"/>
            <w:vAlign w:val="center"/>
            <w:hideMark/>
          </w:tcPr>
          <w:p w14:paraId="77C2CE0F" w14:textId="77777777" w:rsidR="00000000" w:rsidRDefault="000C49AD">
            <w:pPr>
              <w:spacing w:after="100"/>
              <w:rPr>
                <w:rFonts w:eastAsia="Times New Roman"/>
                <w:sz w:val="20"/>
                <w:szCs w:val="20"/>
              </w:rPr>
            </w:pPr>
          </w:p>
        </w:tc>
        <w:tc>
          <w:tcPr>
            <w:tcW w:w="537" w:type="pct"/>
            <w:vAlign w:val="center"/>
            <w:hideMark/>
          </w:tcPr>
          <w:p w14:paraId="07681CA0" w14:textId="77777777" w:rsidR="00000000" w:rsidRDefault="000C49AD">
            <w:pPr>
              <w:spacing w:after="100"/>
              <w:rPr>
                <w:rFonts w:eastAsia="Times New Roman"/>
                <w:sz w:val="20"/>
                <w:szCs w:val="20"/>
              </w:rPr>
            </w:pPr>
          </w:p>
        </w:tc>
        <w:tc>
          <w:tcPr>
            <w:tcW w:w="5" w:type="pct"/>
            <w:vAlign w:val="center"/>
            <w:hideMark/>
          </w:tcPr>
          <w:p w14:paraId="401ECD50" w14:textId="77777777" w:rsidR="00000000" w:rsidRDefault="000C49AD">
            <w:pPr>
              <w:spacing w:after="100"/>
              <w:rPr>
                <w:rFonts w:eastAsia="Times New Roman"/>
                <w:sz w:val="20"/>
                <w:szCs w:val="20"/>
              </w:rPr>
            </w:pPr>
          </w:p>
        </w:tc>
        <w:tc>
          <w:tcPr>
            <w:tcW w:w="5" w:type="pct"/>
            <w:vAlign w:val="center"/>
            <w:hideMark/>
          </w:tcPr>
          <w:p w14:paraId="78B74FD3" w14:textId="77777777" w:rsidR="00000000" w:rsidRDefault="000C49AD">
            <w:pPr>
              <w:spacing w:after="100"/>
              <w:rPr>
                <w:rFonts w:eastAsia="Times New Roman"/>
                <w:sz w:val="20"/>
                <w:szCs w:val="20"/>
              </w:rPr>
            </w:pPr>
          </w:p>
        </w:tc>
        <w:tc>
          <w:tcPr>
            <w:tcW w:w="26" w:type="pct"/>
            <w:vAlign w:val="center"/>
            <w:hideMark/>
          </w:tcPr>
          <w:p w14:paraId="2B7E42B9" w14:textId="77777777" w:rsidR="00000000" w:rsidRDefault="000C49AD">
            <w:pPr>
              <w:spacing w:after="100"/>
              <w:rPr>
                <w:rFonts w:eastAsia="Times New Roman"/>
                <w:sz w:val="20"/>
                <w:szCs w:val="20"/>
              </w:rPr>
            </w:pPr>
          </w:p>
        </w:tc>
        <w:tc>
          <w:tcPr>
            <w:tcW w:w="5" w:type="pct"/>
            <w:vAlign w:val="center"/>
            <w:hideMark/>
          </w:tcPr>
          <w:p w14:paraId="25D26A6E" w14:textId="77777777" w:rsidR="00000000" w:rsidRDefault="000C49AD">
            <w:pPr>
              <w:spacing w:after="100"/>
              <w:rPr>
                <w:rFonts w:eastAsia="Times New Roman"/>
                <w:sz w:val="20"/>
                <w:szCs w:val="20"/>
              </w:rPr>
            </w:pPr>
          </w:p>
        </w:tc>
        <w:tc>
          <w:tcPr>
            <w:tcW w:w="50" w:type="pct"/>
            <w:vAlign w:val="center"/>
            <w:hideMark/>
          </w:tcPr>
          <w:p w14:paraId="1449D2C8" w14:textId="77777777" w:rsidR="00000000" w:rsidRDefault="000C49AD">
            <w:pPr>
              <w:spacing w:after="100"/>
              <w:rPr>
                <w:rFonts w:eastAsia="Times New Roman"/>
                <w:sz w:val="20"/>
                <w:szCs w:val="20"/>
              </w:rPr>
            </w:pPr>
          </w:p>
        </w:tc>
        <w:tc>
          <w:tcPr>
            <w:tcW w:w="537" w:type="pct"/>
            <w:vAlign w:val="center"/>
            <w:hideMark/>
          </w:tcPr>
          <w:p w14:paraId="6F280DCF" w14:textId="77777777" w:rsidR="00000000" w:rsidRDefault="000C49AD">
            <w:pPr>
              <w:spacing w:after="100"/>
              <w:rPr>
                <w:rFonts w:eastAsia="Times New Roman"/>
                <w:sz w:val="20"/>
                <w:szCs w:val="20"/>
              </w:rPr>
            </w:pPr>
          </w:p>
        </w:tc>
        <w:tc>
          <w:tcPr>
            <w:tcW w:w="5" w:type="pct"/>
            <w:vAlign w:val="center"/>
            <w:hideMark/>
          </w:tcPr>
          <w:p w14:paraId="6EA69F27" w14:textId="77777777" w:rsidR="00000000" w:rsidRDefault="000C49AD">
            <w:pPr>
              <w:spacing w:after="100"/>
              <w:rPr>
                <w:rFonts w:eastAsia="Times New Roman"/>
                <w:sz w:val="20"/>
                <w:szCs w:val="20"/>
              </w:rPr>
            </w:pPr>
          </w:p>
        </w:tc>
        <w:tc>
          <w:tcPr>
            <w:tcW w:w="5" w:type="pct"/>
            <w:vAlign w:val="center"/>
            <w:hideMark/>
          </w:tcPr>
          <w:p w14:paraId="09349D2C" w14:textId="77777777" w:rsidR="00000000" w:rsidRDefault="000C49AD">
            <w:pPr>
              <w:spacing w:after="100"/>
              <w:rPr>
                <w:rFonts w:eastAsia="Times New Roman"/>
                <w:sz w:val="20"/>
                <w:szCs w:val="20"/>
              </w:rPr>
            </w:pPr>
          </w:p>
        </w:tc>
        <w:tc>
          <w:tcPr>
            <w:tcW w:w="26" w:type="pct"/>
            <w:vAlign w:val="center"/>
            <w:hideMark/>
          </w:tcPr>
          <w:p w14:paraId="427E5A28" w14:textId="77777777" w:rsidR="00000000" w:rsidRDefault="000C49AD">
            <w:pPr>
              <w:spacing w:after="100"/>
              <w:rPr>
                <w:rFonts w:eastAsia="Times New Roman"/>
                <w:sz w:val="20"/>
                <w:szCs w:val="20"/>
              </w:rPr>
            </w:pPr>
          </w:p>
        </w:tc>
        <w:tc>
          <w:tcPr>
            <w:tcW w:w="5" w:type="pct"/>
            <w:vAlign w:val="center"/>
            <w:hideMark/>
          </w:tcPr>
          <w:p w14:paraId="04557AB7" w14:textId="77777777" w:rsidR="00000000" w:rsidRDefault="000C49AD">
            <w:pPr>
              <w:spacing w:after="100"/>
              <w:rPr>
                <w:rFonts w:eastAsia="Times New Roman"/>
                <w:sz w:val="20"/>
                <w:szCs w:val="20"/>
              </w:rPr>
            </w:pPr>
          </w:p>
        </w:tc>
        <w:tc>
          <w:tcPr>
            <w:tcW w:w="50" w:type="pct"/>
            <w:vAlign w:val="center"/>
            <w:hideMark/>
          </w:tcPr>
          <w:p w14:paraId="5E516B36" w14:textId="77777777" w:rsidR="00000000" w:rsidRDefault="000C49AD">
            <w:pPr>
              <w:spacing w:after="100"/>
              <w:rPr>
                <w:rFonts w:eastAsia="Times New Roman"/>
                <w:sz w:val="20"/>
                <w:szCs w:val="20"/>
              </w:rPr>
            </w:pPr>
          </w:p>
        </w:tc>
        <w:tc>
          <w:tcPr>
            <w:tcW w:w="537" w:type="pct"/>
            <w:vAlign w:val="center"/>
            <w:hideMark/>
          </w:tcPr>
          <w:p w14:paraId="748AE150" w14:textId="77777777" w:rsidR="00000000" w:rsidRDefault="000C49AD">
            <w:pPr>
              <w:spacing w:after="100"/>
              <w:rPr>
                <w:rFonts w:eastAsia="Times New Roman"/>
                <w:sz w:val="20"/>
                <w:szCs w:val="20"/>
              </w:rPr>
            </w:pPr>
          </w:p>
        </w:tc>
        <w:tc>
          <w:tcPr>
            <w:tcW w:w="5" w:type="pct"/>
            <w:vAlign w:val="center"/>
            <w:hideMark/>
          </w:tcPr>
          <w:p w14:paraId="0EF2AD15" w14:textId="77777777" w:rsidR="00000000" w:rsidRDefault="000C49AD">
            <w:pPr>
              <w:spacing w:after="100"/>
              <w:rPr>
                <w:rFonts w:eastAsia="Times New Roman"/>
                <w:sz w:val="20"/>
                <w:szCs w:val="20"/>
              </w:rPr>
            </w:pPr>
          </w:p>
        </w:tc>
        <w:tc>
          <w:tcPr>
            <w:tcW w:w="5" w:type="pct"/>
            <w:vAlign w:val="center"/>
            <w:hideMark/>
          </w:tcPr>
          <w:p w14:paraId="0EE6AB37" w14:textId="77777777" w:rsidR="00000000" w:rsidRDefault="000C49AD">
            <w:pPr>
              <w:spacing w:after="100"/>
              <w:rPr>
                <w:rFonts w:eastAsia="Times New Roman"/>
                <w:sz w:val="20"/>
                <w:szCs w:val="20"/>
              </w:rPr>
            </w:pPr>
          </w:p>
        </w:tc>
        <w:tc>
          <w:tcPr>
            <w:tcW w:w="26" w:type="pct"/>
            <w:vAlign w:val="center"/>
            <w:hideMark/>
          </w:tcPr>
          <w:p w14:paraId="42431361" w14:textId="77777777" w:rsidR="00000000" w:rsidRDefault="000C49AD">
            <w:pPr>
              <w:spacing w:after="100"/>
              <w:rPr>
                <w:rFonts w:eastAsia="Times New Roman"/>
                <w:sz w:val="20"/>
                <w:szCs w:val="20"/>
              </w:rPr>
            </w:pPr>
          </w:p>
        </w:tc>
        <w:tc>
          <w:tcPr>
            <w:tcW w:w="5" w:type="pct"/>
            <w:vAlign w:val="center"/>
            <w:hideMark/>
          </w:tcPr>
          <w:p w14:paraId="224B4522" w14:textId="77777777" w:rsidR="00000000" w:rsidRDefault="000C49AD">
            <w:pPr>
              <w:spacing w:after="100"/>
              <w:rPr>
                <w:rFonts w:eastAsia="Times New Roman"/>
                <w:sz w:val="20"/>
                <w:szCs w:val="20"/>
              </w:rPr>
            </w:pPr>
          </w:p>
        </w:tc>
        <w:tc>
          <w:tcPr>
            <w:tcW w:w="50" w:type="pct"/>
            <w:vAlign w:val="center"/>
            <w:hideMark/>
          </w:tcPr>
          <w:p w14:paraId="3CA7FB79" w14:textId="77777777" w:rsidR="00000000" w:rsidRDefault="000C49AD">
            <w:pPr>
              <w:spacing w:after="100"/>
              <w:rPr>
                <w:rFonts w:eastAsia="Times New Roman"/>
                <w:sz w:val="20"/>
                <w:szCs w:val="20"/>
              </w:rPr>
            </w:pPr>
          </w:p>
        </w:tc>
        <w:tc>
          <w:tcPr>
            <w:tcW w:w="537" w:type="pct"/>
            <w:vAlign w:val="center"/>
            <w:hideMark/>
          </w:tcPr>
          <w:p w14:paraId="13672DCC" w14:textId="77777777" w:rsidR="00000000" w:rsidRDefault="000C49AD">
            <w:pPr>
              <w:spacing w:after="100"/>
              <w:rPr>
                <w:rFonts w:eastAsia="Times New Roman"/>
                <w:sz w:val="20"/>
                <w:szCs w:val="20"/>
              </w:rPr>
            </w:pPr>
          </w:p>
        </w:tc>
        <w:tc>
          <w:tcPr>
            <w:tcW w:w="5" w:type="pct"/>
            <w:vAlign w:val="center"/>
            <w:hideMark/>
          </w:tcPr>
          <w:p w14:paraId="7854A09B" w14:textId="77777777" w:rsidR="00000000" w:rsidRDefault="000C49AD">
            <w:pPr>
              <w:spacing w:after="100"/>
              <w:rPr>
                <w:rFonts w:eastAsia="Times New Roman"/>
                <w:sz w:val="20"/>
                <w:szCs w:val="20"/>
              </w:rPr>
            </w:pPr>
          </w:p>
        </w:tc>
      </w:tr>
      <w:tr w:rsidR="00000000" w14:paraId="1C4E45B7" w14:textId="77777777">
        <w:tc>
          <w:tcPr>
            <w:tcW w:w="0" w:type="auto"/>
            <w:gridSpan w:val="3"/>
            <w:vAlign w:val="center"/>
            <w:hideMark/>
          </w:tcPr>
          <w:p w14:paraId="2AB0F9C6" w14:textId="77777777" w:rsidR="00000000" w:rsidRDefault="000C49AD">
            <w:pPr>
              <w:spacing w:after="100"/>
              <w:rPr>
                <w:rFonts w:eastAsia="Times New Roman"/>
                <w:sz w:val="20"/>
                <w:szCs w:val="20"/>
              </w:rPr>
            </w:pPr>
          </w:p>
        </w:tc>
        <w:tc>
          <w:tcPr>
            <w:tcW w:w="0" w:type="auto"/>
            <w:gridSpan w:val="3"/>
            <w:vAlign w:val="center"/>
            <w:hideMark/>
          </w:tcPr>
          <w:p w14:paraId="626AD9E0" w14:textId="77777777" w:rsidR="00000000" w:rsidRDefault="000C49AD">
            <w:pPr>
              <w:spacing w:after="100"/>
              <w:rPr>
                <w:rFonts w:eastAsia="Times New Roman"/>
                <w:sz w:val="20"/>
                <w:szCs w:val="20"/>
              </w:rPr>
            </w:pPr>
          </w:p>
        </w:tc>
        <w:tc>
          <w:tcPr>
            <w:tcW w:w="0" w:type="auto"/>
            <w:gridSpan w:val="3"/>
            <w:vAlign w:val="center"/>
            <w:hideMark/>
          </w:tcPr>
          <w:p w14:paraId="38354203" w14:textId="77777777" w:rsidR="00000000" w:rsidRDefault="000C49AD">
            <w:pPr>
              <w:spacing w:after="100"/>
              <w:rPr>
                <w:rFonts w:eastAsia="Times New Roman"/>
                <w:sz w:val="20"/>
                <w:szCs w:val="20"/>
              </w:rPr>
            </w:pPr>
          </w:p>
        </w:tc>
        <w:tc>
          <w:tcPr>
            <w:tcW w:w="0" w:type="auto"/>
            <w:gridSpan w:val="3"/>
            <w:vAlign w:val="center"/>
            <w:hideMark/>
          </w:tcPr>
          <w:p w14:paraId="6E324C8C" w14:textId="77777777" w:rsidR="00000000" w:rsidRDefault="000C49AD">
            <w:pPr>
              <w:spacing w:after="100"/>
              <w:rPr>
                <w:rFonts w:eastAsia="Times New Roman"/>
                <w:sz w:val="20"/>
                <w:szCs w:val="20"/>
              </w:rPr>
            </w:pPr>
          </w:p>
        </w:tc>
        <w:tc>
          <w:tcPr>
            <w:tcW w:w="0" w:type="auto"/>
            <w:gridSpan w:val="3"/>
            <w:vAlign w:val="center"/>
            <w:hideMark/>
          </w:tcPr>
          <w:p w14:paraId="1AAF8070" w14:textId="77777777" w:rsidR="00000000" w:rsidRDefault="000C49AD">
            <w:pPr>
              <w:spacing w:after="100"/>
              <w:rPr>
                <w:rFonts w:eastAsia="Times New Roman"/>
                <w:sz w:val="20"/>
                <w:szCs w:val="20"/>
              </w:rPr>
            </w:pPr>
          </w:p>
        </w:tc>
        <w:tc>
          <w:tcPr>
            <w:tcW w:w="0" w:type="auto"/>
            <w:gridSpan w:val="3"/>
            <w:vAlign w:val="center"/>
            <w:hideMark/>
          </w:tcPr>
          <w:p w14:paraId="59DEF99D" w14:textId="77777777" w:rsidR="00000000" w:rsidRDefault="000C49AD">
            <w:pPr>
              <w:spacing w:after="100"/>
              <w:rPr>
                <w:rFonts w:eastAsia="Times New Roman"/>
                <w:sz w:val="20"/>
                <w:szCs w:val="20"/>
              </w:rPr>
            </w:pPr>
          </w:p>
        </w:tc>
        <w:tc>
          <w:tcPr>
            <w:tcW w:w="0" w:type="auto"/>
            <w:gridSpan w:val="3"/>
            <w:vAlign w:val="center"/>
            <w:hideMark/>
          </w:tcPr>
          <w:p w14:paraId="5A1AED53" w14:textId="77777777" w:rsidR="00000000" w:rsidRDefault="000C49AD">
            <w:pPr>
              <w:spacing w:after="100"/>
              <w:rPr>
                <w:rFonts w:eastAsia="Times New Roman"/>
                <w:sz w:val="20"/>
                <w:szCs w:val="20"/>
              </w:rPr>
            </w:pPr>
          </w:p>
        </w:tc>
        <w:tc>
          <w:tcPr>
            <w:tcW w:w="0" w:type="auto"/>
            <w:vAlign w:val="center"/>
            <w:hideMark/>
          </w:tcPr>
          <w:p w14:paraId="560F7B91" w14:textId="77777777" w:rsidR="00000000" w:rsidRDefault="000C49AD">
            <w:pPr>
              <w:spacing w:after="100"/>
              <w:rPr>
                <w:rFonts w:eastAsia="Times New Roman"/>
                <w:sz w:val="20"/>
                <w:szCs w:val="20"/>
              </w:rPr>
            </w:pPr>
          </w:p>
        </w:tc>
        <w:tc>
          <w:tcPr>
            <w:tcW w:w="0" w:type="auto"/>
            <w:vAlign w:val="center"/>
            <w:hideMark/>
          </w:tcPr>
          <w:p w14:paraId="2B045187" w14:textId="77777777" w:rsidR="00000000" w:rsidRDefault="000C49AD">
            <w:pPr>
              <w:spacing w:after="100"/>
              <w:rPr>
                <w:rFonts w:eastAsia="Times New Roman"/>
                <w:sz w:val="20"/>
                <w:szCs w:val="20"/>
              </w:rPr>
            </w:pPr>
          </w:p>
        </w:tc>
        <w:tc>
          <w:tcPr>
            <w:tcW w:w="0" w:type="auto"/>
            <w:vAlign w:val="center"/>
            <w:hideMark/>
          </w:tcPr>
          <w:p w14:paraId="5FB87870" w14:textId="77777777" w:rsidR="00000000" w:rsidRDefault="000C49AD">
            <w:pPr>
              <w:spacing w:after="100"/>
              <w:rPr>
                <w:rFonts w:eastAsia="Times New Roman"/>
                <w:sz w:val="20"/>
                <w:szCs w:val="20"/>
              </w:rPr>
            </w:pPr>
          </w:p>
        </w:tc>
        <w:tc>
          <w:tcPr>
            <w:tcW w:w="0" w:type="auto"/>
            <w:vAlign w:val="center"/>
            <w:hideMark/>
          </w:tcPr>
          <w:p w14:paraId="42F15D12" w14:textId="77777777" w:rsidR="00000000" w:rsidRDefault="000C49AD">
            <w:pPr>
              <w:spacing w:after="100"/>
              <w:rPr>
                <w:rFonts w:eastAsia="Times New Roman"/>
                <w:sz w:val="20"/>
                <w:szCs w:val="20"/>
              </w:rPr>
            </w:pPr>
          </w:p>
        </w:tc>
        <w:tc>
          <w:tcPr>
            <w:tcW w:w="0" w:type="auto"/>
            <w:vAlign w:val="center"/>
            <w:hideMark/>
          </w:tcPr>
          <w:p w14:paraId="408C4319" w14:textId="77777777" w:rsidR="00000000" w:rsidRDefault="000C49AD">
            <w:pPr>
              <w:spacing w:after="100"/>
              <w:rPr>
                <w:rFonts w:eastAsia="Times New Roman"/>
                <w:sz w:val="20"/>
                <w:szCs w:val="20"/>
              </w:rPr>
            </w:pPr>
          </w:p>
        </w:tc>
        <w:tc>
          <w:tcPr>
            <w:tcW w:w="0" w:type="auto"/>
            <w:vAlign w:val="center"/>
            <w:hideMark/>
          </w:tcPr>
          <w:p w14:paraId="5FF6DB77" w14:textId="77777777" w:rsidR="00000000" w:rsidRDefault="000C49AD">
            <w:pPr>
              <w:spacing w:after="100"/>
              <w:rPr>
                <w:rFonts w:eastAsia="Times New Roman"/>
                <w:sz w:val="20"/>
                <w:szCs w:val="20"/>
              </w:rPr>
            </w:pPr>
          </w:p>
        </w:tc>
      </w:tr>
      <w:tr w:rsidR="00000000" w14:paraId="503BAE15" w14:textId="77777777">
        <w:tc>
          <w:tcPr>
            <w:tcW w:w="0" w:type="auto"/>
            <w:gridSpan w:val="3"/>
            <w:tcMar>
              <w:top w:w="30" w:type="dxa"/>
              <w:left w:w="20" w:type="dxa"/>
              <w:bottom w:w="30" w:type="dxa"/>
              <w:right w:w="20" w:type="dxa"/>
            </w:tcMar>
            <w:vAlign w:val="bottom"/>
            <w:hideMark/>
          </w:tcPr>
          <w:p w14:paraId="01D53D06"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C92C3DA" w14:textId="77777777" w:rsidR="00000000" w:rsidRDefault="000C49AD">
            <w:pPr>
              <w:spacing w:after="100"/>
              <w:rPr>
                <w:rFonts w:eastAsia="Times New Roman"/>
              </w:rPr>
            </w:pPr>
          </w:p>
        </w:tc>
        <w:tc>
          <w:tcPr>
            <w:tcW w:w="0" w:type="auto"/>
            <w:gridSpan w:val="9"/>
            <w:tcMar>
              <w:top w:w="30" w:type="dxa"/>
              <w:left w:w="20" w:type="dxa"/>
              <w:bottom w:w="30" w:type="dxa"/>
              <w:right w:w="20" w:type="dxa"/>
            </w:tcMar>
            <w:vAlign w:val="bottom"/>
            <w:hideMark/>
          </w:tcPr>
          <w:p w14:paraId="557076A3" w14:textId="77777777" w:rsidR="00000000" w:rsidRDefault="000C49AD">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14:paraId="5684201C" w14:textId="77777777" w:rsidR="00000000" w:rsidRDefault="000C49A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5D0A44C" w14:textId="77777777" w:rsidR="00000000" w:rsidRDefault="000C49AD">
            <w:pPr>
              <w:spacing w:after="100"/>
              <w:jc w:val="center"/>
              <w:rPr>
                <w:rFonts w:eastAsia="Times New Roman"/>
              </w:rPr>
            </w:pPr>
            <w:r>
              <w:rPr>
                <w:rFonts w:eastAsia="Times New Roman"/>
                <w:b/>
                <w:bCs/>
                <w:color w:val="000000"/>
                <w:sz w:val="18"/>
                <w:szCs w:val="18"/>
              </w:rPr>
              <w:t>Change</w:t>
            </w:r>
          </w:p>
        </w:tc>
      </w:tr>
      <w:tr w:rsidR="00000000" w14:paraId="5798411B" w14:textId="77777777">
        <w:tc>
          <w:tcPr>
            <w:tcW w:w="0" w:type="auto"/>
            <w:gridSpan w:val="3"/>
            <w:tcMar>
              <w:top w:w="30" w:type="dxa"/>
              <w:left w:w="20" w:type="dxa"/>
              <w:bottom w:w="30" w:type="dxa"/>
              <w:right w:w="20" w:type="dxa"/>
            </w:tcMar>
            <w:vAlign w:val="bottom"/>
            <w:hideMark/>
          </w:tcPr>
          <w:p w14:paraId="1C92377E" w14:textId="77777777" w:rsidR="00000000" w:rsidRDefault="000C49AD">
            <w:pPr>
              <w:spacing w:after="100"/>
              <w:rPr>
                <w:rFonts w:eastAsia="Times New Roman"/>
              </w:rPr>
            </w:pPr>
            <w:r>
              <w:rPr>
                <w:rFonts w:eastAsia="Times New Roman"/>
                <w:b/>
                <w:bCs/>
                <w:color w:val="000000"/>
                <w:sz w:val="18"/>
                <w:szCs w:val="18"/>
              </w:rPr>
              <w:t xml:space="preserve">Gain from release of certain liabilities </w:t>
            </w:r>
          </w:p>
        </w:tc>
        <w:tc>
          <w:tcPr>
            <w:tcW w:w="0" w:type="auto"/>
            <w:gridSpan w:val="3"/>
            <w:tcMar>
              <w:top w:w="0" w:type="dxa"/>
              <w:left w:w="20" w:type="dxa"/>
              <w:bottom w:w="0" w:type="dxa"/>
              <w:right w:w="20" w:type="dxa"/>
            </w:tcMar>
            <w:vAlign w:val="center"/>
            <w:hideMark/>
          </w:tcPr>
          <w:p w14:paraId="3067AAC6"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0F4B25"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29C27C6C"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2BF4A2"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2254A393"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140523" w14:textId="77777777" w:rsidR="00000000" w:rsidRDefault="000C49A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2F15D52D"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39FE16E" w14:textId="77777777" w:rsidR="00000000" w:rsidRDefault="000C49AD">
            <w:pPr>
              <w:spacing w:after="100"/>
              <w:jc w:val="center"/>
              <w:rPr>
                <w:rFonts w:eastAsia="Times New Roman"/>
              </w:rPr>
            </w:pPr>
            <w:r>
              <w:rPr>
                <w:rFonts w:eastAsia="Times New Roman"/>
                <w:b/>
                <w:bCs/>
                <w:color w:val="000000"/>
                <w:sz w:val="18"/>
                <w:szCs w:val="18"/>
              </w:rPr>
              <w:t>%</w:t>
            </w:r>
          </w:p>
        </w:tc>
      </w:tr>
      <w:tr w:rsidR="00000000" w14:paraId="1E644231"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0706844D"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00E292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4CC8CE"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C05D4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4C8445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F290A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1A32DDA"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22FB55"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510BE5F" w14:textId="77777777" w:rsidR="00000000" w:rsidRDefault="000C49AD">
            <w:pPr>
              <w:spacing w:after="100"/>
              <w:rPr>
                <w:rFonts w:eastAsia="Times New Roman"/>
                <w:sz w:val="20"/>
                <w:szCs w:val="20"/>
              </w:rPr>
            </w:pPr>
          </w:p>
        </w:tc>
      </w:tr>
      <w:tr w:rsidR="00000000" w14:paraId="70AA8D14" w14:textId="77777777">
        <w:tc>
          <w:tcPr>
            <w:tcW w:w="0" w:type="auto"/>
            <w:gridSpan w:val="3"/>
            <w:shd w:val="clear" w:color="auto" w:fill="CCEEFF"/>
            <w:tcMar>
              <w:top w:w="30" w:type="dxa"/>
              <w:left w:w="155" w:type="dxa"/>
              <w:bottom w:w="30" w:type="dxa"/>
              <w:right w:w="20" w:type="dxa"/>
            </w:tcMar>
            <w:vAlign w:val="bottom"/>
            <w:hideMark/>
          </w:tcPr>
          <w:p w14:paraId="074C1910" w14:textId="77777777" w:rsidR="00000000" w:rsidRDefault="000C49AD">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CCEEFF"/>
            <w:tcMar>
              <w:top w:w="0" w:type="dxa"/>
              <w:left w:w="20" w:type="dxa"/>
              <w:bottom w:w="0" w:type="dxa"/>
              <w:right w:w="20" w:type="dxa"/>
            </w:tcMar>
            <w:vAlign w:val="center"/>
            <w:hideMark/>
          </w:tcPr>
          <w:p w14:paraId="0D6A2454"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C004FC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3008384" w14:textId="77777777" w:rsidR="00000000" w:rsidRDefault="000C49AD">
            <w:pPr>
              <w:spacing w:after="100"/>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14:paraId="75C2481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53FB1C"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D544E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1C122B1" w14:textId="77777777" w:rsidR="00000000" w:rsidRDefault="000C49AD">
            <w:pPr>
              <w:spacing w:after="100"/>
              <w:jc w:val="right"/>
              <w:rPr>
                <w:rFonts w:eastAsia="Times New Roman"/>
              </w:rPr>
            </w:pPr>
            <w:r>
              <w:rPr>
                <w:rFonts w:eastAsia="Times New Roman"/>
                <w:color w:val="000000"/>
                <w:sz w:val="18"/>
                <w:szCs w:val="18"/>
              </w:rPr>
              <w:t>3,364 </w:t>
            </w:r>
          </w:p>
        </w:tc>
        <w:tc>
          <w:tcPr>
            <w:tcW w:w="0" w:type="auto"/>
            <w:shd w:val="clear" w:color="auto" w:fill="CCEEFF"/>
            <w:tcMar>
              <w:top w:w="30" w:type="dxa"/>
              <w:left w:w="0" w:type="dxa"/>
              <w:bottom w:w="30" w:type="dxa"/>
              <w:right w:w="20" w:type="dxa"/>
            </w:tcMar>
            <w:vAlign w:val="bottom"/>
            <w:hideMark/>
          </w:tcPr>
          <w:p w14:paraId="295CB2C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44156C"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2F6BDD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EDE4A6E" w14:textId="77777777" w:rsidR="00000000" w:rsidRDefault="000C49AD">
            <w:pPr>
              <w:spacing w:after="100"/>
              <w:jc w:val="right"/>
              <w:rPr>
                <w:rFonts w:eastAsia="Times New Roman"/>
              </w:rPr>
            </w:pPr>
            <w:r>
              <w:rPr>
                <w:rFonts w:eastAsia="Times New Roman"/>
                <w:color w:val="000000"/>
                <w:sz w:val="18"/>
                <w:szCs w:val="18"/>
              </w:rPr>
              <w:t>(3,147)</w:t>
            </w:r>
          </w:p>
        </w:tc>
        <w:tc>
          <w:tcPr>
            <w:tcW w:w="0" w:type="auto"/>
            <w:shd w:val="clear" w:color="auto" w:fill="CCEEFF"/>
            <w:tcMar>
              <w:top w:w="30" w:type="dxa"/>
              <w:left w:w="0" w:type="dxa"/>
              <w:bottom w:w="30" w:type="dxa"/>
              <w:right w:w="20" w:type="dxa"/>
            </w:tcMar>
            <w:vAlign w:val="bottom"/>
            <w:hideMark/>
          </w:tcPr>
          <w:p w14:paraId="60DA4FE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91B9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3C67F" w14:textId="77777777" w:rsidR="00000000" w:rsidRDefault="000C49AD">
            <w:pPr>
              <w:spacing w:after="100"/>
              <w:jc w:val="right"/>
              <w:rPr>
                <w:rFonts w:eastAsia="Times New Roman"/>
              </w:rPr>
            </w:pPr>
            <w:r>
              <w:rPr>
                <w:rFonts w:eastAsia="Times New Roman"/>
                <w:color w:val="000000"/>
                <w:sz w:val="18"/>
                <w:szCs w:val="18"/>
              </w:rPr>
              <w:t>(93.5)</w:t>
            </w:r>
          </w:p>
        </w:tc>
        <w:tc>
          <w:tcPr>
            <w:tcW w:w="0" w:type="auto"/>
            <w:shd w:val="clear" w:color="auto" w:fill="CCEEFF"/>
            <w:tcMar>
              <w:top w:w="30" w:type="dxa"/>
              <w:left w:w="0" w:type="dxa"/>
              <w:bottom w:w="30" w:type="dxa"/>
              <w:right w:w="20" w:type="dxa"/>
            </w:tcMar>
            <w:vAlign w:val="bottom"/>
            <w:hideMark/>
          </w:tcPr>
          <w:p w14:paraId="6442C5C9" w14:textId="77777777" w:rsidR="00000000" w:rsidRDefault="000C49AD">
            <w:pPr>
              <w:spacing w:after="100"/>
              <w:jc w:val="right"/>
              <w:rPr>
                <w:rFonts w:eastAsia="Times New Roman"/>
              </w:rPr>
            </w:pPr>
            <w:r>
              <w:rPr>
                <w:rFonts w:eastAsia="Times New Roman"/>
                <w:color w:val="000000"/>
                <w:sz w:val="18"/>
                <w:szCs w:val="18"/>
              </w:rPr>
              <w:t>%</w:t>
            </w:r>
          </w:p>
        </w:tc>
      </w:tr>
    </w:tbl>
    <w:p w14:paraId="59F32908" w14:textId="77777777" w:rsidR="00000000" w:rsidRDefault="000C49AD">
      <w:pPr>
        <w:jc w:val="both"/>
        <w:rPr>
          <w:rFonts w:eastAsia="Times New Roman"/>
        </w:rPr>
      </w:pPr>
    </w:p>
    <w:p w14:paraId="6079FFFB" w14:textId="77777777" w:rsidR="00000000" w:rsidRDefault="000C49AD">
      <w:pPr>
        <w:jc w:val="both"/>
        <w:rPr>
          <w:rFonts w:eastAsia="Times New Roman"/>
        </w:rPr>
      </w:pPr>
      <w:r>
        <w:rPr>
          <w:rFonts w:eastAsia="Times New Roman"/>
          <w:color w:val="000000"/>
          <w:sz w:val="20"/>
          <w:szCs w:val="20"/>
        </w:rPr>
        <w:t>Subsequent to the finalization of the bankruptcy, we recognized non-cash gains of $217 and $3,364 for the years ended December 31, 2</w:t>
      </w:r>
      <w:r>
        <w:rPr>
          <w:rFonts w:eastAsia="Times New Roman"/>
          <w:color w:val="000000"/>
          <w:sz w:val="20"/>
          <w:szCs w:val="20"/>
        </w:rPr>
        <w:t>021 and 2020, respectively, from the release of certain liabilities that had been retained following the deconsolidation of Avadel Specialty Pharmaceuticals, LLC in February 2019.</w:t>
      </w:r>
    </w:p>
    <w:p w14:paraId="435E257D" w14:textId="77777777" w:rsidR="00000000" w:rsidRDefault="000C49AD">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928"/>
        <w:gridCol w:w="38"/>
        <w:gridCol w:w="36"/>
        <w:gridCol w:w="36"/>
        <w:gridCol w:w="36"/>
        <w:gridCol w:w="110"/>
        <w:gridCol w:w="745"/>
        <w:gridCol w:w="170"/>
        <w:gridCol w:w="36"/>
        <w:gridCol w:w="36"/>
        <w:gridCol w:w="36"/>
        <w:gridCol w:w="110"/>
        <w:gridCol w:w="747"/>
        <w:gridCol w:w="170"/>
        <w:gridCol w:w="36"/>
        <w:gridCol w:w="36"/>
        <w:gridCol w:w="36"/>
        <w:gridCol w:w="110"/>
        <w:gridCol w:w="747"/>
        <w:gridCol w:w="36"/>
        <w:gridCol w:w="36"/>
        <w:gridCol w:w="36"/>
        <w:gridCol w:w="36"/>
        <w:gridCol w:w="39"/>
        <w:gridCol w:w="715"/>
        <w:gridCol w:w="170"/>
      </w:tblGrid>
      <w:tr w:rsidR="00000000" w14:paraId="2292E7F6" w14:textId="77777777">
        <w:tc>
          <w:tcPr>
            <w:tcW w:w="50" w:type="pct"/>
            <w:vAlign w:val="center"/>
            <w:hideMark/>
          </w:tcPr>
          <w:p w14:paraId="0DD0F611" w14:textId="77777777" w:rsidR="00000000" w:rsidRDefault="000C49AD">
            <w:pPr>
              <w:jc w:val="both"/>
              <w:rPr>
                <w:rFonts w:eastAsia="Times New Roman"/>
              </w:rPr>
            </w:pPr>
          </w:p>
        </w:tc>
        <w:tc>
          <w:tcPr>
            <w:tcW w:w="2430" w:type="pct"/>
            <w:vAlign w:val="center"/>
            <w:hideMark/>
          </w:tcPr>
          <w:p w14:paraId="247CB2DC" w14:textId="77777777" w:rsidR="00000000" w:rsidRDefault="000C49AD">
            <w:pPr>
              <w:spacing w:after="100"/>
              <w:rPr>
                <w:rFonts w:eastAsia="Times New Roman"/>
                <w:sz w:val="20"/>
                <w:szCs w:val="20"/>
              </w:rPr>
            </w:pPr>
          </w:p>
        </w:tc>
        <w:tc>
          <w:tcPr>
            <w:tcW w:w="5" w:type="pct"/>
            <w:vAlign w:val="center"/>
            <w:hideMark/>
          </w:tcPr>
          <w:p w14:paraId="5EE65CBD" w14:textId="77777777" w:rsidR="00000000" w:rsidRDefault="000C49AD">
            <w:pPr>
              <w:spacing w:after="100"/>
              <w:rPr>
                <w:rFonts w:eastAsia="Times New Roman"/>
                <w:sz w:val="20"/>
                <w:szCs w:val="20"/>
              </w:rPr>
            </w:pPr>
          </w:p>
        </w:tc>
        <w:tc>
          <w:tcPr>
            <w:tcW w:w="5" w:type="pct"/>
            <w:vAlign w:val="center"/>
            <w:hideMark/>
          </w:tcPr>
          <w:p w14:paraId="4680AF0D" w14:textId="77777777" w:rsidR="00000000" w:rsidRDefault="000C49AD">
            <w:pPr>
              <w:spacing w:after="100"/>
              <w:rPr>
                <w:rFonts w:eastAsia="Times New Roman"/>
                <w:sz w:val="20"/>
                <w:szCs w:val="20"/>
              </w:rPr>
            </w:pPr>
          </w:p>
        </w:tc>
        <w:tc>
          <w:tcPr>
            <w:tcW w:w="26" w:type="pct"/>
            <w:vAlign w:val="center"/>
            <w:hideMark/>
          </w:tcPr>
          <w:p w14:paraId="51C8713E" w14:textId="77777777" w:rsidR="00000000" w:rsidRDefault="000C49AD">
            <w:pPr>
              <w:spacing w:after="100"/>
              <w:rPr>
                <w:rFonts w:eastAsia="Times New Roman"/>
                <w:sz w:val="20"/>
                <w:szCs w:val="20"/>
              </w:rPr>
            </w:pPr>
          </w:p>
        </w:tc>
        <w:tc>
          <w:tcPr>
            <w:tcW w:w="5" w:type="pct"/>
            <w:vAlign w:val="center"/>
            <w:hideMark/>
          </w:tcPr>
          <w:p w14:paraId="11AD4A77" w14:textId="77777777" w:rsidR="00000000" w:rsidRDefault="000C49AD">
            <w:pPr>
              <w:spacing w:after="100"/>
              <w:rPr>
                <w:rFonts w:eastAsia="Times New Roman"/>
                <w:sz w:val="20"/>
                <w:szCs w:val="20"/>
              </w:rPr>
            </w:pPr>
          </w:p>
        </w:tc>
        <w:tc>
          <w:tcPr>
            <w:tcW w:w="50" w:type="pct"/>
            <w:vAlign w:val="center"/>
            <w:hideMark/>
          </w:tcPr>
          <w:p w14:paraId="400E8322" w14:textId="77777777" w:rsidR="00000000" w:rsidRDefault="000C49AD">
            <w:pPr>
              <w:spacing w:after="100"/>
              <w:rPr>
                <w:rFonts w:eastAsia="Times New Roman"/>
                <w:sz w:val="20"/>
                <w:szCs w:val="20"/>
              </w:rPr>
            </w:pPr>
          </w:p>
        </w:tc>
        <w:tc>
          <w:tcPr>
            <w:tcW w:w="537" w:type="pct"/>
            <w:vAlign w:val="center"/>
            <w:hideMark/>
          </w:tcPr>
          <w:p w14:paraId="07C98945" w14:textId="77777777" w:rsidR="00000000" w:rsidRDefault="000C49AD">
            <w:pPr>
              <w:spacing w:after="100"/>
              <w:rPr>
                <w:rFonts w:eastAsia="Times New Roman"/>
                <w:sz w:val="20"/>
                <w:szCs w:val="20"/>
              </w:rPr>
            </w:pPr>
          </w:p>
        </w:tc>
        <w:tc>
          <w:tcPr>
            <w:tcW w:w="5" w:type="pct"/>
            <w:vAlign w:val="center"/>
            <w:hideMark/>
          </w:tcPr>
          <w:p w14:paraId="59A3CE58" w14:textId="77777777" w:rsidR="00000000" w:rsidRDefault="000C49AD">
            <w:pPr>
              <w:spacing w:after="100"/>
              <w:rPr>
                <w:rFonts w:eastAsia="Times New Roman"/>
                <w:sz w:val="20"/>
                <w:szCs w:val="20"/>
              </w:rPr>
            </w:pPr>
          </w:p>
        </w:tc>
        <w:tc>
          <w:tcPr>
            <w:tcW w:w="5" w:type="pct"/>
            <w:vAlign w:val="center"/>
            <w:hideMark/>
          </w:tcPr>
          <w:p w14:paraId="7C2FDB3C" w14:textId="77777777" w:rsidR="00000000" w:rsidRDefault="000C49AD">
            <w:pPr>
              <w:spacing w:after="100"/>
              <w:rPr>
                <w:rFonts w:eastAsia="Times New Roman"/>
                <w:sz w:val="20"/>
                <w:szCs w:val="20"/>
              </w:rPr>
            </w:pPr>
          </w:p>
        </w:tc>
        <w:tc>
          <w:tcPr>
            <w:tcW w:w="26" w:type="pct"/>
            <w:vAlign w:val="center"/>
            <w:hideMark/>
          </w:tcPr>
          <w:p w14:paraId="52FA81C2" w14:textId="77777777" w:rsidR="00000000" w:rsidRDefault="000C49AD">
            <w:pPr>
              <w:spacing w:after="100"/>
              <w:rPr>
                <w:rFonts w:eastAsia="Times New Roman"/>
                <w:sz w:val="20"/>
                <w:szCs w:val="20"/>
              </w:rPr>
            </w:pPr>
          </w:p>
        </w:tc>
        <w:tc>
          <w:tcPr>
            <w:tcW w:w="5" w:type="pct"/>
            <w:vAlign w:val="center"/>
            <w:hideMark/>
          </w:tcPr>
          <w:p w14:paraId="6F50DE25" w14:textId="77777777" w:rsidR="00000000" w:rsidRDefault="000C49AD">
            <w:pPr>
              <w:spacing w:after="100"/>
              <w:rPr>
                <w:rFonts w:eastAsia="Times New Roman"/>
                <w:sz w:val="20"/>
                <w:szCs w:val="20"/>
              </w:rPr>
            </w:pPr>
          </w:p>
        </w:tc>
        <w:tc>
          <w:tcPr>
            <w:tcW w:w="50" w:type="pct"/>
            <w:vAlign w:val="center"/>
            <w:hideMark/>
          </w:tcPr>
          <w:p w14:paraId="0C671626" w14:textId="77777777" w:rsidR="00000000" w:rsidRDefault="000C49AD">
            <w:pPr>
              <w:spacing w:after="100"/>
              <w:rPr>
                <w:rFonts w:eastAsia="Times New Roman"/>
                <w:sz w:val="20"/>
                <w:szCs w:val="20"/>
              </w:rPr>
            </w:pPr>
          </w:p>
        </w:tc>
        <w:tc>
          <w:tcPr>
            <w:tcW w:w="537" w:type="pct"/>
            <w:vAlign w:val="center"/>
            <w:hideMark/>
          </w:tcPr>
          <w:p w14:paraId="69C96813" w14:textId="77777777" w:rsidR="00000000" w:rsidRDefault="000C49AD">
            <w:pPr>
              <w:spacing w:after="100"/>
              <w:rPr>
                <w:rFonts w:eastAsia="Times New Roman"/>
                <w:sz w:val="20"/>
                <w:szCs w:val="20"/>
              </w:rPr>
            </w:pPr>
          </w:p>
        </w:tc>
        <w:tc>
          <w:tcPr>
            <w:tcW w:w="5" w:type="pct"/>
            <w:vAlign w:val="center"/>
            <w:hideMark/>
          </w:tcPr>
          <w:p w14:paraId="6EAA8A8C" w14:textId="77777777" w:rsidR="00000000" w:rsidRDefault="000C49AD">
            <w:pPr>
              <w:spacing w:after="100"/>
              <w:rPr>
                <w:rFonts w:eastAsia="Times New Roman"/>
                <w:sz w:val="20"/>
                <w:szCs w:val="20"/>
              </w:rPr>
            </w:pPr>
          </w:p>
        </w:tc>
        <w:tc>
          <w:tcPr>
            <w:tcW w:w="5" w:type="pct"/>
            <w:vAlign w:val="center"/>
            <w:hideMark/>
          </w:tcPr>
          <w:p w14:paraId="1F922169" w14:textId="77777777" w:rsidR="00000000" w:rsidRDefault="000C49AD">
            <w:pPr>
              <w:spacing w:after="100"/>
              <w:rPr>
                <w:rFonts w:eastAsia="Times New Roman"/>
                <w:sz w:val="20"/>
                <w:szCs w:val="20"/>
              </w:rPr>
            </w:pPr>
          </w:p>
        </w:tc>
        <w:tc>
          <w:tcPr>
            <w:tcW w:w="26" w:type="pct"/>
            <w:vAlign w:val="center"/>
            <w:hideMark/>
          </w:tcPr>
          <w:p w14:paraId="4418790F" w14:textId="77777777" w:rsidR="00000000" w:rsidRDefault="000C49AD">
            <w:pPr>
              <w:spacing w:after="100"/>
              <w:rPr>
                <w:rFonts w:eastAsia="Times New Roman"/>
                <w:sz w:val="20"/>
                <w:szCs w:val="20"/>
              </w:rPr>
            </w:pPr>
          </w:p>
        </w:tc>
        <w:tc>
          <w:tcPr>
            <w:tcW w:w="5" w:type="pct"/>
            <w:vAlign w:val="center"/>
            <w:hideMark/>
          </w:tcPr>
          <w:p w14:paraId="79E90BF6" w14:textId="77777777" w:rsidR="00000000" w:rsidRDefault="000C49AD">
            <w:pPr>
              <w:spacing w:after="100"/>
              <w:rPr>
                <w:rFonts w:eastAsia="Times New Roman"/>
                <w:sz w:val="20"/>
                <w:szCs w:val="20"/>
              </w:rPr>
            </w:pPr>
          </w:p>
        </w:tc>
        <w:tc>
          <w:tcPr>
            <w:tcW w:w="50" w:type="pct"/>
            <w:vAlign w:val="center"/>
            <w:hideMark/>
          </w:tcPr>
          <w:p w14:paraId="7C7CE28F" w14:textId="77777777" w:rsidR="00000000" w:rsidRDefault="000C49AD">
            <w:pPr>
              <w:spacing w:after="100"/>
              <w:rPr>
                <w:rFonts w:eastAsia="Times New Roman"/>
                <w:sz w:val="20"/>
                <w:szCs w:val="20"/>
              </w:rPr>
            </w:pPr>
          </w:p>
        </w:tc>
        <w:tc>
          <w:tcPr>
            <w:tcW w:w="537" w:type="pct"/>
            <w:vAlign w:val="center"/>
            <w:hideMark/>
          </w:tcPr>
          <w:p w14:paraId="5E0C9470" w14:textId="77777777" w:rsidR="00000000" w:rsidRDefault="000C49AD">
            <w:pPr>
              <w:spacing w:after="100"/>
              <w:rPr>
                <w:rFonts w:eastAsia="Times New Roman"/>
                <w:sz w:val="20"/>
                <w:szCs w:val="20"/>
              </w:rPr>
            </w:pPr>
          </w:p>
        </w:tc>
        <w:tc>
          <w:tcPr>
            <w:tcW w:w="5" w:type="pct"/>
            <w:vAlign w:val="center"/>
            <w:hideMark/>
          </w:tcPr>
          <w:p w14:paraId="23A77CB5" w14:textId="77777777" w:rsidR="00000000" w:rsidRDefault="000C49AD">
            <w:pPr>
              <w:spacing w:after="100"/>
              <w:rPr>
                <w:rFonts w:eastAsia="Times New Roman"/>
                <w:sz w:val="20"/>
                <w:szCs w:val="20"/>
              </w:rPr>
            </w:pPr>
          </w:p>
        </w:tc>
        <w:tc>
          <w:tcPr>
            <w:tcW w:w="5" w:type="pct"/>
            <w:vAlign w:val="center"/>
            <w:hideMark/>
          </w:tcPr>
          <w:p w14:paraId="6B67F46F" w14:textId="77777777" w:rsidR="00000000" w:rsidRDefault="000C49AD">
            <w:pPr>
              <w:spacing w:after="100"/>
              <w:rPr>
                <w:rFonts w:eastAsia="Times New Roman"/>
                <w:sz w:val="20"/>
                <w:szCs w:val="20"/>
              </w:rPr>
            </w:pPr>
          </w:p>
        </w:tc>
        <w:tc>
          <w:tcPr>
            <w:tcW w:w="26" w:type="pct"/>
            <w:vAlign w:val="center"/>
            <w:hideMark/>
          </w:tcPr>
          <w:p w14:paraId="0E192782" w14:textId="77777777" w:rsidR="00000000" w:rsidRDefault="000C49AD">
            <w:pPr>
              <w:spacing w:after="100"/>
              <w:rPr>
                <w:rFonts w:eastAsia="Times New Roman"/>
                <w:sz w:val="20"/>
                <w:szCs w:val="20"/>
              </w:rPr>
            </w:pPr>
          </w:p>
        </w:tc>
        <w:tc>
          <w:tcPr>
            <w:tcW w:w="5" w:type="pct"/>
            <w:vAlign w:val="center"/>
            <w:hideMark/>
          </w:tcPr>
          <w:p w14:paraId="760D7054" w14:textId="77777777" w:rsidR="00000000" w:rsidRDefault="000C49AD">
            <w:pPr>
              <w:spacing w:after="100"/>
              <w:rPr>
                <w:rFonts w:eastAsia="Times New Roman"/>
                <w:sz w:val="20"/>
                <w:szCs w:val="20"/>
              </w:rPr>
            </w:pPr>
          </w:p>
        </w:tc>
        <w:tc>
          <w:tcPr>
            <w:tcW w:w="50" w:type="pct"/>
            <w:vAlign w:val="center"/>
            <w:hideMark/>
          </w:tcPr>
          <w:p w14:paraId="7C9B3901" w14:textId="77777777" w:rsidR="00000000" w:rsidRDefault="000C49AD">
            <w:pPr>
              <w:spacing w:after="100"/>
              <w:rPr>
                <w:rFonts w:eastAsia="Times New Roman"/>
                <w:sz w:val="20"/>
                <w:szCs w:val="20"/>
              </w:rPr>
            </w:pPr>
          </w:p>
        </w:tc>
        <w:tc>
          <w:tcPr>
            <w:tcW w:w="537" w:type="pct"/>
            <w:vAlign w:val="center"/>
            <w:hideMark/>
          </w:tcPr>
          <w:p w14:paraId="69E6CA2E" w14:textId="77777777" w:rsidR="00000000" w:rsidRDefault="000C49AD">
            <w:pPr>
              <w:spacing w:after="100"/>
              <w:rPr>
                <w:rFonts w:eastAsia="Times New Roman"/>
                <w:sz w:val="20"/>
                <w:szCs w:val="20"/>
              </w:rPr>
            </w:pPr>
          </w:p>
        </w:tc>
        <w:tc>
          <w:tcPr>
            <w:tcW w:w="5" w:type="pct"/>
            <w:vAlign w:val="center"/>
            <w:hideMark/>
          </w:tcPr>
          <w:p w14:paraId="55E7396D" w14:textId="77777777" w:rsidR="00000000" w:rsidRDefault="000C49AD">
            <w:pPr>
              <w:spacing w:after="100"/>
              <w:rPr>
                <w:rFonts w:eastAsia="Times New Roman"/>
                <w:sz w:val="20"/>
                <w:szCs w:val="20"/>
              </w:rPr>
            </w:pPr>
          </w:p>
        </w:tc>
      </w:tr>
      <w:tr w:rsidR="00000000" w14:paraId="1DBE6AC0" w14:textId="77777777">
        <w:tc>
          <w:tcPr>
            <w:tcW w:w="0" w:type="auto"/>
            <w:gridSpan w:val="3"/>
            <w:vAlign w:val="center"/>
            <w:hideMark/>
          </w:tcPr>
          <w:p w14:paraId="78D98847" w14:textId="77777777" w:rsidR="00000000" w:rsidRDefault="000C49AD">
            <w:pPr>
              <w:spacing w:after="100"/>
              <w:rPr>
                <w:rFonts w:eastAsia="Times New Roman"/>
                <w:sz w:val="20"/>
                <w:szCs w:val="20"/>
              </w:rPr>
            </w:pPr>
          </w:p>
        </w:tc>
        <w:tc>
          <w:tcPr>
            <w:tcW w:w="0" w:type="auto"/>
            <w:gridSpan w:val="3"/>
            <w:vAlign w:val="center"/>
            <w:hideMark/>
          </w:tcPr>
          <w:p w14:paraId="4C4E09AC" w14:textId="77777777" w:rsidR="00000000" w:rsidRDefault="000C49AD">
            <w:pPr>
              <w:spacing w:after="100"/>
              <w:rPr>
                <w:rFonts w:eastAsia="Times New Roman"/>
                <w:sz w:val="20"/>
                <w:szCs w:val="20"/>
              </w:rPr>
            </w:pPr>
          </w:p>
        </w:tc>
        <w:tc>
          <w:tcPr>
            <w:tcW w:w="0" w:type="auto"/>
            <w:gridSpan w:val="3"/>
            <w:vAlign w:val="center"/>
            <w:hideMark/>
          </w:tcPr>
          <w:p w14:paraId="68D5EB51" w14:textId="77777777" w:rsidR="00000000" w:rsidRDefault="000C49AD">
            <w:pPr>
              <w:spacing w:after="100"/>
              <w:rPr>
                <w:rFonts w:eastAsia="Times New Roman"/>
                <w:sz w:val="20"/>
                <w:szCs w:val="20"/>
              </w:rPr>
            </w:pPr>
          </w:p>
        </w:tc>
        <w:tc>
          <w:tcPr>
            <w:tcW w:w="0" w:type="auto"/>
            <w:gridSpan w:val="3"/>
            <w:vAlign w:val="center"/>
            <w:hideMark/>
          </w:tcPr>
          <w:p w14:paraId="71B1687A" w14:textId="77777777" w:rsidR="00000000" w:rsidRDefault="000C49AD">
            <w:pPr>
              <w:spacing w:after="100"/>
              <w:rPr>
                <w:rFonts w:eastAsia="Times New Roman"/>
                <w:sz w:val="20"/>
                <w:szCs w:val="20"/>
              </w:rPr>
            </w:pPr>
          </w:p>
        </w:tc>
        <w:tc>
          <w:tcPr>
            <w:tcW w:w="0" w:type="auto"/>
            <w:gridSpan w:val="3"/>
            <w:vAlign w:val="center"/>
            <w:hideMark/>
          </w:tcPr>
          <w:p w14:paraId="3E01F94C" w14:textId="77777777" w:rsidR="00000000" w:rsidRDefault="000C49AD">
            <w:pPr>
              <w:spacing w:after="100"/>
              <w:rPr>
                <w:rFonts w:eastAsia="Times New Roman"/>
                <w:sz w:val="20"/>
                <w:szCs w:val="20"/>
              </w:rPr>
            </w:pPr>
          </w:p>
        </w:tc>
        <w:tc>
          <w:tcPr>
            <w:tcW w:w="0" w:type="auto"/>
            <w:gridSpan w:val="3"/>
            <w:vAlign w:val="center"/>
            <w:hideMark/>
          </w:tcPr>
          <w:p w14:paraId="6CC59E84" w14:textId="77777777" w:rsidR="00000000" w:rsidRDefault="000C49AD">
            <w:pPr>
              <w:spacing w:after="100"/>
              <w:rPr>
                <w:rFonts w:eastAsia="Times New Roman"/>
                <w:sz w:val="20"/>
                <w:szCs w:val="20"/>
              </w:rPr>
            </w:pPr>
          </w:p>
        </w:tc>
        <w:tc>
          <w:tcPr>
            <w:tcW w:w="0" w:type="auto"/>
            <w:gridSpan w:val="3"/>
            <w:vAlign w:val="center"/>
            <w:hideMark/>
          </w:tcPr>
          <w:p w14:paraId="745F19D9" w14:textId="77777777" w:rsidR="00000000" w:rsidRDefault="000C49AD">
            <w:pPr>
              <w:spacing w:after="100"/>
              <w:rPr>
                <w:rFonts w:eastAsia="Times New Roman"/>
                <w:sz w:val="20"/>
                <w:szCs w:val="20"/>
              </w:rPr>
            </w:pPr>
          </w:p>
        </w:tc>
        <w:tc>
          <w:tcPr>
            <w:tcW w:w="0" w:type="auto"/>
            <w:vAlign w:val="center"/>
            <w:hideMark/>
          </w:tcPr>
          <w:p w14:paraId="7F6F893F" w14:textId="77777777" w:rsidR="00000000" w:rsidRDefault="000C49AD">
            <w:pPr>
              <w:spacing w:after="100"/>
              <w:rPr>
                <w:rFonts w:eastAsia="Times New Roman"/>
                <w:sz w:val="20"/>
                <w:szCs w:val="20"/>
              </w:rPr>
            </w:pPr>
          </w:p>
        </w:tc>
        <w:tc>
          <w:tcPr>
            <w:tcW w:w="0" w:type="auto"/>
            <w:vAlign w:val="center"/>
            <w:hideMark/>
          </w:tcPr>
          <w:p w14:paraId="74F139FB" w14:textId="77777777" w:rsidR="00000000" w:rsidRDefault="000C49AD">
            <w:pPr>
              <w:spacing w:after="100"/>
              <w:rPr>
                <w:rFonts w:eastAsia="Times New Roman"/>
                <w:sz w:val="20"/>
                <w:szCs w:val="20"/>
              </w:rPr>
            </w:pPr>
          </w:p>
        </w:tc>
        <w:tc>
          <w:tcPr>
            <w:tcW w:w="0" w:type="auto"/>
            <w:vAlign w:val="center"/>
            <w:hideMark/>
          </w:tcPr>
          <w:p w14:paraId="654A5B60" w14:textId="77777777" w:rsidR="00000000" w:rsidRDefault="000C49AD">
            <w:pPr>
              <w:spacing w:after="100"/>
              <w:rPr>
                <w:rFonts w:eastAsia="Times New Roman"/>
                <w:sz w:val="20"/>
                <w:szCs w:val="20"/>
              </w:rPr>
            </w:pPr>
          </w:p>
        </w:tc>
        <w:tc>
          <w:tcPr>
            <w:tcW w:w="0" w:type="auto"/>
            <w:vAlign w:val="center"/>
            <w:hideMark/>
          </w:tcPr>
          <w:p w14:paraId="70A06231" w14:textId="77777777" w:rsidR="00000000" w:rsidRDefault="000C49AD">
            <w:pPr>
              <w:spacing w:after="100"/>
              <w:rPr>
                <w:rFonts w:eastAsia="Times New Roman"/>
                <w:sz w:val="20"/>
                <w:szCs w:val="20"/>
              </w:rPr>
            </w:pPr>
          </w:p>
        </w:tc>
        <w:tc>
          <w:tcPr>
            <w:tcW w:w="0" w:type="auto"/>
            <w:vAlign w:val="center"/>
            <w:hideMark/>
          </w:tcPr>
          <w:p w14:paraId="53E3D65B" w14:textId="77777777" w:rsidR="00000000" w:rsidRDefault="000C49AD">
            <w:pPr>
              <w:spacing w:after="100"/>
              <w:rPr>
                <w:rFonts w:eastAsia="Times New Roman"/>
                <w:sz w:val="20"/>
                <w:szCs w:val="20"/>
              </w:rPr>
            </w:pPr>
          </w:p>
        </w:tc>
        <w:tc>
          <w:tcPr>
            <w:tcW w:w="0" w:type="auto"/>
            <w:vAlign w:val="center"/>
            <w:hideMark/>
          </w:tcPr>
          <w:p w14:paraId="66A331E7" w14:textId="77777777" w:rsidR="00000000" w:rsidRDefault="000C49AD">
            <w:pPr>
              <w:spacing w:after="100"/>
              <w:rPr>
                <w:rFonts w:eastAsia="Times New Roman"/>
                <w:sz w:val="20"/>
                <w:szCs w:val="20"/>
              </w:rPr>
            </w:pPr>
          </w:p>
        </w:tc>
      </w:tr>
      <w:tr w:rsidR="00000000" w14:paraId="3E27ED80" w14:textId="77777777">
        <w:tc>
          <w:tcPr>
            <w:tcW w:w="0" w:type="auto"/>
            <w:gridSpan w:val="3"/>
            <w:tcMar>
              <w:top w:w="30" w:type="dxa"/>
              <w:left w:w="20" w:type="dxa"/>
              <w:bottom w:w="30" w:type="dxa"/>
              <w:right w:w="20" w:type="dxa"/>
            </w:tcMar>
            <w:vAlign w:val="bottom"/>
            <w:hideMark/>
          </w:tcPr>
          <w:p w14:paraId="2D11F695"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52D79C3" w14:textId="77777777" w:rsidR="00000000" w:rsidRDefault="000C49AD">
            <w:pPr>
              <w:spacing w:after="100"/>
              <w:rPr>
                <w:rFonts w:eastAsia="Times New Roman"/>
              </w:rPr>
            </w:pPr>
          </w:p>
        </w:tc>
        <w:tc>
          <w:tcPr>
            <w:tcW w:w="0" w:type="auto"/>
            <w:gridSpan w:val="9"/>
            <w:tcMar>
              <w:top w:w="30" w:type="dxa"/>
              <w:left w:w="20" w:type="dxa"/>
              <w:bottom w:w="30" w:type="dxa"/>
              <w:right w:w="20" w:type="dxa"/>
            </w:tcMar>
            <w:vAlign w:val="bottom"/>
            <w:hideMark/>
          </w:tcPr>
          <w:p w14:paraId="5CA4FA31" w14:textId="77777777" w:rsidR="00000000" w:rsidRDefault="000C49AD">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14:paraId="401F0729" w14:textId="77777777" w:rsidR="00000000" w:rsidRDefault="000C49A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162962D" w14:textId="77777777" w:rsidR="00000000" w:rsidRDefault="000C49AD">
            <w:pPr>
              <w:spacing w:after="100"/>
              <w:jc w:val="center"/>
              <w:rPr>
                <w:rFonts w:eastAsia="Times New Roman"/>
              </w:rPr>
            </w:pPr>
            <w:r>
              <w:rPr>
                <w:rFonts w:eastAsia="Times New Roman"/>
                <w:b/>
                <w:bCs/>
                <w:color w:val="000000"/>
                <w:sz w:val="18"/>
                <w:szCs w:val="18"/>
              </w:rPr>
              <w:t>Change</w:t>
            </w:r>
          </w:p>
        </w:tc>
      </w:tr>
      <w:tr w:rsidR="00000000" w14:paraId="2ACC550A" w14:textId="77777777">
        <w:tc>
          <w:tcPr>
            <w:tcW w:w="0" w:type="auto"/>
            <w:gridSpan w:val="3"/>
            <w:tcMar>
              <w:top w:w="30" w:type="dxa"/>
              <w:left w:w="20" w:type="dxa"/>
              <w:bottom w:w="30" w:type="dxa"/>
              <w:right w:w="20" w:type="dxa"/>
            </w:tcMar>
            <w:vAlign w:val="bottom"/>
            <w:hideMark/>
          </w:tcPr>
          <w:p w14:paraId="1CCF2756" w14:textId="77777777" w:rsidR="00000000" w:rsidRDefault="000C49AD">
            <w:pPr>
              <w:spacing w:after="100"/>
              <w:rPr>
                <w:rFonts w:eastAsia="Times New Roman"/>
              </w:rPr>
            </w:pPr>
            <w:r>
              <w:rPr>
                <w:rFonts w:eastAsia="Times New Roman"/>
                <w:b/>
                <w:bCs/>
                <w:color w:val="000000"/>
                <w:sz w:val="18"/>
                <w:szCs w:val="18"/>
              </w:rPr>
              <w:t>Income Taxes</w:t>
            </w:r>
          </w:p>
        </w:tc>
        <w:tc>
          <w:tcPr>
            <w:tcW w:w="0" w:type="auto"/>
            <w:gridSpan w:val="3"/>
            <w:tcMar>
              <w:top w:w="0" w:type="dxa"/>
              <w:left w:w="20" w:type="dxa"/>
              <w:bottom w:w="0" w:type="dxa"/>
              <w:right w:w="20" w:type="dxa"/>
            </w:tcMar>
            <w:vAlign w:val="center"/>
            <w:hideMark/>
          </w:tcPr>
          <w:p w14:paraId="5224D965"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B4D8A5"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36E833C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517C446"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7BD15684"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8F102C9" w14:textId="77777777" w:rsidR="00000000" w:rsidRDefault="000C49A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4104A42C"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1B0CF0" w14:textId="77777777" w:rsidR="00000000" w:rsidRDefault="000C49AD">
            <w:pPr>
              <w:spacing w:after="100"/>
              <w:jc w:val="center"/>
              <w:rPr>
                <w:rFonts w:eastAsia="Times New Roman"/>
              </w:rPr>
            </w:pPr>
            <w:r>
              <w:rPr>
                <w:rFonts w:eastAsia="Times New Roman"/>
                <w:b/>
                <w:bCs/>
                <w:color w:val="000000"/>
                <w:sz w:val="18"/>
                <w:szCs w:val="18"/>
              </w:rPr>
              <w:t>%</w:t>
            </w:r>
          </w:p>
        </w:tc>
      </w:tr>
      <w:tr w:rsidR="00000000" w14:paraId="77A83585"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7BE73227"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F7BF3FB"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14BE118"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070167"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CDA24A"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D7B5F7"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6CB0B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C3B96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ACF10D" w14:textId="77777777" w:rsidR="00000000" w:rsidRDefault="000C49AD">
            <w:pPr>
              <w:spacing w:after="100"/>
              <w:rPr>
                <w:rFonts w:eastAsia="Times New Roman"/>
                <w:sz w:val="20"/>
                <w:szCs w:val="20"/>
              </w:rPr>
            </w:pPr>
          </w:p>
        </w:tc>
      </w:tr>
      <w:tr w:rsidR="00000000" w14:paraId="2C9772E1" w14:textId="77777777">
        <w:tc>
          <w:tcPr>
            <w:tcW w:w="0" w:type="auto"/>
            <w:gridSpan w:val="3"/>
            <w:shd w:val="clear" w:color="auto" w:fill="CCEEFF"/>
            <w:tcMar>
              <w:top w:w="30" w:type="dxa"/>
              <w:left w:w="155" w:type="dxa"/>
              <w:bottom w:w="30" w:type="dxa"/>
              <w:right w:w="20" w:type="dxa"/>
            </w:tcMar>
            <w:vAlign w:val="bottom"/>
            <w:hideMark/>
          </w:tcPr>
          <w:p w14:paraId="0B1A1932" w14:textId="77777777" w:rsidR="00000000" w:rsidRDefault="000C49AD">
            <w:pPr>
              <w:spacing w:after="100"/>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14:paraId="0345399B"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1BFA9C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0E01EAC" w14:textId="77777777" w:rsidR="00000000" w:rsidRDefault="000C49AD">
            <w:pPr>
              <w:spacing w:after="100"/>
              <w:jc w:val="right"/>
              <w:rPr>
                <w:rFonts w:eastAsia="Times New Roman"/>
              </w:rPr>
            </w:pPr>
            <w:r>
              <w:rPr>
                <w:rFonts w:eastAsia="Times New Roman"/>
                <w:color w:val="000000"/>
                <w:sz w:val="18"/>
                <w:szCs w:val="18"/>
              </w:rPr>
              <w:t>(15,816)</w:t>
            </w:r>
          </w:p>
        </w:tc>
        <w:tc>
          <w:tcPr>
            <w:tcW w:w="0" w:type="auto"/>
            <w:shd w:val="clear" w:color="auto" w:fill="CCEEFF"/>
            <w:tcMar>
              <w:top w:w="30" w:type="dxa"/>
              <w:left w:w="0" w:type="dxa"/>
              <w:bottom w:w="30" w:type="dxa"/>
              <w:right w:w="20" w:type="dxa"/>
            </w:tcMar>
            <w:vAlign w:val="bottom"/>
            <w:hideMark/>
          </w:tcPr>
          <w:p w14:paraId="3105508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EF0CAF"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4C6590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852FDC8" w14:textId="77777777" w:rsidR="00000000" w:rsidRDefault="000C49AD">
            <w:pPr>
              <w:spacing w:after="100"/>
              <w:jc w:val="right"/>
              <w:rPr>
                <w:rFonts w:eastAsia="Times New Roman"/>
              </w:rPr>
            </w:pPr>
            <w:r>
              <w:rPr>
                <w:rFonts w:eastAsia="Times New Roman"/>
                <w:color w:val="000000"/>
                <w:sz w:val="18"/>
                <w:szCs w:val="18"/>
              </w:rPr>
              <w:t>(12,110)</w:t>
            </w:r>
          </w:p>
        </w:tc>
        <w:tc>
          <w:tcPr>
            <w:tcW w:w="0" w:type="auto"/>
            <w:shd w:val="clear" w:color="auto" w:fill="CCEEFF"/>
            <w:tcMar>
              <w:top w:w="30" w:type="dxa"/>
              <w:left w:w="0" w:type="dxa"/>
              <w:bottom w:w="30" w:type="dxa"/>
              <w:right w:w="20" w:type="dxa"/>
            </w:tcMar>
            <w:vAlign w:val="bottom"/>
            <w:hideMark/>
          </w:tcPr>
          <w:p w14:paraId="22DED0C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C2427"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C03DF6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9E808F" w14:textId="77777777" w:rsidR="00000000" w:rsidRDefault="000C49AD">
            <w:pPr>
              <w:spacing w:after="100"/>
              <w:jc w:val="right"/>
              <w:rPr>
                <w:rFonts w:eastAsia="Times New Roman"/>
              </w:rPr>
            </w:pPr>
            <w:r>
              <w:rPr>
                <w:rFonts w:eastAsia="Times New Roman"/>
                <w:color w:val="000000"/>
                <w:sz w:val="18"/>
                <w:szCs w:val="18"/>
              </w:rPr>
              <w:t>(3,706)</w:t>
            </w:r>
          </w:p>
        </w:tc>
        <w:tc>
          <w:tcPr>
            <w:tcW w:w="0" w:type="auto"/>
            <w:shd w:val="clear" w:color="auto" w:fill="CCEEFF"/>
            <w:tcMar>
              <w:top w:w="30" w:type="dxa"/>
              <w:left w:w="0" w:type="dxa"/>
              <w:bottom w:w="30" w:type="dxa"/>
              <w:right w:w="20" w:type="dxa"/>
            </w:tcMar>
            <w:vAlign w:val="bottom"/>
            <w:hideMark/>
          </w:tcPr>
          <w:p w14:paraId="2AB6B76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5DE6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50F66B" w14:textId="77777777" w:rsidR="00000000" w:rsidRDefault="000C49AD">
            <w:pPr>
              <w:spacing w:after="100"/>
              <w:jc w:val="right"/>
              <w:rPr>
                <w:rFonts w:eastAsia="Times New Roman"/>
              </w:rPr>
            </w:pPr>
            <w:r>
              <w:rPr>
                <w:rFonts w:eastAsia="Times New Roman"/>
                <w:color w:val="000000"/>
                <w:sz w:val="18"/>
                <w:szCs w:val="18"/>
              </w:rPr>
              <w:t>(30.6)</w:t>
            </w:r>
          </w:p>
        </w:tc>
        <w:tc>
          <w:tcPr>
            <w:tcW w:w="0" w:type="auto"/>
            <w:shd w:val="clear" w:color="auto" w:fill="CCEEFF"/>
            <w:tcMar>
              <w:top w:w="30" w:type="dxa"/>
              <w:left w:w="0" w:type="dxa"/>
              <w:bottom w:w="30" w:type="dxa"/>
              <w:right w:w="20" w:type="dxa"/>
            </w:tcMar>
            <w:vAlign w:val="bottom"/>
            <w:hideMark/>
          </w:tcPr>
          <w:p w14:paraId="490A5624" w14:textId="77777777" w:rsidR="00000000" w:rsidRDefault="000C49AD">
            <w:pPr>
              <w:spacing w:after="100"/>
              <w:jc w:val="right"/>
              <w:rPr>
                <w:rFonts w:eastAsia="Times New Roman"/>
              </w:rPr>
            </w:pPr>
            <w:r>
              <w:rPr>
                <w:rFonts w:eastAsia="Times New Roman"/>
                <w:color w:val="000000"/>
                <w:sz w:val="18"/>
                <w:szCs w:val="18"/>
              </w:rPr>
              <w:t>%</w:t>
            </w:r>
          </w:p>
        </w:tc>
      </w:tr>
      <w:tr w:rsidR="00000000" w14:paraId="29E05DF6" w14:textId="77777777">
        <w:tc>
          <w:tcPr>
            <w:tcW w:w="0" w:type="auto"/>
            <w:gridSpan w:val="3"/>
            <w:tcMar>
              <w:top w:w="30" w:type="dxa"/>
              <w:left w:w="155" w:type="dxa"/>
              <w:bottom w:w="30" w:type="dxa"/>
              <w:right w:w="20" w:type="dxa"/>
            </w:tcMar>
            <w:vAlign w:val="bottom"/>
            <w:hideMark/>
          </w:tcPr>
          <w:p w14:paraId="491EE65F" w14:textId="77777777" w:rsidR="00000000" w:rsidRDefault="000C49AD">
            <w:pPr>
              <w:spacing w:after="100"/>
              <w:rPr>
                <w:rFonts w:eastAsia="Times New Roman"/>
              </w:rPr>
            </w:pPr>
            <w:r>
              <w:rPr>
                <w:rFonts w:eastAsia="Times New Roman"/>
                <w:color w:val="000000"/>
                <w:sz w:val="18"/>
                <w:szCs w:val="18"/>
              </w:rPr>
              <w:t>Percentage of loss before income taxes</w:t>
            </w:r>
          </w:p>
        </w:tc>
        <w:tc>
          <w:tcPr>
            <w:tcW w:w="0" w:type="auto"/>
            <w:gridSpan w:val="3"/>
            <w:tcMar>
              <w:top w:w="0" w:type="dxa"/>
              <w:left w:w="20" w:type="dxa"/>
              <w:bottom w:w="0" w:type="dxa"/>
              <w:right w:w="20" w:type="dxa"/>
            </w:tcMar>
            <w:vAlign w:val="center"/>
            <w:hideMark/>
          </w:tcPr>
          <w:p w14:paraId="4178B309" w14:textId="77777777" w:rsidR="00000000" w:rsidRDefault="000C49AD">
            <w:pPr>
              <w:spacing w:after="100"/>
              <w:rPr>
                <w:rFonts w:eastAsia="Times New Roman"/>
              </w:rPr>
            </w:pPr>
          </w:p>
        </w:tc>
        <w:tc>
          <w:tcPr>
            <w:tcW w:w="0" w:type="auto"/>
            <w:gridSpan w:val="2"/>
            <w:tcMar>
              <w:top w:w="30" w:type="dxa"/>
              <w:left w:w="20" w:type="dxa"/>
              <w:bottom w:w="30" w:type="dxa"/>
              <w:right w:w="0" w:type="dxa"/>
            </w:tcMar>
            <w:vAlign w:val="bottom"/>
            <w:hideMark/>
          </w:tcPr>
          <w:p w14:paraId="4E794905" w14:textId="77777777" w:rsidR="00000000" w:rsidRDefault="000C49AD">
            <w:pPr>
              <w:spacing w:after="100"/>
              <w:jc w:val="right"/>
              <w:rPr>
                <w:rFonts w:eastAsia="Times New Roman"/>
              </w:rPr>
            </w:pPr>
            <w:r>
              <w:rPr>
                <w:rFonts w:eastAsia="Times New Roman"/>
                <w:color w:val="000000"/>
                <w:sz w:val="18"/>
                <w:szCs w:val="18"/>
              </w:rPr>
              <w:t>17.0 </w:t>
            </w:r>
          </w:p>
        </w:tc>
        <w:tc>
          <w:tcPr>
            <w:tcW w:w="0" w:type="auto"/>
            <w:tcMar>
              <w:top w:w="30" w:type="dxa"/>
              <w:left w:w="0" w:type="dxa"/>
              <w:bottom w:w="30" w:type="dxa"/>
              <w:right w:w="20" w:type="dxa"/>
            </w:tcMar>
            <w:vAlign w:val="bottom"/>
            <w:hideMark/>
          </w:tcPr>
          <w:p w14:paraId="1DF31C1C" w14:textId="77777777" w:rsidR="00000000" w:rsidRDefault="000C49A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128A291A" w14:textId="77777777" w:rsidR="00000000" w:rsidRDefault="000C49AD">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5957967F" w14:textId="77777777" w:rsidR="00000000" w:rsidRDefault="000C49AD">
            <w:pPr>
              <w:spacing w:after="100"/>
              <w:jc w:val="right"/>
              <w:rPr>
                <w:rFonts w:eastAsia="Times New Roman"/>
              </w:rPr>
            </w:pPr>
            <w:r>
              <w:rPr>
                <w:rFonts w:eastAsia="Times New Roman"/>
                <w:color w:val="000000"/>
                <w:sz w:val="18"/>
                <w:szCs w:val="18"/>
              </w:rPr>
              <w:t>238.3 </w:t>
            </w:r>
          </w:p>
        </w:tc>
        <w:tc>
          <w:tcPr>
            <w:tcW w:w="0" w:type="auto"/>
            <w:tcMar>
              <w:top w:w="30" w:type="dxa"/>
              <w:left w:w="0" w:type="dxa"/>
              <w:bottom w:w="30" w:type="dxa"/>
              <w:right w:w="20" w:type="dxa"/>
            </w:tcMar>
            <w:vAlign w:val="bottom"/>
            <w:hideMark/>
          </w:tcPr>
          <w:p w14:paraId="10356DFE" w14:textId="77777777" w:rsidR="00000000" w:rsidRDefault="000C49AD">
            <w:pPr>
              <w:spacing w:after="100"/>
              <w:jc w:val="right"/>
              <w:rPr>
                <w:rFonts w:eastAsia="Times New Roman"/>
              </w:rPr>
            </w:pPr>
            <w:r>
              <w:rPr>
                <w:rFonts w:eastAsia="Times New Roman"/>
                <w:color w:val="000000"/>
                <w:sz w:val="18"/>
                <w:szCs w:val="18"/>
              </w:rPr>
              <w:t>%</w:t>
            </w:r>
          </w:p>
        </w:tc>
        <w:tc>
          <w:tcPr>
            <w:tcW w:w="0" w:type="auto"/>
            <w:gridSpan w:val="3"/>
            <w:tcMar>
              <w:top w:w="0" w:type="dxa"/>
              <w:left w:w="20" w:type="dxa"/>
              <w:bottom w:w="0" w:type="dxa"/>
              <w:right w:w="20" w:type="dxa"/>
            </w:tcMar>
            <w:vAlign w:val="center"/>
            <w:hideMark/>
          </w:tcPr>
          <w:p w14:paraId="6CC9534E" w14:textId="77777777" w:rsidR="00000000" w:rsidRDefault="000C49A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028DD3B9"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6000167" w14:textId="77777777" w:rsidR="00000000" w:rsidRDefault="000C49A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194291CE" w14:textId="77777777" w:rsidR="00000000" w:rsidRDefault="000C49AD">
            <w:pPr>
              <w:spacing w:after="100"/>
              <w:jc w:val="right"/>
              <w:rPr>
                <w:rFonts w:eastAsia="Times New Roman"/>
              </w:rPr>
            </w:pPr>
            <w:r>
              <w:rPr>
                <w:rFonts w:eastAsia="Times New Roman"/>
                <w:color w:val="000000"/>
                <w:sz w:val="18"/>
                <w:szCs w:val="18"/>
              </w:rPr>
              <w:t> </w:t>
            </w:r>
          </w:p>
        </w:tc>
      </w:tr>
    </w:tbl>
    <w:p w14:paraId="1F815CD8" w14:textId="77777777" w:rsidR="00000000" w:rsidRDefault="000C49AD">
      <w:pPr>
        <w:jc w:val="both"/>
        <w:rPr>
          <w:rFonts w:eastAsia="Times New Roman"/>
        </w:rPr>
      </w:pPr>
      <w:r>
        <w:rPr>
          <w:rFonts w:eastAsia="Times New Roman"/>
          <w:color w:val="000000"/>
          <w:sz w:val="20"/>
          <w:szCs w:val="20"/>
        </w:rPr>
        <w:t> </w:t>
      </w:r>
    </w:p>
    <w:p w14:paraId="40D37FF8" w14:textId="77777777" w:rsidR="00000000" w:rsidRDefault="000C49AD">
      <w:pPr>
        <w:jc w:val="both"/>
        <w:rPr>
          <w:rFonts w:eastAsia="Times New Roman"/>
        </w:rPr>
      </w:pPr>
      <w:r>
        <w:rPr>
          <w:rFonts w:eastAsia="Times New Roman"/>
          <w:color w:val="000000"/>
          <w:sz w:val="20"/>
          <w:szCs w:val="20"/>
        </w:rPr>
        <w:t>In 2021, the income tax benefit increased by $3,706 when compared to the same period in 2020. The increase in the income tax benefit in 2021 was primarily driven by the additional tax benefit from an increase in the net operating losses in the U.S. in 2021</w:t>
      </w:r>
      <w:r>
        <w:rPr>
          <w:rFonts w:eastAsia="Times New Roman"/>
          <w:color w:val="000000"/>
          <w:sz w:val="20"/>
          <w:szCs w:val="20"/>
        </w:rPr>
        <w:t xml:space="preserve">, when compared to the same period in 2020. This was partially offset by the nonrecurring nature of tax benefits </w:t>
      </w:r>
    </w:p>
    <w:p w14:paraId="0CE11B19" w14:textId="77777777" w:rsidR="00000000" w:rsidRDefault="000C49AD">
      <w:pPr>
        <w:jc w:val="center"/>
        <w:divId w:val="869876370"/>
        <w:rPr>
          <w:rFonts w:eastAsia="Times New Roman"/>
        </w:rPr>
      </w:pPr>
      <w:r>
        <w:rPr>
          <w:rFonts w:eastAsia="Times New Roman"/>
          <w:color w:val="000000"/>
          <w:sz w:val="20"/>
          <w:szCs w:val="20"/>
        </w:rPr>
        <w:t>-70-</w:t>
      </w:r>
    </w:p>
    <w:p w14:paraId="32D944EE" w14:textId="77777777" w:rsidR="00000000" w:rsidRDefault="000C49AD">
      <w:pPr>
        <w:rPr>
          <w:rFonts w:eastAsia="Times New Roman"/>
        </w:rPr>
      </w:pPr>
      <w:r>
        <w:rPr>
          <w:rFonts w:eastAsia="Times New Roman"/>
        </w:rPr>
        <w:pict w14:anchorId="17D1EC5F">
          <v:rect id="_x0000_i1095" style="width:0;height:1.5pt" o:hralign="center" o:hrstd="t" o:hr="t" fillcolor="#a0a0a0" stroked="f"/>
        </w:pict>
      </w:r>
    </w:p>
    <w:p w14:paraId="543636CD" w14:textId="77777777" w:rsidR="00000000" w:rsidRDefault="000C49AD">
      <w:pPr>
        <w:divId w:val="1060641651"/>
        <w:rPr>
          <w:rFonts w:eastAsia="Times New Roman"/>
        </w:rPr>
      </w:pPr>
    </w:p>
    <w:p w14:paraId="3EE1363B" w14:textId="77777777" w:rsidR="00000000" w:rsidRDefault="000C49AD">
      <w:pPr>
        <w:jc w:val="both"/>
        <w:rPr>
          <w:rFonts w:eastAsia="Times New Roman"/>
        </w:rPr>
      </w:pPr>
      <w:r>
        <w:rPr>
          <w:rFonts w:eastAsia="Times New Roman"/>
          <w:color w:val="000000"/>
          <w:sz w:val="20"/>
          <w:szCs w:val="20"/>
        </w:rPr>
        <w:t>recognized in 2020 from the sale of the Company’s Hospital Products and passage of the Coronavirus Aid, Relief and Economic Security Act (the “CARES Act”) in the U.S.</w:t>
      </w:r>
    </w:p>
    <w:p w14:paraId="60EA5484" w14:textId="77777777" w:rsidR="00000000" w:rsidRDefault="000C49AD">
      <w:pPr>
        <w:jc w:val="both"/>
        <w:divId w:val="957182731"/>
        <w:rPr>
          <w:rFonts w:eastAsia="Times New Roman"/>
        </w:rPr>
      </w:pPr>
    </w:p>
    <w:p w14:paraId="18B9390D" w14:textId="77777777" w:rsidR="00000000" w:rsidRDefault="000C49AD">
      <w:pPr>
        <w:jc w:val="both"/>
        <w:divId w:val="294726503"/>
        <w:rPr>
          <w:rFonts w:eastAsia="Times New Roman"/>
        </w:rPr>
      </w:pPr>
      <w:r>
        <w:rPr>
          <w:rFonts w:eastAsia="Times New Roman"/>
          <w:b/>
          <w:bCs/>
          <w:color w:val="000000"/>
          <w:sz w:val="20"/>
          <w:szCs w:val="20"/>
          <w:u w:val="single"/>
        </w:rPr>
        <w:t>Liquidity and Capital Resources </w:t>
      </w:r>
    </w:p>
    <w:p w14:paraId="14CE6D2F" w14:textId="77777777" w:rsidR="00000000" w:rsidRDefault="000C49AD">
      <w:pPr>
        <w:jc w:val="both"/>
        <w:divId w:val="797263026"/>
        <w:rPr>
          <w:rFonts w:eastAsia="Times New Roman"/>
        </w:rPr>
      </w:pPr>
      <w:r>
        <w:rPr>
          <w:rFonts w:eastAsia="Times New Roman"/>
          <w:b/>
          <w:bCs/>
          <w:i/>
          <w:iCs/>
          <w:color w:val="000000"/>
          <w:sz w:val="20"/>
          <w:szCs w:val="20"/>
        </w:rPr>
        <w:t>Overview of Sour</w:t>
      </w:r>
      <w:r>
        <w:rPr>
          <w:rFonts w:eastAsia="Times New Roman"/>
          <w:b/>
          <w:bCs/>
          <w:i/>
          <w:iCs/>
          <w:color w:val="000000"/>
          <w:sz w:val="20"/>
          <w:szCs w:val="20"/>
        </w:rPr>
        <w:t>ces and Uses of Cash</w:t>
      </w:r>
    </w:p>
    <w:p w14:paraId="4E3F6629" w14:textId="77777777" w:rsidR="00000000" w:rsidRDefault="000C49AD">
      <w:pPr>
        <w:jc w:val="both"/>
        <w:rPr>
          <w:rFonts w:eastAsia="Times New Roman"/>
        </w:rPr>
      </w:pPr>
      <w:r>
        <w:rPr>
          <w:rFonts w:eastAsia="Times New Roman"/>
          <w:color w:val="000000"/>
          <w:sz w:val="20"/>
          <w:szCs w:val="20"/>
        </w:rPr>
        <w:t>We have had no revenue from product sales since the sale of our Hospital Products on June 30, 2020. We expect to continue to incur operating losses for the foreseeable future to further the clinical development of and continue our preparations for the comm</w:t>
      </w:r>
      <w:r>
        <w:rPr>
          <w:rFonts w:eastAsia="Times New Roman"/>
          <w:color w:val="000000"/>
          <w:sz w:val="20"/>
          <w:szCs w:val="20"/>
        </w:rPr>
        <w:t xml:space="preserve">ercial launch of FT218, if approved. As a result, we may need to raise additional capital to support commercial launch of FT218, if approved, and the continued growth of Avadel. At December 31, 2021, we held cash and marketable securities of $157,221 that </w:t>
      </w:r>
      <w:r>
        <w:rPr>
          <w:rFonts w:eastAsia="Times New Roman"/>
          <w:color w:val="000000"/>
          <w:sz w:val="20"/>
          <w:szCs w:val="20"/>
        </w:rPr>
        <w:t>will be used satisfy any cash requirements that we will have during the twelve months ended December 31, 2022.</w:t>
      </w:r>
    </w:p>
    <w:p w14:paraId="713F14AC" w14:textId="77777777" w:rsidR="00000000" w:rsidRDefault="000C49AD">
      <w:pPr>
        <w:jc w:val="both"/>
        <w:rPr>
          <w:rFonts w:eastAsia="Times New Roman"/>
        </w:rPr>
      </w:pPr>
    </w:p>
    <w:p w14:paraId="1C090C43" w14:textId="77777777" w:rsidR="00000000" w:rsidRDefault="000C49AD">
      <w:pPr>
        <w:jc w:val="both"/>
        <w:rPr>
          <w:rFonts w:eastAsia="Times New Roman"/>
        </w:rPr>
      </w:pPr>
      <w:r>
        <w:rPr>
          <w:rFonts w:eastAsia="Times New Roman"/>
          <w:color w:val="000000"/>
          <w:sz w:val="20"/>
          <w:szCs w:val="20"/>
        </w:rPr>
        <w:t xml:space="preserve">For the 12 month period ending December 31, 2022, we project that our fixed commitments will include (i) capital commitments, (ii) interest on </w:t>
      </w:r>
      <w:r>
        <w:rPr>
          <w:rFonts w:eastAsia="Times New Roman"/>
          <w:color w:val="000000"/>
          <w:sz w:val="20"/>
          <w:szCs w:val="20"/>
        </w:rPr>
        <w:t xml:space="preserve">our 2023 Notes, and (iii) lease payments. We project that our long-term fixed commitments will include (i) capital commitments, (ii) interest on and repayment of principal of our 2023 Notes, and (iii) lease payments. </w:t>
      </w:r>
    </w:p>
    <w:p w14:paraId="222830E5" w14:textId="77777777" w:rsidR="00000000" w:rsidRDefault="000C49AD">
      <w:pPr>
        <w:jc w:val="both"/>
        <w:rPr>
          <w:rFonts w:eastAsia="Times New Roman"/>
        </w:rPr>
      </w:pPr>
    </w:p>
    <w:p w14:paraId="7AE890C3" w14:textId="77777777" w:rsidR="00000000" w:rsidRDefault="000C49AD">
      <w:pPr>
        <w:jc w:val="both"/>
        <w:rPr>
          <w:rFonts w:eastAsia="Times New Roman"/>
        </w:rPr>
      </w:pPr>
      <w:r>
        <w:rPr>
          <w:rFonts w:eastAsia="Times New Roman"/>
          <w:b/>
          <w:bCs/>
          <w:i/>
          <w:iCs/>
          <w:color w:val="000000"/>
          <w:sz w:val="20"/>
          <w:szCs w:val="20"/>
        </w:rPr>
        <w:t xml:space="preserve">Capital Commitments </w:t>
      </w:r>
      <w:r>
        <w:rPr>
          <w:rFonts w:eastAsia="Times New Roman"/>
          <w:color w:val="000000"/>
          <w:sz w:val="20"/>
          <w:szCs w:val="20"/>
        </w:rPr>
        <w:t> </w:t>
      </w:r>
    </w:p>
    <w:p w14:paraId="4706854C" w14:textId="77777777" w:rsidR="00000000" w:rsidRDefault="000C49AD">
      <w:pPr>
        <w:jc w:val="both"/>
        <w:rPr>
          <w:rFonts w:eastAsia="Times New Roman"/>
        </w:rPr>
      </w:pPr>
    </w:p>
    <w:p w14:paraId="60348335" w14:textId="77777777" w:rsidR="00000000" w:rsidRDefault="000C49AD">
      <w:pPr>
        <w:jc w:val="both"/>
        <w:divId w:val="157625306"/>
        <w:rPr>
          <w:rFonts w:eastAsia="Times New Roman"/>
        </w:rPr>
      </w:pPr>
      <w:r>
        <w:rPr>
          <w:rFonts w:eastAsia="Times New Roman"/>
          <w:color w:val="000000"/>
          <w:sz w:val="20"/>
          <w:szCs w:val="20"/>
        </w:rPr>
        <w:t xml:space="preserve">At December </w:t>
      </w:r>
      <w:r>
        <w:rPr>
          <w:rFonts w:eastAsia="Times New Roman"/>
          <w:color w:val="000000"/>
          <w:sz w:val="20"/>
          <w:szCs w:val="20"/>
        </w:rPr>
        <w:t>31, 2021, we have one commitment with our primary contract manufacturer related to facility upgrades and the purchase and validation of equipment to be used in the manufacture of FT218. The total cost of this commitment is estimated to be approximately $5,</w:t>
      </w:r>
      <w:r>
        <w:rPr>
          <w:rFonts w:eastAsia="Times New Roman"/>
          <w:color w:val="000000"/>
          <w:sz w:val="20"/>
          <w:szCs w:val="20"/>
        </w:rPr>
        <w:t xml:space="preserve">500 and is expected to be completed during the year ending December 31, 2022. We incurred approximately $3,348 of this commitment during the year ended December 31, 2021. </w:t>
      </w:r>
    </w:p>
    <w:p w14:paraId="599A76D9" w14:textId="77777777" w:rsidR="00000000" w:rsidRDefault="000C49AD">
      <w:pPr>
        <w:jc w:val="both"/>
        <w:rPr>
          <w:rFonts w:eastAsia="Times New Roman"/>
        </w:rPr>
      </w:pPr>
      <w:r>
        <w:rPr>
          <w:rFonts w:eastAsia="Times New Roman"/>
          <w:color w:val="000000"/>
          <w:sz w:val="20"/>
          <w:szCs w:val="20"/>
        </w:rPr>
        <w:t>We also have a commitment with another contract manufacturer that commences in the f</w:t>
      </w:r>
      <w:r>
        <w:rPr>
          <w:rFonts w:eastAsia="Times New Roman"/>
          <w:color w:val="000000"/>
          <w:sz w:val="20"/>
          <w:szCs w:val="20"/>
        </w:rPr>
        <w:t xml:space="preserve">irst quarter of 2022 and will continue until FDA approval of the contract manufacturer. The commitment will be approximately $3,000 per year. </w:t>
      </w:r>
    </w:p>
    <w:p w14:paraId="15CE4092" w14:textId="77777777" w:rsidR="00000000" w:rsidRDefault="000C49AD">
      <w:pPr>
        <w:jc w:val="both"/>
        <w:rPr>
          <w:rFonts w:eastAsia="Times New Roman"/>
        </w:rPr>
      </w:pPr>
    </w:p>
    <w:p w14:paraId="248FDD6F" w14:textId="77777777" w:rsidR="00000000" w:rsidRDefault="000C49AD">
      <w:pPr>
        <w:jc w:val="both"/>
        <w:rPr>
          <w:rFonts w:eastAsia="Times New Roman"/>
        </w:rPr>
      </w:pPr>
      <w:r>
        <w:rPr>
          <w:rFonts w:eastAsia="Times New Roman"/>
          <w:b/>
          <w:bCs/>
          <w:i/>
          <w:iCs/>
          <w:color w:val="000000"/>
          <w:sz w:val="20"/>
          <w:szCs w:val="20"/>
        </w:rPr>
        <w:t>Debt Arrangements</w:t>
      </w:r>
    </w:p>
    <w:p w14:paraId="3E2EAE3C" w14:textId="77777777" w:rsidR="00000000" w:rsidRDefault="000C49AD">
      <w:pPr>
        <w:jc w:val="both"/>
        <w:rPr>
          <w:rFonts w:eastAsia="Times New Roman"/>
        </w:rPr>
      </w:pPr>
    </w:p>
    <w:p w14:paraId="1FDF1581" w14:textId="77777777" w:rsidR="00000000" w:rsidRDefault="000C49AD">
      <w:pPr>
        <w:jc w:val="both"/>
        <w:rPr>
          <w:rFonts w:eastAsia="Times New Roman"/>
        </w:rPr>
      </w:pPr>
      <w:r>
        <w:rPr>
          <w:rFonts w:eastAsia="Times New Roman"/>
          <w:color w:val="000000"/>
          <w:sz w:val="20"/>
          <w:szCs w:val="20"/>
        </w:rPr>
        <w:t>For the twelve month period ending December 31, 2022, we will pay interest on our 2023 Note</w:t>
      </w:r>
      <w:r>
        <w:rPr>
          <w:rFonts w:eastAsia="Times New Roman"/>
          <w:color w:val="000000"/>
          <w:sz w:val="20"/>
          <w:szCs w:val="20"/>
        </w:rPr>
        <w:t>s of $8,694. For the twelve month period ending December 31, 2023, we will pay interest on our 2023 Notes of $3,234 and principal, upon maturity, of $143,750. On March 16, 2022, Avadel Finance Cayman Limited, a Cayman Islands exempted company and an indire</w:t>
      </w:r>
      <w:r>
        <w:rPr>
          <w:rFonts w:eastAsia="Times New Roman"/>
          <w:color w:val="000000"/>
          <w:sz w:val="20"/>
          <w:szCs w:val="20"/>
        </w:rPr>
        <w:t xml:space="preserve">ct wholly-owned subsidiary of the Company (the “Issuer”), executed an agreement to exchange $117,375 its 2023 Notes due February 1, 2023 for a new series of its Exchangeable Senior Notes due October 2, 2023 (the “October 2023 Notes”) (the “Exchange”). The </w:t>
      </w:r>
      <w:r>
        <w:rPr>
          <w:rFonts w:eastAsia="Times New Roman"/>
          <w:color w:val="000000"/>
          <w:sz w:val="20"/>
          <w:szCs w:val="20"/>
        </w:rPr>
        <w:t xml:space="preserve">remaining $26,375 aggregate principal amount of the February 2023 Notes will maintain a maturity date of February 1, 2023. See </w:t>
      </w:r>
      <w:r>
        <w:rPr>
          <w:rFonts w:eastAsia="Times New Roman"/>
          <w:i/>
          <w:iCs/>
          <w:color w:val="000000"/>
          <w:sz w:val="20"/>
          <w:szCs w:val="20"/>
        </w:rPr>
        <w:t xml:space="preserve">Note 11: Long-Term Debt </w:t>
      </w:r>
      <w:r>
        <w:rPr>
          <w:rFonts w:eastAsia="Times New Roman"/>
          <w:color w:val="000000"/>
          <w:sz w:val="20"/>
          <w:szCs w:val="20"/>
        </w:rPr>
        <w:t xml:space="preserve">and </w:t>
      </w:r>
      <w:r>
        <w:rPr>
          <w:rFonts w:eastAsia="Times New Roman"/>
          <w:i/>
          <w:iCs/>
          <w:color w:val="000000"/>
          <w:sz w:val="20"/>
          <w:szCs w:val="20"/>
        </w:rPr>
        <w:t xml:space="preserve">Note 23: Subsequent Events </w:t>
      </w:r>
      <w:r>
        <w:rPr>
          <w:rFonts w:eastAsia="Times New Roman"/>
          <w:color w:val="000000"/>
          <w:sz w:val="20"/>
          <w:szCs w:val="20"/>
        </w:rPr>
        <w:t>to our audited consolidated financial statements included in Part II, Item</w:t>
      </w:r>
      <w:r>
        <w:rPr>
          <w:rFonts w:eastAsia="Times New Roman"/>
          <w:color w:val="000000"/>
          <w:sz w:val="20"/>
          <w:szCs w:val="20"/>
        </w:rPr>
        <w:t xml:space="preserve"> 8 of this Annual Report on Form 10-K for further details.</w:t>
      </w:r>
    </w:p>
    <w:p w14:paraId="4C48CA4F" w14:textId="77777777" w:rsidR="00000000" w:rsidRDefault="000C49AD">
      <w:pPr>
        <w:jc w:val="both"/>
        <w:rPr>
          <w:rFonts w:eastAsia="Times New Roman"/>
        </w:rPr>
      </w:pPr>
    </w:p>
    <w:p w14:paraId="1F860760" w14:textId="77777777" w:rsidR="00000000" w:rsidRDefault="000C49AD">
      <w:pPr>
        <w:jc w:val="both"/>
        <w:rPr>
          <w:rFonts w:eastAsia="Times New Roman"/>
        </w:rPr>
      </w:pPr>
      <w:r>
        <w:rPr>
          <w:rFonts w:eastAsia="Times New Roman"/>
          <w:b/>
          <w:bCs/>
          <w:i/>
          <w:iCs/>
          <w:color w:val="000000"/>
          <w:sz w:val="20"/>
          <w:szCs w:val="20"/>
        </w:rPr>
        <w:t>Operating Leases</w:t>
      </w:r>
    </w:p>
    <w:p w14:paraId="73D5BD12" w14:textId="77777777" w:rsidR="00000000" w:rsidRDefault="000C49AD">
      <w:pPr>
        <w:jc w:val="both"/>
        <w:rPr>
          <w:rFonts w:eastAsia="Times New Roman"/>
        </w:rPr>
      </w:pPr>
    </w:p>
    <w:p w14:paraId="69C35B84" w14:textId="77777777" w:rsidR="00000000" w:rsidRDefault="000C49AD">
      <w:pPr>
        <w:jc w:val="both"/>
        <w:rPr>
          <w:rFonts w:eastAsia="Times New Roman"/>
        </w:rPr>
      </w:pPr>
      <w:r>
        <w:rPr>
          <w:rFonts w:eastAsia="Times New Roman"/>
          <w:color w:val="000000"/>
          <w:sz w:val="20"/>
          <w:szCs w:val="20"/>
        </w:rPr>
        <w:t xml:space="preserve">At December 31, 2021, we have leases for office space and a production suite. We have a current obligation of $974 due within one year and a long-term obligation of $1,833 due </w:t>
      </w:r>
      <w:r>
        <w:rPr>
          <w:rFonts w:eastAsia="Times New Roman"/>
          <w:color w:val="000000"/>
          <w:sz w:val="20"/>
          <w:szCs w:val="20"/>
        </w:rPr>
        <w:t xml:space="preserve">between January 1, 2023 and December 31, 2025. See </w:t>
      </w:r>
      <w:r>
        <w:rPr>
          <w:rFonts w:eastAsia="Times New Roman"/>
          <w:i/>
          <w:iCs/>
          <w:color w:val="000000"/>
          <w:sz w:val="20"/>
          <w:szCs w:val="20"/>
        </w:rPr>
        <w:t xml:space="preserve">Note 10: Leases </w:t>
      </w:r>
      <w:r>
        <w:rPr>
          <w:rFonts w:eastAsia="Times New Roman"/>
          <w:color w:val="000000"/>
          <w:sz w:val="20"/>
          <w:szCs w:val="20"/>
        </w:rPr>
        <w:t>to our audited consolidated financial statements included in Part II, Item 8 of this Annual Report on Form 10-K for further details for further details.</w:t>
      </w:r>
    </w:p>
    <w:p w14:paraId="069ABA16" w14:textId="77777777" w:rsidR="00000000" w:rsidRDefault="000C49AD">
      <w:pPr>
        <w:jc w:val="both"/>
        <w:rPr>
          <w:rFonts w:eastAsia="Times New Roman"/>
        </w:rPr>
      </w:pPr>
    </w:p>
    <w:p w14:paraId="78E19D61" w14:textId="77777777" w:rsidR="00000000" w:rsidRDefault="000C49AD">
      <w:pPr>
        <w:jc w:val="both"/>
        <w:rPr>
          <w:rFonts w:eastAsia="Times New Roman"/>
        </w:rPr>
      </w:pPr>
      <w:r>
        <w:rPr>
          <w:rFonts w:eastAsia="Times New Roman"/>
          <w:b/>
          <w:bCs/>
          <w:i/>
          <w:iCs/>
          <w:color w:val="000000"/>
          <w:sz w:val="20"/>
          <w:szCs w:val="20"/>
        </w:rPr>
        <w:t>Consolidated Statement of Cash Flo</w:t>
      </w:r>
      <w:r>
        <w:rPr>
          <w:rFonts w:eastAsia="Times New Roman"/>
          <w:b/>
          <w:bCs/>
          <w:i/>
          <w:iCs/>
          <w:color w:val="000000"/>
          <w:sz w:val="20"/>
          <w:szCs w:val="20"/>
        </w:rPr>
        <w:t>ws</w:t>
      </w:r>
    </w:p>
    <w:p w14:paraId="025F85B5" w14:textId="77777777" w:rsidR="00000000" w:rsidRDefault="000C49AD">
      <w:pPr>
        <w:jc w:val="both"/>
        <w:rPr>
          <w:rFonts w:eastAsia="Times New Roman"/>
        </w:rPr>
      </w:pPr>
      <w:r>
        <w:rPr>
          <w:rFonts w:eastAsia="Times New Roman"/>
          <w:color w:val="000000"/>
          <w:sz w:val="20"/>
          <w:szCs w:val="20"/>
        </w:rPr>
        <w:t>Our cash flows from operating, investing and financing activities, as reflected in the consolidated statements of cash flows, are summarized in the following table:</w:t>
      </w:r>
      <w:r>
        <w:rPr>
          <w:rFonts w:eastAsia="Times New Roman"/>
          <w:b/>
          <w:bCs/>
          <w:i/>
          <w:iCs/>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4039"/>
        <w:gridCol w:w="37"/>
        <w:gridCol w:w="110"/>
        <w:gridCol w:w="840"/>
        <w:gridCol w:w="36"/>
        <w:gridCol w:w="36"/>
        <w:gridCol w:w="36"/>
        <w:gridCol w:w="36"/>
        <w:gridCol w:w="110"/>
        <w:gridCol w:w="795"/>
        <w:gridCol w:w="36"/>
        <w:gridCol w:w="36"/>
        <w:gridCol w:w="36"/>
        <w:gridCol w:w="36"/>
        <w:gridCol w:w="110"/>
        <w:gridCol w:w="796"/>
        <w:gridCol w:w="36"/>
        <w:gridCol w:w="36"/>
        <w:gridCol w:w="36"/>
        <w:gridCol w:w="36"/>
        <w:gridCol w:w="40"/>
        <w:gridCol w:w="789"/>
        <w:gridCol w:w="170"/>
      </w:tblGrid>
      <w:tr w:rsidR="00000000" w14:paraId="2FF73C5C" w14:textId="77777777">
        <w:trPr>
          <w:divId w:val="686252458"/>
        </w:trPr>
        <w:tc>
          <w:tcPr>
            <w:tcW w:w="50" w:type="pct"/>
            <w:vAlign w:val="center"/>
            <w:hideMark/>
          </w:tcPr>
          <w:p w14:paraId="259920C9" w14:textId="77777777" w:rsidR="00000000" w:rsidRDefault="000C49AD">
            <w:pPr>
              <w:jc w:val="both"/>
              <w:rPr>
                <w:rFonts w:eastAsia="Times New Roman"/>
              </w:rPr>
            </w:pPr>
          </w:p>
        </w:tc>
        <w:tc>
          <w:tcPr>
            <w:tcW w:w="2466" w:type="pct"/>
            <w:vAlign w:val="center"/>
            <w:hideMark/>
          </w:tcPr>
          <w:p w14:paraId="7E8B830E" w14:textId="77777777" w:rsidR="00000000" w:rsidRDefault="000C49AD">
            <w:pPr>
              <w:spacing w:after="100"/>
              <w:rPr>
                <w:rFonts w:eastAsia="Times New Roman"/>
                <w:sz w:val="20"/>
                <w:szCs w:val="20"/>
              </w:rPr>
            </w:pPr>
          </w:p>
        </w:tc>
        <w:tc>
          <w:tcPr>
            <w:tcW w:w="5" w:type="pct"/>
            <w:vAlign w:val="center"/>
            <w:hideMark/>
          </w:tcPr>
          <w:p w14:paraId="492F9E3B" w14:textId="77777777" w:rsidR="00000000" w:rsidRDefault="000C49AD">
            <w:pPr>
              <w:spacing w:after="100"/>
              <w:rPr>
                <w:rFonts w:eastAsia="Times New Roman"/>
                <w:sz w:val="20"/>
                <w:szCs w:val="20"/>
              </w:rPr>
            </w:pPr>
          </w:p>
        </w:tc>
        <w:tc>
          <w:tcPr>
            <w:tcW w:w="50" w:type="pct"/>
            <w:vAlign w:val="center"/>
            <w:hideMark/>
          </w:tcPr>
          <w:p w14:paraId="42D617DF" w14:textId="77777777" w:rsidR="00000000" w:rsidRDefault="000C49AD">
            <w:pPr>
              <w:spacing w:after="100"/>
              <w:rPr>
                <w:rFonts w:eastAsia="Times New Roman"/>
                <w:sz w:val="20"/>
                <w:szCs w:val="20"/>
              </w:rPr>
            </w:pPr>
          </w:p>
        </w:tc>
        <w:tc>
          <w:tcPr>
            <w:tcW w:w="537" w:type="pct"/>
            <w:vAlign w:val="center"/>
            <w:hideMark/>
          </w:tcPr>
          <w:p w14:paraId="2A5EA912" w14:textId="77777777" w:rsidR="00000000" w:rsidRDefault="000C49AD">
            <w:pPr>
              <w:spacing w:after="100"/>
              <w:rPr>
                <w:rFonts w:eastAsia="Times New Roman"/>
                <w:sz w:val="20"/>
                <w:szCs w:val="20"/>
              </w:rPr>
            </w:pPr>
          </w:p>
        </w:tc>
        <w:tc>
          <w:tcPr>
            <w:tcW w:w="5" w:type="pct"/>
            <w:vAlign w:val="center"/>
            <w:hideMark/>
          </w:tcPr>
          <w:p w14:paraId="0C88CFF7" w14:textId="77777777" w:rsidR="00000000" w:rsidRDefault="000C49AD">
            <w:pPr>
              <w:spacing w:after="100"/>
              <w:rPr>
                <w:rFonts w:eastAsia="Times New Roman"/>
                <w:sz w:val="20"/>
                <w:szCs w:val="20"/>
              </w:rPr>
            </w:pPr>
          </w:p>
        </w:tc>
        <w:tc>
          <w:tcPr>
            <w:tcW w:w="5" w:type="pct"/>
            <w:vAlign w:val="center"/>
            <w:hideMark/>
          </w:tcPr>
          <w:p w14:paraId="779EE196" w14:textId="77777777" w:rsidR="00000000" w:rsidRDefault="000C49AD">
            <w:pPr>
              <w:spacing w:after="100"/>
              <w:rPr>
                <w:rFonts w:eastAsia="Times New Roman"/>
                <w:sz w:val="20"/>
                <w:szCs w:val="20"/>
              </w:rPr>
            </w:pPr>
          </w:p>
        </w:tc>
        <w:tc>
          <w:tcPr>
            <w:tcW w:w="26" w:type="pct"/>
            <w:vAlign w:val="center"/>
            <w:hideMark/>
          </w:tcPr>
          <w:p w14:paraId="254133CD" w14:textId="77777777" w:rsidR="00000000" w:rsidRDefault="000C49AD">
            <w:pPr>
              <w:spacing w:after="100"/>
              <w:rPr>
                <w:rFonts w:eastAsia="Times New Roman"/>
                <w:sz w:val="20"/>
                <w:szCs w:val="20"/>
              </w:rPr>
            </w:pPr>
          </w:p>
        </w:tc>
        <w:tc>
          <w:tcPr>
            <w:tcW w:w="5" w:type="pct"/>
            <w:vAlign w:val="center"/>
            <w:hideMark/>
          </w:tcPr>
          <w:p w14:paraId="516D0023" w14:textId="77777777" w:rsidR="00000000" w:rsidRDefault="000C49AD">
            <w:pPr>
              <w:spacing w:after="100"/>
              <w:rPr>
                <w:rFonts w:eastAsia="Times New Roman"/>
                <w:sz w:val="20"/>
                <w:szCs w:val="20"/>
              </w:rPr>
            </w:pPr>
          </w:p>
        </w:tc>
        <w:tc>
          <w:tcPr>
            <w:tcW w:w="50" w:type="pct"/>
            <w:vAlign w:val="center"/>
            <w:hideMark/>
          </w:tcPr>
          <w:p w14:paraId="5DAB0F30" w14:textId="77777777" w:rsidR="00000000" w:rsidRDefault="000C49AD">
            <w:pPr>
              <w:spacing w:after="100"/>
              <w:rPr>
                <w:rFonts w:eastAsia="Times New Roman"/>
                <w:sz w:val="20"/>
                <w:szCs w:val="20"/>
              </w:rPr>
            </w:pPr>
          </w:p>
        </w:tc>
        <w:tc>
          <w:tcPr>
            <w:tcW w:w="537" w:type="pct"/>
            <w:vAlign w:val="center"/>
            <w:hideMark/>
          </w:tcPr>
          <w:p w14:paraId="0672816D" w14:textId="77777777" w:rsidR="00000000" w:rsidRDefault="000C49AD">
            <w:pPr>
              <w:spacing w:after="100"/>
              <w:rPr>
                <w:rFonts w:eastAsia="Times New Roman"/>
                <w:sz w:val="20"/>
                <w:szCs w:val="20"/>
              </w:rPr>
            </w:pPr>
          </w:p>
        </w:tc>
        <w:tc>
          <w:tcPr>
            <w:tcW w:w="5" w:type="pct"/>
            <w:vAlign w:val="center"/>
            <w:hideMark/>
          </w:tcPr>
          <w:p w14:paraId="71DBF608" w14:textId="77777777" w:rsidR="00000000" w:rsidRDefault="000C49AD">
            <w:pPr>
              <w:spacing w:after="100"/>
              <w:rPr>
                <w:rFonts w:eastAsia="Times New Roman"/>
                <w:sz w:val="20"/>
                <w:szCs w:val="20"/>
              </w:rPr>
            </w:pPr>
          </w:p>
        </w:tc>
        <w:tc>
          <w:tcPr>
            <w:tcW w:w="5" w:type="pct"/>
            <w:vAlign w:val="center"/>
            <w:hideMark/>
          </w:tcPr>
          <w:p w14:paraId="1E7A7D08" w14:textId="77777777" w:rsidR="00000000" w:rsidRDefault="000C49AD">
            <w:pPr>
              <w:spacing w:after="100"/>
              <w:rPr>
                <w:rFonts w:eastAsia="Times New Roman"/>
                <w:sz w:val="20"/>
                <w:szCs w:val="20"/>
              </w:rPr>
            </w:pPr>
          </w:p>
        </w:tc>
        <w:tc>
          <w:tcPr>
            <w:tcW w:w="26" w:type="pct"/>
            <w:vAlign w:val="center"/>
            <w:hideMark/>
          </w:tcPr>
          <w:p w14:paraId="5C1B5394" w14:textId="77777777" w:rsidR="00000000" w:rsidRDefault="000C49AD">
            <w:pPr>
              <w:spacing w:after="100"/>
              <w:rPr>
                <w:rFonts w:eastAsia="Times New Roman"/>
                <w:sz w:val="20"/>
                <w:szCs w:val="20"/>
              </w:rPr>
            </w:pPr>
          </w:p>
        </w:tc>
        <w:tc>
          <w:tcPr>
            <w:tcW w:w="5" w:type="pct"/>
            <w:vAlign w:val="center"/>
            <w:hideMark/>
          </w:tcPr>
          <w:p w14:paraId="1F622D09" w14:textId="77777777" w:rsidR="00000000" w:rsidRDefault="000C49AD">
            <w:pPr>
              <w:spacing w:after="100"/>
              <w:rPr>
                <w:rFonts w:eastAsia="Times New Roman"/>
                <w:sz w:val="20"/>
                <w:szCs w:val="20"/>
              </w:rPr>
            </w:pPr>
          </w:p>
        </w:tc>
        <w:tc>
          <w:tcPr>
            <w:tcW w:w="50" w:type="pct"/>
            <w:vAlign w:val="center"/>
            <w:hideMark/>
          </w:tcPr>
          <w:p w14:paraId="146664B3" w14:textId="77777777" w:rsidR="00000000" w:rsidRDefault="000C49AD">
            <w:pPr>
              <w:spacing w:after="100"/>
              <w:rPr>
                <w:rFonts w:eastAsia="Times New Roman"/>
                <w:sz w:val="20"/>
                <w:szCs w:val="20"/>
              </w:rPr>
            </w:pPr>
          </w:p>
        </w:tc>
        <w:tc>
          <w:tcPr>
            <w:tcW w:w="537" w:type="pct"/>
            <w:vAlign w:val="center"/>
            <w:hideMark/>
          </w:tcPr>
          <w:p w14:paraId="3731E3DF" w14:textId="77777777" w:rsidR="00000000" w:rsidRDefault="000C49AD">
            <w:pPr>
              <w:spacing w:after="100"/>
              <w:rPr>
                <w:rFonts w:eastAsia="Times New Roman"/>
                <w:sz w:val="20"/>
                <w:szCs w:val="20"/>
              </w:rPr>
            </w:pPr>
          </w:p>
        </w:tc>
        <w:tc>
          <w:tcPr>
            <w:tcW w:w="5" w:type="pct"/>
            <w:vAlign w:val="center"/>
            <w:hideMark/>
          </w:tcPr>
          <w:p w14:paraId="0FFFA85F" w14:textId="77777777" w:rsidR="00000000" w:rsidRDefault="000C49AD">
            <w:pPr>
              <w:spacing w:after="100"/>
              <w:rPr>
                <w:rFonts w:eastAsia="Times New Roman"/>
                <w:sz w:val="20"/>
                <w:szCs w:val="20"/>
              </w:rPr>
            </w:pPr>
          </w:p>
        </w:tc>
        <w:tc>
          <w:tcPr>
            <w:tcW w:w="5" w:type="pct"/>
            <w:vAlign w:val="center"/>
            <w:hideMark/>
          </w:tcPr>
          <w:p w14:paraId="5DEB0D7E" w14:textId="77777777" w:rsidR="00000000" w:rsidRDefault="000C49AD">
            <w:pPr>
              <w:spacing w:after="100"/>
              <w:rPr>
                <w:rFonts w:eastAsia="Times New Roman"/>
                <w:sz w:val="20"/>
                <w:szCs w:val="20"/>
              </w:rPr>
            </w:pPr>
          </w:p>
        </w:tc>
        <w:tc>
          <w:tcPr>
            <w:tcW w:w="26" w:type="pct"/>
            <w:vAlign w:val="center"/>
            <w:hideMark/>
          </w:tcPr>
          <w:p w14:paraId="1D717178" w14:textId="77777777" w:rsidR="00000000" w:rsidRDefault="000C49AD">
            <w:pPr>
              <w:spacing w:after="100"/>
              <w:rPr>
                <w:rFonts w:eastAsia="Times New Roman"/>
                <w:sz w:val="20"/>
                <w:szCs w:val="20"/>
              </w:rPr>
            </w:pPr>
          </w:p>
        </w:tc>
        <w:tc>
          <w:tcPr>
            <w:tcW w:w="5" w:type="pct"/>
            <w:vAlign w:val="center"/>
            <w:hideMark/>
          </w:tcPr>
          <w:p w14:paraId="241AC224" w14:textId="77777777" w:rsidR="00000000" w:rsidRDefault="000C49AD">
            <w:pPr>
              <w:spacing w:after="100"/>
              <w:rPr>
                <w:rFonts w:eastAsia="Times New Roman"/>
                <w:sz w:val="20"/>
                <w:szCs w:val="20"/>
              </w:rPr>
            </w:pPr>
          </w:p>
        </w:tc>
        <w:tc>
          <w:tcPr>
            <w:tcW w:w="50" w:type="pct"/>
            <w:vAlign w:val="center"/>
            <w:hideMark/>
          </w:tcPr>
          <w:p w14:paraId="3196A5BD" w14:textId="77777777" w:rsidR="00000000" w:rsidRDefault="000C49AD">
            <w:pPr>
              <w:spacing w:after="100"/>
              <w:rPr>
                <w:rFonts w:eastAsia="Times New Roman"/>
                <w:sz w:val="20"/>
                <w:szCs w:val="20"/>
              </w:rPr>
            </w:pPr>
          </w:p>
        </w:tc>
        <w:tc>
          <w:tcPr>
            <w:tcW w:w="537" w:type="pct"/>
            <w:vAlign w:val="center"/>
            <w:hideMark/>
          </w:tcPr>
          <w:p w14:paraId="7B610226" w14:textId="77777777" w:rsidR="00000000" w:rsidRDefault="000C49AD">
            <w:pPr>
              <w:spacing w:after="100"/>
              <w:rPr>
                <w:rFonts w:eastAsia="Times New Roman"/>
                <w:sz w:val="20"/>
                <w:szCs w:val="20"/>
              </w:rPr>
            </w:pPr>
          </w:p>
        </w:tc>
        <w:tc>
          <w:tcPr>
            <w:tcW w:w="5" w:type="pct"/>
            <w:vAlign w:val="center"/>
            <w:hideMark/>
          </w:tcPr>
          <w:p w14:paraId="539C5860" w14:textId="77777777" w:rsidR="00000000" w:rsidRDefault="000C49AD">
            <w:pPr>
              <w:spacing w:after="100"/>
              <w:rPr>
                <w:rFonts w:eastAsia="Times New Roman"/>
                <w:sz w:val="20"/>
                <w:szCs w:val="20"/>
              </w:rPr>
            </w:pPr>
          </w:p>
        </w:tc>
      </w:tr>
      <w:tr w:rsidR="00000000" w14:paraId="6F6E1938" w14:textId="77777777">
        <w:trPr>
          <w:divId w:val="686252458"/>
        </w:trPr>
        <w:tc>
          <w:tcPr>
            <w:tcW w:w="0" w:type="auto"/>
            <w:gridSpan w:val="3"/>
            <w:vAlign w:val="center"/>
            <w:hideMark/>
          </w:tcPr>
          <w:p w14:paraId="3AD354F6" w14:textId="77777777" w:rsidR="00000000" w:rsidRDefault="000C49AD">
            <w:pPr>
              <w:spacing w:after="100"/>
              <w:rPr>
                <w:rFonts w:eastAsia="Times New Roman"/>
                <w:sz w:val="20"/>
                <w:szCs w:val="20"/>
              </w:rPr>
            </w:pPr>
          </w:p>
        </w:tc>
        <w:tc>
          <w:tcPr>
            <w:tcW w:w="0" w:type="auto"/>
            <w:gridSpan w:val="3"/>
            <w:vAlign w:val="center"/>
            <w:hideMark/>
          </w:tcPr>
          <w:p w14:paraId="586F3C67" w14:textId="77777777" w:rsidR="00000000" w:rsidRDefault="000C49AD">
            <w:pPr>
              <w:spacing w:after="100"/>
              <w:rPr>
                <w:rFonts w:eastAsia="Times New Roman"/>
                <w:sz w:val="20"/>
                <w:szCs w:val="20"/>
              </w:rPr>
            </w:pPr>
          </w:p>
        </w:tc>
        <w:tc>
          <w:tcPr>
            <w:tcW w:w="0" w:type="auto"/>
            <w:gridSpan w:val="3"/>
            <w:vAlign w:val="center"/>
            <w:hideMark/>
          </w:tcPr>
          <w:p w14:paraId="3E6D2FDB" w14:textId="77777777" w:rsidR="00000000" w:rsidRDefault="000C49AD">
            <w:pPr>
              <w:spacing w:after="100"/>
              <w:rPr>
                <w:rFonts w:eastAsia="Times New Roman"/>
                <w:sz w:val="20"/>
                <w:szCs w:val="20"/>
              </w:rPr>
            </w:pPr>
          </w:p>
        </w:tc>
        <w:tc>
          <w:tcPr>
            <w:tcW w:w="0" w:type="auto"/>
            <w:gridSpan w:val="3"/>
            <w:vAlign w:val="center"/>
            <w:hideMark/>
          </w:tcPr>
          <w:p w14:paraId="7DD1C8BC" w14:textId="77777777" w:rsidR="00000000" w:rsidRDefault="000C49AD">
            <w:pPr>
              <w:spacing w:after="100"/>
              <w:rPr>
                <w:rFonts w:eastAsia="Times New Roman"/>
                <w:sz w:val="20"/>
                <w:szCs w:val="20"/>
              </w:rPr>
            </w:pPr>
          </w:p>
        </w:tc>
        <w:tc>
          <w:tcPr>
            <w:tcW w:w="0" w:type="auto"/>
            <w:gridSpan w:val="3"/>
            <w:vAlign w:val="center"/>
            <w:hideMark/>
          </w:tcPr>
          <w:p w14:paraId="740ECEE0" w14:textId="77777777" w:rsidR="00000000" w:rsidRDefault="000C49AD">
            <w:pPr>
              <w:spacing w:after="100"/>
              <w:rPr>
                <w:rFonts w:eastAsia="Times New Roman"/>
                <w:sz w:val="20"/>
                <w:szCs w:val="20"/>
              </w:rPr>
            </w:pPr>
          </w:p>
        </w:tc>
        <w:tc>
          <w:tcPr>
            <w:tcW w:w="0" w:type="auto"/>
            <w:gridSpan w:val="3"/>
            <w:vAlign w:val="center"/>
            <w:hideMark/>
          </w:tcPr>
          <w:p w14:paraId="77236DDE" w14:textId="77777777" w:rsidR="00000000" w:rsidRDefault="000C49AD">
            <w:pPr>
              <w:spacing w:after="100"/>
              <w:rPr>
                <w:rFonts w:eastAsia="Times New Roman"/>
                <w:sz w:val="20"/>
                <w:szCs w:val="20"/>
              </w:rPr>
            </w:pPr>
          </w:p>
        </w:tc>
        <w:tc>
          <w:tcPr>
            <w:tcW w:w="0" w:type="auto"/>
            <w:vAlign w:val="center"/>
            <w:hideMark/>
          </w:tcPr>
          <w:p w14:paraId="253ADFA7" w14:textId="77777777" w:rsidR="00000000" w:rsidRDefault="000C49AD">
            <w:pPr>
              <w:spacing w:after="100"/>
              <w:rPr>
                <w:rFonts w:eastAsia="Times New Roman"/>
                <w:sz w:val="20"/>
                <w:szCs w:val="20"/>
              </w:rPr>
            </w:pPr>
          </w:p>
        </w:tc>
        <w:tc>
          <w:tcPr>
            <w:tcW w:w="0" w:type="auto"/>
            <w:vAlign w:val="center"/>
            <w:hideMark/>
          </w:tcPr>
          <w:p w14:paraId="5EA2C2D6" w14:textId="77777777" w:rsidR="00000000" w:rsidRDefault="000C49AD">
            <w:pPr>
              <w:spacing w:after="100"/>
              <w:rPr>
                <w:rFonts w:eastAsia="Times New Roman"/>
                <w:sz w:val="20"/>
                <w:szCs w:val="20"/>
              </w:rPr>
            </w:pPr>
          </w:p>
        </w:tc>
        <w:tc>
          <w:tcPr>
            <w:tcW w:w="0" w:type="auto"/>
            <w:vAlign w:val="center"/>
            <w:hideMark/>
          </w:tcPr>
          <w:p w14:paraId="25197C49" w14:textId="77777777" w:rsidR="00000000" w:rsidRDefault="000C49AD">
            <w:pPr>
              <w:spacing w:after="100"/>
              <w:rPr>
                <w:rFonts w:eastAsia="Times New Roman"/>
                <w:sz w:val="20"/>
                <w:szCs w:val="20"/>
              </w:rPr>
            </w:pPr>
          </w:p>
        </w:tc>
        <w:tc>
          <w:tcPr>
            <w:tcW w:w="0" w:type="auto"/>
            <w:vAlign w:val="center"/>
            <w:hideMark/>
          </w:tcPr>
          <w:p w14:paraId="5DC1CF9D" w14:textId="77777777" w:rsidR="00000000" w:rsidRDefault="000C49AD">
            <w:pPr>
              <w:spacing w:after="100"/>
              <w:rPr>
                <w:rFonts w:eastAsia="Times New Roman"/>
                <w:sz w:val="20"/>
                <w:szCs w:val="20"/>
              </w:rPr>
            </w:pPr>
          </w:p>
        </w:tc>
        <w:tc>
          <w:tcPr>
            <w:tcW w:w="0" w:type="auto"/>
            <w:vAlign w:val="center"/>
            <w:hideMark/>
          </w:tcPr>
          <w:p w14:paraId="6F46A4BB" w14:textId="77777777" w:rsidR="00000000" w:rsidRDefault="000C49AD">
            <w:pPr>
              <w:spacing w:after="100"/>
              <w:rPr>
                <w:rFonts w:eastAsia="Times New Roman"/>
                <w:sz w:val="20"/>
                <w:szCs w:val="20"/>
              </w:rPr>
            </w:pPr>
          </w:p>
        </w:tc>
        <w:tc>
          <w:tcPr>
            <w:tcW w:w="0" w:type="auto"/>
            <w:vAlign w:val="center"/>
            <w:hideMark/>
          </w:tcPr>
          <w:p w14:paraId="042A8CF4" w14:textId="77777777" w:rsidR="00000000" w:rsidRDefault="000C49AD">
            <w:pPr>
              <w:spacing w:after="100"/>
              <w:rPr>
                <w:rFonts w:eastAsia="Times New Roman"/>
                <w:sz w:val="20"/>
                <w:szCs w:val="20"/>
              </w:rPr>
            </w:pPr>
          </w:p>
        </w:tc>
      </w:tr>
      <w:tr w:rsidR="00000000" w14:paraId="4868B7AE" w14:textId="77777777">
        <w:trPr>
          <w:divId w:val="686252458"/>
        </w:trPr>
        <w:tc>
          <w:tcPr>
            <w:tcW w:w="0" w:type="auto"/>
            <w:gridSpan w:val="3"/>
            <w:tcMar>
              <w:top w:w="30" w:type="dxa"/>
              <w:left w:w="20" w:type="dxa"/>
              <w:bottom w:w="30" w:type="dxa"/>
              <w:right w:w="20" w:type="dxa"/>
            </w:tcMar>
            <w:vAlign w:val="bottom"/>
            <w:hideMark/>
          </w:tcPr>
          <w:p w14:paraId="6DCA7C77" w14:textId="77777777" w:rsidR="00000000" w:rsidRDefault="000C49AD">
            <w:pPr>
              <w:spacing w:after="100"/>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14:paraId="0C15DCA4" w14:textId="77777777" w:rsidR="00000000" w:rsidRDefault="000C49AD">
            <w:pPr>
              <w:spacing w:after="100"/>
              <w:jc w:val="center"/>
              <w:rPr>
                <w:rFonts w:eastAsia="Times New Roman"/>
              </w:rPr>
            </w:pPr>
            <w:r>
              <w:rPr>
                <w:rFonts w:eastAsia="Times New Roman"/>
                <w:b/>
                <w:bCs/>
                <w:color w:val="000000"/>
                <w:sz w:val="18"/>
                <w:szCs w:val="18"/>
              </w:rPr>
              <w:t>Years Ended December 31,</w:t>
            </w:r>
          </w:p>
        </w:tc>
        <w:tc>
          <w:tcPr>
            <w:tcW w:w="0" w:type="auto"/>
            <w:gridSpan w:val="3"/>
            <w:tcMar>
              <w:top w:w="0" w:type="dxa"/>
              <w:left w:w="20" w:type="dxa"/>
              <w:bottom w:w="0" w:type="dxa"/>
              <w:right w:w="20" w:type="dxa"/>
            </w:tcMar>
            <w:vAlign w:val="center"/>
            <w:hideMark/>
          </w:tcPr>
          <w:p w14:paraId="3DBE3959" w14:textId="77777777" w:rsidR="00000000" w:rsidRDefault="000C49A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5AAE6E5" w14:textId="77777777" w:rsidR="00000000" w:rsidRDefault="000C49AD">
            <w:pPr>
              <w:spacing w:after="100"/>
              <w:jc w:val="center"/>
              <w:rPr>
                <w:rFonts w:eastAsia="Times New Roman"/>
              </w:rPr>
            </w:pPr>
            <w:r>
              <w:rPr>
                <w:rFonts w:eastAsia="Times New Roman"/>
                <w:b/>
                <w:bCs/>
                <w:color w:val="000000"/>
                <w:sz w:val="18"/>
                <w:szCs w:val="18"/>
              </w:rPr>
              <w:t>Increase / (Decrease)</w:t>
            </w:r>
          </w:p>
        </w:tc>
      </w:tr>
      <w:tr w:rsidR="00000000" w14:paraId="64C279F9" w14:textId="77777777">
        <w:trPr>
          <w:divId w:val="686252458"/>
        </w:trPr>
        <w:tc>
          <w:tcPr>
            <w:tcW w:w="0" w:type="auto"/>
            <w:gridSpan w:val="3"/>
            <w:tcMar>
              <w:top w:w="30" w:type="dxa"/>
              <w:left w:w="20" w:type="dxa"/>
              <w:bottom w:w="30" w:type="dxa"/>
              <w:right w:w="20" w:type="dxa"/>
            </w:tcMar>
            <w:vAlign w:val="bottom"/>
            <w:hideMark/>
          </w:tcPr>
          <w:p w14:paraId="745B7BE7" w14:textId="77777777" w:rsidR="00000000" w:rsidRDefault="000C49AD">
            <w:pPr>
              <w:spacing w:after="100"/>
              <w:rPr>
                <w:rFonts w:eastAsia="Times New Roman"/>
              </w:rPr>
            </w:pPr>
            <w:r>
              <w:rPr>
                <w:rFonts w:eastAsia="Times New Roman"/>
                <w:b/>
                <w:bCs/>
                <w:color w:val="000000"/>
                <w:sz w:val="18"/>
                <w:szCs w:val="18"/>
              </w:rPr>
              <w:t>Net Cash (Used In) Provided By</w:t>
            </w:r>
          </w:p>
        </w:tc>
        <w:tc>
          <w:tcPr>
            <w:tcW w:w="0" w:type="auto"/>
            <w:gridSpan w:val="3"/>
            <w:tcBorders>
              <w:top w:val="single" w:sz="8" w:space="0" w:color="000000"/>
            </w:tcBorders>
            <w:tcMar>
              <w:top w:w="30" w:type="dxa"/>
              <w:left w:w="20" w:type="dxa"/>
              <w:bottom w:w="30" w:type="dxa"/>
              <w:right w:w="20" w:type="dxa"/>
            </w:tcMar>
            <w:vAlign w:val="bottom"/>
            <w:hideMark/>
          </w:tcPr>
          <w:p w14:paraId="74AD4A1F"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3701752F"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F95188"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70B9B6D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A8D158" w14:textId="77777777" w:rsidR="00000000" w:rsidRDefault="000C49AD">
            <w:pPr>
              <w:spacing w:after="100"/>
              <w:jc w:val="center"/>
              <w:rPr>
                <w:rFonts w:eastAsia="Times New Roman"/>
              </w:rPr>
            </w:pPr>
            <w:r>
              <w:rPr>
                <w:rFonts w:eastAsia="Times New Roman"/>
                <w:b/>
                <w:bCs/>
                <w:color w:val="000000"/>
                <w:sz w:val="18"/>
                <w:szCs w:val="18"/>
              </w:rPr>
              <w:t>$</w:t>
            </w:r>
          </w:p>
        </w:tc>
        <w:tc>
          <w:tcPr>
            <w:tcW w:w="0" w:type="auto"/>
            <w:gridSpan w:val="3"/>
            <w:tcBorders>
              <w:top w:val="single" w:sz="8" w:space="0" w:color="000000"/>
            </w:tcBorders>
            <w:tcMar>
              <w:top w:w="0" w:type="dxa"/>
              <w:left w:w="20" w:type="dxa"/>
              <w:bottom w:w="0" w:type="dxa"/>
              <w:right w:w="20" w:type="dxa"/>
            </w:tcMar>
            <w:vAlign w:val="center"/>
            <w:hideMark/>
          </w:tcPr>
          <w:p w14:paraId="2A73D218"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84FB43E" w14:textId="77777777" w:rsidR="00000000" w:rsidRDefault="000C49AD">
            <w:pPr>
              <w:spacing w:after="100"/>
              <w:jc w:val="center"/>
              <w:rPr>
                <w:rFonts w:eastAsia="Times New Roman"/>
              </w:rPr>
            </w:pPr>
            <w:r>
              <w:rPr>
                <w:rFonts w:eastAsia="Times New Roman"/>
                <w:b/>
                <w:bCs/>
                <w:color w:val="000000"/>
                <w:sz w:val="18"/>
                <w:szCs w:val="18"/>
              </w:rPr>
              <w:t>%</w:t>
            </w:r>
          </w:p>
        </w:tc>
      </w:tr>
      <w:tr w:rsidR="00000000" w14:paraId="55AF9305" w14:textId="77777777">
        <w:trPr>
          <w:divId w:val="686252458"/>
          <w:trHeight w:val="60"/>
        </w:trPr>
        <w:tc>
          <w:tcPr>
            <w:tcW w:w="0" w:type="auto"/>
            <w:gridSpan w:val="3"/>
            <w:tcBorders>
              <w:top w:val="single" w:sz="8" w:space="0" w:color="000000"/>
            </w:tcBorders>
            <w:tcMar>
              <w:top w:w="0" w:type="dxa"/>
              <w:left w:w="20" w:type="dxa"/>
              <w:bottom w:w="0" w:type="dxa"/>
              <w:right w:w="20" w:type="dxa"/>
            </w:tcMar>
            <w:vAlign w:val="center"/>
            <w:hideMark/>
          </w:tcPr>
          <w:p w14:paraId="13CE424A" w14:textId="77777777" w:rsidR="00000000" w:rsidRDefault="000C49AD">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6AD1DBE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ED667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8186C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1C511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65ECBA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B85ECC"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519B131" w14:textId="77777777" w:rsidR="00000000" w:rsidRDefault="000C49AD">
            <w:pPr>
              <w:spacing w:after="100"/>
              <w:rPr>
                <w:rFonts w:eastAsia="Times New Roman"/>
                <w:sz w:val="20"/>
                <w:szCs w:val="20"/>
              </w:rPr>
            </w:pPr>
          </w:p>
        </w:tc>
      </w:tr>
      <w:tr w:rsidR="00000000" w14:paraId="7A0F6614" w14:textId="77777777">
        <w:trPr>
          <w:divId w:val="686252458"/>
        </w:trPr>
        <w:tc>
          <w:tcPr>
            <w:tcW w:w="0" w:type="auto"/>
            <w:gridSpan w:val="3"/>
            <w:shd w:val="clear" w:color="auto" w:fill="CCEEFF"/>
            <w:tcMar>
              <w:top w:w="30" w:type="dxa"/>
              <w:left w:w="155" w:type="dxa"/>
              <w:bottom w:w="30" w:type="dxa"/>
              <w:right w:w="20" w:type="dxa"/>
            </w:tcMar>
            <w:vAlign w:val="bottom"/>
            <w:hideMark/>
          </w:tcPr>
          <w:p w14:paraId="4BA80813" w14:textId="77777777" w:rsidR="00000000" w:rsidRDefault="000C49AD">
            <w:pPr>
              <w:spacing w:after="100"/>
              <w:rPr>
                <w:rFonts w:eastAsia="Times New Roman"/>
              </w:rPr>
            </w:pPr>
            <w:r>
              <w:rPr>
                <w:rFonts w:eastAsia="Times New Roman"/>
                <w:color w:val="000000"/>
                <w:sz w:val="18"/>
                <w:szCs w:val="18"/>
              </w:rPr>
              <w:t>Operating activities</w:t>
            </w:r>
          </w:p>
        </w:tc>
        <w:tc>
          <w:tcPr>
            <w:tcW w:w="0" w:type="auto"/>
            <w:shd w:val="clear" w:color="auto" w:fill="CCEEFF"/>
            <w:tcMar>
              <w:top w:w="30" w:type="dxa"/>
              <w:left w:w="20" w:type="dxa"/>
              <w:bottom w:w="30" w:type="dxa"/>
              <w:right w:w="0" w:type="dxa"/>
            </w:tcMar>
            <w:vAlign w:val="bottom"/>
            <w:hideMark/>
          </w:tcPr>
          <w:p w14:paraId="084A91E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FCC0BF5" w14:textId="77777777" w:rsidR="00000000" w:rsidRDefault="000C49AD">
            <w:pPr>
              <w:spacing w:after="100"/>
              <w:jc w:val="right"/>
              <w:rPr>
                <w:rFonts w:eastAsia="Times New Roman"/>
              </w:rPr>
            </w:pPr>
            <w:r>
              <w:rPr>
                <w:rFonts w:eastAsia="Times New Roman"/>
                <w:color w:val="000000"/>
                <w:sz w:val="18"/>
                <w:szCs w:val="18"/>
              </w:rPr>
              <w:t>(77,310)</w:t>
            </w:r>
          </w:p>
        </w:tc>
        <w:tc>
          <w:tcPr>
            <w:tcW w:w="0" w:type="auto"/>
            <w:shd w:val="clear" w:color="auto" w:fill="CCEEFF"/>
            <w:tcMar>
              <w:top w:w="30" w:type="dxa"/>
              <w:left w:w="0" w:type="dxa"/>
              <w:bottom w:w="30" w:type="dxa"/>
              <w:right w:w="20" w:type="dxa"/>
            </w:tcMar>
            <w:vAlign w:val="bottom"/>
            <w:hideMark/>
          </w:tcPr>
          <w:p w14:paraId="41F382F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F3B963"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1BD04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011E7F1" w14:textId="77777777" w:rsidR="00000000" w:rsidRDefault="000C49AD">
            <w:pPr>
              <w:spacing w:after="100"/>
              <w:jc w:val="right"/>
              <w:rPr>
                <w:rFonts w:eastAsia="Times New Roman"/>
              </w:rPr>
            </w:pPr>
            <w:r>
              <w:rPr>
                <w:rFonts w:eastAsia="Times New Roman"/>
                <w:color w:val="000000"/>
                <w:sz w:val="18"/>
                <w:szCs w:val="18"/>
              </w:rPr>
              <w:t>(48,734)</w:t>
            </w:r>
          </w:p>
        </w:tc>
        <w:tc>
          <w:tcPr>
            <w:tcW w:w="0" w:type="auto"/>
            <w:shd w:val="clear" w:color="auto" w:fill="CCEEFF"/>
            <w:tcMar>
              <w:top w:w="30" w:type="dxa"/>
              <w:left w:w="0" w:type="dxa"/>
              <w:bottom w:w="30" w:type="dxa"/>
              <w:right w:w="20" w:type="dxa"/>
            </w:tcMar>
            <w:vAlign w:val="bottom"/>
            <w:hideMark/>
          </w:tcPr>
          <w:p w14:paraId="29FBF29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95CC11"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AC279C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1C6735B" w14:textId="77777777" w:rsidR="00000000" w:rsidRDefault="000C49AD">
            <w:pPr>
              <w:spacing w:after="100"/>
              <w:jc w:val="right"/>
              <w:rPr>
                <w:rFonts w:eastAsia="Times New Roman"/>
              </w:rPr>
            </w:pPr>
            <w:r>
              <w:rPr>
                <w:rFonts w:eastAsia="Times New Roman"/>
                <w:color w:val="000000"/>
                <w:sz w:val="18"/>
                <w:szCs w:val="18"/>
              </w:rPr>
              <w:t>(28,576)</w:t>
            </w:r>
          </w:p>
        </w:tc>
        <w:tc>
          <w:tcPr>
            <w:tcW w:w="0" w:type="auto"/>
            <w:shd w:val="clear" w:color="auto" w:fill="CCEEFF"/>
            <w:tcMar>
              <w:top w:w="30" w:type="dxa"/>
              <w:left w:w="0" w:type="dxa"/>
              <w:bottom w:w="30" w:type="dxa"/>
              <w:right w:w="20" w:type="dxa"/>
            </w:tcMar>
            <w:vAlign w:val="bottom"/>
            <w:hideMark/>
          </w:tcPr>
          <w:p w14:paraId="3544160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0E6F6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D39C61" w14:textId="77777777" w:rsidR="00000000" w:rsidRDefault="000C49AD">
            <w:pPr>
              <w:spacing w:after="100"/>
              <w:jc w:val="right"/>
              <w:rPr>
                <w:rFonts w:eastAsia="Times New Roman"/>
              </w:rPr>
            </w:pPr>
            <w:r>
              <w:rPr>
                <w:rFonts w:eastAsia="Times New Roman"/>
                <w:color w:val="000000"/>
                <w:sz w:val="18"/>
                <w:szCs w:val="18"/>
              </w:rPr>
              <w:t>(58.6)</w:t>
            </w:r>
          </w:p>
        </w:tc>
        <w:tc>
          <w:tcPr>
            <w:tcW w:w="0" w:type="auto"/>
            <w:shd w:val="clear" w:color="auto" w:fill="CCEEFF"/>
            <w:tcMar>
              <w:top w:w="30" w:type="dxa"/>
              <w:left w:w="0" w:type="dxa"/>
              <w:bottom w:w="30" w:type="dxa"/>
              <w:right w:w="20" w:type="dxa"/>
            </w:tcMar>
            <w:vAlign w:val="bottom"/>
            <w:hideMark/>
          </w:tcPr>
          <w:p w14:paraId="1522FB4D" w14:textId="77777777" w:rsidR="00000000" w:rsidRDefault="000C49AD">
            <w:pPr>
              <w:spacing w:after="100"/>
              <w:jc w:val="right"/>
              <w:rPr>
                <w:rFonts w:eastAsia="Times New Roman"/>
              </w:rPr>
            </w:pPr>
            <w:r>
              <w:rPr>
                <w:rFonts w:eastAsia="Times New Roman"/>
                <w:color w:val="000000"/>
                <w:sz w:val="18"/>
                <w:szCs w:val="18"/>
              </w:rPr>
              <w:t>%</w:t>
            </w:r>
          </w:p>
        </w:tc>
      </w:tr>
      <w:tr w:rsidR="00000000" w14:paraId="1AAD278E" w14:textId="77777777">
        <w:trPr>
          <w:divId w:val="686252458"/>
        </w:trPr>
        <w:tc>
          <w:tcPr>
            <w:tcW w:w="0" w:type="auto"/>
            <w:gridSpan w:val="3"/>
            <w:tcMar>
              <w:top w:w="30" w:type="dxa"/>
              <w:left w:w="155" w:type="dxa"/>
              <w:bottom w:w="30" w:type="dxa"/>
              <w:right w:w="20" w:type="dxa"/>
            </w:tcMar>
            <w:vAlign w:val="bottom"/>
            <w:hideMark/>
          </w:tcPr>
          <w:p w14:paraId="3BCBF471" w14:textId="77777777" w:rsidR="00000000" w:rsidRDefault="000C49AD">
            <w:pPr>
              <w:spacing w:after="100"/>
              <w:rPr>
                <w:rFonts w:eastAsia="Times New Roman"/>
              </w:rPr>
            </w:pPr>
            <w:r>
              <w:rPr>
                <w:rFonts w:eastAsia="Times New Roman"/>
                <w:color w:val="000000"/>
                <w:sz w:val="18"/>
                <w:szCs w:val="18"/>
              </w:rPr>
              <w:t>Investing activities</w:t>
            </w:r>
          </w:p>
        </w:tc>
        <w:tc>
          <w:tcPr>
            <w:tcW w:w="0" w:type="auto"/>
            <w:gridSpan w:val="2"/>
            <w:tcMar>
              <w:top w:w="30" w:type="dxa"/>
              <w:left w:w="20" w:type="dxa"/>
              <w:bottom w:w="30" w:type="dxa"/>
              <w:right w:w="0" w:type="dxa"/>
            </w:tcMar>
            <w:vAlign w:val="bottom"/>
            <w:hideMark/>
          </w:tcPr>
          <w:p w14:paraId="1A6D718A" w14:textId="77777777" w:rsidR="00000000" w:rsidRDefault="000C49AD">
            <w:pPr>
              <w:spacing w:after="100"/>
              <w:jc w:val="right"/>
              <w:rPr>
                <w:rFonts w:eastAsia="Times New Roman"/>
              </w:rPr>
            </w:pPr>
            <w:r>
              <w:rPr>
                <w:rFonts w:eastAsia="Times New Roman"/>
                <w:color w:val="000000"/>
                <w:sz w:val="18"/>
                <w:szCs w:val="18"/>
              </w:rPr>
              <w:t>56,929 </w:t>
            </w:r>
          </w:p>
        </w:tc>
        <w:tc>
          <w:tcPr>
            <w:tcW w:w="0" w:type="auto"/>
            <w:tcMar>
              <w:top w:w="30" w:type="dxa"/>
              <w:left w:w="0" w:type="dxa"/>
              <w:bottom w:w="30" w:type="dxa"/>
              <w:right w:w="20" w:type="dxa"/>
            </w:tcMar>
            <w:vAlign w:val="bottom"/>
            <w:hideMark/>
          </w:tcPr>
          <w:p w14:paraId="73A9707B"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4D051C"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3C9E8B4" w14:textId="77777777" w:rsidR="00000000" w:rsidRDefault="000C49AD">
            <w:pPr>
              <w:spacing w:after="100"/>
              <w:jc w:val="right"/>
              <w:rPr>
                <w:rFonts w:eastAsia="Times New Roman"/>
              </w:rPr>
            </w:pPr>
            <w:r>
              <w:rPr>
                <w:rFonts w:eastAsia="Times New Roman"/>
                <w:color w:val="000000"/>
                <w:sz w:val="18"/>
                <w:szCs w:val="18"/>
              </w:rPr>
              <w:t>(69,721)</w:t>
            </w:r>
          </w:p>
        </w:tc>
        <w:tc>
          <w:tcPr>
            <w:tcW w:w="0" w:type="auto"/>
            <w:tcMar>
              <w:top w:w="30" w:type="dxa"/>
              <w:left w:w="0" w:type="dxa"/>
              <w:bottom w:w="30" w:type="dxa"/>
              <w:right w:w="20" w:type="dxa"/>
            </w:tcMar>
            <w:vAlign w:val="bottom"/>
            <w:hideMark/>
          </w:tcPr>
          <w:p w14:paraId="43F0F996"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EA3D22D"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DC2C44A" w14:textId="77777777" w:rsidR="00000000" w:rsidRDefault="000C49AD">
            <w:pPr>
              <w:spacing w:after="100"/>
              <w:jc w:val="right"/>
              <w:rPr>
                <w:rFonts w:eastAsia="Times New Roman"/>
              </w:rPr>
            </w:pPr>
            <w:r>
              <w:rPr>
                <w:rFonts w:eastAsia="Times New Roman"/>
                <w:color w:val="000000"/>
                <w:sz w:val="18"/>
                <w:szCs w:val="18"/>
              </w:rPr>
              <w:t>126,650 </w:t>
            </w:r>
          </w:p>
        </w:tc>
        <w:tc>
          <w:tcPr>
            <w:tcW w:w="0" w:type="auto"/>
            <w:tcMar>
              <w:top w:w="30" w:type="dxa"/>
              <w:left w:w="0" w:type="dxa"/>
              <w:bottom w:w="30" w:type="dxa"/>
              <w:right w:w="20" w:type="dxa"/>
            </w:tcMar>
            <w:vAlign w:val="bottom"/>
            <w:hideMark/>
          </w:tcPr>
          <w:p w14:paraId="73F130B5"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6E68A31"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55025C8" w14:textId="77777777" w:rsidR="00000000" w:rsidRDefault="000C49AD">
            <w:pPr>
              <w:spacing w:after="100"/>
              <w:jc w:val="right"/>
              <w:rPr>
                <w:rFonts w:eastAsia="Times New Roman"/>
              </w:rPr>
            </w:pPr>
            <w:r>
              <w:rPr>
                <w:rFonts w:eastAsia="Times New Roman"/>
                <w:color w:val="000000"/>
                <w:sz w:val="18"/>
                <w:szCs w:val="18"/>
              </w:rPr>
              <w:t>181.7 </w:t>
            </w:r>
          </w:p>
        </w:tc>
        <w:tc>
          <w:tcPr>
            <w:tcW w:w="0" w:type="auto"/>
            <w:tcMar>
              <w:top w:w="30" w:type="dxa"/>
              <w:left w:w="0" w:type="dxa"/>
              <w:bottom w:w="30" w:type="dxa"/>
              <w:right w:w="20" w:type="dxa"/>
            </w:tcMar>
            <w:vAlign w:val="bottom"/>
            <w:hideMark/>
          </w:tcPr>
          <w:p w14:paraId="7EC65B65" w14:textId="77777777" w:rsidR="00000000" w:rsidRDefault="000C49AD">
            <w:pPr>
              <w:spacing w:after="100"/>
              <w:jc w:val="right"/>
              <w:rPr>
                <w:rFonts w:eastAsia="Times New Roman"/>
              </w:rPr>
            </w:pPr>
            <w:r>
              <w:rPr>
                <w:rFonts w:eastAsia="Times New Roman"/>
                <w:color w:val="000000"/>
                <w:sz w:val="18"/>
                <w:szCs w:val="18"/>
              </w:rPr>
              <w:t>%</w:t>
            </w:r>
          </w:p>
        </w:tc>
      </w:tr>
      <w:tr w:rsidR="00000000" w14:paraId="455C5C32" w14:textId="77777777">
        <w:trPr>
          <w:divId w:val="686252458"/>
        </w:trPr>
        <w:tc>
          <w:tcPr>
            <w:tcW w:w="0" w:type="auto"/>
            <w:gridSpan w:val="3"/>
            <w:shd w:val="clear" w:color="auto" w:fill="CCEEFF"/>
            <w:tcMar>
              <w:top w:w="30" w:type="dxa"/>
              <w:left w:w="155" w:type="dxa"/>
              <w:bottom w:w="30" w:type="dxa"/>
              <w:right w:w="20" w:type="dxa"/>
            </w:tcMar>
            <w:vAlign w:val="bottom"/>
            <w:hideMark/>
          </w:tcPr>
          <w:p w14:paraId="7FD341C8" w14:textId="77777777" w:rsidR="00000000" w:rsidRDefault="000C49AD">
            <w:pPr>
              <w:spacing w:after="100"/>
              <w:rPr>
                <w:rFonts w:eastAsia="Times New Roman"/>
              </w:rPr>
            </w:pPr>
            <w:r>
              <w:rPr>
                <w:rFonts w:eastAsia="Times New Roman"/>
                <w:color w:val="000000"/>
                <w:sz w:val="18"/>
                <w:szCs w:val="18"/>
              </w:rPr>
              <w:t>Financing activities</w:t>
            </w:r>
          </w:p>
        </w:tc>
        <w:tc>
          <w:tcPr>
            <w:tcW w:w="0" w:type="auto"/>
            <w:gridSpan w:val="2"/>
            <w:shd w:val="clear" w:color="auto" w:fill="CCEEFF"/>
            <w:tcMar>
              <w:top w:w="30" w:type="dxa"/>
              <w:left w:w="20" w:type="dxa"/>
              <w:bottom w:w="30" w:type="dxa"/>
              <w:right w:w="0" w:type="dxa"/>
            </w:tcMar>
            <w:vAlign w:val="bottom"/>
            <w:hideMark/>
          </w:tcPr>
          <w:p w14:paraId="668F95A2" w14:textId="77777777" w:rsidR="00000000" w:rsidRDefault="000C49AD">
            <w:pPr>
              <w:spacing w:after="100"/>
              <w:jc w:val="right"/>
              <w:rPr>
                <w:rFonts w:eastAsia="Times New Roman"/>
              </w:rPr>
            </w:pPr>
            <w:r>
              <w:rPr>
                <w:rFonts w:eastAsia="Times New Roman"/>
                <w:color w:val="000000"/>
                <w:sz w:val="18"/>
                <w:szCs w:val="18"/>
              </w:rPr>
              <w:t>263 </w:t>
            </w:r>
          </w:p>
        </w:tc>
        <w:tc>
          <w:tcPr>
            <w:tcW w:w="0" w:type="auto"/>
            <w:shd w:val="clear" w:color="auto" w:fill="CCEEFF"/>
            <w:tcMar>
              <w:top w:w="30" w:type="dxa"/>
              <w:left w:w="0" w:type="dxa"/>
              <w:bottom w:w="30" w:type="dxa"/>
              <w:right w:w="20" w:type="dxa"/>
            </w:tcMar>
            <w:vAlign w:val="bottom"/>
            <w:hideMark/>
          </w:tcPr>
          <w:p w14:paraId="2D6C4AF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564F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7E184A" w14:textId="77777777" w:rsidR="00000000" w:rsidRDefault="000C49AD">
            <w:pPr>
              <w:spacing w:after="100"/>
              <w:jc w:val="right"/>
              <w:rPr>
                <w:rFonts w:eastAsia="Times New Roman"/>
              </w:rPr>
            </w:pPr>
            <w:r>
              <w:rPr>
                <w:rFonts w:eastAsia="Times New Roman"/>
                <w:color w:val="000000"/>
                <w:sz w:val="18"/>
                <w:szCs w:val="18"/>
              </w:rPr>
              <w:t>179,683 </w:t>
            </w:r>
          </w:p>
        </w:tc>
        <w:tc>
          <w:tcPr>
            <w:tcW w:w="0" w:type="auto"/>
            <w:shd w:val="clear" w:color="auto" w:fill="CCEEFF"/>
            <w:tcMar>
              <w:top w:w="30" w:type="dxa"/>
              <w:left w:w="0" w:type="dxa"/>
              <w:bottom w:w="30" w:type="dxa"/>
              <w:right w:w="20" w:type="dxa"/>
            </w:tcMar>
            <w:vAlign w:val="bottom"/>
            <w:hideMark/>
          </w:tcPr>
          <w:p w14:paraId="5676A53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AC78F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A92A45" w14:textId="77777777" w:rsidR="00000000" w:rsidRDefault="000C49AD">
            <w:pPr>
              <w:spacing w:after="100"/>
              <w:jc w:val="right"/>
              <w:rPr>
                <w:rFonts w:eastAsia="Times New Roman"/>
              </w:rPr>
            </w:pPr>
            <w:r>
              <w:rPr>
                <w:rFonts w:eastAsia="Times New Roman"/>
                <w:color w:val="000000"/>
                <w:sz w:val="18"/>
                <w:szCs w:val="18"/>
              </w:rPr>
              <w:t>(179,420)</w:t>
            </w:r>
          </w:p>
        </w:tc>
        <w:tc>
          <w:tcPr>
            <w:tcW w:w="0" w:type="auto"/>
            <w:shd w:val="clear" w:color="auto" w:fill="CCEEFF"/>
            <w:tcMar>
              <w:top w:w="30" w:type="dxa"/>
              <w:left w:w="0" w:type="dxa"/>
              <w:bottom w:w="30" w:type="dxa"/>
              <w:right w:w="20" w:type="dxa"/>
            </w:tcMar>
            <w:vAlign w:val="bottom"/>
            <w:hideMark/>
          </w:tcPr>
          <w:p w14:paraId="5BC755A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2EF26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15BBAB" w14:textId="77777777" w:rsidR="00000000" w:rsidRDefault="000C49AD">
            <w:pPr>
              <w:spacing w:after="100"/>
              <w:jc w:val="right"/>
              <w:rPr>
                <w:rFonts w:eastAsia="Times New Roman"/>
              </w:rPr>
            </w:pPr>
            <w:r>
              <w:rPr>
                <w:rFonts w:eastAsia="Times New Roman"/>
                <w:color w:val="000000"/>
                <w:sz w:val="18"/>
                <w:szCs w:val="18"/>
              </w:rPr>
              <w:t>(99.9)</w:t>
            </w:r>
          </w:p>
        </w:tc>
        <w:tc>
          <w:tcPr>
            <w:tcW w:w="0" w:type="auto"/>
            <w:shd w:val="clear" w:color="auto" w:fill="CCEEFF"/>
            <w:tcMar>
              <w:top w:w="30" w:type="dxa"/>
              <w:left w:w="0" w:type="dxa"/>
              <w:bottom w:w="30" w:type="dxa"/>
              <w:right w:w="20" w:type="dxa"/>
            </w:tcMar>
            <w:vAlign w:val="bottom"/>
            <w:hideMark/>
          </w:tcPr>
          <w:p w14:paraId="01CD8B0E" w14:textId="77777777" w:rsidR="00000000" w:rsidRDefault="000C49AD">
            <w:pPr>
              <w:spacing w:after="100"/>
              <w:jc w:val="right"/>
              <w:rPr>
                <w:rFonts w:eastAsia="Times New Roman"/>
              </w:rPr>
            </w:pPr>
            <w:r>
              <w:rPr>
                <w:rFonts w:eastAsia="Times New Roman"/>
                <w:color w:val="000000"/>
                <w:sz w:val="18"/>
                <w:szCs w:val="18"/>
              </w:rPr>
              <w:t>%</w:t>
            </w:r>
          </w:p>
        </w:tc>
      </w:tr>
    </w:tbl>
    <w:p w14:paraId="0349C848" w14:textId="77777777" w:rsidR="00000000" w:rsidRDefault="000C49AD">
      <w:pPr>
        <w:jc w:val="both"/>
        <w:divId w:val="1402559929"/>
        <w:rPr>
          <w:rFonts w:eastAsia="Times New Roman"/>
        </w:rPr>
      </w:pPr>
    </w:p>
    <w:p w14:paraId="40951BAB" w14:textId="77777777" w:rsidR="00000000" w:rsidRDefault="000C49AD">
      <w:pPr>
        <w:jc w:val="center"/>
        <w:divId w:val="431900142"/>
        <w:rPr>
          <w:rFonts w:eastAsia="Times New Roman"/>
        </w:rPr>
      </w:pPr>
      <w:r>
        <w:rPr>
          <w:rFonts w:eastAsia="Times New Roman"/>
          <w:color w:val="000000"/>
          <w:sz w:val="20"/>
          <w:szCs w:val="20"/>
        </w:rPr>
        <w:t>-71-</w:t>
      </w:r>
    </w:p>
    <w:p w14:paraId="33533ABA" w14:textId="77777777" w:rsidR="00000000" w:rsidRDefault="000C49AD">
      <w:pPr>
        <w:rPr>
          <w:rFonts w:eastAsia="Times New Roman"/>
        </w:rPr>
      </w:pPr>
      <w:r>
        <w:rPr>
          <w:rFonts w:eastAsia="Times New Roman"/>
        </w:rPr>
        <w:pict w14:anchorId="6B65BA72">
          <v:rect id="_x0000_i1096" style="width:0;height:1.5pt" o:hralign="center" o:hrstd="t" o:hr="t" fillcolor="#a0a0a0" stroked="f"/>
        </w:pict>
      </w:r>
    </w:p>
    <w:p w14:paraId="1B00C69E" w14:textId="77777777" w:rsidR="00000000" w:rsidRDefault="000C49AD">
      <w:pPr>
        <w:divId w:val="2047100344"/>
        <w:rPr>
          <w:rFonts w:eastAsia="Times New Roman"/>
        </w:rPr>
      </w:pPr>
    </w:p>
    <w:p w14:paraId="07D05519" w14:textId="77777777" w:rsidR="00000000" w:rsidRDefault="000C49AD">
      <w:pPr>
        <w:jc w:val="both"/>
        <w:divId w:val="1039210486"/>
        <w:rPr>
          <w:rFonts w:eastAsia="Times New Roman"/>
        </w:rPr>
      </w:pPr>
      <w:r>
        <w:rPr>
          <w:rFonts w:eastAsia="Times New Roman"/>
          <w:b/>
          <w:bCs/>
          <w:i/>
          <w:iCs/>
          <w:color w:val="000000"/>
          <w:sz w:val="20"/>
          <w:szCs w:val="20"/>
        </w:rPr>
        <w:t>Operating Activities</w:t>
      </w:r>
      <w:r>
        <w:rPr>
          <w:rFonts w:eastAsia="Times New Roman"/>
          <w:color w:val="000000"/>
          <w:sz w:val="20"/>
          <w:szCs w:val="20"/>
        </w:rPr>
        <w:t> </w:t>
      </w:r>
    </w:p>
    <w:p w14:paraId="5E5D4E50" w14:textId="77777777" w:rsidR="00000000" w:rsidRDefault="000C49AD">
      <w:pPr>
        <w:jc w:val="both"/>
        <w:rPr>
          <w:rFonts w:eastAsia="Times New Roman"/>
        </w:rPr>
      </w:pPr>
      <w:r>
        <w:rPr>
          <w:rFonts w:eastAsia="Times New Roman"/>
          <w:color w:val="000000"/>
          <w:sz w:val="20"/>
          <w:szCs w:val="20"/>
        </w:rPr>
        <w:t xml:space="preserve">Net cash used in operating activities of $77,310 for the year ended December 31, 2021 increased from net cash used in operating activities of $48,734 in the prior year. Net cash used in operating </w:t>
      </w:r>
      <w:r>
        <w:rPr>
          <w:rFonts w:eastAsia="Times New Roman"/>
          <w:color w:val="000000"/>
          <w:sz w:val="20"/>
          <w:szCs w:val="20"/>
        </w:rPr>
        <w:t>activities for the year ended December 31, 2021 was driven by net loss of $77,329 and unfavorable non-cash adjustments of $3,676, offset by favorable changes in working capital of $3,695. For the year ended December 31, 2020, net cash used in operating act</w:t>
      </w:r>
      <w:r>
        <w:rPr>
          <w:rFonts w:eastAsia="Times New Roman"/>
          <w:color w:val="000000"/>
          <w:sz w:val="20"/>
          <w:szCs w:val="20"/>
        </w:rPr>
        <w:t>ivities was driven by net income of $7,028 and favorable non-cash adjustments of $4,322, offset by the $45,760 gain recorded for the sale of the Hospital Products and a $14,324 unfavorable change in working capital. The year over year change in working cap</w:t>
      </w:r>
      <w:r>
        <w:rPr>
          <w:rFonts w:eastAsia="Times New Roman"/>
          <w:color w:val="000000"/>
          <w:sz w:val="20"/>
          <w:szCs w:val="20"/>
        </w:rPr>
        <w:t>ital is driven by an increase in accounts payable and accrued expenses in 2021 as a result of the Company’s commercial preparations and launch readiness activities for potential approval of FT218.</w:t>
      </w:r>
    </w:p>
    <w:p w14:paraId="3C922FAD" w14:textId="77777777" w:rsidR="00000000" w:rsidRDefault="000C49AD">
      <w:pPr>
        <w:jc w:val="both"/>
        <w:rPr>
          <w:rFonts w:eastAsia="Times New Roman"/>
        </w:rPr>
      </w:pPr>
    </w:p>
    <w:p w14:paraId="4F3BC6CE" w14:textId="77777777" w:rsidR="00000000" w:rsidRDefault="000C49AD">
      <w:pPr>
        <w:jc w:val="both"/>
        <w:rPr>
          <w:rFonts w:eastAsia="Times New Roman"/>
        </w:rPr>
      </w:pPr>
      <w:r>
        <w:rPr>
          <w:rFonts w:eastAsia="Times New Roman"/>
          <w:b/>
          <w:bCs/>
          <w:i/>
          <w:iCs/>
          <w:color w:val="000000"/>
          <w:sz w:val="20"/>
          <w:szCs w:val="20"/>
        </w:rPr>
        <w:t>Investing Activities</w:t>
      </w:r>
      <w:r>
        <w:rPr>
          <w:rFonts w:eastAsia="Times New Roman"/>
          <w:color w:val="000000"/>
          <w:sz w:val="20"/>
          <w:szCs w:val="20"/>
        </w:rPr>
        <w:t> </w:t>
      </w:r>
    </w:p>
    <w:p w14:paraId="4346A733" w14:textId="77777777" w:rsidR="00000000" w:rsidRDefault="000C49AD">
      <w:pPr>
        <w:jc w:val="both"/>
        <w:rPr>
          <w:rFonts w:eastAsia="Times New Roman"/>
        </w:rPr>
      </w:pPr>
    </w:p>
    <w:p w14:paraId="08892B9E" w14:textId="77777777" w:rsidR="00000000" w:rsidRDefault="000C49AD">
      <w:pPr>
        <w:jc w:val="both"/>
        <w:rPr>
          <w:rFonts w:eastAsia="Times New Roman"/>
        </w:rPr>
      </w:pPr>
      <w:r>
        <w:rPr>
          <w:rFonts w:eastAsia="Times New Roman"/>
          <w:color w:val="000000"/>
          <w:sz w:val="20"/>
          <w:szCs w:val="20"/>
        </w:rPr>
        <w:t>Cash provided by investing activi</w:t>
      </w:r>
      <w:r>
        <w:rPr>
          <w:rFonts w:eastAsia="Times New Roman"/>
          <w:color w:val="000000"/>
          <w:sz w:val="20"/>
          <w:szCs w:val="20"/>
        </w:rPr>
        <w:t>ties was $56,929 for the year ended December 31, 2021 compared to cash used in investing activities of $69,721 in the same prior year period. Net cash provided by investing activities for the year ended December 31, 2021 was driven by net proceeds from sal</w:t>
      </w:r>
      <w:r>
        <w:rPr>
          <w:rFonts w:eastAsia="Times New Roman"/>
          <w:color w:val="000000"/>
          <w:sz w:val="20"/>
          <w:szCs w:val="20"/>
        </w:rPr>
        <w:t>es of marketable securities of $40,455 and proceeds of $16,500 received from the sale of the Hospital Products. Net cash used in investing activities for the year ended December 31, 2020 was driven by net purchases of marketable securities of $95,123, part</w:t>
      </w:r>
      <w:r>
        <w:rPr>
          <w:rFonts w:eastAsia="Times New Roman"/>
          <w:color w:val="000000"/>
          <w:sz w:val="20"/>
          <w:szCs w:val="20"/>
        </w:rPr>
        <w:t>ially offset by proceeds from the disposition of the Hospital Products of $25,500.</w:t>
      </w:r>
    </w:p>
    <w:p w14:paraId="115B08F2" w14:textId="77777777" w:rsidR="00000000" w:rsidRDefault="000C49AD">
      <w:pPr>
        <w:jc w:val="both"/>
        <w:rPr>
          <w:rFonts w:eastAsia="Times New Roman"/>
        </w:rPr>
      </w:pPr>
    </w:p>
    <w:p w14:paraId="6C72D665" w14:textId="77777777" w:rsidR="00000000" w:rsidRDefault="000C49AD">
      <w:pPr>
        <w:jc w:val="both"/>
        <w:rPr>
          <w:rFonts w:eastAsia="Times New Roman"/>
        </w:rPr>
      </w:pPr>
      <w:r>
        <w:rPr>
          <w:rFonts w:eastAsia="Times New Roman"/>
          <w:b/>
          <w:bCs/>
          <w:i/>
          <w:iCs/>
          <w:color w:val="000000"/>
          <w:sz w:val="20"/>
          <w:szCs w:val="20"/>
        </w:rPr>
        <w:t>Financing Activities</w:t>
      </w:r>
      <w:r>
        <w:rPr>
          <w:rFonts w:eastAsia="Times New Roman"/>
          <w:color w:val="000000"/>
          <w:sz w:val="20"/>
          <w:szCs w:val="20"/>
        </w:rPr>
        <w:t> </w:t>
      </w:r>
    </w:p>
    <w:p w14:paraId="0C97E086" w14:textId="77777777" w:rsidR="00000000" w:rsidRDefault="000C49AD">
      <w:pPr>
        <w:jc w:val="both"/>
        <w:rPr>
          <w:rFonts w:eastAsia="Times New Roman"/>
        </w:rPr>
      </w:pPr>
    </w:p>
    <w:p w14:paraId="398D23A9" w14:textId="77777777" w:rsidR="00000000" w:rsidRDefault="000C49AD">
      <w:pPr>
        <w:jc w:val="both"/>
        <w:rPr>
          <w:rFonts w:eastAsia="Times New Roman"/>
        </w:rPr>
      </w:pPr>
      <w:r>
        <w:rPr>
          <w:rFonts w:eastAsia="Times New Roman"/>
          <w:color w:val="000000"/>
          <w:sz w:val="20"/>
          <w:szCs w:val="20"/>
        </w:rPr>
        <w:t>Cash provided by financing activities was $263 for the year ended December 31, 2021 compared to cash provided by financing activities of $179,683 f</w:t>
      </w:r>
      <w:r>
        <w:rPr>
          <w:rFonts w:eastAsia="Times New Roman"/>
          <w:color w:val="000000"/>
          <w:sz w:val="20"/>
          <w:szCs w:val="20"/>
        </w:rPr>
        <w:t>or the same prior year period. Cash provided financing activities for the year ended December 31, 2021 related to proceeds from the issuance of ordinary shares related to employee equity awards. Cash provided by financing activities for the year ended Dece</w:t>
      </w:r>
      <w:r>
        <w:rPr>
          <w:rFonts w:eastAsia="Times New Roman"/>
          <w:color w:val="000000"/>
          <w:sz w:val="20"/>
          <w:szCs w:val="20"/>
        </w:rPr>
        <w:t>mber 31, 2020 was driven by the February private placement that resulted in net proceeds of $60,570, the May public offering that resulted in net proceeds of $116,924, and proceeds from the issuance of ordinary shares of $2,189 related to employee equity a</w:t>
      </w:r>
      <w:r>
        <w:rPr>
          <w:rFonts w:eastAsia="Times New Roman"/>
          <w:color w:val="000000"/>
          <w:sz w:val="20"/>
          <w:szCs w:val="20"/>
        </w:rPr>
        <w:t>wards.</w:t>
      </w:r>
    </w:p>
    <w:p w14:paraId="769DDFF6" w14:textId="77777777" w:rsidR="00000000" w:rsidRDefault="000C49AD">
      <w:pPr>
        <w:jc w:val="both"/>
        <w:rPr>
          <w:rFonts w:eastAsia="Times New Roman"/>
        </w:rPr>
      </w:pPr>
    </w:p>
    <w:p w14:paraId="21A5CAD8" w14:textId="77777777" w:rsidR="00000000" w:rsidRDefault="000C49AD">
      <w:pPr>
        <w:jc w:val="both"/>
        <w:divId w:val="1248614912"/>
        <w:rPr>
          <w:rFonts w:eastAsia="Times New Roman"/>
        </w:rPr>
      </w:pPr>
      <w:r>
        <w:rPr>
          <w:rFonts w:eastAsia="Times New Roman"/>
          <w:b/>
          <w:bCs/>
          <w:i/>
          <w:iCs/>
          <w:color w:val="000000"/>
          <w:sz w:val="20"/>
          <w:szCs w:val="20"/>
        </w:rPr>
        <w:t>Risk Management </w:t>
      </w:r>
    </w:p>
    <w:p w14:paraId="7063784A" w14:textId="77777777" w:rsidR="00000000" w:rsidRDefault="000C49AD">
      <w:pPr>
        <w:jc w:val="both"/>
        <w:rPr>
          <w:rFonts w:eastAsia="Times New Roman"/>
        </w:rPr>
      </w:pPr>
      <w:r>
        <w:rPr>
          <w:rFonts w:eastAsia="Times New Roman"/>
          <w:color w:val="000000"/>
          <w:sz w:val="20"/>
          <w:szCs w:val="20"/>
        </w:rPr>
        <w:t>The adequacy of our cash resources depends on the outcome of certain business conditions including the cost of our FT218 clinical development and commercial launch plans, our cost structure, and other factors set forth in “Risk Fa</w:t>
      </w:r>
      <w:r>
        <w:rPr>
          <w:rFonts w:eastAsia="Times New Roman"/>
          <w:color w:val="000000"/>
          <w:sz w:val="20"/>
          <w:szCs w:val="20"/>
        </w:rPr>
        <w:t xml:space="preserve">ctors” within Part I, Item 1A of this Annual Report on Form 10-K. To complete the FT218 clinical development and commercial launch plans we will need to commit substantial resources, which could result in future losses or otherwise limit our opportunities </w:t>
      </w:r>
      <w:r>
        <w:rPr>
          <w:rFonts w:eastAsia="Times New Roman"/>
          <w:color w:val="000000"/>
          <w:sz w:val="20"/>
          <w:szCs w:val="20"/>
        </w:rPr>
        <w:t>or affect our ability to operate our business. Our assumptions concerning the outcome of certain business conditions may prove to be wrong or other factors may adversely affect our business, and as a result we could exhaust or significantly decrease our av</w:t>
      </w:r>
      <w:r>
        <w:rPr>
          <w:rFonts w:eastAsia="Times New Roman"/>
          <w:color w:val="000000"/>
          <w:sz w:val="20"/>
          <w:szCs w:val="20"/>
        </w:rPr>
        <w:t>ailable cash and marketable securities balances which could, among other things, force us to raise additional funds and/or force us to reduce our expenses, either of which could have a material adverse effect on our business. Additionally, we are unable to</w:t>
      </w:r>
      <w:r>
        <w:rPr>
          <w:rFonts w:eastAsia="Times New Roman"/>
          <w:color w:val="000000"/>
          <w:sz w:val="20"/>
          <w:szCs w:val="20"/>
        </w:rPr>
        <w:t xml:space="preserve"> estimate the near or long term impact of COVID-19, which may have a material adverse impact on our business.</w:t>
      </w:r>
    </w:p>
    <w:p w14:paraId="330A9516" w14:textId="77777777" w:rsidR="00000000" w:rsidRDefault="000C49AD">
      <w:pPr>
        <w:jc w:val="both"/>
        <w:rPr>
          <w:rFonts w:eastAsia="Times New Roman"/>
        </w:rPr>
      </w:pPr>
    </w:p>
    <w:p w14:paraId="38063D8A" w14:textId="77777777" w:rsidR="00000000" w:rsidRDefault="000C49AD">
      <w:pPr>
        <w:jc w:val="both"/>
        <w:rPr>
          <w:rFonts w:eastAsia="Times New Roman"/>
        </w:rPr>
      </w:pPr>
      <w:r>
        <w:rPr>
          <w:rFonts w:eastAsia="Times New Roman"/>
          <w:color w:val="000000"/>
          <w:sz w:val="20"/>
          <w:szCs w:val="20"/>
        </w:rPr>
        <w:t>If available to us, raising additional capital may be accomplished through one or more public or private debt or equity financings, royalty fina</w:t>
      </w:r>
      <w:r>
        <w:rPr>
          <w:rFonts w:eastAsia="Times New Roman"/>
          <w:color w:val="000000"/>
          <w:sz w:val="20"/>
          <w:szCs w:val="20"/>
        </w:rPr>
        <w:t>ncings or collaborations or partnering arrangements. Any equity financing would be dilutive to our shareholders.</w:t>
      </w:r>
    </w:p>
    <w:p w14:paraId="6273BB16" w14:textId="77777777" w:rsidR="00000000" w:rsidRDefault="000C49AD">
      <w:pPr>
        <w:jc w:val="both"/>
        <w:rPr>
          <w:rFonts w:eastAsia="Times New Roman"/>
        </w:rPr>
      </w:pPr>
    </w:p>
    <w:p w14:paraId="0CDD20AC" w14:textId="77777777" w:rsidR="00000000" w:rsidRDefault="000C49AD">
      <w:pPr>
        <w:jc w:val="both"/>
        <w:rPr>
          <w:rFonts w:eastAsia="Times New Roman"/>
        </w:rPr>
      </w:pPr>
      <w:r>
        <w:rPr>
          <w:rFonts w:eastAsia="Times New Roman"/>
          <w:color w:val="000000"/>
          <w:sz w:val="20"/>
          <w:szCs w:val="20"/>
        </w:rPr>
        <w:t>Cash, cash equivalent and marketable security balances as of December 31, 2021 and unused financing sources are expected to provide us with t</w:t>
      </w:r>
      <w:r>
        <w:rPr>
          <w:rFonts w:eastAsia="Times New Roman"/>
          <w:color w:val="000000"/>
          <w:sz w:val="20"/>
          <w:szCs w:val="20"/>
        </w:rPr>
        <w:t>he flexibility to meet our liquidity needs in 2022, including operating requirements related to the commercial launch of FT218.</w:t>
      </w:r>
    </w:p>
    <w:p w14:paraId="1A3B2C9F" w14:textId="77777777" w:rsidR="00000000" w:rsidRDefault="000C49AD">
      <w:pPr>
        <w:jc w:val="both"/>
        <w:rPr>
          <w:rFonts w:eastAsia="Times New Roman"/>
        </w:rPr>
      </w:pPr>
    </w:p>
    <w:p w14:paraId="6B2B83D6" w14:textId="77777777" w:rsidR="00000000" w:rsidRDefault="000C49AD">
      <w:pPr>
        <w:jc w:val="both"/>
        <w:divId w:val="1146816367"/>
        <w:rPr>
          <w:rFonts w:eastAsia="Times New Roman"/>
        </w:rPr>
      </w:pPr>
      <w:r>
        <w:rPr>
          <w:rFonts w:eastAsia="Times New Roman"/>
          <w:b/>
          <w:bCs/>
          <w:color w:val="000000"/>
          <w:sz w:val="20"/>
          <w:szCs w:val="20"/>
          <w:u w:val="single"/>
        </w:rPr>
        <w:t>Other Matters</w:t>
      </w:r>
      <w:r>
        <w:rPr>
          <w:rFonts w:eastAsia="Times New Roman"/>
          <w:b/>
          <w:bCs/>
          <w:i/>
          <w:iCs/>
          <w:color w:val="000000"/>
          <w:sz w:val="20"/>
          <w:szCs w:val="20"/>
          <w:u w:val="single"/>
        </w:rPr>
        <w:t> </w:t>
      </w:r>
    </w:p>
    <w:p w14:paraId="7F6D8BCB" w14:textId="77777777" w:rsidR="00000000" w:rsidRDefault="000C49AD">
      <w:pPr>
        <w:jc w:val="both"/>
        <w:divId w:val="1033454940"/>
        <w:rPr>
          <w:rFonts w:eastAsia="Times New Roman"/>
        </w:rPr>
      </w:pPr>
      <w:r>
        <w:rPr>
          <w:rFonts w:eastAsia="Times New Roman"/>
          <w:b/>
          <w:bCs/>
          <w:i/>
          <w:iCs/>
          <w:color w:val="000000"/>
          <w:sz w:val="20"/>
          <w:szCs w:val="20"/>
        </w:rPr>
        <w:t xml:space="preserve">Litigation </w:t>
      </w:r>
      <w:r>
        <w:rPr>
          <w:rFonts w:eastAsia="Times New Roman"/>
          <w:color w:val="000000"/>
          <w:sz w:val="20"/>
          <w:szCs w:val="20"/>
        </w:rPr>
        <w:t> </w:t>
      </w:r>
    </w:p>
    <w:p w14:paraId="2898F00C" w14:textId="77777777" w:rsidR="00000000" w:rsidRDefault="000C49AD">
      <w:pPr>
        <w:jc w:val="both"/>
        <w:rPr>
          <w:rFonts w:eastAsia="Times New Roman"/>
        </w:rPr>
      </w:pPr>
      <w:r>
        <w:rPr>
          <w:rFonts w:eastAsia="Times New Roman"/>
          <w:color w:val="000000"/>
          <w:sz w:val="20"/>
          <w:szCs w:val="20"/>
        </w:rPr>
        <w:t>We are subject to potential liabilities generally incidental to our business arising out of present and future lawsuits and claims related to product liability, personal injury, contract, commercial, intellectual property, tax, employment, compliance and o</w:t>
      </w:r>
      <w:r>
        <w:rPr>
          <w:rFonts w:eastAsia="Times New Roman"/>
          <w:color w:val="000000"/>
          <w:sz w:val="20"/>
          <w:szCs w:val="20"/>
        </w:rPr>
        <w:t xml:space="preserve">ther matters that arise in the ordinary course of business. We accrue for potential liabilities when it is probable that future costs (including legal fees and expenses) will be incurred and such costs can be reasonably estimated. At December 31, 2021 and </w:t>
      </w:r>
      <w:r>
        <w:rPr>
          <w:rFonts w:eastAsia="Times New Roman"/>
          <w:color w:val="000000"/>
          <w:sz w:val="20"/>
          <w:szCs w:val="20"/>
        </w:rPr>
        <w:t>December 31, 2020, there were no contingent liabilities with respect to any litigation, arbitration or administrative or other proceeding that are reasonably likely to have a material adverse effect on our consolidated financial position, results of operat</w:t>
      </w:r>
      <w:r>
        <w:rPr>
          <w:rFonts w:eastAsia="Times New Roman"/>
          <w:color w:val="000000"/>
          <w:sz w:val="20"/>
          <w:szCs w:val="20"/>
        </w:rPr>
        <w:t xml:space="preserve">ions, cash flows or liquidity. For information regarding legal proceedings we are involved in, see </w:t>
      </w:r>
      <w:r>
        <w:rPr>
          <w:rFonts w:eastAsia="Times New Roman"/>
          <w:i/>
          <w:iCs/>
          <w:color w:val="000000"/>
          <w:sz w:val="20"/>
          <w:szCs w:val="20"/>
        </w:rPr>
        <w:t xml:space="preserve">Note 15: Contingent </w:t>
      </w:r>
    </w:p>
    <w:p w14:paraId="0E3DB53C" w14:textId="77777777" w:rsidR="00000000" w:rsidRDefault="000C49AD">
      <w:pPr>
        <w:jc w:val="center"/>
        <w:divId w:val="142820719"/>
        <w:rPr>
          <w:rFonts w:eastAsia="Times New Roman"/>
        </w:rPr>
      </w:pPr>
      <w:r>
        <w:rPr>
          <w:rFonts w:eastAsia="Times New Roman"/>
          <w:color w:val="000000"/>
          <w:sz w:val="20"/>
          <w:szCs w:val="20"/>
        </w:rPr>
        <w:t>-72-</w:t>
      </w:r>
    </w:p>
    <w:p w14:paraId="705E6D1A" w14:textId="77777777" w:rsidR="00000000" w:rsidRDefault="000C49AD">
      <w:pPr>
        <w:rPr>
          <w:rFonts w:eastAsia="Times New Roman"/>
        </w:rPr>
      </w:pPr>
      <w:r>
        <w:rPr>
          <w:rFonts w:eastAsia="Times New Roman"/>
        </w:rPr>
        <w:pict w14:anchorId="38AEA19F">
          <v:rect id="_x0000_i1097" style="width:0;height:1.5pt" o:hralign="center" o:hrstd="t" o:hr="t" fillcolor="#a0a0a0" stroked="f"/>
        </w:pict>
      </w:r>
    </w:p>
    <w:p w14:paraId="718C6206" w14:textId="77777777" w:rsidR="00000000" w:rsidRDefault="000C49AD">
      <w:pPr>
        <w:divId w:val="1215123630"/>
        <w:rPr>
          <w:rFonts w:eastAsia="Times New Roman"/>
        </w:rPr>
      </w:pPr>
    </w:p>
    <w:p w14:paraId="31996975" w14:textId="77777777" w:rsidR="00000000" w:rsidRDefault="000C49AD">
      <w:pPr>
        <w:jc w:val="both"/>
        <w:rPr>
          <w:rFonts w:eastAsia="Times New Roman"/>
        </w:rPr>
      </w:pPr>
      <w:r>
        <w:rPr>
          <w:rFonts w:eastAsia="Times New Roman"/>
          <w:i/>
          <w:iCs/>
          <w:color w:val="000000"/>
          <w:sz w:val="20"/>
          <w:szCs w:val="20"/>
        </w:rPr>
        <w:t xml:space="preserve">Liabilities and Commitments </w:t>
      </w:r>
      <w:r>
        <w:rPr>
          <w:rFonts w:eastAsia="Times New Roman"/>
          <w:color w:val="000000"/>
          <w:sz w:val="20"/>
          <w:szCs w:val="20"/>
        </w:rPr>
        <w:t>to our audited consolidated financial statements included in Part II, Item 8 of this Annual Report on Form 10-K</w:t>
      </w:r>
      <w:r>
        <w:rPr>
          <w:rFonts w:eastAsia="Times New Roman"/>
          <w:i/>
          <w:iCs/>
          <w:color w:val="000000"/>
          <w:sz w:val="20"/>
          <w:szCs w:val="20"/>
        </w:rPr>
        <w:t xml:space="preserve">. </w:t>
      </w:r>
    </w:p>
    <w:p w14:paraId="656F68EC" w14:textId="77777777" w:rsidR="00000000" w:rsidRDefault="000C49AD">
      <w:pPr>
        <w:jc w:val="both"/>
        <w:rPr>
          <w:rFonts w:eastAsia="Times New Roman"/>
        </w:rPr>
      </w:pPr>
    </w:p>
    <w:p w14:paraId="7E190125" w14:textId="77777777" w:rsidR="00000000" w:rsidRDefault="000C49AD">
      <w:pPr>
        <w:jc w:val="both"/>
        <w:divId w:val="1381201427"/>
        <w:rPr>
          <w:rFonts w:eastAsia="Times New Roman"/>
        </w:rPr>
      </w:pPr>
      <w:r>
        <w:rPr>
          <w:rFonts w:eastAsia="Times New Roman"/>
          <w:b/>
          <w:bCs/>
          <w:color w:val="000000"/>
          <w:sz w:val="20"/>
          <w:szCs w:val="20"/>
        </w:rPr>
        <w:t>Item 7A.    Quantitative and Qualitative Disclosures About Market Risk.</w:t>
      </w:r>
    </w:p>
    <w:p w14:paraId="204DD95C" w14:textId="77777777" w:rsidR="00000000" w:rsidRDefault="000C49AD">
      <w:pPr>
        <w:jc w:val="both"/>
        <w:rPr>
          <w:rFonts w:eastAsia="Times New Roman"/>
        </w:rPr>
      </w:pPr>
      <w:r>
        <w:rPr>
          <w:rFonts w:eastAsia="Times New Roman"/>
          <w:b/>
          <w:bCs/>
          <w:color w:val="000000"/>
          <w:sz w:val="20"/>
          <w:szCs w:val="20"/>
          <w:u w:val="single"/>
        </w:rPr>
        <w:t>Interest Rate Risk</w:t>
      </w:r>
      <w:r>
        <w:rPr>
          <w:rFonts w:eastAsia="Times New Roman"/>
          <w:color w:val="000000"/>
          <w:sz w:val="20"/>
          <w:szCs w:val="20"/>
          <w:u w:val="single"/>
        </w:rPr>
        <w:t> </w:t>
      </w:r>
    </w:p>
    <w:p w14:paraId="65986E12" w14:textId="77777777" w:rsidR="00000000" w:rsidRDefault="000C49AD">
      <w:pPr>
        <w:jc w:val="both"/>
        <w:rPr>
          <w:rFonts w:eastAsia="Times New Roman"/>
        </w:rPr>
      </w:pPr>
    </w:p>
    <w:p w14:paraId="23C3859A" w14:textId="77777777" w:rsidR="00000000" w:rsidRDefault="000C49AD">
      <w:pPr>
        <w:jc w:val="both"/>
        <w:rPr>
          <w:rFonts w:eastAsia="Times New Roman"/>
        </w:rPr>
      </w:pPr>
      <w:r>
        <w:rPr>
          <w:rFonts w:eastAsia="Times New Roman"/>
          <w:color w:val="000000"/>
          <w:sz w:val="20"/>
          <w:szCs w:val="20"/>
        </w:rPr>
        <w:t>We are subject to interest rate risk as a resu</w:t>
      </w:r>
      <w:r>
        <w:rPr>
          <w:rFonts w:eastAsia="Times New Roman"/>
          <w:color w:val="000000"/>
          <w:sz w:val="20"/>
          <w:szCs w:val="20"/>
        </w:rPr>
        <w:t>lt of our portfolio of marketable securities. The primary objectives of our investment policy are as follows: safety and preservation of principal and diversification of risk; liquidity of investments sufficient to meet cash flow requirements; and competit</w:t>
      </w:r>
      <w:r>
        <w:rPr>
          <w:rFonts w:eastAsia="Times New Roman"/>
          <w:color w:val="000000"/>
          <w:sz w:val="20"/>
          <w:szCs w:val="20"/>
        </w:rPr>
        <w:t>ive yield. Although our investments are subject to market risk, our investment policy specifies credit quality standards for our investments and limits the amount of credit exposure from any single issue, issuer or certain types of investment. Our investme</w:t>
      </w:r>
      <w:r>
        <w:rPr>
          <w:rFonts w:eastAsia="Times New Roman"/>
          <w:color w:val="000000"/>
          <w:sz w:val="20"/>
          <w:szCs w:val="20"/>
        </w:rPr>
        <w:t>nt policy allows us to maintain a portfolio of cash equivalents and marketable securities in a variety of instruments, including U.S. federal government and federal agency securities, European Government bonds, corporate bonds or commercial paper issued by</w:t>
      </w:r>
      <w:r>
        <w:rPr>
          <w:rFonts w:eastAsia="Times New Roman"/>
          <w:color w:val="000000"/>
          <w:sz w:val="20"/>
          <w:szCs w:val="20"/>
        </w:rPr>
        <w:t xml:space="preserve"> U.S. or European corporations, money market instruments, certain qualifying money market mutual funds, certain repurchase agreements, tax-exempt obligations of states, agencies, and municipalities in the U.S and Europe, and equities. </w:t>
      </w:r>
    </w:p>
    <w:p w14:paraId="1EE92F5A" w14:textId="77777777" w:rsidR="00000000" w:rsidRDefault="000C49AD">
      <w:pPr>
        <w:jc w:val="both"/>
        <w:rPr>
          <w:rFonts w:eastAsia="Times New Roman"/>
        </w:rPr>
      </w:pPr>
    </w:p>
    <w:p w14:paraId="72CA5154" w14:textId="77777777" w:rsidR="00000000" w:rsidRDefault="000C49AD">
      <w:pPr>
        <w:jc w:val="both"/>
        <w:rPr>
          <w:rFonts w:eastAsia="Times New Roman"/>
        </w:rPr>
      </w:pPr>
      <w:r>
        <w:rPr>
          <w:rFonts w:eastAsia="Times New Roman"/>
          <w:b/>
          <w:bCs/>
          <w:color w:val="000000"/>
          <w:sz w:val="20"/>
          <w:szCs w:val="20"/>
          <w:u w:val="single"/>
        </w:rPr>
        <w:t>Foreign Exchange R</w:t>
      </w:r>
      <w:r>
        <w:rPr>
          <w:rFonts w:eastAsia="Times New Roman"/>
          <w:b/>
          <w:bCs/>
          <w:color w:val="000000"/>
          <w:sz w:val="20"/>
          <w:szCs w:val="20"/>
          <w:u w:val="single"/>
        </w:rPr>
        <w:t>isk</w:t>
      </w:r>
    </w:p>
    <w:p w14:paraId="569F0836" w14:textId="77777777" w:rsidR="00000000" w:rsidRDefault="000C49AD">
      <w:pPr>
        <w:jc w:val="both"/>
        <w:rPr>
          <w:rFonts w:eastAsia="Times New Roman"/>
        </w:rPr>
      </w:pPr>
    </w:p>
    <w:p w14:paraId="2E0AF3D5" w14:textId="77777777" w:rsidR="00000000" w:rsidRDefault="000C49AD">
      <w:pPr>
        <w:jc w:val="both"/>
        <w:rPr>
          <w:rFonts w:eastAsia="Times New Roman"/>
        </w:rPr>
      </w:pPr>
      <w:r>
        <w:rPr>
          <w:rFonts w:eastAsia="Times New Roman"/>
          <w:color w:val="000000"/>
          <w:sz w:val="20"/>
          <w:szCs w:val="20"/>
        </w:rPr>
        <w:t>We are exposed to foreign currency exchange risk as the functional currency financial statements of a non-U.S. subsidiary is translated to U.S. dollars. The assets and liabilities of this non-U.S. subsidiary having a functional currency other than th</w:t>
      </w:r>
      <w:r>
        <w:rPr>
          <w:rFonts w:eastAsia="Times New Roman"/>
          <w:color w:val="000000"/>
          <w:sz w:val="20"/>
          <w:szCs w:val="20"/>
        </w:rPr>
        <w:t>e U.S. dollar is translated into U.S. dollars at the exchange rate prevailing at the balance sheet date, and at the average exchange rate for the reporting period for revenue and expense accounts. The cumulative foreign currency translation adjustment is r</w:t>
      </w:r>
      <w:r>
        <w:rPr>
          <w:rFonts w:eastAsia="Times New Roman"/>
          <w:color w:val="000000"/>
          <w:sz w:val="20"/>
          <w:szCs w:val="20"/>
        </w:rPr>
        <w:t>ecorded as a component of accumulated other comprehensive loss in shareholders’ equity. The reported results of this non-U.S. subsidiary will be influenced by their translation into U.S. dollars by currency movements against the U.S. dollar. Our primary cu</w:t>
      </w:r>
      <w:r>
        <w:rPr>
          <w:rFonts w:eastAsia="Times New Roman"/>
          <w:color w:val="000000"/>
          <w:sz w:val="20"/>
          <w:szCs w:val="20"/>
        </w:rPr>
        <w:t>rrency translation exposure is related to one subsidiary that has functional currencies denominated in euro. A 10% strengthening/weakening in the rates used to translate the results of our non-U.S. subsidiaries that have functional currencies denominated i</w:t>
      </w:r>
      <w:r>
        <w:rPr>
          <w:rFonts w:eastAsia="Times New Roman"/>
          <w:color w:val="000000"/>
          <w:sz w:val="20"/>
          <w:szCs w:val="20"/>
        </w:rPr>
        <w:t>n euro as of December 31, 2021 would have had an immaterial impact on net loss for the year ended December 31, 2021.</w:t>
      </w:r>
    </w:p>
    <w:p w14:paraId="753901A6" w14:textId="77777777" w:rsidR="00000000" w:rsidRDefault="000C49AD">
      <w:pPr>
        <w:jc w:val="both"/>
        <w:rPr>
          <w:rFonts w:eastAsia="Times New Roman"/>
        </w:rPr>
      </w:pPr>
    </w:p>
    <w:p w14:paraId="27014441" w14:textId="77777777" w:rsidR="00000000" w:rsidRDefault="000C49AD">
      <w:pPr>
        <w:jc w:val="both"/>
        <w:rPr>
          <w:rFonts w:eastAsia="Times New Roman"/>
        </w:rPr>
      </w:pPr>
      <w:r>
        <w:rPr>
          <w:rFonts w:eastAsia="Times New Roman"/>
          <w:color w:val="000000"/>
          <w:sz w:val="20"/>
          <w:szCs w:val="20"/>
        </w:rPr>
        <w:t>Transactional exposure arises where transactions occur in currencies other than the functional currency. Transactions in foreign currenci</w:t>
      </w:r>
      <w:r>
        <w:rPr>
          <w:rFonts w:eastAsia="Times New Roman"/>
          <w:color w:val="000000"/>
          <w:sz w:val="20"/>
          <w:szCs w:val="20"/>
        </w:rPr>
        <w:t>es are recorded at the exchange rate prevailing at the date of the transaction. The resulting monetary assets and liabilities are translated into the appropriate functional currency at exchange rates prevailing at the balance sheet date and the resulting g</w:t>
      </w:r>
      <w:r>
        <w:rPr>
          <w:rFonts w:eastAsia="Times New Roman"/>
          <w:color w:val="000000"/>
          <w:sz w:val="20"/>
          <w:szCs w:val="20"/>
        </w:rPr>
        <w:t>ains and losses are reported in investment and other income (expense), net in the consolidated statements of (loss) income.  As of December 31, 2021, our primary exposure is to transaction risk related to euro net monetary assets and liabilities held by su</w:t>
      </w:r>
      <w:r>
        <w:rPr>
          <w:rFonts w:eastAsia="Times New Roman"/>
          <w:color w:val="000000"/>
          <w:sz w:val="20"/>
          <w:szCs w:val="20"/>
        </w:rPr>
        <w:t>bsidiaries with a U.S. dollar functional currency. Realized and unrealized foreign exchange gains resulting from transactional exposure were immaterial for the year ended December 31, 2021.</w:t>
      </w:r>
    </w:p>
    <w:p w14:paraId="76A42A55" w14:textId="77777777" w:rsidR="00000000" w:rsidRDefault="000C49AD">
      <w:pPr>
        <w:jc w:val="both"/>
        <w:divId w:val="1802649109"/>
        <w:rPr>
          <w:rFonts w:eastAsia="Times New Roman"/>
        </w:rPr>
      </w:pPr>
    </w:p>
    <w:p w14:paraId="12F8EBFA" w14:textId="77777777" w:rsidR="00000000" w:rsidRDefault="000C49AD">
      <w:pPr>
        <w:jc w:val="center"/>
        <w:divId w:val="1376008939"/>
        <w:rPr>
          <w:rFonts w:eastAsia="Times New Roman"/>
        </w:rPr>
      </w:pPr>
      <w:r>
        <w:rPr>
          <w:rFonts w:eastAsia="Times New Roman"/>
          <w:color w:val="000000"/>
          <w:sz w:val="20"/>
          <w:szCs w:val="20"/>
        </w:rPr>
        <w:t>-73-</w:t>
      </w:r>
    </w:p>
    <w:p w14:paraId="72819B47" w14:textId="77777777" w:rsidR="00000000" w:rsidRDefault="000C49AD">
      <w:pPr>
        <w:rPr>
          <w:rFonts w:eastAsia="Times New Roman"/>
        </w:rPr>
      </w:pPr>
      <w:r>
        <w:rPr>
          <w:rFonts w:eastAsia="Times New Roman"/>
        </w:rPr>
        <w:pict w14:anchorId="1E7B347E">
          <v:rect id="_x0000_i1098" style="width:0;height:1.5pt" o:hralign="center" o:hrstd="t" o:hr="t" fillcolor="#a0a0a0" stroked="f"/>
        </w:pict>
      </w:r>
    </w:p>
    <w:p w14:paraId="712EDB3E" w14:textId="77777777" w:rsidR="00000000" w:rsidRDefault="000C49AD">
      <w:pPr>
        <w:divId w:val="200047612"/>
        <w:rPr>
          <w:rFonts w:eastAsia="Times New Roman"/>
        </w:rPr>
      </w:pPr>
    </w:p>
    <w:p w14:paraId="2D9DBB75" w14:textId="77777777" w:rsidR="00000000" w:rsidRDefault="000C49AD">
      <w:pPr>
        <w:jc w:val="both"/>
        <w:rPr>
          <w:rFonts w:eastAsia="Times New Roman"/>
        </w:rPr>
      </w:pPr>
      <w:r>
        <w:rPr>
          <w:rFonts w:eastAsia="Times New Roman"/>
          <w:b/>
          <w:bCs/>
          <w:color w:val="000000"/>
          <w:sz w:val="20"/>
          <w:szCs w:val="20"/>
        </w:rPr>
        <w:t>Item 8.         Fina</w:t>
      </w:r>
      <w:r>
        <w:rPr>
          <w:rFonts w:eastAsia="Times New Roman"/>
          <w:b/>
          <w:bCs/>
          <w:color w:val="000000"/>
          <w:sz w:val="20"/>
          <w:szCs w:val="20"/>
        </w:rPr>
        <w:t>ncial Statements and Supplementary Data.</w:t>
      </w:r>
      <w:r>
        <w:rPr>
          <w:rFonts w:eastAsia="Times New Roman"/>
          <w:color w:val="000000"/>
          <w:sz w:val="20"/>
          <w:szCs w:val="20"/>
        </w:rPr>
        <w:t> </w:t>
      </w:r>
    </w:p>
    <w:p w14:paraId="172D3A91" w14:textId="77777777" w:rsidR="00000000" w:rsidRDefault="000C49AD">
      <w:pPr>
        <w:jc w:val="both"/>
        <w:rPr>
          <w:rFonts w:eastAsia="Times New Roman"/>
        </w:rPr>
      </w:pPr>
      <w:r>
        <w:rPr>
          <w:rFonts w:eastAsia="Times New Roman"/>
          <w:color w:val="000000"/>
          <w:sz w:val="20"/>
          <w:szCs w:val="20"/>
        </w:rPr>
        <w:t> </w:t>
      </w:r>
    </w:p>
    <w:p w14:paraId="3D2C95F5" w14:textId="77777777" w:rsidR="00000000" w:rsidRDefault="000C49AD">
      <w:pPr>
        <w:jc w:val="center"/>
        <w:rPr>
          <w:rFonts w:eastAsia="Times New Roman"/>
        </w:rPr>
      </w:pPr>
      <w:r>
        <w:rPr>
          <w:rFonts w:eastAsia="Times New Roman"/>
          <w:b/>
          <w:bCs/>
          <w:color w:val="000000"/>
          <w:sz w:val="20"/>
          <w:szCs w:val="20"/>
        </w:rPr>
        <w:t>AVADEL PHARMACEUTICALS PLC</w:t>
      </w:r>
    </w:p>
    <w:p w14:paraId="7281A434" w14:textId="77777777" w:rsidR="00000000" w:rsidRDefault="000C49AD">
      <w:pPr>
        <w:jc w:val="center"/>
        <w:rPr>
          <w:rFonts w:eastAsia="Times New Roman"/>
        </w:rPr>
      </w:pPr>
      <w:r>
        <w:rPr>
          <w:rFonts w:eastAsia="Times New Roman"/>
          <w:b/>
          <w:bCs/>
          <w:color w:val="000000"/>
          <w:sz w:val="20"/>
          <w:szCs w:val="20"/>
        </w:rPr>
        <w:t xml:space="preserve">CONSOLIDATED STATEMENTS OF (LOSS) INCOME </w:t>
      </w:r>
    </w:p>
    <w:p w14:paraId="728554AD" w14:textId="77777777" w:rsidR="00000000" w:rsidRDefault="000C49AD">
      <w:pPr>
        <w:jc w:val="center"/>
        <w:rPr>
          <w:rFonts w:eastAsia="Times New Roman"/>
        </w:rPr>
      </w:pPr>
      <w:r>
        <w:rPr>
          <w:rFonts w:eastAsia="Times New Roman"/>
          <w:i/>
          <w:iCs/>
          <w:color w:val="000000"/>
          <w:sz w:val="20"/>
          <w:szCs w:val="20"/>
        </w:rPr>
        <w:t>(In thousands, except per share data)</w:t>
      </w:r>
      <w:r>
        <w:rPr>
          <w:rFonts w:eastAsia="Times New Roman"/>
          <w:color w:val="000000"/>
        </w:rPr>
        <w:t> </w:t>
      </w:r>
    </w:p>
    <w:tbl>
      <w:tblPr>
        <w:tblW w:w="5000" w:type="pct"/>
        <w:tblCellMar>
          <w:top w:w="15" w:type="dxa"/>
          <w:left w:w="15" w:type="dxa"/>
          <w:bottom w:w="15" w:type="dxa"/>
          <w:right w:w="15" w:type="dxa"/>
        </w:tblCellMar>
        <w:tblLook w:val="04A0" w:firstRow="1" w:lastRow="0" w:firstColumn="1" w:lastColumn="0" w:noHBand="0" w:noVBand="1"/>
      </w:tblPr>
      <w:tblGrid>
        <w:gridCol w:w="40"/>
        <w:gridCol w:w="5050"/>
        <w:gridCol w:w="39"/>
        <w:gridCol w:w="36"/>
        <w:gridCol w:w="36"/>
        <w:gridCol w:w="36"/>
        <w:gridCol w:w="110"/>
        <w:gridCol w:w="809"/>
        <w:gridCol w:w="36"/>
        <w:gridCol w:w="36"/>
        <w:gridCol w:w="36"/>
        <w:gridCol w:w="36"/>
        <w:gridCol w:w="110"/>
        <w:gridCol w:w="796"/>
        <w:gridCol w:w="36"/>
        <w:gridCol w:w="36"/>
        <w:gridCol w:w="36"/>
        <w:gridCol w:w="36"/>
        <w:gridCol w:w="110"/>
        <w:gridCol w:w="810"/>
        <w:gridCol w:w="36"/>
      </w:tblGrid>
      <w:tr w:rsidR="00000000" w14:paraId="64394384" w14:textId="77777777">
        <w:tc>
          <w:tcPr>
            <w:tcW w:w="50" w:type="pct"/>
            <w:vAlign w:val="center"/>
            <w:hideMark/>
          </w:tcPr>
          <w:p w14:paraId="000E5F5F" w14:textId="77777777" w:rsidR="00000000" w:rsidRDefault="000C49AD">
            <w:pPr>
              <w:jc w:val="center"/>
              <w:rPr>
                <w:rFonts w:eastAsia="Times New Roman"/>
              </w:rPr>
            </w:pPr>
          </w:p>
        </w:tc>
        <w:tc>
          <w:tcPr>
            <w:tcW w:w="3066" w:type="pct"/>
            <w:vAlign w:val="center"/>
            <w:hideMark/>
          </w:tcPr>
          <w:p w14:paraId="426D6FFE" w14:textId="77777777" w:rsidR="00000000" w:rsidRDefault="000C49AD">
            <w:pPr>
              <w:spacing w:after="100"/>
              <w:rPr>
                <w:rFonts w:eastAsia="Times New Roman"/>
                <w:sz w:val="20"/>
                <w:szCs w:val="20"/>
              </w:rPr>
            </w:pPr>
          </w:p>
        </w:tc>
        <w:tc>
          <w:tcPr>
            <w:tcW w:w="5" w:type="pct"/>
            <w:vAlign w:val="center"/>
            <w:hideMark/>
          </w:tcPr>
          <w:p w14:paraId="7B6E2AC1" w14:textId="77777777" w:rsidR="00000000" w:rsidRDefault="000C49AD">
            <w:pPr>
              <w:spacing w:after="100"/>
              <w:rPr>
                <w:rFonts w:eastAsia="Times New Roman"/>
                <w:sz w:val="20"/>
                <w:szCs w:val="20"/>
              </w:rPr>
            </w:pPr>
          </w:p>
        </w:tc>
        <w:tc>
          <w:tcPr>
            <w:tcW w:w="5" w:type="pct"/>
            <w:vAlign w:val="center"/>
            <w:hideMark/>
          </w:tcPr>
          <w:p w14:paraId="4C6B2087" w14:textId="77777777" w:rsidR="00000000" w:rsidRDefault="000C49AD">
            <w:pPr>
              <w:spacing w:after="100"/>
              <w:rPr>
                <w:rFonts w:eastAsia="Times New Roman"/>
                <w:sz w:val="20"/>
                <w:szCs w:val="20"/>
              </w:rPr>
            </w:pPr>
          </w:p>
        </w:tc>
        <w:tc>
          <w:tcPr>
            <w:tcW w:w="26" w:type="pct"/>
            <w:vAlign w:val="center"/>
            <w:hideMark/>
          </w:tcPr>
          <w:p w14:paraId="44CBC2F8" w14:textId="77777777" w:rsidR="00000000" w:rsidRDefault="000C49AD">
            <w:pPr>
              <w:spacing w:after="100"/>
              <w:rPr>
                <w:rFonts w:eastAsia="Times New Roman"/>
                <w:sz w:val="20"/>
                <w:szCs w:val="20"/>
              </w:rPr>
            </w:pPr>
          </w:p>
        </w:tc>
        <w:tc>
          <w:tcPr>
            <w:tcW w:w="5" w:type="pct"/>
            <w:vAlign w:val="center"/>
            <w:hideMark/>
          </w:tcPr>
          <w:p w14:paraId="58037B76" w14:textId="77777777" w:rsidR="00000000" w:rsidRDefault="000C49AD">
            <w:pPr>
              <w:spacing w:after="100"/>
              <w:rPr>
                <w:rFonts w:eastAsia="Times New Roman"/>
                <w:sz w:val="20"/>
                <w:szCs w:val="20"/>
              </w:rPr>
            </w:pPr>
          </w:p>
        </w:tc>
        <w:tc>
          <w:tcPr>
            <w:tcW w:w="50" w:type="pct"/>
            <w:vAlign w:val="center"/>
            <w:hideMark/>
          </w:tcPr>
          <w:p w14:paraId="18A42FC4" w14:textId="77777777" w:rsidR="00000000" w:rsidRDefault="000C49AD">
            <w:pPr>
              <w:spacing w:after="100"/>
              <w:rPr>
                <w:rFonts w:eastAsia="Times New Roman"/>
                <w:sz w:val="20"/>
                <w:szCs w:val="20"/>
              </w:rPr>
            </w:pPr>
          </w:p>
        </w:tc>
        <w:tc>
          <w:tcPr>
            <w:tcW w:w="537" w:type="pct"/>
            <w:vAlign w:val="center"/>
            <w:hideMark/>
          </w:tcPr>
          <w:p w14:paraId="6DC93A22" w14:textId="77777777" w:rsidR="00000000" w:rsidRDefault="000C49AD">
            <w:pPr>
              <w:spacing w:after="100"/>
              <w:rPr>
                <w:rFonts w:eastAsia="Times New Roman"/>
                <w:sz w:val="20"/>
                <w:szCs w:val="20"/>
              </w:rPr>
            </w:pPr>
          </w:p>
        </w:tc>
        <w:tc>
          <w:tcPr>
            <w:tcW w:w="5" w:type="pct"/>
            <w:vAlign w:val="center"/>
            <w:hideMark/>
          </w:tcPr>
          <w:p w14:paraId="5BC81293" w14:textId="77777777" w:rsidR="00000000" w:rsidRDefault="000C49AD">
            <w:pPr>
              <w:spacing w:after="100"/>
              <w:rPr>
                <w:rFonts w:eastAsia="Times New Roman"/>
                <w:sz w:val="20"/>
                <w:szCs w:val="20"/>
              </w:rPr>
            </w:pPr>
          </w:p>
        </w:tc>
        <w:tc>
          <w:tcPr>
            <w:tcW w:w="5" w:type="pct"/>
            <w:vAlign w:val="center"/>
            <w:hideMark/>
          </w:tcPr>
          <w:p w14:paraId="257D84B8" w14:textId="77777777" w:rsidR="00000000" w:rsidRDefault="000C49AD">
            <w:pPr>
              <w:spacing w:after="100"/>
              <w:rPr>
                <w:rFonts w:eastAsia="Times New Roman"/>
                <w:sz w:val="20"/>
                <w:szCs w:val="20"/>
              </w:rPr>
            </w:pPr>
          </w:p>
        </w:tc>
        <w:tc>
          <w:tcPr>
            <w:tcW w:w="26" w:type="pct"/>
            <w:vAlign w:val="center"/>
            <w:hideMark/>
          </w:tcPr>
          <w:p w14:paraId="5B594F39" w14:textId="77777777" w:rsidR="00000000" w:rsidRDefault="000C49AD">
            <w:pPr>
              <w:spacing w:after="100"/>
              <w:rPr>
                <w:rFonts w:eastAsia="Times New Roman"/>
                <w:sz w:val="20"/>
                <w:szCs w:val="20"/>
              </w:rPr>
            </w:pPr>
          </w:p>
        </w:tc>
        <w:tc>
          <w:tcPr>
            <w:tcW w:w="5" w:type="pct"/>
            <w:vAlign w:val="center"/>
            <w:hideMark/>
          </w:tcPr>
          <w:p w14:paraId="0C412962" w14:textId="77777777" w:rsidR="00000000" w:rsidRDefault="000C49AD">
            <w:pPr>
              <w:spacing w:after="100"/>
              <w:rPr>
                <w:rFonts w:eastAsia="Times New Roman"/>
                <w:sz w:val="20"/>
                <w:szCs w:val="20"/>
              </w:rPr>
            </w:pPr>
          </w:p>
        </w:tc>
        <w:tc>
          <w:tcPr>
            <w:tcW w:w="50" w:type="pct"/>
            <w:vAlign w:val="center"/>
            <w:hideMark/>
          </w:tcPr>
          <w:p w14:paraId="3ADD48C1" w14:textId="77777777" w:rsidR="00000000" w:rsidRDefault="000C49AD">
            <w:pPr>
              <w:spacing w:after="100"/>
              <w:rPr>
                <w:rFonts w:eastAsia="Times New Roman"/>
                <w:sz w:val="20"/>
                <w:szCs w:val="20"/>
              </w:rPr>
            </w:pPr>
          </w:p>
        </w:tc>
        <w:tc>
          <w:tcPr>
            <w:tcW w:w="529" w:type="pct"/>
            <w:vAlign w:val="center"/>
            <w:hideMark/>
          </w:tcPr>
          <w:p w14:paraId="563CD7C6" w14:textId="77777777" w:rsidR="00000000" w:rsidRDefault="000C49AD">
            <w:pPr>
              <w:spacing w:after="100"/>
              <w:rPr>
                <w:rFonts w:eastAsia="Times New Roman"/>
                <w:sz w:val="20"/>
                <w:szCs w:val="20"/>
              </w:rPr>
            </w:pPr>
          </w:p>
        </w:tc>
        <w:tc>
          <w:tcPr>
            <w:tcW w:w="5" w:type="pct"/>
            <w:vAlign w:val="center"/>
            <w:hideMark/>
          </w:tcPr>
          <w:p w14:paraId="772EA197" w14:textId="77777777" w:rsidR="00000000" w:rsidRDefault="000C49AD">
            <w:pPr>
              <w:spacing w:after="100"/>
              <w:rPr>
                <w:rFonts w:eastAsia="Times New Roman"/>
                <w:sz w:val="20"/>
                <w:szCs w:val="20"/>
              </w:rPr>
            </w:pPr>
          </w:p>
        </w:tc>
        <w:tc>
          <w:tcPr>
            <w:tcW w:w="5" w:type="pct"/>
            <w:vAlign w:val="center"/>
            <w:hideMark/>
          </w:tcPr>
          <w:p w14:paraId="52FA15D1" w14:textId="77777777" w:rsidR="00000000" w:rsidRDefault="000C49AD">
            <w:pPr>
              <w:spacing w:after="100"/>
              <w:rPr>
                <w:rFonts w:eastAsia="Times New Roman"/>
                <w:sz w:val="20"/>
                <w:szCs w:val="20"/>
              </w:rPr>
            </w:pPr>
          </w:p>
        </w:tc>
        <w:tc>
          <w:tcPr>
            <w:tcW w:w="26" w:type="pct"/>
            <w:vAlign w:val="center"/>
            <w:hideMark/>
          </w:tcPr>
          <w:p w14:paraId="5F23C56C" w14:textId="77777777" w:rsidR="00000000" w:rsidRDefault="000C49AD">
            <w:pPr>
              <w:spacing w:after="100"/>
              <w:rPr>
                <w:rFonts w:eastAsia="Times New Roman"/>
                <w:sz w:val="20"/>
                <w:szCs w:val="20"/>
              </w:rPr>
            </w:pPr>
          </w:p>
        </w:tc>
        <w:tc>
          <w:tcPr>
            <w:tcW w:w="5" w:type="pct"/>
            <w:vAlign w:val="center"/>
            <w:hideMark/>
          </w:tcPr>
          <w:p w14:paraId="7A59998C" w14:textId="77777777" w:rsidR="00000000" w:rsidRDefault="000C49AD">
            <w:pPr>
              <w:spacing w:after="100"/>
              <w:rPr>
                <w:rFonts w:eastAsia="Times New Roman"/>
                <w:sz w:val="20"/>
                <w:szCs w:val="20"/>
              </w:rPr>
            </w:pPr>
          </w:p>
        </w:tc>
        <w:tc>
          <w:tcPr>
            <w:tcW w:w="50" w:type="pct"/>
            <w:vAlign w:val="center"/>
            <w:hideMark/>
          </w:tcPr>
          <w:p w14:paraId="5A647D7A" w14:textId="77777777" w:rsidR="00000000" w:rsidRDefault="000C49AD">
            <w:pPr>
              <w:spacing w:after="100"/>
              <w:rPr>
                <w:rFonts w:eastAsia="Times New Roman"/>
                <w:sz w:val="20"/>
                <w:szCs w:val="20"/>
              </w:rPr>
            </w:pPr>
          </w:p>
        </w:tc>
        <w:tc>
          <w:tcPr>
            <w:tcW w:w="537" w:type="pct"/>
            <w:vAlign w:val="center"/>
            <w:hideMark/>
          </w:tcPr>
          <w:p w14:paraId="5C2EA7A1" w14:textId="77777777" w:rsidR="00000000" w:rsidRDefault="000C49AD">
            <w:pPr>
              <w:spacing w:after="100"/>
              <w:rPr>
                <w:rFonts w:eastAsia="Times New Roman"/>
                <w:sz w:val="20"/>
                <w:szCs w:val="20"/>
              </w:rPr>
            </w:pPr>
          </w:p>
        </w:tc>
        <w:tc>
          <w:tcPr>
            <w:tcW w:w="5" w:type="pct"/>
            <w:vAlign w:val="center"/>
            <w:hideMark/>
          </w:tcPr>
          <w:p w14:paraId="04E1C46D" w14:textId="77777777" w:rsidR="00000000" w:rsidRDefault="000C49AD">
            <w:pPr>
              <w:spacing w:after="100"/>
              <w:rPr>
                <w:rFonts w:eastAsia="Times New Roman"/>
                <w:sz w:val="20"/>
                <w:szCs w:val="20"/>
              </w:rPr>
            </w:pPr>
          </w:p>
        </w:tc>
      </w:tr>
      <w:tr w:rsidR="00000000" w14:paraId="288A29F2" w14:textId="77777777">
        <w:tc>
          <w:tcPr>
            <w:tcW w:w="0" w:type="auto"/>
            <w:gridSpan w:val="3"/>
            <w:tcMar>
              <w:top w:w="30" w:type="dxa"/>
              <w:left w:w="20" w:type="dxa"/>
              <w:bottom w:w="30" w:type="dxa"/>
              <w:right w:w="20" w:type="dxa"/>
            </w:tcMar>
            <w:vAlign w:val="bottom"/>
            <w:hideMark/>
          </w:tcPr>
          <w:p w14:paraId="03E00875"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4B11A64" w14:textId="77777777" w:rsidR="00000000" w:rsidRDefault="000C49AD">
            <w:pPr>
              <w:spacing w:after="100"/>
              <w:rPr>
                <w:rFonts w:eastAsia="Times New Roman"/>
              </w:rPr>
            </w:pPr>
          </w:p>
        </w:tc>
        <w:tc>
          <w:tcPr>
            <w:tcW w:w="0" w:type="auto"/>
            <w:gridSpan w:val="15"/>
            <w:tcMar>
              <w:top w:w="30" w:type="dxa"/>
              <w:left w:w="20" w:type="dxa"/>
              <w:bottom w:w="30" w:type="dxa"/>
              <w:right w:w="20" w:type="dxa"/>
            </w:tcMar>
            <w:vAlign w:val="bottom"/>
            <w:hideMark/>
          </w:tcPr>
          <w:p w14:paraId="594E3668" w14:textId="77777777" w:rsidR="00000000" w:rsidRDefault="000C49AD">
            <w:pPr>
              <w:spacing w:after="100"/>
              <w:jc w:val="center"/>
              <w:rPr>
                <w:rFonts w:eastAsia="Times New Roman"/>
              </w:rPr>
            </w:pPr>
            <w:r>
              <w:rPr>
                <w:rFonts w:eastAsia="Times New Roman"/>
                <w:b/>
                <w:bCs/>
                <w:color w:val="000000"/>
                <w:sz w:val="18"/>
                <w:szCs w:val="18"/>
              </w:rPr>
              <w:t>Years ended December 31,</w:t>
            </w:r>
          </w:p>
        </w:tc>
      </w:tr>
      <w:tr w:rsidR="00000000" w14:paraId="5ECDCD00" w14:textId="77777777">
        <w:tc>
          <w:tcPr>
            <w:tcW w:w="0" w:type="auto"/>
            <w:gridSpan w:val="3"/>
            <w:tcMar>
              <w:top w:w="30" w:type="dxa"/>
              <w:left w:w="20" w:type="dxa"/>
              <w:bottom w:w="30" w:type="dxa"/>
              <w:right w:w="20" w:type="dxa"/>
            </w:tcMar>
            <w:vAlign w:val="bottom"/>
            <w:hideMark/>
          </w:tcPr>
          <w:p w14:paraId="5777ED8C"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EE0FC63"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83F245B"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796267FC"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F3C1FD6"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509E4728"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31CB161"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7C4A2F2A" w14:textId="77777777">
        <w:trPr>
          <w:trHeight w:val="60"/>
        </w:trPr>
        <w:tc>
          <w:tcPr>
            <w:tcW w:w="0" w:type="auto"/>
            <w:gridSpan w:val="3"/>
            <w:tcMar>
              <w:top w:w="0" w:type="dxa"/>
              <w:left w:w="20" w:type="dxa"/>
              <w:bottom w:w="0" w:type="dxa"/>
              <w:right w:w="20" w:type="dxa"/>
            </w:tcMar>
            <w:vAlign w:val="center"/>
            <w:hideMark/>
          </w:tcPr>
          <w:p w14:paraId="183E4F05"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96A3A6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4E3A4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1DD776"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DF897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AA15B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40EF141" w14:textId="77777777" w:rsidR="00000000" w:rsidRDefault="000C49AD">
            <w:pPr>
              <w:spacing w:after="100"/>
              <w:rPr>
                <w:rFonts w:eastAsia="Times New Roman"/>
                <w:sz w:val="20"/>
                <w:szCs w:val="20"/>
              </w:rPr>
            </w:pPr>
          </w:p>
        </w:tc>
      </w:tr>
      <w:tr w:rsidR="00000000" w14:paraId="17F75645" w14:textId="77777777">
        <w:tc>
          <w:tcPr>
            <w:tcW w:w="0" w:type="auto"/>
            <w:gridSpan w:val="3"/>
            <w:shd w:val="clear" w:color="auto" w:fill="CCEEFF"/>
            <w:tcMar>
              <w:top w:w="30" w:type="dxa"/>
              <w:left w:w="155" w:type="dxa"/>
              <w:bottom w:w="30" w:type="dxa"/>
              <w:right w:w="20" w:type="dxa"/>
            </w:tcMar>
            <w:vAlign w:val="bottom"/>
            <w:hideMark/>
          </w:tcPr>
          <w:p w14:paraId="45005578" w14:textId="77777777" w:rsidR="00000000" w:rsidRDefault="000C49AD">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14:paraId="38DBB622"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FE71283"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EBE1577"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D4A42F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78AD8"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965223"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CDA0879" w14:textId="77777777" w:rsidR="00000000" w:rsidRDefault="000C49AD">
            <w:pPr>
              <w:spacing w:after="100"/>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14:paraId="2383B1D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9910C"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74E1EF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B071757" w14:textId="77777777" w:rsidR="00000000" w:rsidRDefault="000C49AD">
            <w:pPr>
              <w:spacing w:after="100"/>
              <w:jc w:val="right"/>
              <w:rPr>
                <w:rFonts w:eastAsia="Times New Roman"/>
              </w:rPr>
            </w:pPr>
            <w:r>
              <w:rPr>
                <w:rFonts w:eastAsia="Times New Roman"/>
                <w:color w:val="000000"/>
                <w:sz w:val="18"/>
                <w:szCs w:val="18"/>
              </w:rPr>
              <w:t>59,215 </w:t>
            </w:r>
          </w:p>
        </w:tc>
        <w:tc>
          <w:tcPr>
            <w:tcW w:w="0" w:type="auto"/>
            <w:shd w:val="clear" w:color="auto" w:fill="CCEEFF"/>
            <w:tcMar>
              <w:top w:w="30" w:type="dxa"/>
              <w:left w:w="0" w:type="dxa"/>
              <w:bottom w:w="30" w:type="dxa"/>
              <w:right w:w="20" w:type="dxa"/>
            </w:tcMar>
            <w:vAlign w:val="bottom"/>
            <w:hideMark/>
          </w:tcPr>
          <w:p w14:paraId="6A17391F" w14:textId="77777777" w:rsidR="00000000" w:rsidRDefault="000C49AD">
            <w:pPr>
              <w:spacing w:after="100"/>
              <w:jc w:val="right"/>
              <w:rPr>
                <w:rFonts w:eastAsia="Times New Roman"/>
              </w:rPr>
            </w:pPr>
          </w:p>
        </w:tc>
      </w:tr>
      <w:tr w:rsidR="00000000" w14:paraId="2E8E86AE" w14:textId="77777777">
        <w:tc>
          <w:tcPr>
            <w:tcW w:w="0" w:type="auto"/>
            <w:gridSpan w:val="3"/>
            <w:shd w:val="clear" w:color="auto" w:fill="FFFFFF"/>
            <w:tcMar>
              <w:top w:w="30" w:type="dxa"/>
              <w:left w:w="20" w:type="dxa"/>
              <w:bottom w:w="30" w:type="dxa"/>
              <w:right w:w="20" w:type="dxa"/>
            </w:tcMar>
            <w:vAlign w:val="bottom"/>
            <w:hideMark/>
          </w:tcPr>
          <w:p w14:paraId="06B56026" w14:textId="77777777" w:rsidR="00000000" w:rsidRDefault="000C49AD">
            <w:pPr>
              <w:spacing w:after="100"/>
              <w:rPr>
                <w:rFonts w:eastAsia="Times New Roman"/>
              </w:rPr>
            </w:pPr>
            <w:r>
              <w:rPr>
                <w:rFonts w:eastAsia="Times New Roman"/>
                <w:color w:val="000000"/>
                <w:sz w:val="18"/>
                <w:szCs w:val="18"/>
              </w:rPr>
              <w:t>Operating expenses:</w:t>
            </w:r>
          </w:p>
        </w:tc>
        <w:tc>
          <w:tcPr>
            <w:tcW w:w="0" w:type="auto"/>
            <w:gridSpan w:val="3"/>
            <w:shd w:val="clear" w:color="auto" w:fill="FFFFFF"/>
            <w:tcMar>
              <w:top w:w="0" w:type="dxa"/>
              <w:left w:w="20" w:type="dxa"/>
              <w:bottom w:w="0" w:type="dxa"/>
              <w:right w:w="20" w:type="dxa"/>
            </w:tcMar>
            <w:vAlign w:val="center"/>
            <w:hideMark/>
          </w:tcPr>
          <w:p w14:paraId="7736456D" w14:textId="77777777" w:rsidR="00000000" w:rsidRDefault="000C49A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8126C91"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75DBEE2F"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4D767D"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63C76529"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380C83B" w14:textId="77777777" w:rsidR="00000000" w:rsidRDefault="000C49AD">
            <w:pPr>
              <w:spacing w:after="100"/>
              <w:jc w:val="right"/>
              <w:rPr>
                <w:rFonts w:eastAsia="Times New Roman"/>
              </w:rPr>
            </w:pPr>
            <w:r>
              <w:rPr>
                <w:rFonts w:eastAsia="Times New Roman"/>
                <w:color w:val="000000"/>
                <w:sz w:val="18"/>
                <w:szCs w:val="18"/>
              </w:rPr>
              <w:t> </w:t>
            </w:r>
          </w:p>
        </w:tc>
      </w:tr>
      <w:tr w:rsidR="00000000" w14:paraId="3353167A" w14:textId="77777777">
        <w:tc>
          <w:tcPr>
            <w:tcW w:w="0" w:type="auto"/>
            <w:gridSpan w:val="3"/>
            <w:shd w:val="clear" w:color="auto" w:fill="CCEEFF"/>
            <w:tcMar>
              <w:top w:w="30" w:type="dxa"/>
              <w:left w:w="155" w:type="dxa"/>
              <w:bottom w:w="30" w:type="dxa"/>
              <w:right w:w="20" w:type="dxa"/>
            </w:tcMar>
            <w:vAlign w:val="bottom"/>
            <w:hideMark/>
          </w:tcPr>
          <w:p w14:paraId="2CD195CE" w14:textId="77777777" w:rsidR="00000000" w:rsidRDefault="000C49AD">
            <w:pPr>
              <w:spacing w:after="100"/>
              <w:rPr>
                <w:rFonts w:eastAsia="Times New Roman"/>
              </w:rPr>
            </w:pPr>
            <w:r>
              <w:rPr>
                <w:rFonts w:eastAsia="Times New Roman"/>
                <w:color w:val="000000"/>
                <w:sz w:val="18"/>
                <w:szCs w:val="18"/>
              </w:rPr>
              <w:t xml:space="preserve">Cost of products </w:t>
            </w:r>
          </w:p>
        </w:tc>
        <w:tc>
          <w:tcPr>
            <w:tcW w:w="0" w:type="auto"/>
            <w:gridSpan w:val="3"/>
            <w:shd w:val="clear" w:color="auto" w:fill="CCEEFF"/>
            <w:tcMar>
              <w:top w:w="0" w:type="dxa"/>
              <w:left w:w="20" w:type="dxa"/>
              <w:bottom w:w="0" w:type="dxa"/>
              <w:right w:w="20" w:type="dxa"/>
            </w:tcMar>
            <w:vAlign w:val="center"/>
            <w:hideMark/>
          </w:tcPr>
          <w:p w14:paraId="7F6CDC72"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51EEB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407CB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E1B5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6C2AA2" w14:textId="77777777" w:rsidR="00000000" w:rsidRDefault="000C49AD">
            <w:pPr>
              <w:spacing w:after="100"/>
              <w:jc w:val="right"/>
              <w:rPr>
                <w:rFonts w:eastAsia="Times New Roman"/>
              </w:rPr>
            </w:pPr>
            <w:r>
              <w:rPr>
                <w:rFonts w:eastAsia="Times New Roman"/>
                <w:color w:val="000000"/>
                <w:sz w:val="18"/>
                <w:szCs w:val="18"/>
              </w:rPr>
              <w:t>5,742 </w:t>
            </w:r>
          </w:p>
        </w:tc>
        <w:tc>
          <w:tcPr>
            <w:tcW w:w="0" w:type="auto"/>
            <w:shd w:val="clear" w:color="auto" w:fill="CCEEFF"/>
            <w:tcMar>
              <w:top w:w="30" w:type="dxa"/>
              <w:left w:w="0" w:type="dxa"/>
              <w:bottom w:w="30" w:type="dxa"/>
              <w:right w:w="20" w:type="dxa"/>
            </w:tcMar>
            <w:vAlign w:val="bottom"/>
            <w:hideMark/>
          </w:tcPr>
          <w:p w14:paraId="1FAC41A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5F4B0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CD4D11" w14:textId="77777777" w:rsidR="00000000" w:rsidRDefault="000C49AD">
            <w:pPr>
              <w:spacing w:after="100"/>
              <w:jc w:val="right"/>
              <w:rPr>
                <w:rFonts w:eastAsia="Times New Roman"/>
              </w:rPr>
            </w:pPr>
            <w:r>
              <w:rPr>
                <w:rFonts w:eastAsia="Times New Roman"/>
                <w:color w:val="000000"/>
                <w:sz w:val="18"/>
                <w:szCs w:val="18"/>
              </w:rPr>
              <w:t>12,125 </w:t>
            </w:r>
          </w:p>
        </w:tc>
        <w:tc>
          <w:tcPr>
            <w:tcW w:w="0" w:type="auto"/>
            <w:shd w:val="clear" w:color="auto" w:fill="CCEEFF"/>
            <w:tcMar>
              <w:top w:w="30" w:type="dxa"/>
              <w:left w:w="0" w:type="dxa"/>
              <w:bottom w:w="30" w:type="dxa"/>
              <w:right w:w="20" w:type="dxa"/>
            </w:tcMar>
            <w:vAlign w:val="bottom"/>
            <w:hideMark/>
          </w:tcPr>
          <w:p w14:paraId="171247A4" w14:textId="77777777" w:rsidR="00000000" w:rsidRDefault="000C49AD">
            <w:pPr>
              <w:spacing w:after="100"/>
              <w:jc w:val="right"/>
              <w:rPr>
                <w:rFonts w:eastAsia="Times New Roman"/>
              </w:rPr>
            </w:pPr>
          </w:p>
        </w:tc>
      </w:tr>
      <w:tr w:rsidR="00000000" w14:paraId="6C7F1717" w14:textId="77777777">
        <w:tc>
          <w:tcPr>
            <w:tcW w:w="0" w:type="auto"/>
            <w:gridSpan w:val="3"/>
            <w:shd w:val="clear" w:color="auto" w:fill="FFFFFF"/>
            <w:tcMar>
              <w:top w:w="30" w:type="dxa"/>
              <w:left w:w="155" w:type="dxa"/>
              <w:bottom w:w="30" w:type="dxa"/>
              <w:right w:w="20" w:type="dxa"/>
            </w:tcMar>
            <w:vAlign w:val="bottom"/>
            <w:hideMark/>
          </w:tcPr>
          <w:p w14:paraId="15920D21" w14:textId="77777777" w:rsidR="00000000" w:rsidRDefault="000C49AD">
            <w:pPr>
              <w:spacing w:after="100"/>
              <w:rPr>
                <w:rFonts w:eastAsia="Times New Roman"/>
              </w:rPr>
            </w:pPr>
            <w:r>
              <w:rPr>
                <w:rFonts w:eastAsia="Times New Roman"/>
                <w:color w:val="000000"/>
                <w:sz w:val="18"/>
                <w:szCs w:val="18"/>
              </w:rPr>
              <w:t>Research and development expenses</w:t>
            </w:r>
          </w:p>
        </w:tc>
        <w:tc>
          <w:tcPr>
            <w:tcW w:w="0" w:type="auto"/>
            <w:gridSpan w:val="3"/>
            <w:shd w:val="clear" w:color="auto" w:fill="FFFFFF"/>
            <w:tcMar>
              <w:top w:w="0" w:type="dxa"/>
              <w:left w:w="20" w:type="dxa"/>
              <w:bottom w:w="0" w:type="dxa"/>
              <w:right w:w="20" w:type="dxa"/>
            </w:tcMar>
            <w:vAlign w:val="center"/>
            <w:hideMark/>
          </w:tcPr>
          <w:p w14:paraId="1F0E776B"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0801D7" w14:textId="77777777" w:rsidR="00000000" w:rsidRDefault="000C49AD">
            <w:pPr>
              <w:spacing w:after="100"/>
              <w:jc w:val="right"/>
              <w:rPr>
                <w:rFonts w:eastAsia="Times New Roman"/>
              </w:rPr>
            </w:pPr>
            <w:r>
              <w:rPr>
                <w:rFonts w:eastAsia="Times New Roman"/>
                <w:color w:val="000000"/>
                <w:sz w:val="18"/>
                <w:szCs w:val="18"/>
              </w:rPr>
              <w:t>17,104 </w:t>
            </w:r>
          </w:p>
        </w:tc>
        <w:tc>
          <w:tcPr>
            <w:tcW w:w="0" w:type="auto"/>
            <w:shd w:val="clear" w:color="auto" w:fill="FFFFFF"/>
            <w:tcMar>
              <w:top w:w="30" w:type="dxa"/>
              <w:left w:w="0" w:type="dxa"/>
              <w:bottom w:w="30" w:type="dxa"/>
              <w:right w:w="20" w:type="dxa"/>
            </w:tcMar>
            <w:vAlign w:val="bottom"/>
            <w:hideMark/>
          </w:tcPr>
          <w:p w14:paraId="133B50E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B5F7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A974BB" w14:textId="77777777" w:rsidR="00000000" w:rsidRDefault="000C49AD">
            <w:pPr>
              <w:spacing w:after="100"/>
              <w:jc w:val="right"/>
              <w:rPr>
                <w:rFonts w:eastAsia="Times New Roman"/>
              </w:rPr>
            </w:pPr>
            <w:r>
              <w:rPr>
                <w:rFonts w:eastAsia="Times New Roman"/>
                <w:color w:val="000000"/>
                <w:sz w:val="18"/>
                <w:szCs w:val="18"/>
              </w:rPr>
              <w:t>20,442 </w:t>
            </w:r>
          </w:p>
        </w:tc>
        <w:tc>
          <w:tcPr>
            <w:tcW w:w="0" w:type="auto"/>
            <w:shd w:val="clear" w:color="auto" w:fill="FFFFFF"/>
            <w:tcMar>
              <w:top w:w="30" w:type="dxa"/>
              <w:left w:w="0" w:type="dxa"/>
              <w:bottom w:w="30" w:type="dxa"/>
              <w:right w:w="20" w:type="dxa"/>
            </w:tcMar>
            <w:vAlign w:val="bottom"/>
            <w:hideMark/>
          </w:tcPr>
          <w:p w14:paraId="43EFD50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CBE54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289590" w14:textId="77777777" w:rsidR="00000000" w:rsidRDefault="000C49AD">
            <w:pPr>
              <w:spacing w:after="100"/>
              <w:jc w:val="right"/>
              <w:rPr>
                <w:rFonts w:eastAsia="Times New Roman"/>
              </w:rPr>
            </w:pPr>
            <w:r>
              <w:rPr>
                <w:rFonts w:eastAsia="Times New Roman"/>
                <w:color w:val="000000"/>
                <w:sz w:val="18"/>
                <w:szCs w:val="18"/>
              </w:rPr>
              <w:t>32,917 </w:t>
            </w:r>
          </w:p>
        </w:tc>
        <w:tc>
          <w:tcPr>
            <w:tcW w:w="0" w:type="auto"/>
            <w:shd w:val="clear" w:color="auto" w:fill="FFFFFF"/>
            <w:tcMar>
              <w:top w:w="30" w:type="dxa"/>
              <w:left w:w="0" w:type="dxa"/>
              <w:bottom w:w="30" w:type="dxa"/>
              <w:right w:w="20" w:type="dxa"/>
            </w:tcMar>
            <w:vAlign w:val="bottom"/>
            <w:hideMark/>
          </w:tcPr>
          <w:p w14:paraId="06FE7FF2" w14:textId="77777777" w:rsidR="00000000" w:rsidRDefault="000C49AD">
            <w:pPr>
              <w:spacing w:after="100"/>
              <w:jc w:val="right"/>
              <w:rPr>
                <w:rFonts w:eastAsia="Times New Roman"/>
              </w:rPr>
            </w:pPr>
          </w:p>
        </w:tc>
      </w:tr>
      <w:tr w:rsidR="00000000" w14:paraId="2E536ECC" w14:textId="77777777">
        <w:tc>
          <w:tcPr>
            <w:tcW w:w="0" w:type="auto"/>
            <w:gridSpan w:val="3"/>
            <w:shd w:val="clear" w:color="auto" w:fill="CCEEFF"/>
            <w:tcMar>
              <w:top w:w="30" w:type="dxa"/>
              <w:left w:w="155" w:type="dxa"/>
              <w:bottom w:w="30" w:type="dxa"/>
              <w:right w:w="20" w:type="dxa"/>
            </w:tcMar>
            <w:vAlign w:val="bottom"/>
            <w:hideMark/>
          </w:tcPr>
          <w:p w14:paraId="62A5C5B0" w14:textId="77777777" w:rsidR="00000000" w:rsidRDefault="000C49AD">
            <w:pPr>
              <w:spacing w:after="100"/>
              <w:rPr>
                <w:rFonts w:eastAsia="Times New Roman"/>
              </w:rPr>
            </w:pPr>
            <w:r>
              <w:rPr>
                <w:rFonts w:eastAsia="Times New Roman"/>
                <w:color w:val="000000"/>
                <w:sz w:val="18"/>
                <w:szCs w:val="18"/>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14:paraId="0C9DE65B"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09AD660" w14:textId="77777777" w:rsidR="00000000" w:rsidRDefault="000C49AD">
            <w:pPr>
              <w:spacing w:after="100"/>
              <w:jc w:val="right"/>
              <w:rPr>
                <w:rFonts w:eastAsia="Times New Roman"/>
              </w:rPr>
            </w:pPr>
            <w:r>
              <w:rPr>
                <w:rFonts w:eastAsia="Times New Roman"/>
                <w:color w:val="000000"/>
                <w:sz w:val="18"/>
                <w:szCs w:val="18"/>
              </w:rPr>
              <w:t>68,495 </w:t>
            </w:r>
          </w:p>
        </w:tc>
        <w:tc>
          <w:tcPr>
            <w:tcW w:w="0" w:type="auto"/>
            <w:shd w:val="clear" w:color="auto" w:fill="CCEEFF"/>
            <w:tcMar>
              <w:top w:w="30" w:type="dxa"/>
              <w:left w:w="0" w:type="dxa"/>
              <w:bottom w:w="30" w:type="dxa"/>
              <w:right w:w="20" w:type="dxa"/>
            </w:tcMar>
            <w:vAlign w:val="bottom"/>
            <w:hideMark/>
          </w:tcPr>
          <w:p w14:paraId="6F1EE5E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65F41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283F4" w14:textId="77777777" w:rsidR="00000000" w:rsidRDefault="000C49AD">
            <w:pPr>
              <w:spacing w:after="100"/>
              <w:jc w:val="right"/>
              <w:rPr>
                <w:rFonts w:eastAsia="Times New Roman"/>
              </w:rPr>
            </w:pPr>
            <w:r>
              <w:rPr>
                <w:rFonts w:eastAsia="Times New Roman"/>
                <w:color w:val="000000"/>
                <w:sz w:val="18"/>
                <w:szCs w:val="18"/>
              </w:rPr>
              <w:t>32,405 </w:t>
            </w:r>
          </w:p>
        </w:tc>
        <w:tc>
          <w:tcPr>
            <w:tcW w:w="0" w:type="auto"/>
            <w:shd w:val="clear" w:color="auto" w:fill="CCEEFF"/>
            <w:tcMar>
              <w:top w:w="30" w:type="dxa"/>
              <w:left w:w="0" w:type="dxa"/>
              <w:bottom w:w="30" w:type="dxa"/>
              <w:right w:w="20" w:type="dxa"/>
            </w:tcMar>
            <w:vAlign w:val="bottom"/>
            <w:hideMark/>
          </w:tcPr>
          <w:p w14:paraId="599D00C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4BE8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7DCC6F" w14:textId="77777777" w:rsidR="00000000" w:rsidRDefault="000C49AD">
            <w:pPr>
              <w:spacing w:after="100"/>
              <w:jc w:val="right"/>
              <w:rPr>
                <w:rFonts w:eastAsia="Times New Roman"/>
              </w:rPr>
            </w:pPr>
            <w:r>
              <w:rPr>
                <w:rFonts w:eastAsia="Times New Roman"/>
                <w:color w:val="000000"/>
                <w:sz w:val="18"/>
                <w:szCs w:val="18"/>
              </w:rPr>
              <w:t>30,183 </w:t>
            </w:r>
          </w:p>
        </w:tc>
        <w:tc>
          <w:tcPr>
            <w:tcW w:w="0" w:type="auto"/>
            <w:shd w:val="clear" w:color="auto" w:fill="CCEEFF"/>
            <w:tcMar>
              <w:top w:w="30" w:type="dxa"/>
              <w:left w:w="0" w:type="dxa"/>
              <w:bottom w:w="30" w:type="dxa"/>
              <w:right w:w="20" w:type="dxa"/>
            </w:tcMar>
            <w:vAlign w:val="bottom"/>
            <w:hideMark/>
          </w:tcPr>
          <w:p w14:paraId="1E18892E" w14:textId="77777777" w:rsidR="00000000" w:rsidRDefault="000C49AD">
            <w:pPr>
              <w:spacing w:after="100"/>
              <w:jc w:val="right"/>
              <w:rPr>
                <w:rFonts w:eastAsia="Times New Roman"/>
              </w:rPr>
            </w:pPr>
          </w:p>
        </w:tc>
      </w:tr>
      <w:tr w:rsidR="00000000" w14:paraId="5F9CE46A" w14:textId="77777777">
        <w:tc>
          <w:tcPr>
            <w:tcW w:w="0" w:type="auto"/>
            <w:gridSpan w:val="3"/>
            <w:shd w:val="clear" w:color="auto" w:fill="FFFFFF"/>
            <w:tcMar>
              <w:top w:w="30" w:type="dxa"/>
              <w:left w:w="155" w:type="dxa"/>
              <w:bottom w:w="30" w:type="dxa"/>
              <w:right w:w="20" w:type="dxa"/>
            </w:tcMar>
            <w:vAlign w:val="bottom"/>
            <w:hideMark/>
          </w:tcPr>
          <w:p w14:paraId="51CE4DB8" w14:textId="77777777" w:rsidR="00000000" w:rsidRDefault="000C49AD">
            <w:pPr>
              <w:spacing w:after="100"/>
              <w:rPr>
                <w:rFonts w:eastAsia="Times New Roman"/>
              </w:rPr>
            </w:pPr>
            <w:r>
              <w:rPr>
                <w:rFonts w:eastAsia="Times New Roman"/>
                <w:color w:val="000000"/>
                <w:sz w:val="18"/>
                <w:szCs w:val="18"/>
              </w:rPr>
              <w:t>Intangible asset amortization</w:t>
            </w:r>
          </w:p>
        </w:tc>
        <w:tc>
          <w:tcPr>
            <w:tcW w:w="0" w:type="auto"/>
            <w:gridSpan w:val="3"/>
            <w:shd w:val="clear" w:color="auto" w:fill="FFFFFF"/>
            <w:tcMar>
              <w:top w:w="0" w:type="dxa"/>
              <w:left w:w="20" w:type="dxa"/>
              <w:bottom w:w="0" w:type="dxa"/>
              <w:right w:w="20" w:type="dxa"/>
            </w:tcMar>
            <w:vAlign w:val="center"/>
            <w:hideMark/>
          </w:tcPr>
          <w:p w14:paraId="72885BD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4392D2F"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08766A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7AC56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F3CFFF" w14:textId="77777777" w:rsidR="00000000" w:rsidRDefault="000C49AD">
            <w:pPr>
              <w:spacing w:after="100"/>
              <w:jc w:val="right"/>
              <w:rPr>
                <w:rFonts w:eastAsia="Times New Roman"/>
              </w:rPr>
            </w:pPr>
            <w:r>
              <w:rPr>
                <w:rFonts w:eastAsia="Times New Roman"/>
                <w:color w:val="000000"/>
                <w:sz w:val="18"/>
                <w:szCs w:val="18"/>
              </w:rPr>
              <w:t>406 </w:t>
            </w:r>
          </w:p>
        </w:tc>
        <w:tc>
          <w:tcPr>
            <w:tcW w:w="0" w:type="auto"/>
            <w:shd w:val="clear" w:color="auto" w:fill="FFFFFF"/>
            <w:tcMar>
              <w:top w:w="30" w:type="dxa"/>
              <w:left w:w="0" w:type="dxa"/>
              <w:bottom w:w="30" w:type="dxa"/>
              <w:right w:w="20" w:type="dxa"/>
            </w:tcMar>
            <w:vAlign w:val="bottom"/>
            <w:hideMark/>
          </w:tcPr>
          <w:p w14:paraId="017F198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2B96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900DE3" w14:textId="77777777" w:rsidR="00000000" w:rsidRDefault="000C49AD">
            <w:pPr>
              <w:spacing w:after="100"/>
              <w:jc w:val="right"/>
              <w:rPr>
                <w:rFonts w:eastAsia="Times New Roman"/>
              </w:rPr>
            </w:pPr>
            <w:r>
              <w:rPr>
                <w:rFonts w:eastAsia="Times New Roman"/>
                <w:color w:val="000000"/>
                <w:sz w:val="18"/>
                <w:szCs w:val="18"/>
              </w:rPr>
              <w:t>816 </w:t>
            </w:r>
          </w:p>
        </w:tc>
        <w:tc>
          <w:tcPr>
            <w:tcW w:w="0" w:type="auto"/>
            <w:shd w:val="clear" w:color="auto" w:fill="FFFFFF"/>
            <w:tcMar>
              <w:top w:w="30" w:type="dxa"/>
              <w:left w:w="0" w:type="dxa"/>
              <w:bottom w:w="30" w:type="dxa"/>
              <w:right w:w="20" w:type="dxa"/>
            </w:tcMar>
            <w:vAlign w:val="bottom"/>
            <w:hideMark/>
          </w:tcPr>
          <w:p w14:paraId="6C71AA3D" w14:textId="77777777" w:rsidR="00000000" w:rsidRDefault="000C49AD">
            <w:pPr>
              <w:spacing w:after="100"/>
              <w:jc w:val="right"/>
              <w:rPr>
                <w:rFonts w:eastAsia="Times New Roman"/>
              </w:rPr>
            </w:pPr>
          </w:p>
        </w:tc>
      </w:tr>
      <w:tr w:rsidR="00000000" w14:paraId="1B37CC8D" w14:textId="77777777">
        <w:tc>
          <w:tcPr>
            <w:tcW w:w="0" w:type="auto"/>
            <w:gridSpan w:val="3"/>
            <w:shd w:val="clear" w:color="auto" w:fill="CCEEFF"/>
            <w:tcMar>
              <w:top w:w="30" w:type="dxa"/>
              <w:left w:w="155" w:type="dxa"/>
              <w:bottom w:w="30" w:type="dxa"/>
              <w:right w:w="20" w:type="dxa"/>
            </w:tcMar>
            <w:vAlign w:val="bottom"/>
            <w:hideMark/>
          </w:tcPr>
          <w:p w14:paraId="20F392E6" w14:textId="77777777" w:rsidR="00000000" w:rsidRDefault="000C49AD">
            <w:pPr>
              <w:spacing w:after="100"/>
              <w:rPr>
                <w:rFonts w:eastAsia="Times New Roman"/>
              </w:rPr>
            </w:pPr>
            <w:r>
              <w:rPr>
                <w:rFonts w:eastAsia="Times New Roman"/>
                <w:color w:val="000000"/>
                <w:sz w:val="18"/>
                <w:szCs w:val="18"/>
              </w:rPr>
              <w:t>Changes in fair value of contingent consideration</w:t>
            </w:r>
          </w:p>
        </w:tc>
        <w:tc>
          <w:tcPr>
            <w:tcW w:w="0" w:type="auto"/>
            <w:gridSpan w:val="3"/>
            <w:shd w:val="clear" w:color="auto" w:fill="CCEEFF"/>
            <w:tcMar>
              <w:top w:w="0" w:type="dxa"/>
              <w:left w:w="20" w:type="dxa"/>
              <w:bottom w:w="0" w:type="dxa"/>
              <w:right w:w="20" w:type="dxa"/>
            </w:tcMar>
            <w:vAlign w:val="center"/>
            <w:hideMark/>
          </w:tcPr>
          <w:p w14:paraId="3B57339B"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63A80A"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9323C3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D90E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ECD639" w14:textId="77777777" w:rsidR="00000000" w:rsidRDefault="000C49AD">
            <w:pPr>
              <w:spacing w:after="100"/>
              <w:jc w:val="right"/>
              <w:rPr>
                <w:rFonts w:eastAsia="Times New Roman"/>
              </w:rPr>
            </w:pPr>
            <w:r>
              <w:rPr>
                <w:rFonts w:eastAsia="Times New Roman"/>
                <w:color w:val="000000"/>
                <w:sz w:val="18"/>
                <w:szCs w:val="18"/>
              </w:rPr>
              <w:t>3,327 </w:t>
            </w:r>
          </w:p>
        </w:tc>
        <w:tc>
          <w:tcPr>
            <w:tcW w:w="0" w:type="auto"/>
            <w:shd w:val="clear" w:color="auto" w:fill="CCEEFF"/>
            <w:tcMar>
              <w:top w:w="30" w:type="dxa"/>
              <w:left w:w="0" w:type="dxa"/>
              <w:bottom w:w="30" w:type="dxa"/>
              <w:right w:w="20" w:type="dxa"/>
            </w:tcMar>
            <w:vAlign w:val="bottom"/>
            <w:hideMark/>
          </w:tcPr>
          <w:p w14:paraId="0BE2F63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0B731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4B2986" w14:textId="77777777" w:rsidR="00000000" w:rsidRDefault="000C49AD">
            <w:pPr>
              <w:spacing w:after="100"/>
              <w:jc w:val="right"/>
              <w:rPr>
                <w:rFonts w:eastAsia="Times New Roman"/>
              </w:rPr>
            </w:pPr>
            <w:r>
              <w:rPr>
                <w:rFonts w:eastAsia="Times New Roman"/>
                <w:color w:val="000000"/>
                <w:sz w:val="18"/>
                <w:szCs w:val="18"/>
              </w:rPr>
              <w:t>845 </w:t>
            </w:r>
          </w:p>
        </w:tc>
        <w:tc>
          <w:tcPr>
            <w:tcW w:w="0" w:type="auto"/>
            <w:shd w:val="clear" w:color="auto" w:fill="CCEEFF"/>
            <w:tcMar>
              <w:top w:w="30" w:type="dxa"/>
              <w:left w:w="0" w:type="dxa"/>
              <w:bottom w:w="30" w:type="dxa"/>
              <w:right w:w="20" w:type="dxa"/>
            </w:tcMar>
            <w:vAlign w:val="bottom"/>
            <w:hideMark/>
          </w:tcPr>
          <w:p w14:paraId="6D84D04B" w14:textId="77777777" w:rsidR="00000000" w:rsidRDefault="000C49AD">
            <w:pPr>
              <w:spacing w:after="100"/>
              <w:jc w:val="right"/>
              <w:rPr>
                <w:rFonts w:eastAsia="Times New Roman"/>
              </w:rPr>
            </w:pPr>
          </w:p>
        </w:tc>
      </w:tr>
      <w:tr w:rsidR="00000000" w14:paraId="0EBA672D" w14:textId="77777777">
        <w:tc>
          <w:tcPr>
            <w:tcW w:w="0" w:type="auto"/>
            <w:gridSpan w:val="3"/>
            <w:shd w:val="clear" w:color="auto" w:fill="FFFFFF"/>
            <w:tcMar>
              <w:top w:w="30" w:type="dxa"/>
              <w:left w:w="155" w:type="dxa"/>
              <w:bottom w:w="30" w:type="dxa"/>
              <w:right w:w="20" w:type="dxa"/>
            </w:tcMar>
            <w:vAlign w:val="bottom"/>
            <w:hideMark/>
          </w:tcPr>
          <w:p w14:paraId="46AF0813" w14:textId="77777777" w:rsidR="00000000" w:rsidRDefault="000C49AD">
            <w:pPr>
              <w:spacing w:after="100"/>
              <w:rPr>
                <w:rFonts w:eastAsia="Times New Roman"/>
              </w:rPr>
            </w:pPr>
            <w:r>
              <w:rPr>
                <w:rFonts w:eastAsia="Times New Roman"/>
                <w:color w:val="000000"/>
                <w:sz w:val="18"/>
                <w:szCs w:val="18"/>
              </w:rPr>
              <w:t>Gain on sale of Hospital Products</w:t>
            </w:r>
          </w:p>
        </w:tc>
        <w:tc>
          <w:tcPr>
            <w:tcW w:w="0" w:type="auto"/>
            <w:gridSpan w:val="3"/>
            <w:shd w:val="clear" w:color="auto" w:fill="FFFFFF"/>
            <w:tcMar>
              <w:top w:w="0" w:type="dxa"/>
              <w:left w:w="20" w:type="dxa"/>
              <w:bottom w:w="0" w:type="dxa"/>
              <w:right w:w="20" w:type="dxa"/>
            </w:tcMar>
            <w:vAlign w:val="center"/>
            <w:hideMark/>
          </w:tcPr>
          <w:p w14:paraId="43D5AC5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41BE4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02E865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E550F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5FC988" w14:textId="77777777" w:rsidR="00000000" w:rsidRDefault="000C49AD">
            <w:pPr>
              <w:spacing w:after="100"/>
              <w:jc w:val="right"/>
              <w:rPr>
                <w:rFonts w:eastAsia="Times New Roman"/>
              </w:rPr>
            </w:pPr>
            <w:r>
              <w:rPr>
                <w:rFonts w:eastAsia="Times New Roman"/>
                <w:color w:val="000000"/>
                <w:sz w:val="18"/>
                <w:szCs w:val="18"/>
              </w:rPr>
              <w:t>(45,760)</w:t>
            </w:r>
          </w:p>
        </w:tc>
        <w:tc>
          <w:tcPr>
            <w:tcW w:w="0" w:type="auto"/>
            <w:shd w:val="clear" w:color="auto" w:fill="FFFFFF"/>
            <w:tcMar>
              <w:top w:w="30" w:type="dxa"/>
              <w:left w:w="0" w:type="dxa"/>
              <w:bottom w:w="30" w:type="dxa"/>
              <w:right w:w="20" w:type="dxa"/>
            </w:tcMar>
            <w:vAlign w:val="bottom"/>
            <w:hideMark/>
          </w:tcPr>
          <w:p w14:paraId="68C329E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2BE91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9A3DE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465867" w14:textId="77777777" w:rsidR="00000000" w:rsidRDefault="000C49AD">
            <w:pPr>
              <w:spacing w:after="100"/>
              <w:jc w:val="right"/>
              <w:rPr>
                <w:rFonts w:eastAsia="Times New Roman"/>
              </w:rPr>
            </w:pPr>
          </w:p>
        </w:tc>
      </w:tr>
      <w:tr w:rsidR="00000000" w14:paraId="17F1B5C9" w14:textId="77777777">
        <w:tc>
          <w:tcPr>
            <w:tcW w:w="0" w:type="auto"/>
            <w:gridSpan w:val="3"/>
            <w:shd w:val="clear" w:color="auto" w:fill="CCEEFF"/>
            <w:tcMar>
              <w:top w:w="30" w:type="dxa"/>
              <w:left w:w="155" w:type="dxa"/>
              <w:bottom w:w="30" w:type="dxa"/>
              <w:right w:w="20" w:type="dxa"/>
            </w:tcMar>
            <w:vAlign w:val="bottom"/>
            <w:hideMark/>
          </w:tcPr>
          <w:p w14:paraId="2014D149" w14:textId="77777777" w:rsidR="00000000" w:rsidRDefault="000C49AD">
            <w:pPr>
              <w:spacing w:after="100"/>
              <w:rPr>
                <w:rFonts w:eastAsia="Times New Roman"/>
              </w:rPr>
            </w:pPr>
            <w:r>
              <w:rPr>
                <w:rFonts w:eastAsia="Times New Roman"/>
                <w:color w:val="000000"/>
                <w:sz w:val="18"/>
                <w:szCs w:val="18"/>
              </w:rPr>
              <w:t>Restructuring (income) costs</w:t>
            </w:r>
          </w:p>
        </w:tc>
        <w:tc>
          <w:tcPr>
            <w:tcW w:w="0" w:type="auto"/>
            <w:gridSpan w:val="3"/>
            <w:shd w:val="clear" w:color="auto" w:fill="CCEEFF"/>
            <w:tcMar>
              <w:top w:w="0" w:type="dxa"/>
              <w:left w:w="20" w:type="dxa"/>
              <w:bottom w:w="0" w:type="dxa"/>
              <w:right w:w="20" w:type="dxa"/>
            </w:tcMar>
            <w:vAlign w:val="center"/>
            <w:hideMark/>
          </w:tcPr>
          <w:p w14:paraId="59ADB03D"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4F0260" w14:textId="77777777" w:rsidR="00000000" w:rsidRDefault="000C49AD">
            <w:pPr>
              <w:spacing w:after="100"/>
              <w:jc w:val="right"/>
              <w:rPr>
                <w:rFonts w:eastAsia="Times New Roman"/>
              </w:rPr>
            </w:pPr>
            <w:r>
              <w:rPr>
                <w:rFonts w:eastAsia="Times New Roman"/>
                <w:color w:val="000000"/>
                <w:sz w:val="18"/>
                <w:szCs w:val="18"/>
              </w:rPr>
              <w:t>(53)</w:t>
            </w:r>
          </w:p>
        </w:tc>
        <w:tc>
          <w:tcPr>
            <w:tcW w:w="0" w:type="auto"/>
            <w:shd w:val="clear" w:color="auto" w:fill="CCEEFF"/>
            <w:tcMar>
              <w:top w:w="30" w:type="dxa"/>
              <w:left w:w="0" w:type="dxa"/>
              <w:bottom w:w="30" w:type="dxa"/>
              <w:right w:w="20" w:type="dxa"/>
            </w:tcMar>
            <w:vAlign w:val="bottom"/>
            <w:hideMark/>
          </w:tcPr>
          <w:p w14:paraId="2D1B247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53ED4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C2D87E" w14:textId="77777777" w:rsidR="00000000" w:rsidRDefault="000C49AD">
            <w:pPr>
              <w:spacing w:after="100"/>
              <w:jc w:val="right"/>
              <w:rPr>
                <w:rFonts w:eastAsia="Times New Roman"/>
              </w:rPr>
            </w:pPr>
            <w:r>
              <w:rPr>
                <w:rFonts w:eastAsia="Times New Roman"/>
                <w:color w:val="000000"/>
                <w:sz w:val="18"/>
                <w:szCs w:val="18"/>
              </w:rPr>
              <w:t>(43)</w:t>
            </w:r>
          </w:p>
        </w:tc>
        <w:tc>
          <w:tcPr>
            <w:tcW w:w="0" w:type="auto"/>
            <w:shd w:val="clear" w:color="auto" w:fill="CCEEFF"/>
            <w:tcMar>
              <w:top w:w="30" w:type="dxa"/>
              <w:left w:w="0" w:type="dxa"/>
              <w:bottom w:w="30" w:type="dxa"/>
              <w:right w:w="20" w:type="dxa"/>
            </w:tcMar>
            <w:vAlign w:val="bottom"/>
            <w:hideMark/>
          </w:tcPr>
          <w:p w14:paraId="70F844D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6020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38FEF0" w14:textId="77777777" w:rsidR="00000000" w:rsidRDefault="000C49AD">
            <w:pPr>
              <w:spacing w:after="100"/>
              <w:jc w:val="right"/>
              <w:rPr>
                <w:rFonts w:eastAsia="Times New Roman"/>
              </w:rPr>
            </w:pPr>
            <w:r>
              <w:rPr>
                <w:rFonts w:eastAsia="Times New Roman"/>
                <w:color w:val="000000"/>
                <w:sz w:val="18"/>
                <w:szCs w:val="18"/>
              </w:rPr>
              <w:t>6,441 </w:t>
            </w:r>
          </w:p>
        </w:tc>
        <w:tc>
          <w:tcPr>
            <w:tcW w:w="0" w:type="auto"/>
            <w:shd w:val="clear" w:color="auto" w:fill="CCEEFF"/>
            <w:tcMar>
              <w:top w:w="30" w:type="dxa"/>
              <w:left w:w="0" w:type="dxa"/>
              <w:bottom w:w="30" w:type="dxa"/>
              <w:right w:w="20" w:type="dxa"/>
            </w:tcMar>
            <w:vAlign w:val="bottom"/>
            <w:hideMark/>
          </w:tcPr>
          <w:p w14:paraId="3E993E24" w14:textId="77777777" w:rsidR="00000000" w:rsidRDefault="000C49AD">
            <w:pPr>
              <w:spacing w:after="100"/>
              <w:jc w:val="right"/>
              <w:rPr>
                <w:rFonts w:eastAsia="Times New Roman"/>
              </w:rPr>
            </w:pPr>
          </w:p>
        </w:tc>
      </w:tr>
      <w:tr w:rsidR="00000000" w14:paraId="17ED3799" w14:textId="77777777">
        <w:tc>
          <w:tcPr>
            <w:tcW w:w="0" w:type="auto"/>
            <w:gridSpan w:val="3"/>
            <w:shd w:val="clear" w:color="auto" w:fill="FFFFFF"/>
            <w:tcMar>
              <w:top w:w="30" w:type="dxa"/>
              <w:left w:w="20" w:type="dxa"/>
              <w:bottom w:w="30" w:type="dxa"/>
              <w:right w:w="20" w:type="dxa"/>
            </w:tcMar>
            <w:vAlign w:val="bottom"/>
            <w:hideMark/>
          </w:tcPr>
          <w:p w14:paraId="2ED7972B" w14:textId="77777777" w:rsidR="00000000" w:rsidRDefault="000C49AD">
            <w:pPr>
              <w:spacing w:after="100"/>
              <w:rPr>
                <w:rFonts w:eastAsia="Times New Roman"/>
              </w:rPr>
            </w:pPr>
            <w:r>
              <w:rPr>
                <w:rFonts w:eastAsia="Times New Roman"/>
                <w:color w:val="000000"/>
                <w:sz w:val="18"/>
                <w:szCs w:val="18"/>
              </w:rPr>
              <w:t>Total operating expenses</w:t>
            </w:r>
          </w:p>
        </w:tc>
        <w:tc>
          <w:tcPr>
            <w:tcW w:w="0" w:type="auto"/>
            <w:gridSpan w:val="3"/>
            <w:shd w:val="clear" w:color="auto" w:fill="FFFFFF"/>
            <w:tcMar>
              <w:top w:w="0" w:type="dxa"/>
              <w:left w:w="20" w:type="dxa"/>
              <w:bottom w:w="0" w:type="dxa"/>
              <w:right w:w="20" w:type="dxa"/>
            </w:tcMar>
            <w:vAlign w:val="center"/>
            <w:hideMark/>
          </w:tcPr>
          <w:p w14:paraId="1FCF1A79"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737633B" w14:textId="77777777" w:rsidR="00000000" w:rsidRDefault="000C49AD">
            <w:pPr>
              <w:spacing w:after="100"/>
              <w:jc w:val="right"/>
              <w:rPr>
                <w:rFonts w:eastAsia="Times New Roman"/>
              </w:rPr>
            </w:pPr>
            <w:r>
              <w:rPr>
                <w:rFonts w:eastAsia="Times New Roman"/>
                <w:color w:val="000000"/>
                <w:sz w:val="18"/>
                <w:szCs w:val="18"/>
              </w:rPr>
              <w:t>85,546 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2E6AF0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50B76"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62593FE" w14:textId="77777777" w:rsidR="00000000" w:rsidRDefault="000C49AD">
            <w:pPr>
              <w:spacing w:after="100"/>
              <w:jc w:val="right"/>
              <w:rPr>
                <w:rFonts w:eastAsia="Times New Roman"/>
              </w:rPr>
            </w:pPr>
            <w:r>
              <w:rPr>
                <w:rFonts w:eastAsia="Times New Roman"/>
                <w:color w:val="000000"/>
                <w:sz w:val="18"/>
                <w:szCs w:val="18"/>
              </w:rPr>
              <w:t>16,519 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AB674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670EE"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8471549" w14:textId="77777777" w:rsidR="00000000" w:rsidRDefault="000C49AD">
            <w:pPr>
              <w:spacing w:after="100"/>
              <w:jc w:val="right"/>
              <w:rPr>
                <w:rFonts w:eastAsia="Times New Roman"/>
              </w:rPr>
            </w:pPr>
            <w:r>
              <w:rPr>
                <w:rFonts w:eastAsia="Times New Roman"/>
                <w:color w:val="000000"/>
                <w:sz w:val="18"/>
                <w:szCs w:val="18"/>
              </w:rPr>
              <w:t>83,327 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083530" w14:textId="77777777" w:rsidR="00000000" w:rsidRDefault="000C49AD">
            <w:pPr>
              <w:spacing w:after="100"/>
              <w:jc w:val="right"/>
              <w:rPr>
                <w:rFonts w:eastAsia="Times New Roman"/>
              </w:rPr>
            </w:pPr>
          </w:p>
        </w:tc>
      </w:tr>
      <w:tr w:rsidR="00000000" w14:paraId="74F8424F" w14:textId="77777777">
        <w:tc>
          <w:tcPr>
            <w:tcW w:w="0" w:type="auto"/>
            <w:gridSpan w:val="3"/>
            <w:shd w:val="clear" w:color="auto" w:fill="CCEEFF"/>
            <w:tcMar>
              <w:top w:w="30" w:type="dxa"/>
              <w:left w:w="20" w:type="dxa"/>
              <w:bottom w:w="30" w:type="dxa"/>
              <w:right w:w="20" w:type="dxa"/>
            </w:tcMar>
            <w:vAlign w:val="bottom"/>
            <w:hideMark/>
          </w:tcPr>
          <w:p w14:paraId="027AB52A" w14:textId="77777777" w:rsidR="00000000" w:rsidRDefault="000C49AD">
            <w:pPr>
              <w:spacing w:after="100"/>
              <w:rPr>
                <w:rFonts w:eastAsia="Times New Roman"/>
              </w:rPr>
            </w:pPr>
            <w:r>
              <w:rPr>
                <w:rFonts w:eastAsia="Times New Roman"/>
                <w:color w:val="000000"/>
                <w:sz w:val="18"/>
                <w:szCs w:val="18"/>
              </w:rPr>
              <w:t>Operating (loss) income</w:t>
            </w:r>
          </w:p>
        </w:tc>
        <w:tc>
          <w:tcPr>
            <w:tcW w:w="0" w:type="auto"/>
            <w:gridSpan w:val="3"/>
            <w:shd w:val="clear" w:color="auto" w:fill="CCEEFF"/>
            <w:tcMar>
              <w:top w:w="0" w:type="dxa"/>
              <w:left w:w="20" w:type="dxa"/>
              <w:bottom w:w="0" w:type="dxa"/>
              <w:right w:w="20" w:type="dxa"/>
            </w:tcMar>
            <w:vAlign w:val="center"/>
            <w:hideMark/>
          </w:tcPr>
          <w:p w14:paraId="3884B1CC"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A5B906" w14:textId="77777777" w:rsidR="00000000" w:rsidRDefault="000C49AD">
            <w:pPr>
              <w:spacing w:after="100"/>
              <w:jc w:val="right"/>
              <w:rPr>
                <w:rFonts w:eastAsia="Times New Roman"/>
              </w:rPr>
            </w:pPr>
            <w:r>
              <w:rPr>
                <w:rFonts w:eastAsia="Times New Roman"/>
                <w:color w:val="000000"/>
                <w:sz w:val="18"/>
                <w:szCs w:val="18"/>
              </w:rPr>
              <w:t>(85,546)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B80AD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840CDB"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EDFCFC" w14:textId="77777777" w:rsidR="00000000" w:rsidRDefault="000C49AD">
            <w:pPr>
              <w:spacing w:after="100"/>
              <w:jc w:val="right"/>
              <w:rPr>
                <w:rFonts w:eastAsia="Times New Roman"/>
              </w:rPr>
            </w:pPr>
            <w:r>
              <w:rPr>
                <w:rFonts w:eastAsia="Times New Roman"/>
                <w:color w:val="000000"/>
                <w:sz w:val="18"/>
                <w:szCs w:val="18"/>
              </w:rPr>
              <w:t>5,815 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0F17B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0D2B27"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73D8469" w14:textId="77777777" w:rsidR="00000000" w:rsidRDefault="000C49AD">
            <w:pPr>
              <w:spacing w:after="100"/>
              <w:jc w:val="right"/>
              <w:rPr>
                <w:rFonts w:eastAsia="Times New Roman"/>
              </w:rPr>
            </w:pPr>
            <w:r>
              <w:rPr>
                <w:rFonts w:eastAsia="Times New Roman"/>
                <w:color w:val="000000"/>
                <w:sz w:val="18"/>
                <w:szCs w:val="18"/>
              </w:rPr>
              <w:t>(</w:t>
            </w:r>
            <w:r>
              <w:rPr>
                <w:rFonts w:eastAsia="Times New Roman"/>
                <w:color w:val="000000"/>
                <w:sz w:val="18"/>
                <w:szCs w:val="18"/>
              </w:rPr>
              <w:t>24,112)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0D72C1" w14:textId="77777777" w:rsidR="00000000" w:rsidRDefault="000C49AD">
            <w:pPr>
              <w:spacing w:after="100"/>
              <w:jc w:val="right"/>
              <w:rPr>
                <w:rFonts w:eastAsia="Times New Roman"/>
              </w:rPr>
            </w:pPr>
          </w:p>
        </w:tc>
      </w:tr>
      <w:tr w:rsidR="00000000" w14:paraId="46E60F8B" w14:textId="77777777">
        <w:tc>
          <w:tcPr>
            <w:tcW w:w="0" w:type="auto"/>
            <w:gridSpan w:val="3"/>
            <w:shd w:val="clear" w:color="auto" w:fill="FFFFFF"/>
            <w:tcMar>
              <w:top w:w="30" w:type="dxa"/>
              <w:left w:w="155" w:type="dxa"/>
              <w:bottom w:w="30" w:type="dxa"/>
              <w:right w:w="20" w:type="dxa"/>
            </w:tcMar>
            <w:vAlign w:val="bottom"/>
            <w:hideMark/>
          </w:tcPr>
          <w:p w14:paraId="7314B5A0" w14:textId="77777777" w:rsidR="00000000" w:rsidRDefault="000C49AD">
            <w:pPr>
              <w:spacing w:after="100"/>
              <w:rPr>
                <w:rFonts w:eastAsia="Times New Roman"/>
              </w:rPr>
            </w:pPr>
            <w:r>
              <w:rPr>
                <w:rFonts w:eastAsia="Times New Roman"/>
                <w:color w:val="000000"/>
                <w:sz w:val="18"/>
                <w:szCs w:val="18"/>
              </w:rPr>
              <w:t>Investment and other income (expense), net</w:t>
            </w:r>
          </w:p>
        </w:tc>
        <w:tc>
          <w:tcPr>
            <w:tcW w:w="0" w:type="auto"/>
            <w:gridSpan w:val="3"/>
            <w:shd w:val="clear" w:color="auto" w:fill="FFFFFF"/>
            <w:tcMar>
              <w:top w:w="0" w:type="dxa"/>
              <w:left w:w="20" w:type="dxa"/>
              <w:bottom w:w="0" w:type="dxa"/>
              <w:right w:w="20" w:type="dxa"/>
            </w:tcMar>
            <w:vAlign w:val="center"/>
            <w:hideMark/>
          </w:tcPr>
          <w:p w14:paraId="7C88AEBC"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A46CFE" w14:textId="77777777" w:rsidR="00000000" w:rsidRDefault="000C49AD">
            <w:pPr>
              <w:spacing w:after="100"/>
              <w:jc w:val="right"/>
              <w:rPr>
                <w:rFonts w:eastAsia="Times New Roman"/>
              </w:rPr>
            </w:pPr>
            <w:r>
              <w:rPr>
                <w:rFonts w:eastAsia="Times New Roman"/>
                <w:color w:val="000000"/>
                <w:sz w:val="18"/>
                <w:szCs w:val="18"/>
              </w:rPr>
              <w:t>2,126 </w:t>
            </w:r>
          </w:p>
        </w:tc>
        <w:tc>
          <w:tcPr>
            <w:tcW w:w="0" w:type="auto"/>
            <w:shd w:val="clear" w:color="auto" w:fill="FFFFFF"/>
            <w:tcMar>
              <w:top w:w="30" w:type="dxa"/>
              <w:left w:w="0" w:type="dxa"/>
              <w:bottom w:w="30" w:type="dxa"/>
              <w:right w:w="20" w:type="dxa"/>
            </w:tcMar>
            <w:vAlign w:val="bottom"/>
            <w:hideMark/>
          </w:tcPr>
          <w:p w14:paraId="18F6082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A32BF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D96E60" w14:textId="77777777" w:rsidR="00000000" w:rsidRDefault="000C49AD">
            <w:pPr>
              <w:spacing w:after="100"/>
              <w:jc w:val="right"/>
              <w:rPr>
                <w:rFonts w:eastAsia="Times New Roman"/>
              </w:rPr>
            </w:pPr>
            <w:r>
              <w:rPr>
                <w:rFonts w:eastAsia="Times New Roman"/>
                <w:color w:val="000000"/>
                <w:sz w:val="18"/>
                <w:szCs w:val="18"/>
              </w:rPr>
              <w:t>(832)</w:t>
            </w:r>
          </w:p>
        </w:tc>
        <w:tc>
          <w:tcPr>
            <w:tcW w:w="0" w:type="auto"/>
            <w:shd w:val="clear" w:color="auto" w:fill="FFFFFF"/>
            <w:tcMar>
              <w:top w:w="30" w:type="dxa"/>
              <w:left w:w="0" w:type="dxa"/>
              <w:bottom w:w="30" w:type="dxa"/>
              <w:right w:w="20" w:type="dxa"/>
            </w:tcMar>
            <w:vAlign w:val="bottom"/>
            <w:hideMark/>
          </w:tcPr>
          <w:p w14:paraId="3F6C510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6E93C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27FF46" w14:textId="77777777" w:rsidR="00000000" w:rsidRDefault="000C49AD">
            <w:pPr>
              <w:spacing w:after="100"/>
              <w:jc w:val="right"/>
              <w:rPr>
                <w:rFonts w:eastAsia="Times New Roman"/>
              </w:rPr>
            </w:pPr>
            <w:r>
              <w:rPr>
                <w:rFonts w:eastAsia="Times New Roman"/>
                <w:color w:val="000000"/>
                <w:sz w:val="18"/>
                <w:szCs w:val="18"/>
              </w:rPr>
              <w:t>1,069 </w:t>
            </w:r>
          </w:p>
        </w:tc>
        <w:tc>
          <w:tcPr>
            <w:tcW w:w="0" w:type="auto"/>
            <w:shd w:val="clear" w:color="auto" w:fill="FFFFFF"/>
            <w:tcMar>
              <w:top w:w="30" w:type="dxa"/>
              <w:left w:w="0" w:type="dxa"/>
              <w:bottom w:w="30" w:type="dxa"/>
              <w:right w:w="20" w:type="dxa"/>
            </w:tcMar>
            <w:vAlign w:val="bottom"/>
            <w:hideMark/>
          </w:tcPr>
          <w:p w14:paraId="3379134C" w14:textId="77777777" w:rsidR="00000000" w:rsidRDefault="000C49AD">
            <w:pPr>
              <w:spacing w:after="100"/>
              <w:jc w:val="right"/>
              <w:rPr>
                <w:rFonts w:eastAsia="Times New Roman"/>
              </w:rPr>
            </w:pPr>
          </w:p>
        </w:tc>
      </w:tr>
      <w:tr w:rsidR="00000000" w14:paraId="6887608C" w14:textId="77777777">
        <w:tc>
          <w:tcPr>
            <w:tcW w:w="0" w:type="auto"/>
            <w:gridSpan w:val="3"/>
            <w:shd w:val="clear" w:color="auto" w:fill="CCEEFF"/>
            <w:tcMar>
              <w:top w:w="30" w:type="dxa"/>
              <w:left w:w="155" w:type="dxa"/>
              <w:bottom w:w="30" w:type="dxa"/>
              <w:right w:w="20" w:type="dxa"/>
            </w:tcMar>
            <w:vAlign w:val="bottom"/>
            <w:hideMark/>
          </w:tcPr>
          <w:p w14:paraId="02EF2589" w14:textId="77777777" w:rsidR="00000000" w:rsidRDefault="000C49AD">
            <w:pPr>
              <w:spacing w:after="100"/>
              <w:rPr>
                <w:rFonts w:eastAsia="Times New Roman"/>
              </w:rPr>
            </w:pPr>
            <w:r>
              <w:rPr>
                <w:rFonts w:eastAsia="Times New Roman"/>
                <w:color w:val="000000"/>
                <w:sz w:val="18"/>
                <w:szCs w:val="18"/>
              </w:rPr>
              <w:t>Interest expense</w:t>
            </w:r>
          </w:p>
        </w:tc>
        <w:tc>
          <w:tcPr>
            <w:tcW w:w="0" w:type="auto"/>
            <w:gridSpan w:val="3"/>
            <w:shd w:val="clear" w:color="auto" w:fill="CCEEFF"/>
            <w:tcMar>
              <w:top w:w="0" w:type="dxa"/>
              <w:left w:w="20" w:type="dxa"/>
              <w:bottom w:w="0" w:type="dxa"/>
              <w:right w:w="20" w:type="dxa"/>
            </w:tcMar>
            <w:vAlign w:val="center"/>
            <w:hideMark/>
          </w:tcPr>
          <w:p w14:paraId="2B7FAAAC"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C36146" w14:textId="77777777" w:rsidR="00000000" w:rsidRDefault="000C49AD">
            <w:pPr>
              <w:spacing w:after="100"/>
              <w:jc w:val="right"/>
              <w:rPr>
                <w:rFonts w:eastAsia="Times New Roman"/>
              </w:rPr>
            </w:pPr>
            <w:r>
              <w:rPr>
                <w:rFonts w:eastAsia="Times New Roman"/>
                <w:color w:val="000000"/>
                <w:sz w:val="18"/>
                <w:szCs w:val="18"/>
              </w:rPr>
              <w:t>(9,942)</w:t>
            </w:r>
          </w:p>
        </w:tc>
        <w:tc>
          <w:tcPr>
            <w:tcW w:w="0" w:type="auto"/>
            <w:shd w:val="clear" w:color="auto" w:fill="CCEEFF"/>
            <w:tcMar>
              <w:top w:w="30" w:type="dxa"/>
              <w:left w:w="0" w:type="dxa"/>
              <w:bottom w:w="30" w:type="dxa"/>
              <w:right w:w="20" w:type="dxa"/>
            </w:tcMar>
            <w:vAlign w:val="bottom"/>
            <w:hideMark/>
          </w:tcPr>
          <w:p w14:paraId="7177B4A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9B4D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7C98F7" w14:textId="77777777" w:rsidR="00000000" w:rsidRDefault="000C49AD">
            <w:pPr>
              <w:spacing w:after="100"/>
              <w:jc w:val="right"/>
              <w:rPr>
                <w:rFonts w:eastAsia="Times New Roman"/>
              </w:rPr>
            </w:pPr>
            <w:r>
              <w:rPr>
                <w:rFonts w:eastAsia="Times New Roman"/>
                <w:color w:val="000000"/>
                <w:sz w:val="18"/>
                <w:szCs w:val="18"/>
              </w:rPr>
              <w:t>(12,994)</w:t>
            </w:r>
          </w:p>
        </w:tc>
        <w:tc>
          <w:tcPr>
            <w:tcW w:w="0" w:type="auto"/>
            <w:shd w:val="clear" w:color="auto" w:fill="CCEEFF"/>
            <w:tcMar>
              <w:top w:w="30" w:type="dxa"/>
              <w:left w:w="0" w:type="dxa"/>
              <w:bottom w:w="30" w:type="dxa"/>
              <w:right w:w="20" w:type="dxa"/>
            </w:tcMar>
            <w:vAlign w:val="bottom"/>
            <w:hideMark/>
          </w:tcPr>
          <w:p w14:paraId="7B05204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B4613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026CF2" w14:textId="77777777" w:rsidR="00000000" w:rsidRDefault="000C49AD">
            <w:pPr>
              <w:spacing w:after="100"/>
              <w:jc w:val="right"/>
              <w:rPr>
                <w:rFonts w:eastAsia="Times New Roman"/>
              </w:rPr>
            </w:pPr>
            <w:r>
              <w:rPr>
                <w:rFonts w:eastAsia="Times New Roman"/>
                <w:color w:val="000000"/>
                <w:sz w:val="18"/>
                <w:szCs w:val="18"/>
              </w:rPr>
              <w:t>(12,483)</w:t>
            </w:r>
          </w:p>
        </w:tc>
        <w:tc>
          <w:tcPr>
            <w:tcW w:w="0" w:type="auto"/>
            <w:shd w:val="clear" w:color="auto" w:fill="CCEEFF"/>
            <w:tcMar>
              <w:top w:w="30" w:type="dxa"/>
              <w:left w:w="0" w:type="dxa"/>
              <w:bottom w:w="30" w:type="dxa"/>
              <w:right w:w="20" w:type="dxa"/>
            </w:tcMar>
            <w:vAlign w:val="bottom"/>
            <w:hideMark/>
          </w:tcPr>
          <w:p w14:paraId="2D1A6452" w14:textId="77777777" w:rsidR="00000000" w:rsidRDefault="000C49AD">
            <w:pPr>
              <w:spacing w:after="100"/>
              <w:jc w:val="right"/>
              <w:rPr>
                <w:rFonts w:eastAsia="Times New Roman"/>
              </w:rPr>
            </w:pPr>
          </w:p>
        </w:tc>
      </w:tr>
      <w:tr w:rsidR="00000000" w14:paraId="4AD52AE7" w14:textId="77777777">
        <w:tc>
          <w:tcPr>
            <w:tcW w:w="0" w:type="auto"/>
            <w:gridSpan w:val="3"/>
            <w:shd w:val="clear" w:color="auto" w:fill="FFFFFF"/>
            <w:tcMar>
              <w:top w:w="30" w:type="dxa"/>
              <w:left w:w="155" w:type="dxa"/>
              <w:bottom w:w="30" w:type="dxa"/>
              <w:right w:w="20" w:type="dxa"/>
            </w:tcMar>
            <w:vAlign w:val="bottom"/>
            <w:hideMark/>
          </w:tcPr>
          <w:p w14:paraId="2C8FD4FE" w14:textId="77777777" w:rsidR="00000000" w:rsidRDefault="000C49AD">
            <w:pPr>
              <w:spacing w:after="100"/>
              <w:rPr>
                <w:rFonts w:eastAsia="Times New Roman"/>
              </w:rPr>
            </w:pPr>
            <w:r>
              <w:rPr>
                <w:rFonts w:eastAsia="Times New Roman"/>
                <w:color w:val="000000"/>
                <w:sz w:val="18"/>
                <w:szCs w:val="18"/>
              </w:rPr>
              <w:t>Gain from release of certain liabilities</w:t>
            </w:r>
          </w:p>
        </w:tc>
        <w:tc>
          <w:tcPr>
            <w:tcW w:w="0" w:type="auto"/>
            <w:gridSpan w:val="3"/>
            <w:shd w:val="clear" w:color="auto" w:fill="FFFFFF"/>
            <w:tcMar>
              <w:top w:w="0" w:type="dxa"/>
              <w:left w:w="20" w:type="dxa"/>
              <w:bottom w:w="0" w:type="dxa"/>
              <w:right w:w="20" w:type="dxa"/>
            </w:tcMar>
            <w:vAlign w:val="center"/>
            <w:hideMark/>
          </w:tcPr>
          <w:p w14:paraId="24EAF0F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2ADB4A" w14:textId="77777777" w:rsidR="00000000" w:rsidRDefault="000C49AD">
            <w:pPr>
              <w:spacing w:after="100"/>
              <w:jc w:val="right"/>
              <w:rPr>
                <w:rFonts w:eastAsia="Times New Roman"/>
              </w:rPr>
            </w:pPr>
            <w:r>
              <w:rPr>
                <w:rFonts w:eastAsia="Times New Roman"/>
                <w:color w:val="000000"/>
                <w:sz w:val="18"/>
                <w:szCs w:val="18"/>
              </w:rPr>
              <w:t>217 </w:t>
            </w:r>
          </w:p>
        </w:tc>
        <w:tc>
          <w:tcPr>
            <w:tcW w:w="0" w:type="auto"/>
            <w:shd w:val="clear" w:color="auto" w:fill="FFFFFF"/>
            <w:tcMar>
              <w:top w:w="30" w:type="dxa"/>
              <w:left w:w="0" w:type="dxa"/>
              <w:bottom w:w="30" w:type="dxa"/>
              <w:right w:w="20" w:type="dxa"/>
            </w:tcMar>
            <w:vAlign w:val="bottom"/>
            <w:hideMark/>
          </w:tcPr>
          <w:p w14:paraId="5B2BA27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0571D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EE5765" w14:textId="77777777" w:rsidR="00000000" w:rsidRDefault="000C49AD">
            <w:pPr>
              <w:spacing w:after="100"/>
              <w:jc w:val="right"/>
              <w:rPr>
                <w:rFonts w:eastAsia="Times New Roman"/>
              </w:rPr>
            </w:pPr>
            <w:r>
              <w:rPr>
                <w:rFonts w:eastAsia="Times New Roman"/>
                <w:color w:val="000000"/>
                <w:sz w:val="18"/>
                <w:szCs w:val="18"/>
              </w:rPr>
              <w:t>3,364 </w:t>
            </w:r>
          </w:p>
        </w:tc>
        <w:tc>
          <w:tcPr>
            <w:tcW w:w="0" w:type="auto"/>
            <w:shd w:val="clear" w:color="auto" w:fill="FFFFFF"/>
            <w:tcMar>
              <w:top w:w="30" w:type="dxa"/>
              <w:left w:w="0" w:type="dxa"/>
              <w:bottom w:w="30" w:type="dxa"/>
              <w:right w:w="20" w:type="dxa"/>
            </w:tcMar>
            <w:vAlign w:val="bottom"/>
            <w:hideMark/>
          </w:tcPr>
          <w:p w14:paraId="059BA04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15EF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8453D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479218FB" w14:textId="77777777" w:rsidR="00000000" w:rsidRDefault="000C49AD">
            <w:pPr>
              <w:spacing w:after="100"/>
              <w:jc w:val="right"/>
              <w:rPr>
                <w:rFonts w:eastAsia="Times New Roman"/>
              </w:rPr>
            </w:pPr>
          </w:p>
        </w:tc>
      </w:tr>
      <w:tr w:rsidR="00000000" w14:paraId="74D3C8A7" w14:textId="77777777">
        <w:tc>
          <w:tcPr>
            <w:tcW w:w="0" w:type="auto"/>
            <w:gridSpan w:val="3"/>
            <w:shd w:val="clear" w:color="auto" w:fill="CCEEFF"/>
            <w:tcMar>
              <w:top w:w="30" w:type="dxa"/>
              <w:left w:w="155" w:type="dxa"/>
              <w:bottom w:w="30" w:type="dxa"/>
              <w:right w:w="20" w:type="dxa"/>
            </w:tcMar>
            <w:vAlign w:val="bottom"/>
            <w:hideMark/>
          </w:tcPr>
          <w:p w14:paraId="6EDBB1F6" w14:textId="77777777" w:rsidR="00000000" w:rsidRDefault="000C49AD">
            <w:pPr>
              <w:spacing w:after="100"/>
              <w:rPr>
                <w:rFonts w:eastAsia="Times New Roman"/>
              </w:rPr>
            </w:pPr>
            <w:r>
              <w:rPr>
                <w:rFonts w:eastAsia="Times New Roman"/>
                <w:color w:val="000000"/>
                <w:sz w:val="18"/>
                <w:szCs w:val="18"/>
              </w:rPr>
              <w:t>Loss on deconsolidation of subsidiary</w:t>
            </w:r>
          </w:p>
        </w:tc>
        <w:tc>
          <w:tcPr>
            <w:tcW w:w="0" w:type="auto"/>
            <w:gridSpan w:val="3"/>
            <w:shd w:val="clear" w:color="auto" w:fill="CCEEFF"/>
            <w:tcMar>
              <w:top w:w="0" w:type="dxa"/>
              <w:left w:w="20" w:type="dxa"/>
              <w:bottom w:w="0" w:type="dxa"/>
              <w:right w:w="20" w:type="dxa"/>
            </w:tcMar>
            <w:vAlign w:val="center"/>
            <w:hideMark/>
          </w:tcPr>
          <w:p w14:paraId="7D472698"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A09BB7"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82971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C395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6141A1"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01FBB2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B455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11990" w14:textId="77777777" w:rsidR="00000000" w:rsidRDefault="000C49AD">
            <w:pPr>
              <w:spacing w:after="100"/>
              <w:jc w:val="right"/>
              <w:rPr>
                <w:rFonts w:eastAsia="Times New Roman"/>
              </w:rPr>
            </w:pPr>
            <w:r>
              <w:rPr>
                <w:rFonts w:eastAsia="Times New Roman"/>
                <w:color w:val="000000"/>
                <w:sz w:val="18"/>
                <w:szCs w:val="18"/>
              </w:rPr>
              <w:t>(2,678)</w:t>
            </w:r>
          </w:p>
        </w:tc>
        <w:tc>
          <w:tcPr>
            <w:tcW w:w="0" w:type="auto"/>
            <w:shd w:val="clear" w:color="auto" w:fill="CCEEFF"/>
            <w:tcMar>
              <w:top w:w="30" w:type="dxa"/>
              <w:left w:w="0" w:type="dxa"/>
              <w:bottom w:w="30" w:type="dxa"/>
              <w:right w:w="20" w:type="dxa"/>
            </w:tcMar>
            <w:vAlign w:val="bottom"/>
            <w:hideMark/>
          </w:tcPr>
          <w:p w14:paraId="47BE912A" w14:textId="77777777" w:rsidR="00000000" w:rsidRDefault="000C49AD">
            <w:pPr>
              <w:spacing w:after="100"/>
              <w:jc w:val="right"/>
              <w:rPr>
                <w:rFonts w:eastAsia="Times New Roman"/>
              </w:rPr>
            </w:pPr>
          </w:p>
        </w:tc>
      </w:tr>
      <w:tr w:rsidR="00000000" w14:paraId="28CF8F84" w14:textId="77777777">
        <w:tc>
          <w:tcPr>
            <w:tcW w:w="0" w:type="auto"/>
            <w:gridSpan w:val="3"/>
            <w:shd w:val="clear" w:color="auto" w:fill="FFFFFF"/>
            <w:tcMar>
              <w:top w:w="30" w:type="dxa"/>
              <w:left w:w="155" w:type="dxa"/>
              <w:bottom w:w="30" w:type="dxa"/>
              <w:right w:w="20" w:type="dxa"/>
            </w:tcMar>
            <w:vAlign w:val="bottom"/>
            <w:hideMark/>
          </w:tcPr>
          <w:p w14:paraId="7BC5AB0C" w14:textId="77777777" w:rsidR="00000000" w:rsidRDefault="000C49AD">
            <w:pPr>
              <w:spacing w:after="100"/>
              <w:rPr>
                <w:rFonts w:eastAsia="Times New Roman"/>
              </w:rPr>
            </w:pPr>
            <w:r>
              <w:rPr>
                <w:rFonts w:eastAsia="Times New Roman"/>
                <w:color w:val="000000"/>
                <w:sz w:val="18"/>
                <w:szCs w:val="18"/>
              </w:rPr>
              <w:t>Other expense - changes in fair value of contingent consideration payable</w:t>
            </w:r>
          </w:p>
        </w:tc>
        <w:tc>
          <w:tcPr>
            <w:tcW w:w="0" w:type="auto"/>
            <w:gridSpan w:val="3"/>
            <w:shd w:val="clear" w:color="auto" w:fill="FFFFFF"/>
            <w:tcMar>
              <w:top w:w="0" w:type="dxa"/>
              <w:left w:w="20" w:type="dxa"/>
              <w:bottom w:w="0" w:type="dxa"/>
              <w:right w:w="20" w:type="dxa"/>
            </w:tcMar>
            <w:vAlign w:val="center"/>
            <w:hideMark/>
          </w:tcPr>
          <w:p w14:paraId="693FD947"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7F649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F43C37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AF4DD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49996E" w14:textId="77777777" w:rsidR="00000000" w:rsidRDefault="000C49AD">
            <w:pPr>
              <w:spacing w:after="100"/>
              <w:jc w:val="right"/>
              <w:rPr>
                <w:rFonts w:eastAsia="Times New Roman"/>
              </w:rPr>
            </w:pPr>
            <w:r>
              <w:rPr>
                <w:rFonts w:eastAsia="Times New Roman"/>
                <w:color w:val="000000"/>
                <w:sz w:val="18"/>
                <w:szCs w:val="18"/>
              </w:rPr>
              <w:t>(435)</w:t>
            </w:r>
          </w:p>
        </w:tc>
        <w:tc>
          <w:tcPr>
            <w:tcW w:w="0" w:type="auto"/>
            <w:shd w:val="clear" w:color="auto" w:fill="FFFFFF"/>
            <w:tcMar>
              <w:top w:w="30" w:type="dxa"/>
              <w:left w:w="0" w:type="dxa"/>
              <w:bottom w:w="30" w:type="dxa"/>
              <w:right w:w="20" w:type="dxa"/>
            </w:tcMar>
            <w:vAlign w:val="bottom"/>
            <w:hideMark/>
          </w:tcPr>
          <w:p w14:paraId="6F8FDB8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E5268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03DF48" w14:textId="77777777" w:rsidR="00000000" w:rsidRDefault="000C49AD">
            <w:pPr>
              <w:spacing w:after="100"/>
              <w:jc w:val="right"/>
              <w:rPr>
                <w:rFonts w:eastAsia="Times New Roman"/>
              </w:rPr>
            </w:pPr>
            <w:r>
              <w:rPr>
                <w:rFonts w:eastAsia="Times New Roman"/>
                <w:color w:val="000000"/>
                <w:sz w:val="18"/>
                <w:szCs w:val="18"/>
              </w:rPr>
              <w:t>(378)</w:t>
            </w:r>
          </w:p>
        </w:tc>
        <w:tc>
          <w:tcPr>
            <w:tcW w:w="0" w:type="auto"/>
            <w:shd w:val="clear" w:color="auto" w:fill="FFFFFF"/>
            <w:tcMar>
              <w:top w:w="30" w:type="dxa"/>
              <w:left w:w="0" w:type="dxa"/>
              <w:bottom w:w="30" w:type="dxa"/>
              <w:right w:w="20" w:type="dxa"/>
            </w:tcMar>
            <w:vAlign w:val="bottom"/>
            <w:hideMark/>
          </w:tcPr>
          <w:p w14:paraId="7599D00E" w14:textId="77777777" w:rsidR="00000000" w:rsidRDefault="000C49AD">
            <w:pPr>
              <w:spacing w:after="100"/>
              <w:jc w:val="right"/>
              <w:rPr>
                <w:rFonts w:eastAsia="Times New Roman"/>
              </w:rPr>
            </w:pPr>
          </w:p>
        </w:tc>
      </w:tr>
      <w:tr w:rsidR="00000000" w14:paraId="63663CE9" w14:textId="77777777">
        <w:tc>
          <w:tcPr>
            <w:tcW w:w="0" w:type="auto"/>
            <w:gridSpan w:val="3"/>
            <w:shd w:val="clear" w:color="auto" w:fill="CCEEFF"/>
            <w:tcMar>
              <w:top w:w="30" w:type="dxa"/>
              <w:left w:w="20" w:type="dxa"/>
              <w:bottom w:w="30" w:type="dxa"/>
              <w:right w:w="20" w:type="dxa"/>
            </w:tcMar>
            <w:vAlign w:val="bottom"/>
            <w:hideMark/>
          </w:tcPr>
          <w:p w14:paraId="3DC17A1E" w14:textId="77777777" w:rsidR="00000000" w:rsidRDefault="000C49AD">
            <w:pPr>
              <w:spacing w:after="100"/>
              <w:rPr>
                <w:rFonts w:eastAsia="Times New Roman"/>
              </w:rPr>
            </w:pPr>
            <w:r>
              <w:rPr>
                <w:rFonts w:eastAsia="Times New Roman"/>
                <w:color w:val="000000"/>
                <w:sz w:val="18"/>
                <w:szCs w:val="18"/>
              </w:rPr>
              <w:t>Loss before income taxes</w:t>
            </w:r>
          </w:p>
        </w:tc>
        <w:tc>
          <w:tcPr>
            <w:tcW w:w="0" w:type="auto"/>
            <w:gridSpan w:val="3"/>
            <w:shd w:val="clear" w:color="auto" w:fill="CCEEFF"/>
            <w:tcMar>
              <w:top w:w="0" w:type="dxa"/>
              <w:left w:w="20" w:type="dxa"/>
              <w:bottom w:w="0" w:type="dxa"/>
              <w:right w:w="20" w:type="dxa"/>
            </w:tcMar>
            <w:vAlign w:val="center"/>
            <w:hideMark/>
          </w:tcPr>
          <w:p w14:paraId="4276AF75"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E35FE2F" w14:textId="77777777" w:rsidR="00000000" w:rsidRDefault="000C49AD">
            <w:pPr>
              <w:spacing w:after="100"/>
              <w:jc w:val="right"/>
              <w:rPr>
                <w:rFonts w:eastAsia="Times New Roman"/>
              </w:rPr>
            </w:pPr>
            <w:r>
              <w:rPr>
                <w:rFonts w:eastAsia="Times New Roman"/>
                <w:color w:val="000000"/>
                <w:sz w:val="18"/>
                <w:szCs w:val="18"/>
              </w:rPr>
              <w:t>(93,145)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65336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0F611"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19CBE3F" w14:textId="77777777" w:rsidR="00000000" w:rsidRDefault="000C49AD">
            <w:pPr>
              <w:spacing w:after="100"/>
              <w:jc w:val="right"/>
              <w:rPr>
                <w:rFonts w:eastAsia="Times New Roman"/>
              </w:rPr>
            </w:pPr>
            <w:r>
              <w:rPr>
                <w:rFonts w:eastAsia="Times New Roman"/>
                <w:color w:val="000000"/>
                <w:sz w:val="18"/>
                <w:szCs w:val="18"/>
              </w:rPr>
              <w:t>(5,082)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3B491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6F8E6F"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B81012" w14:textId="77777777" w:rsidR="00000000" w:rsidRDefault="000C49AD">
            <w:pPr>
              <w:spacing w:after="100"/>
              <w:jc w:val="right"/>
              <w:rPr>
                <w:rFonts w:eastAsia="Times New Roman"/>
              </w:rPr>
            </w:pPr>
            <w:r>
              <w:rPr>
                <w:rFonts w:eastAsia="Times New Roman"/>
                <w:color w:val="000000"/>
                <w:sz w:val="18"/>
                <w:szCs w:val="18"/>
              </w:rPr>
              <w:t>(38,582)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4D2A8E" w14:textId="77777777" w:rsidR="00000000" w:rsidRDefault="000C49AD">
            <w:pPr>
              <w:spacing w:after="100"/>
              <w:jc w:val="right"/>
              <w:rPr>
                <w:rFonts w:eastAsia="Times New Roman"/>
              </w:rPr>
            </w:pPr>
          </w:p>
        </w:tc>
      </w:tr>
      <w:tr w:rsidR="00000000" w14:paraId="354ADB9A" w14:textId="77777777">
        <w:tc>
          <w:tcPr>
            <w:tcW w:w="0" w:type="auto"/>
            <w:gridSpan w:val="3"/>
            <w:shd w:val="clear" w:color="auto" w:fill="FFFFFF"/>
            <w:tcMar>
              <w:top w:w="30" w:type="dxa"/>
              <w:left w:w="155" w:type="dxa"/>
              <w:bottom w:w="30" w:type="dxa"/>
              <w:right w:w="20" w:type="dxa"/>
            </w:tcMar>
            <w:vAlign w:val="bottom"/>
            <w:hideMark/>
          </w:tcPr>
          <w:p w14:paraId="643BA0BE" w14:textId="77777777" w:rsidR="00000000" w:rsidRDefault="000C49AD">
            <w:pPr>
              <w:spacing w:after="100"/>
              <w:rPr>
                <w:rFonts w:eastAsia="Times New Roman"/>
              </w:rPr>
            </w:pPr>
            <w:r>
              <w:rPr>
                <w:rFonts w:eastAsia="Times New Roman"/>
                <w:color w:val="000000"/>
                <w:sz w:val="18"/>
                <w:szCs w:val="18"/>
              </w:rPr>
              <w:t>Income tax benefit</w:t>
            </w:r>
          </w:p>
        </w:tc>
        <w:tc>
          <w:tcPr>
            <w:tcW w:w="0" w:type="auto"/>
            <w:gridSpan w:val="3"/>
            <w:shd w:val="clear" w:color="auto" w:fill="FFFFFF"/>
            <w:tcMar>
              <w:top w:w="0" w:type="dxa"/>
              <w:left w:w="20" w:type="dxa"/>
              <w:bottom w:w="0" w:type="dxa"/>
              <w:right w:w="20" w:type="dxa"/>
            </w:tcMar>
            <w:vAlign w:val="center"/>
            <w:hideMark/>
          </w:tcPr>
          <w:p w14:paraId="5E927AA7"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4784C82" w14:textId="77777777" w:rsidR="00000000" w:rsidRDefault="000C49AD">
            <w:pPr>
              <w:spacing w:after="100"/>
              <w:jc w:val="right"/>
              <w:rPr>
                <w:rFonts w:eastAsia="Times New Roman"/>
              </w:rPr>
            </w:pPr>
            <w:r>
              <w:rPr>
                <w:rFonts w:eastAsia="Times New Roman"/>
                <w:color w:val="000000"/>
                <w:sz w:val="18"/>
                <w:szCs w:val="18"/>
              </w:rPr>
              <w:t>(15,816)</w:t>
            </w:r>
          </w:p>
        </w:tc>
        <w:tc>
          <w:tcPr>
            <w:tcW w:w="0" w:type="auto"/>
            <w:shd w:val="clear" w:color="auto" w:fill="FFFFFF"/>
            <w:tcMar>
              <w:top w:w="30" w:type="dxa"/>
              <w:left w:w="0" w:type="dxa"/>
              <w:bottom w:w="30" w:type="dxa"/>
              <w:right w:w="20" w:type="dxa"/>
            </w:tcMar>
            <w:vAlign w:val="bottom"/>
            <w:hideMark/>
          </w:tcPr>
          <w:p w14:paraId="061BEA0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DB70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27E7F" w14:textId="77777777" w:rsidR="00000000" w:rsidRDefault="000C49AD">
            <w:pPr>
              <w:spacing w:after="100"/>
              <w:jc w:val="right"/>
              <w:rPr>
                <w:rFonts w:eastAsia="Times New Roman"/>
              </w:rPr>
            </w:pPr>
            <w:r>
              <w:rPr>
                <w:rFonts w:eastAsia="Times New Roman"/>
                <w:color w:val="000000"/>
                <w:sz w:val="18"/>
                <w:szCs w:val="18"/>
              </w:rPr>
              <w:t>(12,110)</w:t>
            </w:r>
          </w:p>
        </w:tc>
        <w:tc>
          <w:tcPr>
            <w:tcW w:w="0" w:type="auto"/>
            <w:shd w:val="clear" w:color="auto" w:fill="FFFFFF"/>
            <w:tcMar>
              <w:top w:w="30" w:type="dxa"/>
              <w:left w:w="0" w:type="dxa"/>
              <w:bottom w:w="30" w:type="dxa"/>
              <w:right w:w="20" w:type="dxa"/>
            </w:tcMar>
            <w:vAlign w:val="bottom"/>
            <w:hideMark/>
          </w:tcPr>
          <w:p w14:paraId="100BC5F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B5BFD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8D564D" w14:textId="77777777" w:rsidR="00000000" w:rsidRDefault="000C49AD">
            <w:pPr>
              <w:spacing w:after="100"/>
              <w:jc w:val="right"/>
              <w:rPr>
                <w:rFonts w:eastAsia="Times New Roman"/>
              </w:rPr>
            </w:pPr>
            <w:r>
              <w:rPr>
                <w:rFonts w:eastAsia="Times New Roman"/>
                <w:color w:val="000000"/>
                <w:sz w:val="18"/>
                <w:szCs w:val="18"/>
              </w:rPr>
              <w:t>(5,356)</w:t>
            </w:r>
          </w:p>
        </w:tc>
        <w:tc>
          <w:tcPr>
            <w:tcW w:w="0" w:type="auto"/>
            <w:shd w:val="clear" w:color="auto" w:fill="FFFFFF"/>
            <w:tcMar>
              <w:top w:w="30" w:type="dxa"/>
              <w:left w:w="0" w:type="dxa"/>
              <w:bottom w:w="30" w:type="dxa"/>
              <w:right w:w="20" w:type="dxa"/>
            </w:tcMar>
            <w:vAlign w:val="bottom"/>
            <w:hideMark/>
          </w:tcPr>
          <w:p w14:paraId="02348E7C" w14:textId="77777777" w:rsidR="00000000" w:rsidRDefault="000C49AD">
            <w:pPr>
              <w:spacing w:after="100"/>
              <w:jc w:val="right"/>
              <w:rPr>
                <w:rFonts w:eastAsia="Times New Roman"/>
              </w:rPr>
            </w:pPr>
          </w:p>
        </w:tc>
      </w:tr>
      <w:tr w:rsidR="00000000" w14:paraId="15D89A3C" w14:textId="77777777">
        <w:tc>
          <w:tcPr>
            <w:tcW w:w="0" w:type="auto"/>
            <w:gridSpan w:val="3"/>
            <w:shd w:val="clear" w:color="auto" w:fill="CCEEFF"/>
            <w:tcMar>
              <w:top w:w="30" w:type="dxa"/>
              <w:left w:w="20" w:type="dxa"/>
              <w:bottom w:w="30" w:type="dxa"/>
              <w:right w:w="20" w:type="dxa"/>
            </w:tcMar>
            <w:vAlign w:val="bottom"/>
            <w:hideMark/>
          </w:tcPr>
          <w:p w14:paraId="13D77167" w14:textId="77777777" w:rsidR="00000000" w:rsidRDefault="000C49AD">
            <w:pPr>
              <w:spacing w:after="100"/>
              <w:rPr>
                <w:rFonts w:eastAsia="Times New Roman"/>
              </w:rPr>
            </w:pPr>
            <w:r>
              <w:rPr>
                <w:rFonts w:eastAsia="Times New Roman"/>
                <w:color w:val="000000"/>
                <w:sz w:val="18"/>
                <w:szCs w:val="18"/>
              </w:rPr>
              <w:t xml:space="preserve">Net (loss) income </w:t>
            </w:r>
          </w:p>
        </w:tc>
        <w:tc>
          <w:tcPr>
            <w:tcW w:w="0" w:type="auto"/>
            <w:gridSpan w:val="3"/>
            <w:shd w:val="clear" w:color="auto" w:fill="CCEEFF"/>
            <w:tcMar>
              <w:top w:w="0" w:type="dxa"/>
              <w:left w:w="20" w:type="dxa"/>
              <w:bottom w:w="0" w:type="dxa"/>
              <w:right w:w="20" w:type="dxa"/>
            </w:tcMar>
            <w:vAlign w:val="center"/>
            <w:hideMark/>
          </w:tcPr>
          <w:p w14:paraId="4B26275A" w14:textId="77777777" w:rsidR="00000000" w:rsidRDefault="000C49A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C0849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1AC1124" w14:textId="77777777" w:rsidR="00000000" w:rsidRDefault="000C49AD">
            <w:pPr>
              <w:spacing w:after="100"/>
              <w:jc w:val="right"/>
              <w:rPr>
                <w:rFonts w:eastAsia="Times New Roman"/>
              </w:rPr>
            </w:pPr>
            <w:r>
              <w:rPr>
                <w:rFonts w:eastAsia="Times New Roman"/>
                <w:color w:val="000000"/>
                <w:sz w:val="18"/>
                <w:szCs w:val="18"/>
              </w:rPr>
              <w:t>(77,329)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11A5BF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6A397"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FEACA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333401" w14:textId="77777777" w:rsidR="00000000" w:rsidRDefault="000C49AD">
            <w:pPr>
              <w:spacing w:after="100"/>
              <w:jc w:val="right"/>
              <w:rPr>
                <w:rFonts w:eastAsia="Times New Roman"/>
              </w:rPr>
            </w:pPr>
            <w:r>
              <w:rPr>
                <w:rFonts w:eastAsia="Times New Roman"/>
                <w:color w:val="000000"/>
                <w:sz w:val="18"/>
                <w:szCs w:val="18"/>
              </w:rPr>
              <w:t>7,028 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5EC50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B9A65C"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300B55"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2FBC15" w14:textId="77777777" w:rsidR="00000000" w:rsidRDefault="000C49AD">
            <w:pPr>
              <w:spacing w:after="100"/>
              <w:jc w:val="right"/>
              <w:rPr>
                <w:rFonts w:eastAsia="Times New Roman"/>
              </w:rPr>
            </w:pPr>
            <w:r>
              <w:rPr>
                <w:rFonts w:eastAsia="Times New Roman"/>
                <w:color w:val="000000"/>
                <w:sz w:val="18"/>
                <w:szCs w:val="18"/>
              </w:rPr>
              <w:t>(33,226)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4F4360" w14:textId="77777777" w:rsidR="00000000" w:rsidRDefault="000C49AD">
            <w:pPr>
              <w:spacing w:after="100"/>
              <w:jc w:val="right"/>
              <w:rPr>
                <w:rFonts w:eastAsia="Times New Roman"/>
              </w:rPr>
            </w:pPr>
          </w:p>
        </w:tc>
      </w:tr>
      <w:tr w:rsidR="00000000" w14:paraId="33132AED" w14:textId="77777777">
        <w:trPr>
          <w:trHeight w:val="280"/>
        </w:trPr>
        <w:tc>
          <w:tcPr>
            <w:tcW w:w="0" w:type="auto"/>
            <w:gridSpan w:val="3"/>
            <w:shd w:val="clear" w:color="auto" w:fill="FFFFFF"/>
            <w:tcMar>
              <w:top w:w="0" w:type="dxa"/>
              <w:left w:w="20" w:type="dxa"/>
              <w:bottom w:w="0" w:type="dxa"/>
              <w:right w:w="20" w:type="dxa"/>
            </w:tcMar>
            <w:vAlign w:val="center"/>
            <w:hideMark/>
          </w:tcPr>
          <w:p w14:paraId="31A1B9E7"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659F0C"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9357D0"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9CB934"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B79D649"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1E728E"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71D88BB" w14:textId="77777777" w:rsidR="00000000" w:rsidRDefault="000C49AD">
            <w:pPr>
              <w:spacing w:after="100"/>
              <w:rPr>
                <w:rFonts w:eastAsia="Times New Roman"/>
                <w:sz w:val="20"/>
                <w:szCs w:val="20"/>
              </w:rPr>
            </w:pPr>
          </w:p>
        </w:tc>
      </w:tr>
      <w:tr w:rsidR="00000000" w14:paraId="70325AB0" w14:textId="77777777">
        <w:tc>
          <w:tcPr>
            <w:tcW w:w="0" w:type="auto"/>
            <w:gridSpan w:val="3"/>
            <w:shd w:val="clear" w:color="auto" w:fill="CCEEFF"/>
            <w:tcMar>
              <w:top w:w="30" w:type="dxa"/>
              <w:left w:w="20" w:type="dxa"/>
              <w:bottom w:w="30" w:type="dxa"/>
              <w:right w:w="20" w:type="dxa"/>
            </w:tcMar>
            <w:vAlign w:val="bottom"/>
            <w:hideMark/>
          </w:tcPr>
          <w:p w14:paraId="01629A65" w14:textId="77777777" w:rsidR="00000000" w:rsidRDefault="000C49AD">
            <w:pPr>
              <w:spacing w:after="100"/>
              <w:rPr>
                <w:rFonts w:eastAsia="Times New Roman"/>
              </w:rPr>
            </w:pPr>
            <w:r>
              <w:rPr>
                <w:rFonts w:eastAsia="Times New Roman"/>
                <w:color w:val="000000"/>
                <w:sz w:val="18"/>
                <w:szCs w:val="18"/>
              </w:rPr>
              <w:t>Net (loss) income per share - basic</w:t>
            </w:r>
          </w:p>
        </w:tc>
        <w:tc>
          <w:tcPr>
            <w:tcW w:w="0" w:type="auto"/>
            <w:gridSpan w:val="3"/>
            <w:shd w:val="clear" w:color="auto" w:fill="CCEEFF"/>
            <w:tcMar>
              <w:top w:w="0" w:type="dxa"/>
              <w:left w:w="20" w:type="dxa"/>
              <w:bottom w:w="0" w:type="dxa"/>
              <w:right w:w="20" w:type="dxa"/>
            </w:tcMar>
            <w:vAlign w:val="center"/>
            <w:hideMark/>
          </w:tcPr>
          <w:p w14:paraId="3EC9D56E"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00DB46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8CEB7C0" w14:textId="77777777" w:rsidR="00000000" w:rsidRDefault="000C49AD">
            <w:pPr>
              <w:spacing w:after="100"/>
              <w:jc w:val="right"/>
              <w:rPr>
                <w:rFonts w:eastAsia="Times New Roman"/>
              </w:rPr>
            </w:pPr>
            <w:r>
              <w:rPr>
                <w:rFonts w:eastAsia="Times New Roman"/>
                <w:color w:val="000000"/>
                <w:sz w:val="18"/>
                <w:szCs w:val="18"/>
              </w:rPr>
              <w:t>(1.32)</w:t>
            </w:r>
          </w:p>
        </w:tc>
        <w:tc>
          <w:tcPr>
            <w:tcW w:w="0" w:type="auto"/>
            <w:shd w:val="clear" w:color="auto" w:fill="CCEEFF"/>
            <w:tcMar>
              <w:top w:w="30" w:type="dxa"/>
              <w:left w:w="0" w:type="dxa"/>
              <w:bottom w:w="30" w:type="dxa"/>
              <w:right w:w="20" w:type="dxa"/>
            </w:tcMar>
            <w:vAlign w:val="bottom"/>
            <w:hideMark/>
          </w:tcPr>
          <w:p w14:paraId="7D6BFC8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C43863"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B40A5A"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1FDF71D" w14:textId="77777777" w:rsidR="00000000" w:rsidRDefault="000C49AD">
            <w:pPr>
              <w:spacing w:after="100"/>
              <w:jc w:val="right"/>
              <w:rPr>
                <w:rFonts w:eastAsia="Times New Roman"/>
              </w:rPr>
            </w:pPr>
            <w:r>
              <w:rPr>
                <w:rFonts w:eastAsia="Times New Roman"/>
                <w:color w:val="000000"/>
                <w:sz w:val="18"/>
                <w:szCs w:val="18"/>
              </w:rPr>
              <w:t>0.13 </w:t>
            </w:r>
          </w:p>
        </w:tc>
        <w:tc>
          <w:tcPr>
            <w:tcW w:w="0" w:type="auto"/>
            <w:shd w:val="clear" w:color="auto" w:fill="CCEEFF"/>
            <w:tcMar>
              <w:top w:w="30" w:type="dxa"/>
              <w:left w:w="0" w:type="dxa"/>
              <w:bottom w:w="30" w:type="dxa"/>
              <w:right w:w="20" w:type="dxa"/>
            </w:tcMar>
            <w:vAlign w:val="bottom"/>
            <w:hideMark/>
          </w:tcPr>
          <w:p w14:paraId="56FDD3E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B6F984"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08F2A6D"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F5B5989" w14:textId="77777777" w:rsidR="00000000" w:rsidRDefault="000C49AD">
            <w:pPr>
              <w:spacing w:after="100"/>
              <w:jc w:val="right"/>
              <w:rPr>
                <w:rFonts w:eastAsia="Times New Roman"/>
              </w:rPr>
            </w:pPr>
            <w:r>
              <w:rPr>
                <w:rFonts w:eastAsia="Times New Roman"/>
                <w:color w:val="000000"/>
                <w:sz w:val="18"/>
                <w:szCs w:val="18"/>
              </w:rPr>
              <w:t>(0.89)</w:t>
            </w:r>
          </w:p>
        </w:tc>
        <w:tc>
          <w:tcPr>
            <w:tcW w:w="0" w:type="auto"/>
            <w:shd w:val="clear" w:color="auto" w:fill="CCEEFF"/>
            <w:tcMar>
              <w:top w:w="30" w:type="dxa"/>
              <w:left w:w="0" w:type="dxa"/>
              <w:bottom w:w="30" w:type="dxa"/>
              <w:right w:w="20" w:type="dxa"/>
            </w:tcMar>
            <w:vAlign w:val="bottom"/>
            <w:hideMark/>
          </w:tcPr>
          <w:p w14:paraId="5E86B09D" w14:textId="77777777" w:rsidR="00000000" w:rsidRDefault="000C49AD">
            <w:pPr>
              <w:spacing w:after="100"/>
              <w:jc w:val="right"/>
              <w:rPr>
                <w:rFonts w:eastAsia="Times New Roman"/>
              </w:rPr>
            </w:pPr>
          </w:p>
        </w:tc>
      </w:tr>
      <w:tr w:rsidR="00000000" w14:paraId="44E37DAA" w14:textId="77777777">
        <w:tc>
          <w:tcPr>
            <w:tcW w:w="0" w:type="auto"/>
            <w:gridSpan w:val="3"/>
            <w:shd w:val="clear" w:color="auto" w:fill="FFFFFF"/>
            <w:tcMar>
              <w:top w:w="30" w:type="dxa"/>
              <w:left w:w="20" w:type="dxa"/>
              <w:bottom w:w="30" w:type="dxa"/>
              <w:right w:w="20" w:type="dxa"/>
            </w:tcMar>
            <w:vAlign w:val="bottom"/>
            <w:hideMark/>
          </w:tcPr>
          <w:p w14:paraId="56CE021B" w14:textId="77777777" w:rsidR="00000000" w:rsidRDefault="000C49AD">
            <w:pPr>
              <w:spacing w:after="100"/>
              <w:rPr>
                <w:rFonts w:eastAsia="Times New Roman"/>
              </w:rPr>
            </w:pPr>
            <w:r>
              <w:rPr>
                <w:rFonts w:eastAsia="Times New Roman"/>
                <w:color w:val="000000"/>
                <w:sz w:val="18"/>
                <w:szCs w:val="18"/>
              </w:rPr>
              <w:t>Net (loss) income per share - diluted</w:t>
            </w:r>
          </w:p>
        </w:tc>
        <w:tc>
          <w:tcPr>
            <w:tcW w:w="0" w:type="auto"/>
            <w:gridSpan w:val="3"/>
            <w:shd w:val="clear" w:color="auto" w:fill="FFFFFF"/>
            <w:tcMar>
              <w:top w:w="0" w:type="dxa"/>
              <w:left w:w="20" w:type="dxa"/>
              <w:bottom w:w="0" w:type="dxa"/>
              <w:right w:w="20" w:type="dxa"/>
            </w:tcMar>
            <w:vAlign w:val="center"/>
            <w:hideMark/>
          </w:tcPr>
          <w:p w14:paraId="38339C80" w14:textId="77777777" w:rsidR="00000000" w:rsidRDefault="000C49A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F07BA6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68714CD" w14:textId="77777777" w:rsidR="00000000" w:rsidRDefault="000C49AD">
            <w:pPr>
              <w:spacing w:after="100"/>
              <w:jc w:val="right"/>
              <w:rPr>
                <w:rFonts w:eastAsia="Times New Roman"/>
              </w:rPr>
            </w:pPr>
            <w:r>
              <w:rPr>
                <w:rFonts w:eastAsia="Times New Roman"/>
                <w:color w:val="000000"/>
                <w:sz w:val="18"/>
                <w:szCs w:val="18"/>
              </w:rPr>
              <w:t>(1.32)</w:t>
            </w:r>
          </w:p>
        </w:tc>
        <w:tc>
          <w:tcPr>
            <w:tcW w:w="0" w:type="auto"/>
            <w:shd w:val="clear" w:color="auto" w:fill="FFFFFF"/>
            <w:tcMar>
              <w:top w:w="30" w:type="dxa"/>
              <w:left w:w="0" w:type="dxa"/>
              <w:bottom w:w="30" w:type="dxa"/>
              <w:right w:w="20" w:type="dxa"/>
            </w:tcMar>
            <w:vAlign w:val="bottom"/>
            <w:hideMark/>
          </w:tcPr>
          <w:p w14:paraId="1735E15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219BA"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71AF9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26AF8F9" w14:textId="77777777" w:rsidR="00000000" w:rsidRDefault="000C49AD">
            <w:pPr>
              <w:spacing w:after="100"/>
              <w:jc w:val="right"/>
              <w:rPr>
                <w:rFonts w:eastAsia="Times New Roman"/>
              </w:rPr>
            </w:pPr>
            <w:r>
              <w:rPr>
                <w:rFonts w:eastAsia="Times New Roman"/>
                <w:color w:val="000000"/>
                <w:sz w:val="18"/>
                <w:szCs w:val="18"/>
              </w:rPr>
              <w:t>0.13 </w:t>
            </w:r>
          </w:p>
        </w:tc>
        <w:tc>
          <w:tcPr>
            <w:tcW w:w="0" w:type="auto"/>
            <w:shd w:val="clear" w:color="auto" w:fill="FFFFFF"/>
            <w:tcMar>
              <w:top w:w="30" w:type="dxa"/>
              <w:left w:w="0" w:type="dxa"/>
              <w:bottom w:w="30" w:type="dxa"/>
              <w:right w:w="20" w:type="dxa"/>
            </w:tcMar>
            <w:vAlign w:val="bottom"/>
            <w:hideMark/>
          </w:tcPr>
          <w:p w14:paraId="7CDE214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AE8850"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2B04CD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0809D9C" w14:textId="77777777" w:rsidR="00000000" w:rsidRDefault="000C49AD">
            <w:pPr>
              <w:spacing w:after="100"/>
              <w:jc w:val="right"/>
              <w:rPr>
                <w:rFonts w:eastAsia="Times New Roman"/>
              </w:rPr>
            </w:pPr>
            <w:r>
              <w:rPr>
                <w:rFonts w:eastAsia="Times New Roman"/>
                <w:color w:val="000000"/>
                <w:sz w:val="18"/>
                <w:szCs w:val="18"/>
              </w:rPr>
              <w:t>(0.89)</w:t>
            </w:r>
          </w:p>
        </w:tc>
        <w:tc>
          <w:tcPr>
            <w:tcW w:w="0" w:type="auto"/>
            <w:shd w:val="clear" w:color="auto" w:fill="FFFFFF"/>
            <w:tcMar>
              <w:top w:w="30" w:type="dxa"/>
              <w:left w:w="0" w:type="dxa"/>
              <w:bottom w:w="30" w:type="dxa"/>
              <w:right w:w="20" w:type="dxa"/>
            </w:tcMar>
            <w:vAlign w:val="bottom"/>
            <w:hideMark/>
          </w:tcPr>
          <w:p w14:paraId="112B4ADB" w14:textId="77777777" w:rsidR="00000000" w:rsidRDefault="000C49AD">
            <w:pPr>
              <w:spacing w:after="100"/>
              <w:jc w:val="right"/>
              <w:rPr>
                <w:rFonts w:eastAsia="Times New Roman"/>
              </w:rPr>
            </w:pPr>
          </w:p>
        </w:tc>
      </w:tr>
      <w:tr w:rsidR="00000000" w14:paraId="3084C2B3" w14:textId="77777777">
        <w:trPr>
          <w:trHeight w:val="280"/>
        </w:trPr>
        <w:tc>
          <w:tcPr>
            <w:tcW w:w="0" w:type="auto"/>
            <w:gridSpan w:val="3"/>
            <w:shd w:val="clear" w:color="auto" w:fill="CCEEFF"/>
            <w:tcMar>
              <w:top w:w="0" w:type="dxa"/>
              <w:left w:w="20" w:type="dxa"/>
              <w:bottom w:w="0" w:type="dxa"/>
              <w:right w:w="20" w:type="dxa"/>
            </w:tcMar>
            <w:vAlign w:val="center"/>
            <w:hideMark/>
          </w:tcPr>
          <w:p w14:paraId="6658AEE2" w14:textId="77777777" w:rsidR="00000000" w:rsidRDefault="000C49A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3A02EB"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8EE404"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CE1DA1"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53A1D2"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73EAB3"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FFC712" w14:textId="77777777" w:rsidR="00000000" w:rsidRDefault="000C49AD">
            <w:pPr>
              <w:spacing w:after="100"/>
              <w:rPr>
                <w:rFonts w:eastAsia="Times New Roman"/>
                <w:sz w:val="20"/>
                <w:szCs w:val="20"/>
              </w:rPr>
            </w:pPr>
          </w:p>
        </w:tc>
      </w:tr>
      <w:tr w:rsidR="00000000" w14:paraId="722251C0" w14:textId="77777777">
        <w:tc>
          <w:tcPr>
            <w:tcW w:w="0" w:type="auto"/>
            <w:gridSpan w:val="3"/>
            <w:shd w:val="clear" w:color="auto" w:fill="FFFFFF"/>
            <w:tcMar>
              <w:top w:w="30" w:type="dxa"/>
              <w:left w:w="20" w:type="dxa"/>
              <w:bottom w:w="30" w:type="dxa"/>
              <w:right w:w="20" w:type="dxa"/>
            </w:tcMar>
            <w:vAlign w:val="bottom"/>
            <w:hideMark/>
          </w:tcPr>
          <w:p w14:paraId="702E199A" w14:textId="77777777" w:rsidR="00000000" w:rsidRDefault="000C49AD">
            <w:pPr>
              <w:spacing w:after="100"/>
              <w:rPr>
                <w:rFonts w:eastAsia="Times New Roman"/>
              </w:rPr>
            </w:pPr>
            <w:r>
              <w:rPr>
                <w:rFonts w:eastAsia="Times New Roman"/>
                <w:color w:val="000000"/>
                <w:sz w:val="18"/>
                <w:szCs w:val="18"/>
              </w:rPr>
              <w:t>Weighted average number of shares outstanding - basic</w:t>
            </w:r>
          </w:p>
        </w:tc>
        <w:tc>
          <w:tcPr>
            <w:tcW w:w="0" w:type="auto"/>
            <w:gridSpan w:val="3"/>
            <w:shd w:val="clear" w:color="auto" w:fill="FFFFFF"/>
            <w:tcMar>
              <w:top w:w="0" w:type="dxa"/>
              <w:left w:w="20" w:type="dxa"/>
              <w:bottom w:w="0" w:type="dxa"/>
              <w:right w:w="20" w:type="dxa"/>
            </w:tcMar>
            <w:vAlign w:val="center"/>
            <w:hideMark/>
          </w:tcPr>
          <w:p w14:paraId="33991B3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B5C09C" w14:textId="77777777" w:rsidR="00000000" w:rsidRDefault="000C49AD">
            <w:pPr>
              <w:spacing w:after="100"/>
              <w:jc w:val="right"/>
              <w:rPr>
                <w:rFonts w:eastAsia="Times New Roman"/>
              </w:rPr>
            </w:pPr>
            <w:r>
              <w:rPr>
                <w:rFonts w:eastAsia="Times New Roman"/>
                <w:color w:val="000000"/>
                <w:sz w:val="18"/>
                <w:szCs w:val="18"/>
              </w:rPr>
              <w:t>58,535 </w:t>
            </w:r>
          </w:p>
        </w:tc>
        <w:tc>
          <w:tcPr>
            <w:tcW w:w="0" w:type="auto"/>
            <w:shd w:val="clear" w:color="auto" w:fill="FFFFFF"/>
            <w:tcMar>
              <w:top w:w="30" w:type="dxa"/>
              <w:left w:w="0" w:type="dxa"/>
              <w:bottom w:w="30" w:type="dxa"/>
              <w:right w:w="20" w:type="dxa"/>
            </w:tcMar>
            <w:vAlign w:val="bottom"/>
            <w:hideMark/>
          </w:tcPr>
          <w:p w14:paraId="3EAAD9E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6DD8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1D064A" w14:textId="77777777" w:rsidR="00000000" w:rsidRDefault="000C49AD">
            <w:pPr>
              <w:spacing w:after="100"/>
              <w:jc w:val="right"/>
              <w:rPr>
                <w:rFonts w:eastAsia="Times New Roman"/>
              </w:rPr>
            </w:pPr>
            <w:r>
              <w:rPr>
                <w:rFonts w:eastAsia="Times New Roman"/>
                <w:color w:val="000000"/>
                <w:sz w:val="18"/>
                <w:szCs w:val="18"/>
              </w:rPr>
              <w:t>52,996 </w:t>
            </w:r>
          </w:p>
        </w:tc>
        <w:tc>
          <w:tcPr>
            <w:tcW w:w="0" w:type="auto"/>
            <w:shd w:val="clear" w:color="auto" w:fill="FFFFFF"/>
            <w:tcMar>
              <w:top w:w="30" w:type="dxa"/>
              <w:left w:w="0" w:type="dxa"/>
              <w:bottom w:w="30" w:type="dxa"/>
              <w:right w:w="20" w:type="dxa"/>
            </w:tcMar>
            <w:vAlign w:val="bottom"/>
            <w:hideMark/>
          </w:tcPr>
          <w:p w14:paraId="26872FF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47932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E463FA" w14:textId="77777777" w:rsidR="00000000" w:rsidRDefault="000C49AD">
            <w:pPr>
              <w:spacing w:after="100"/>
              <w:jc w:val="right"/>
              <w:rPr>
                <w:rFonts w:eastAsia="Times New Roman"/>
              </w:rPr>
            </w:pPr>
            <w:r>
              <w:rPr>
                <w:rFonts w:eastAsia="Times New Roman"/>
                <w:color w:val="000000"/>
                <w:sz w:val="18"/>
                <w:szCs w:val="18"/>
              </w:rPr>
              <w:t>37,403 </w:t>
            </w:r>
          </w:p>
        </w:tc>
        <w:tc>
          <w:tcPr>
            <w:tcW w:w="0" w:type="auto"/>
            <w:shd w:val="clear" w:color="auto" w:fill="FFFFFF"/>
            <w:tcMar>
              <w:top w:w="30" w:type="dxa"/>
              <w:left w:w="0" w:type="dxa"/>
              <w:bottom w:w="30" w:type="dxa"/>
              <w:right w:w="20" w:type="dxa"/>
            </w:tcMar>
            <w:vAlign w:val="bottom"/>
            <w:hideMark/>
          </w:tcPr>
          <w:p w14:paraId="1BDC6BDA" w14:textId="77777777" w:rsidR="00000000" w:rsidRDefault="000C49AD">
            <w:pPr>
              <w:spacing w:after="100"/>
              <w:jc w:val="right"/>
              <w:rPr>
                <w:rFonts w:eastAsia="Times New Roman"/>
              </w:rPr>
            </w:pPr>
          </w:p>
        </w:tc>
      </w:tr>
      <w:tr w:rsidR="00000000" w14:paraId="4E6A7B30" w14:textId="77777777">
        <w:tc>
          <w:tcPr>
            <w:tcW w:w="0" w:type="auto"/>
            <w:gridSpan w:val="3"/>
            <w:shd w:val="clear" w:color="auto" w:fill="CCEEFF"/>
            <w:tcMar>
              <w:top w:w="30" w:type="dxa"/>
              <w:left w:w="20" w:type="dxa"/>
              <w:bottom w:w="30" w:type="dxa"/>
              <w:right w:w="20" w:type="dxa"/>
            </w:tcMar>
            <w:vAlign w:val="bottom"/>
            <w:hideMark/>
          </w:tcPr>
          <w:p w14:paraId="29A71E80" w14:textId="77777777" w:rsidR="00000000" w:rsidRDefault="000C49AD">
            <w:pPr>
              <w:spacing w:after="100"/>
              <w:rPr>
                <w:rFonts w:eastAsia="Times New Roman"/>
              </w:rPr>
            </w:pPr>
            <w:r>
              <w:rPr>
                <w:rFonts w:eastAsia="Times New Roman"/>
                <w:color w:val="000000"/>
                <w:sz w:val="18"/>
                <w:szCs w:val="18"/>
              </w:rPr>
              <w:t>Weighted average number of shares outstanding - diluted</w:t>
            </w:r>
          </w:p>
        </w:tc>
        <w:tc>
          <w:tcPr>
            <w:tcW w:w="0" w:type="auto"/>
            <w:gridSpan w:val="3"/>
            <w:shd w:val="clear" w:color="auto" w:fill="CCEEFF"/>
            <w:tcMar>
              <w:top w:w="0" w:type="dxa"/>
              <w:left w:w="20" w:type="dxa"/>
              <w:bottom w:w="0" w:type="dxa"/>
              <w:right w:w="20" w:type="dxa"/>
            </w:tcMar>
            <w:vAlign w:val="center"/>
            <w:hideMark/>
          </w:tcPr>
          <w:p w14:paraId="0B49CFC6"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9B4860B" w14:textId="77777777" w:rsidR="00000000" w:rsidRDefault="000C49AD">
            <w:pPr>
              <w:spacing w:after="100"/>
              <w:jc w:val="right"/>
              <w:rPr>
                <w:rFonts w:eastAsia="Times New Roman"/>
              </w:rPr>
            </w:pPr>
            <w:r>
              <w:rPr>
                <w:rFonts w:eastAsia="Times New Roman"/>
                <w:color w:val="000000"/>
                <w:sz w:val="18"/>
                <w:szCs w:val="18"/>
              </w:rPr>
              <w:t>58,535 </w:t>
            </w:r>
          </w:p>
        </w:tc>
        <w:tc>
          <w:tcPr>
            <w:tcW w:w="0" w:type="auto"/>
            <w:shd w:val="clear" w:color="auto" w:fill="CCEEFF"/>
            <w:tcMar>
              <w:top w:w="30" w:type="dxa"/>
              <w:left w:w="0" w:type="dxa"/>
              <w:bottom w:w="30" w:type="dxa"/>
              <w:right w:w="20" w:type="dxa"/>
            </w:tcMar>
            <w:vAlign w:val="bottom"/>
            <w:hideMark/>
          </w:tcPr>
          <w:p w14:paraId="0D8726C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E8089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9DA62D" w14:textId="77777777" w:rsidR="00000000" w:rsidRDefault="000C49AD">
            <w:pPr>
              <w:spacing w:after="100"/>
              <w:jc w:val="right"/>
              <w:rPr>
                <w:rFonts w:eastAsia="Times New Roman"/>
              </w:rPr>
            </w:pPr>
            <w:r>
              <w:rPr>
                <w:rFonts w:eastAsia="Times New Roman"/>
                <w:color w:val="000000"/>
                <w:sz w:val="18"/>
                <w:szCs w:val="18"/>
              </w:rPr>
              <w:t>54,941 </w:t>
            </w:r>
          </w:p>
        </w:tc>
        <w:tc>
          <w:tcPr>
            <w:tcW w:w="0" w:type="auto"/>
            <w:shd w:val="clear" w:color="auto" w:fill="CCEEFF"/>
            <w:tcMar>
              <w:top w:w="30" w:type="dxa"/>
              <w:left w:w="0" w:type="dxa"/>
              <w:bottom w:w="30" w:type="dxa"/>
              <w:right w:w="20" w:type="dxa"/>
            </w:tcMar>
            <w:vAlign w:val="bottom"/>
            <w:hideMark/>
          </w:tcPr>
          <w:p w14:paraId="4EFCDDB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2BFB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1FAEB" w14:textId="77777777" w:rsidR="00000000" w:rsidRDefault="000C49AD">
            <w:pPr>
              <w:spacing w:after="100"/>
              <w:jc w:val="right"/>
              <w:rPr>
                <w:rFonts w:eastAsia="Times New Roman"/>
              </w:rPr>
            </w:pPr>
            <w:r>
              <w:rPr>
                <w:rFonts w:eastAsia="Times New Roman"/>
                <w:color w:val="000000"/>
                <w:sz w:val="18"/>
                <w:szCs w:val="18"/>
              </w:rPr>
              <w:t>37,403 </w:t>
            </w:r>
          </w:p>
        </w:tc>
        <w:tc>
          <w:tcPr>
            <w:tcW w:w="0" w:type="auto"/>
            <w:shd w:val="clear" w:color="auto" w:fill="CCEEFF"/>
            <w:tcMar>
              <w:top w:w="30" w:type="dxa"/>
              <w:left w:w="0" w:type="dxa"/>
              <w:bottom w:w="30" w:type="dxa"/>
              <w:right w:w="20" w:type="dxa"/>
            </w:tcMar>
            <w:vAlign w:val="bottom"/>
            <w:hideMark/>
          </w:tcPr>
          <w:p w14:paraId="79D3D39F" w14:textId="77777777" w:rsidR="00000000" w:rsidRDefault="000C49AD">
            <w:pPr>
              <w:spacing w:after="100"/>
              <w:jc w:val="right"/>
              <w:rPr>
                <w:rFonts w:eastAsia="Times New Roman"/>
              </w:rPr>
            </w:pPr>
          </w:p>
        </w:tc>
      </w:tr>
    </w:tbl>
    <w:p w14:paraId="6604C72A" w14:textId="77777777" w:rsidR="00000000" w:rsidRDefault="000C49AD">
      <w:pPr>
        <w:jc w:val="both"/>
        <w:rPr>
          <w:rFonts w:eastAsia="Times New Roman"/>
        </w:rPr>
      </w:pPr>
      <w:r>
        <w:rPr>
          <w:rFonts w:eastAsia="Times New Roman"/>
          <w:color w:val="000000"/>
        </w:rPr>
        <w:t> </w:t>
      </w:r>
    </w:p>
    <w:p w14:paraId="60597138" w14:textId="77777777" w:rsidR="00000000" w:rsidRDefault="000C49AD">
      <w:pPr>
        <w:jc w:val="center"/>
        <w:rPr>
          <w:rFonts w:eastAsia="Times New Roman"/>
        </w:rPr>
      </w:pPr>
      <w:r>
        <w:rPr>
          <w:rFonts w:eastAsia="Times New Roman"/>
          <w:i/>
          <w:iCs/>
          <w:color w:val="000000"/>
          <w:sz w:val="20"/>
          <w:szCs w:val="20"/>
        </w:rPr>
        <w:t>See accompanying notes to consolidated financial statements.</w:t>
      </w:r>
    </w:p>
    <w:p w14:paraId="62595ED0" w14:textId="77777777" w:rsidR="00000000" w:rsidRDefault="000C49AD">
      <w:pPr>
        <w:jc w:val="both"/>
        <w:rPr>
          <w:rFonts w:eastAsia="Times New Roman"/>
        </w:rPr>
      </w:pPr>
    </w:p>
    <w:p w14:paraId="199739DE" w14:textId="77777777" w:rsidR="00000000" w:rsidRDefault="000C49AD">
      <w:pPr>
        <w:jc w:val="center"/>
        <w:divId w:val="568885099"/>
        <w:rPr>
          <w:rFonts w:eastAsia="Times New Roman"/>
        </w:rPr>
      </w:pPr>
      <w:r>
        <w:rPr>
          <w:rFonts w:eastAsia="Times New Roman"/>
          <w:color w:val="000000"/>
          <w:sz w:val="20"/>
          <w:szCs w:val="20"/>
        </w:rPr>
        <w:t>-74-</w:t>
      </w:r>
    </w:p>
    <w:p w14:paraId="5993A721" w14:textId="77777777" w:rsidR="00000000" w:rsidRDefault="000C49AD">
      <w:pPr>
        <w:rPr>
          <w:rFonts w:eastAsia="Times New Roman"/>
        </w:rPr>
      </w:pPr>
      <w:r>
        <w:rPr>
          <w:rFonts w:eastAsia="Times New Roman"/>
        </w:rPr>
        <w:pict w14:anchorId="7799968B">
          <v:rect id="_x0000_i1099" style="width:0;height:1.5pt" o:hralign="center" o:hrstd="t" o:hr="t" fillcolor="#a0a0a0" stroked="f"/>
        </w:pict>
      </w:r>
    </w:p>
    <w:p w14:paraId="107F80A5" w14:textId="77777777" w:rsidR="00000000" w:rsidRDefault="000C49AD">
      <w:pPr>
        <w:divId w:val="828404156"/>
        <w:rPr>
          <w:rFonts w:eastAsia="Times New Roman"/>
        </w:rPr>
      </w:pPr>
    </w:p>
    <w:p w14:paraId="067703C0" w14:textId="77777777" w:rsidR="00000000" w:rsidRDefault="000C49AD">
      <w:pPr>
        <w:jc w:val="center"/>
        <w:rPr>
          <w:rFonts w:eastAsia="Times New Roman"/>
        </w:rPr>
      </w:pPr>
      <w:r>
        <w:rPr>
          <w:rFonts w:eastAsia="Times New Roman"/>
          <w:b/>
          <w:bCs/>
          <w:color w:val="000000"/>
          <w:sz w:val="20"/>
          <w:szCs w:val="20"/>
        </w:rPr>
        <w:t>AVADEL PHARMACEUTICALS PLC</w:t>
      </w:r>
    </w:p>
    <w:p w14:paraId="1ED78D02" w14:textId="77777777" w:rsidR="00000000" w:rsidRDefault="000C49AD">
      <w:pPr>
        <w:jc w:val="center"/>
        <w:rPr>
          <w:rFonts w:eastAsia="Times New Roman"/>
        </w:rPr>
      </w:pPr>
      <w:r>
        <w:rPr>
          <w:rFonts w:eastAsia="Times New Roman"/>
          <w:b/>
          <w:bCs/>
          <w:color w:val="000000"/>
          <w:sz w:val="20"/>
          <w:szCs w:val="20"/>
        </w:rPr>
        <w:t>CONSOLIDATED STATEMENTS OF COMPREHENSIVE (LOSS) INCOME</w:t>
      </w:r>
    </w:p>
    <w:p w14:paraId="4E49384D" w14:textId="77777777" w:rsidR="00000000" w:rsidRDefault="000C49AD">
      <w:pPr>
        <w:jc w:val="center"/>
        <w:rPr>
          <w:rFonts w:eastAsia="Times New Roman"/>
        </w:rPr>
      </w:pPr>
      <w:r>
        <w:rPr>
          <w:rFonts w:eastAsia="Times New Roman"/>
          <w:i/>
          <w:iCs/>
          <w:color w:val="000000"/>
          <w:sz w:val="20"/>
          <w:szCs w:val="20"/>
        </w:rPr>
        <w:t>(In thousands)</w:t>
      </w:r>
    </w:p>
    <w:tbl>
      <w:tblPr>
        <w:tblW w:w="4978" w:type="pct"/>
        <w:tblCellMar>
          <w:top w:w="15" w:type="dxa"/>
          <w:left w:w="15" w:type="dxa"/>
          <w:bottom w:w="15" w:type="dxa"/>
          <w:right w:w="15" w:type="dxa"/>
        </w:tblCellMar>
        <w:tblLook w:val="04A0" w:firstRow="1" w:lastRow="0" w:firstColumn="1" w:lastColumn="0" w:noHBand="0" w:noVBand="1"/>
      </w:tblPr>
      <w:tblGrid>
        <w:gridCol w:w="39"/>
        <w:gridCol w:w="5015"/>
        <w:gridCol w:w="38"/>
        <w:gridCol w:w="36"/>
        <w:gridCol w:w="36"/>
        <w:gridCol w:w="36"/>
        <w:gridCol w:w="110"/>
        <w:gridCol w:w="808"/>
        <w:gridCol w:w="36"/>
        <w:gridCol w:w="36"/>
        <w:gridCol w:w="36"/>
        <w:gridCol w:w="36"/>
        <w:gridCol w:w="110"/>
        <w:gridCol w:w="797"/>
        <w:gridCol w:w="36"/>
        <w:gridCol w:w="36"/>
        <w:gridCol w:w="36"/>
        <w:gridCol w:w="36"/>
        <w:gridCol w:w="110"/>
        <w:gridCol w:w="810"/>
        <w:gridCol w:w="36"/>
      </w:tblGrid>
      <w:tr w:rsidR="00000000" w14:paraId="2282C31E" w14:textId="77777777">
        <w:tc>
          <w:tcPr>
            <w:tcW w:w="50" w:type="pct"/>
            <w:vAlign w:val="center"/>
            <w:hideMark/>
          </w:tcPr>
          <w:p w14:paraId="6A01D31D" w14:textId="77777777" w:rsidR="00000000" w:rsidRDefault="000C49AD">
            <w:pPr>
              <w:jc w:val="center"/>
              <w:rPr>
                <w:rFonts w:eastAsia="Times New Roman"/>
              </w:rPr>
            </w:pPr>
          </w:p>
        </w:tc>
        <w:tc>
          <w:tcPr>
            <w:tcW w:w="3058" w:type="pct"/>
            <w:vAlign w:val="center"/>
            <w:hideMark/>
          </w:tcPr>
          <w:p w14:paraId="630CE403" w14:textId="77777777" w:rsidR="00000000" w:rsidRDefault="000C49AD">
            <w:pPr>
              <w:spacing w:after="100"/>
              <w:rPr>
                <w:rFonts w:eastAsia="Times New Roman"/>
                <w:sz w:val="20"/>
                <w:szCs w:val="20"/>
              </w:rPr>
            </w:pPr>
          </w:p>
        </w:tc>
        <w:tc>
          <w:tcPr>
            <w:tcW w:w="5" w:type="pct"/>
            <w:vAlign w:val="center"/>
            <w:hideMark/>
          </w:tcPr>
          <w:p w14:paraId="00943730" w14:textId="77777777" w:rsidR="00000000" w:rsidRDefault="000C49AD">
            <w:pPr>
              <w:spacing w:after="100"/>
              <w:rPr>
                <w:rFonts w:eastAsia="Times New Roman"/>
                <w:sz w:val="20"/>
                <w:szCs w:val="20"/>
              </w:rPr>
            </w:pPr>
          </w:p>
        </w:tc>
        <w:tc>
          <w:tcPr>
            <w:tcW w:w="5" w:type="pct"/>
            <w:vAlign w:val="center"/>
            <w:hideMark/>
          </w:tcPr>
          <w:p w14:paraId="5115D5B9" w14:textId="77777777" w:rsidR="00000000" w:rsidRDefault="000C49AD">
            <w:pPr>
              <w:spacing w:after="100"/>
              <w:rPr>
                <w:rFonts w:eastAsia="Times New Roman"/>
                <w:sz w:val="20"/>
                <w:szCs w:val="20"/>
              </w:rPr>
            </w:pPr>
          </w:p>
        </w:tc>
        <w:tc>
          <w:tcPr>
            <w:tcW w:w="26" w:type="pct"/>
            <w:vAlign w:val="center"/>
            <w:hideMark/>
          </w:tcPr>
          <w:p w14:paraId="4DB4F745" w14:textId="77777777" w:rsidR="00000000" w:rsidRDefault="000C49AD">
            <w:pPr>
              <w:spacing w:after="100"/>
              <w:rPr>
                <w:rFonts w:eastAsia="Times New Roman"/>
                <w:sz w:val="20"/>
                <w:szCs w:val="20"/>
              </w:rPr>
            </w:pPr>
          </w:p>
        </w:tc>
        <w:tc>
          <w:tcPr>
            <w:tcW w:w="5" w:type="pct"/>
            <w:vAlign w:val="center"/>
            <w:hideMark/>
          </w:tcPr>
          <w:p w14:paraId="327EE7EF" w14:textId="77777777" w:rsidR="00000000" w:rsidRDefault="000C49AD">
            <w:pPr>
              <w:spacing w:after="100"/>
              <w:rPr>
                <w:rFonts w:eastAsia="Times New Roman"/>
                <w:sz w:val="20"/>
                <w:szCs w:val="20"/>
              </w:rPr>
            </w:pPr>
          </w:p>
        </w:tc>
        <w:tc>
          <w:tcPr>
            <w:tcW w:w="50" w:type="pct"/>
            <w:vAlign w:val="center"/>
            <w:hideMark/>
          </w:tcPr>
          <w:p w14:paraId="49949BCF" w14:textId="77777777" w:rsidR="00000000" w:rsidRDefault="000C49AD">
            <w:pPr>
              <w:spacing w:after="100"/>
              <w:rPr>
                <w:rFonts w:eastAsia="Times New Roman"/>
                <w:sz w:val="20"/>
                <w:szCs w:val="20"/>
              </w:rPr>
            </w:pPr>
          </w:p>
        </w:tc>
        <w:tc>
          <w:tcPr>
            <w:tcW w:w="539" w:type="pct"/>
            <w:vAlign w:val="center"/>
            <w:hideMark/>
          </w:tcPr>
          <w:p w14:paraId="652A21D3" w14:textId="77777777" w:rsidR="00000000" w:rsidRDefault="000C49AD">
            <w:pPr>
              <w:spacing w:after="100"/>
              <w:rPr>
                <w:rFonts w:eastAsia="Times New Roman"/>
                <w:sz w:val="20"/>
                <w:szCs w:val="20"/>
              </w:rPr>
            </w:pPr>
          </w:p>
        </w:tc>
        <w:tc>
          <w:tcPr>
            <w:tcW w:w="5" w:type="pct"/>
            <w:vAlign w:val="center"/>
            <w:hideMark/>
          </w:tcPr>
          <w:p w14:paraId="1C607C63" w14:textId="77777777" w:rsidR="00000000" w:rsidRDefault="000C49AD">
            <w:pPr>
              <w:spacing w:after="100"/>
              <w:rPr>
                <w:rFonts w:eastAsia="Times New Roman"/>
                <w:sz w:val="20"/>
                <w:szCs w:val="20"/>
              </w:rPr>
            </w:pPr>
          </w:p>
        </w:tc>
        <w:tc>
          <w:tcPr>
            <w:tcW w:w="5" w:type="pct"/>
            <w:vAlign w:val="center"/>
            <w:hideMark/>
          </w:tcPr>
          <w:p w14:paraId="3C90A88C" w14:textId="77777777" w:rsidR="00000000" w:rsidRDefault="000C49AD">
            <w:pPr>
              <w:spacing w:after="100"/>
              <w:rPr>
                <w:rFonts w:eastAsia="Times New Roman"/>
                <w:sz w:val="20"/>
                <w:szCs w:val="20"/>
              </w:rPr>
            </w:pPr>
          </w:p>
        </w:tc>
        <w:tc>
          <w:tcPr>
            <w:tcW w:w="26" w:type="pct"/>
            <w:vAlign w:val="center"/>
            <w:hideMark/>
          </w:tcPr>
          <w:p w14:paraId="149EE0BF" w14:textId="77777777" w:rsidR="00000000" w:rsidRDefault="000C49AD">
            <w:pPr>
              <w:spacing w:after="100"/>
              <w:rPr>
                <w:rFonts w:eastAsia="Times New Roman"/>
                <w:sz w:val="20"/>
                <w:szCs w:val="20"/>
              </w:rPr>
            </w:pPr>
          </w:p>
        </w:tc>
        <w:tc>
          <w:tcPr>
            <w:tcW w:w="5" w:type="pct"/>
            <w:vAlign w:val="center"/>
            <w:hideMark/>
          </w:tcPr>
          <w:p w14:paraId="2E20C9B8" w14:textId="77777777" w:rsidR="00000000" w:rsidRDefault="000C49AD">
            <w:pPr>
              <w:spacing w:after="100"/>
              <w:rPr>
                <w:rFonts w:eastAsia="Times New Roman"/>
                <w:sz w:val="20"/>
                <w:szCs w:val="20"/>
              </w:rPr>
            </w:pPr>
          </w:p>
        </w:tc>
        <w:tc>
          <w:tcPr>
            <w:tcW w:w="50" w:type="pct"/>
            <w:vAlign w:val="center"/>
            <w:hideMark/>
          </w:tcPr>
          <w:p w14:paraId="3AE75283" w14:textId="77777777" w:rsidR="00000000" w:rsidRDefault="000C49AD">
            <w:pPr>
              <w:spacing w:after="100"/>
              <w:rPr>
                <w:rFonts w:eastAsia="Times New Roman"/>
                <w:sz w:val="20"/>
                <w:szCs w:val="20"/>
              </w:rPr>
            </w:pPr>
          </w:p>
        </w:tc>
        <w:tc>
          <w:tcPr>
            <w:tcW w:w="532" w:type="pct"/>
            <w:vAlign w:val="center"/>
            <w:hideMark/>
          </w:tcPr>
          <w:p w14:paraId="57554E0B" w14:textId="77777777" w:rsidR="00000000" w:rsidRDefault="000C49AD">
            <w:pPr>
              <w:spacing w:after="100"/>
              <w:rPr>
                <w:rFonts w:eastAsia="Times New Roman"/>
                <w:sz w:val="20"/>
                <w:szCs w:val="20"/>
              </w:rPr>
            </w:pPr>
          </w:p>
        </w:tc>
        <w:tc>
          <w:tcPr>
            <w:tcW w:w="5" w:type="pct"/>
            <w:vAlign w:val="center"/>
            <w:hideMark/>
          </w:tcPr>
          <w:p w14:paraId="7E9FEFC2" w14:textId="77777777" w:rsidR="00000000" w:rsidRDefault="000C49AD">
            <w:pPr>
              <w:spacing w:after="100"/>
              <w:rPr>
                <w:rFonts w:eastAsia="Times New Roman"/>
                <w:sz w:val="20"/>
                <w:szCs w:val="20"/>
              </w:rPr>
            </w:pPr>
          </w:p>
        </w:tc>
        <w:tc>
          <w:tcPr>
            <w:tcW w:w="5" w:type="pct"/>
            <w:vAlign w:val="center"/>
            <w:hideMark/>
          </w:tcPr>
          <w:p w14:paraId="58BDD7AB" w14:textId="77777777" w:rsidR="00000000" w:rsidRDefault="000C49AD">
            <w:pPr>
              <w:spacing w:after="100"/>
              <w:rPr>
                <w:rFonts w:eastAsia="Times New Roman"/>
                <w:sz w:val="20"/>
                <w:szCs w:val="20"/>
              </w:rPr>
            </w:pPr>
          </w:p>
        </w:tc>
        <w:tc>
          <w:tcPr>
            <w:tcW w:w="26" w:type="pct"/>
            <w:vAlign w:val="center"/>
            <w:hideMark/>
          </w:tcPr>
          <w:p w14:paraId="06078E12" w14:textId="77777777" w:rsidR="00000000" w:rsidRDefault="000C49AD">
            <w:pPr>
              <w:spacing w:after="100"/>
              <w:rPr>
                <w:rFonts w:eastAsia="Times New Roman"/>
                <w:sz w:val="20"/>
                <w:szCs w:val="20"/>
              </w:rPr>
            </w:pPr>
          </w:p>
        </w:tc>
        <w:tc>
          <w:tcPr>
            <w:tcW w:w="5" w:type="pct"/>
            <w:vAlign w:val="center"/>
            <w:hideMark/>
          </w:tcPr>
          <w:p w14:paraId="6AE1FEEF" w14:textId="77777777" w:rsidR="00000000" w:rsidRDefault="000C49AD">
            <w:pPr>
              <w:spacing w:after="100"/>
              <w:rPr>
                <w:rFonts w:eastAsia="Times New Roman"/>
                <w:sz w:val="20"/>
                <w:szCs w:val="20"/>
              </w:rPr>
            </w:pPr>
          </w:p>
        </w:tc>
        <w:tc>
          <w:tcPr>
            <w:tcW w:w="50" w:type="pct"/>
            <w:vAlign w:val="center"/>
            <w:hideMark/>
          </w:tcPr>
          <w:p w14:paraId="7AFE1214" w14:textId="77777777" w:rsidR="00000000" w:rsidRDefault="000C49AD">
            <w:pPr>
              <w:spacing w:after="100"/>
              <w:rPr>
                <w:rFonts w:eastAsia="Times New Roman"/>
                <w:sz w:val="20"/>
                <w:szCs w:val="20"/>
              </w:rPr>
            </w:pPr>
          </w:p>
        </w:tc>
        <w:tc>
          <w:tcPr>
            <w:tcW w:w="539" w:type="pct"/>
            <w:vAlign w:val="center"/>
            <w:hideMark/>
          </w:tcPr>
          <w:p w14:paraId="000881D4" w14:textId="77777777" w:rsidR="00000000" w:rsidRDefault="000C49AD">
            <w:pPr>
              <w:spacing w:after="100"/>
              <w:rPr>
                <w:rFonts w:eastAsia="Times New Roman"/>
                <w:sz w:val="20"/>
                <w:szCs w:val="20"/>
              </w:rPr>
            </w:pPr>
          </w:p>
        </w:tc>
        <w:tc>
          <w:tcPr>
            <w:tcW w:w="5" w:type="pct"/>
            <w:vAlign w:val="center"/>
            <w:hideMark/>
          </w:tcPr>
          <w:p w14:paraId="61695F88" w14:textId="77777777" w:rsidR="00000000" w:rsidRDefault="000C49AD">
            <w:pPr>
              <w:spacing w:after="100"/>
              <w:rPr>
                <w:rFonts w:eastAsia="Times New Roman"/>
                <w:sz w:val="20"/>
                <w:szCs w:val="20"/>
              </w:rPr>
            </w:pPr>
          </w:p>
        </w:tc>
      </w:tr>
      <w:tr w:rsidR="00000000" w14:paraId="3E14AD05" w14:textId="77777777">
        <w:tc>
          <w:tcPr>
            <w:tcW w:w="0" w:type="auto"/>
            <w:gridSpan w:val="3"/>
            <w:tcMar>
              <w:top w:w="30" w:type="dxa"/>
              <w:left w:w="20" w:type="dxa"/>
              <w:bottom w:w="30" w:type="dxa"/>
              <w:right w:w="20" w:type="dxa"/>
            </w:tcMar>
            <w:vAlign w:val="bottom"/>
            <w:hideMark/>
          </w:tcPr>
          <w:p w14:paraId="0D842DCB"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2DD7AB2" w14:textId="77777777" w:rsidR="00000000" w:rsidRDefault="000C49AD">
            <w:pPr>
              <w:spacing w:after="100"/>
              <w:rPr>
                <w:rFonts w:eastAsia="Times New Roman"/>
              </w:rPr>
            </w:pPr>
          </w:p>
        </w:tc>
        <w:tc>
          <w:tcPr>
            <w:tcW w:w="0" w:type="auto"/>
            <w:gridSpan w:val="15"/>
            <w:tcMar>
              <w:top w:w="30" w:type="dxa"/>
              <w:left w:w="20" w:type="dxa"/>
              <w:bottom w:w="30" w:type="dxa"/>
              <w:right w:w="20" w:type="dxa"/>
            </w:tcMar>
            <w:vAlign w:val="bottom"/>
            <w:hideMark/>
          </w:tcPr>
          <w:p w14:paraId="25B8D01D" w14:textId="77777777" w:rsidR="00000000" w:rsidRDefault="000C49AD">
            <w:pPr>
              <w:spacing w:after="100"/>
              <w:jc w:val="center"/>
              <w:rPr>
                <w:rFonts w:eastAsia="Times New Roman"/>
              </w:rPr>
            </w:pPr>
            <w:r>
              <w:rPr>
                <w:rFonts w:eastAsia="Times New Roman"/>
                <w:b/>
                <w:bCs/>
                <w:color w:val="000000"/>
                <w:sz w:val="18"/>
                <w:szCs w:val="18"/>
              </w:rPr>
              <w:t>Years ended December 31,</w:t>
            </w:r>
          </w:p>
        </w:tc>
      </w:tr>
      <w:tr w:rsidR="00000000" w14:paraId="110E2E6C" w14:textId="77777777">
        <w:tc>
          <w:tcPr>
            <w:tcW w:w="0" w:type="auto"/>
            <w:gridSpan w:val="3"/>
            <w:tcMar>
              <w:top w:w="30" w:type="dxa"/>
              <w:left w:w="20" w:type="dxa"/>
              <w:bottom w:w="30" w:type="dxa"/>
              <w:right w:w="20" w:type="dxa"/>
            </w:tcMar>
            <w:vAlign w:val="bottom"/>
            <w:hideMark/>
          </w:tcPr>
          <w:p w14:paraId="3A3E7368"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8DE276A"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9ABDB0"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446BDAE9"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8B9EB8A"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14:paraId="0F8E179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92C3C32"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57ABCB33" w14:textId="77777777">
        <w:tc>
          <w:tcPr>
            <w:tcW w:w="0" w:type="auto"/>
            <w:gridSpan w:val="3"/>
            <w:shd w:val="clear" w:color="auto" w:fill="CCEEFF"/>
            <w:tcMar>
              <w:top w:w="30" w:type="dxa"/>
              <w:left w:w="20" w:type="dxa"/>
              <w:bottom w:w="30" w:type="dxa"/>
              <w:right w:w="20" w:type="dxa"/>
            </w:tcMar>
            <w:vAlign w:val="bottom"/>
            <w:hideMark/>
          </w:tcPr>
          <w:p w14:paraId="68179A0F" w14:textId="77777777" w:rsidR="00000000" w:rsidRDefault="000C49AD">
            <w:pPr>
              <w:spacing w:after="100"/>
              <w:rPr>
                <w:rFonts w:eastAsia="Times New Roman"/>
              </w:rPr>
            </w:pPr>
            <w:r>
              <w:rPr>
                <w:rFonts w:eastAsia="Times New Roman"/>
                <w:color w:val="000000"/>
                <w:sz w:val="18"/>
                <w:szCs w:val="18"/>
              </w:rPr>
              <w:t xml:space="preserve">Net (loss) income </w:t>
            </w:r>
          </w:p>
        </w:tc>
        <w:tc>
          <w:tcPr>
            <w:tcW w:w="0" w:type="auto"/>
            <w:gridSpan w:val="3"/>
            <w:shd w:val="clear" w:color="auto" w:fill="CCEEFF"/>
            <w:tcMar>
              <w:top w:w="0" w:type="dxa"/>
              <w:left w:w="20" w:type="dxa"/>
              <w:bottom w:w="0" w:type="dxa"/>
              <w:right w:w="20" w:type="dxa"/>
            </w:tcMar>
            <w:vAlign w:val="center"/>
            <w:hideMark/>
          </w:tcPr>
          <w:p w14:paraId="6C7E0D75" w14:textId="77777777" w:rsidR="00000000" w:rsidRDefault="000C49A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D743CE"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510AE1" w14:textId="77777777" w:rsidR="00000000" w:rsidRDefault="000C49AD">
            <w:pPr>
              <w:spacing w:after="100"/>
              <w:jc w:val="right"/>
              <w:rPr>
                <w:rFonts w:eastAsia="Times New Roman"/>
              </w:rPr>
            </w:pPr>
            <w:r>
              <w:rPr>
                <w:rFonts w:eastAsia="Times New Roman"/>
                <w:color w:val="000000"/>
                <w:sz w:val="18"/>
                <w:szCs w:val="18"/>
              </w:rPr>
              <w:t>(77,329)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31B39C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51BDB"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8A64BF"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47B21A" w14:textId="77777777" w:rsidR="00000000" w:rsidRDefault="000C49AD">
            <w:pPr>
              <w:spacing w:after="100"/>
              <w:jc w:val="right"/>
              <w:rPr>
                <w:rFonts w:eastAsia="Times New Roman"/>
              </w:rPr>
            </w:pPr>
            <w:r>
              <w:rPr>
                <w:rFonts w:eastAsia="Times New Roman"/>
                <w:color w:val="000000"/>
                <w:sz w:val="18"/>
                <w:szCs w:val="18"/>
              </w:rPr>
              <w:t>7,028 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886A8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CC4FE"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CE2468"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A578559" w14:textId="77777777" w:rsidR="00000000" w:rsidRDefault="000C49AD">
            <w:pPr>
              <w:spacing w:after="100"/>
              <w:jc w:val="right"/>
              <w:rPr>
                <w:rFonts w:eastAsia="Times New Roman"/>
              </w:rPr>
            </w:pPr>
            <w:r>
              <w:rPr>
                <w:rFonts w:eastAsia="Times New Roman"/>
                <w:color w:val="000000"/>
                <w:sz w:val="18"/>
                <w:szCs w:val="18"/>
              </w:rPr>
              <w:t>(33,226)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A35976" w14:textId="77777777" w:rsidR="00000000" w:rsidRDefault="000C49AD">
            <w:pPr>
              <w:spacing w:after="100"/>
              <w:jc w:val="right"/>
              <w:rPr>
                <w:rFonts w:eastAsia="Times New Roman"/>
              </w:rPr>
            </w:pPr>
          </w:p>
        </w:tc>
      </w:tr>
      <w:tr w:rsidR="00000000" w14:paraId="109022E6" w14:textId="77777777">
        <w:tc>
          <w:tcPr>
            <w:tcW w:w="0" w:type="auto"/>
            <w:gridSpan w:val="3"/>
            <w:shd w:val="clear" w:color="auto" w:fill="FFFFFF"/>
            <w:tcMar>
              <w:top w:w="30" w:type="dxa"/>
              <w:left w:w="20" w:type="dxa"/>
              <w:bottom w:w="30" w:type="dxa"/>
              <w:right w:w="20" w:type="dxa"/>
            </w:tcMar>
            <w:vAlign w:val="bottom"/>
            <w:hideMark/>
          </w:tcPr>
          <w:p w14:paraId="749F3A5E" w14:textId="77777777" w:rsidR="00000000" w:rsidRDefault="000C49AD">
            <w:pPr>
              <w:spacing w:after="100"/>
              <w:rPr>
                <w:rFonts w:eastAsia="Times New Roman"/>
              </w:rPr>
            </w:pPr>
            <w:r>
              <w:rPr>
                <w:rFonts w:eastAsia="Times New Roman"/>
                <w:color w:val="000000"/>
                <w:sz w:val="18"/>
                <w:szCs w:val="18"/>
              </w:rPr>
              <w:t>Other comprehensive (loss) income, net of tax:</w:t>
            </w:r>
          </w:p>
        </w:tc>
        <w:tc>
          <w:tcPr>
            <w:tcW w:w="0" w:type="auto"/>
            <w:gridSpan w:val="3"/>
            <w:shd w:val="clear" w:color="auto" w:fill="FFFFFF"/>
            <w:tcMar>
              <w:top w:w="0" w:type="dxa"/>
              <w:left w:w="20" w:type="dxa"/>
              <w:bottom w:w="0" w:type="dxa"/>
              <w:right w:w="20" w:type="dxa"/>
            </w:tcMar>
            <w:vAlign w:val="center"/>
            <w:hideMark/>
          </w:tcPr>
          <w:p w14:paraId="1B8F15FF" w14:textId="77777777" w:rsidR="00000000" w:rsidRDefault="000C49A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4B9633"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7DCE1610"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6316776"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105AF941"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D18EEDC" w14:textId="77777777" w:rsidR="00000000" w:rsidRDefault="000C49AD">
            <w:pPr>
              <w:spacing w:after="100"/>
              <w:jc w:val="right"/>
              <w:rPr>
                <w:rFonts w:eastAsia="Times New Roman"/>
              </w:rPr>
            </w:pPr>
            <w:r>
              <w:rPr>
                <w:rFonts w:eastAsia="Times New Roman"/>
                <w:color w:val="000000"/>
                <w:sz w:val="18"/>
                <w:szCs w:val="18"/>
              </w:rPr>
              <w:t> </w:t>
            </w:r>
          </w:p>
        </w:tc>
      </w:tr>
      <w:tr w:rsidR="00000000" w14:paraId="32EF3370" w14:textId="77777777">
        <w:tc>
          <w:tcPr>
            <w:tcW w:w="0" w:type="auto"/>
            <w:gridSpan w:val="3"/>
            <w:shd w:val="clear" w:color="auto" w:fill="CCEEFF"/>
            <w:tcMar>
              <w:top w:w="30" w:type="dxa"/>
              <w:left w:w="155" w:type="dxa"/>
              <w:bottom w:w="30" w:type="dxa"/>
              <w:right w:w="20" w:type="dxa"/>
            </w:tcMar>
            <w:vAlign w:val="bottom"/>
            <w:hideMark/>
          </w:tcPr>
          <w:p w14:paraId="04979525" w14:textId="77777777" w:rsidR="00000000" w:rsidRDefault="000C49AD">
            <w:pPr>
              <w:spacing w:after="100"/>
              <w:rPr>
                <w:rFonts w:eastAsia="Times New Roman"/>
              </w:rPr>
            </w:pPr>
            <w:r>
              <w:rPr>
                <w:rFonts w:eastAsia="Times New Roman"/>
                <w:color w:val="000000"/>
                <w:sz w:val="18"/>
                <w:szCs w:val="18"/>
              </w:rPr>
              <w:t>Foreign currency translation (loss) gain</w:t>
            </w:r>
          </w:p>
        </w:tc>
        <w:tc>
          <w:tcPr>
            <w:tcW w:w="0" w:type="auto"/>
            <w:gridSpan w:val="3"/>
            <w:shd w:val="clear" w:color="auto" w:fill="CCEEFF"/>
            <w:tcMar>
              <w:top w:w="0" w:type="dxa"/>
              <w:left w:w="20" w:type="dxa"/>
              <w:bottom w:w="0" w:type="dxa"/>
              <w:right w:w="20" w:type="dxa"/>
            </w:tcMar>
            <w:vAlign w:val="center"/>
            <w:hideMark/>
          </w:tcPr>
          <w:p w14:paraId="464159C6"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1DD6A6" w14:textId="77777777" w:rsidR="00000000" w:rsidRDefault="000C49AD">
            <w:pPr>
              <w:spacing w:after="100"/>
              <w:jc w:val="right"/>
              <w:rPr>
                <w:rFonts w:eastAsia="Times New Roman"/>
              </w:rPr>
            </w:pPr>
            <w:r>
              <w:rPr>
                <w:rFonts w:eastAsia="Times New Roman"/>
                <w:color w:val="000000"/>
                <w:sz w:val="18"/>
                <w:szCs w:val="18"/>
              </w:rPr>
              <w:t>(1,228)</w:t>
            </w:r>
          </w:p>
        </w:tc>
        <w:tc>
          <w:tcPr>
            <w:tcW w:w="0" w:type="auto"/>
            <w:shd w:val="clear" w:color="auto" w:fill="CCEEFF"/>
            <w:tcMar>
              <w:top w:w="30" w:type="dxa"/>
              <w:left w:w="0" w:type="dxa"/>
              <w:bottom w:w="30" w:type="dxa"/>
              <w:right w:w="20" w:type="dxa"/>
            </w:tcMar>
            <w:vAlign w:val="bottom"/>
            <w:hideMark/>
          </w:tcPr>
          <w:p w14:paraId="17C0705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A3029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A62E4C" w14:textId="77777777" w:rsidR="00000000" w:rsidRDefault="000C49AD">
            <w:pPr>
              <w:spacing w:after="100"/>
              <w:jc w:val="right"/>
              <w:rPr>
                <w:rFonts w:eastAsia="Times New Roman"/>
              </w:rPr>
            </w:pPr>
            <w:r>
              <w:rPr>
                <w:rFonts w:eastAsia="Times New Roman"/>
                <w:color w:val="000000"/>
                <w:sz w:val="18"/>
                <w:szCs w:val="18"/>
              </w:rPr>
              <w:t>1,111 </w:t>
            </w:r>
          </w:p>
        </w:tc>
        <w:tc>
          <w:tcPr>
            <w:tcW w:w="0" w:type="auto"/>
            <w:shd w:val="clear" w:color="auto" w:fill="CCEEFF"/>
            <w:tcMar>
              <w:top w:w="30" w:type="dxa"/>
              <w:left w:w="0" w:type="dxa"/>
              <w:bottom w:w="30" w:type="dxa"/>
              <w:right w:w="20" w:type="dxa"/>
            </w:tcMar>
            <w:vAlign w:val="bottom"/>
            <w:hideMark/>
          </w:tcPr>
          <w:p w14:paraId="164AE73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95C98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12CFD" w14:textId="77777777" w:rsidR="00000000" w:rsidRDefault="000C49AD">
            <w:pPr>
              <w:spacing w:after="100"/>
              <w:jc w:val="right"/>
              <w:rPr>
                <w:rFonts w:eastAsia="Times New Roman"/>
              </w:rPr>
            </w:pPr>
            <w:r>
              <w:rPr>
                <w:rFonts w:eastAsia="Times New Roman"/>
                <w:color w:val="000000"/>
                <w:sz w:val="18"/>
                <w:szCs w:val="18"/>
              </w:rPr>
              <w:t>(117)</w:t>
            </w:r>
          </w:p>
        </w:tc>
        <w:tc>
          <w:tcPr>
            <w:tcW w:w="0" w:type="auto"/>
            <w:shd w:val="clear" w:color="auto" w:fill="CCEEFF"/>
            <w:tcMar>
              <w:top w:w="30" w:type="dxa"/>
              <w:left w:w="0" w:type="dxa"/>
              <w:bottom w:w="30" w:type="dxa"/>
              <w:right w:w="20" w:type="dxa"/>
            </w:tcMar>
            <w:vAlign w:val="bottom"/>
            <w:hideMark/>
          </w:tcPr>
          <w:p w14:paraId="4607C3CC" w14:textId="77777777" w:rsidR="00000000" w:rsidRDefault="000C49AD">
            <w:pPr>
              <w:spacing w:after="100"/>
              <w:jc w:val="right"/>
              <w:rPr>
                <w:rFonts w:eastAsia="Times New Roman"/>
              </w:rPr>
            </w:pPr>
          </w:p>
        </w:tc>
      </w:tr>
      <w:tr w:rsidR="00000000" w14:paraId="3CB585B9" w14:textId="77777777">
        <w:tc>
          <w:tcPr>
            <w:tcW w:w="0" w:type="auto"/>
            <w:gridSpan w:val="3"/>
            <w:tcMar>
              <w:top w:w="30" w:type="dxa"/>
              <w:left w:w="20" w:type="dxa"/>
              <w:bottom w:w="30" w:type="dxa"/>
              <w:right w:w="20" w:type="dxa"/>
            </w:tcMar>
            <w:vAlign w:val="bottom"/>
            <w:hideMark/>
          </w:tcPr>
          <w:p w14:paraId="1D9530B9" w14:textId="77777777" w:rsidR="00000000" w:rsidRDefault="000C49AD">
            <w:pPr>
              <w:spacing w:after="100"/>
              <w:divId w:val="98571324"/>
              <w:rPr>
                <w:rFonts w:eastAsia="Times New Roman"/>
              </w:rPr>
            </w:pPr>
            <w:r>
              <w:rPr>
                <w:rFonts w:eastAsia="Times New Roman"/>
                <w:color w:val="000000"/>
                <w:sz w:val="18"/>
                <w:szCs w:val="18"/>
              </w:rPr>
              <w:t>Net other comprehensive (loss) income, net of income tax benefit (expense) of $214, $(202), $(43), respectively</w:t>
            </w:r>
          </w:p>
        </w:tc>
        <w:tc>
          <w:tcPr>
            <w:tcW w:w="0" w:type="auto"/>
            <w:gridSpan w:val="3"/>
            <w:shd w:val="clear" w:color="auto" w:fill="FFFFFF"/>
            <w:tcMar>
              <w:top w:w="0" w:type="dxa"/>
              <w:left w:w="20" w:type="dxa"/>
              <w:bottom w:w="0" w:type="dxa"/>
              <w:right w:w="20" w:type="dxa"/>
            </w:tcMar>
            <w:vAlign w:val="center"/>
            <w:hideMark/>
          </w:tcPr>
          <w:p w14:paraId="7F7AE54C"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8BB8860" w14:textId="77777777" w:rsidR="00000000" w:rsidRDefault="000C49AD">
            <w:pPr>
              <w:spacing w:after="100"/>
              <w:jc w:val="right"/>
              <w:rPr>
                <w:rFonts w:eastAsia="Times New Roman"/>
              </w:rPr>
            </w:pPr>
            <w:r>
              <w:rPr>
                <w:rFonts w:eastAsia="Times New Roman"/>
                <w:color w:val="000000"/>
                <w:sz w:val="18"/>
                <w:szCs w:val="18"/>
              </w:rPr>
              <w:t>(1,661)</w:t>
            </w:r>
          </w:p>
        </w:tc>
        <w:tc>
          <w:tcPr>
            <w:tcW w:w="0" w:type="auto"/>
            <w:shd w:val="clear" w:color="auto" w:fill="FFFFFF"/>
            <w:tcMar>
              <w:top w:w="30" w:type="dxa"/>
              <w:left w:w="0" w:type="dxa"/>
              <w:bottom w:w="30" w:type="dxa"/>
              <w:right w:w="20" w:type="dxa"/>
            </w:tcMar>
            <w:vAlign w:val="bottom"/>
            <w:hideMark/>
          </w:tcPr>
          <w:p w14:paraId="3D6B96C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42A3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540BE4" w14:textId="77777777" w:rsidR="00000000" w:rsidRDefault="000C49AD">
            <w:pPr>
              <w:spacing w:after="100"/>
              <w:jc w:val="right"/>
              <w:rPr>
                <w:rFonts w:eastAsia="Times New Roman"/>
              </w:rPr>
            </w:pPr>
            <w:r>
              <w:rPr>
                <w:rFonts w:eastAsia="Times New Roman"/>
                <w:color w:val="000000"/>
                <w:sz w:val="18"/>
                <w:szCs w:val="18"/>
              </w:rPr>
              <w:t>644 </w:t>
            </w:r>
          </w:p>
        </w:tc>
        <w:tc>
          <w:tcPr>
            <w:tcW w:w="0" w:type="auto"/>
            <w:shd w:val="clear" w:color="auto" w:fill="FFFFFF"/>
            <w:tcMar>
              <w:top w:w="30" w:type="dxa"/>
              <w:left w:w="0" w:type="dxa"/>
              <w:bottom w:w="30" w:type="dxa"/>
              <w:right w:w="20" w:type="dxa"/>
            </w:tcMar>
            <w:vAlign w:val="bottom"/>
            <w:hideMark/>
          </w:tcPr>
          <w:p w14:paraId="1359257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FEEE7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0F39D4" w14:textId="77777777" w:rsidR="00000000" w:rsidRDefault="000C49AD">
            <w:pPr>
              <w:spacing w:after="100"/>
              <w:jc w:val="right"/>
              <w:rPr>
                <w:rFonts w:eastAsia="Times New Roman"/>
              </w:rPr>
            </w:pPr>
            <w:r>
              <w:rPr>
                <w:rFonts w:eastAsia="Times New Roman"/>
                <w:color w:val="000000"/>
                <w:sz w:val="18"/>
                <w:szCs w:val="18"/>
              </w:rPr>
              <w:t>727 </w:t>
            </w:r>
          </w:p>
        </w:tc>
        <w:tc>
          <w:tcPr>
            <w:tcW w:w="0" w:type="auto"/>
            <w:shd w:val="clear" w:color="auto" w:fill="FFFFFF"/>
            <w:tcMar>
              <w:top w:w="30" w:type="dxa"/>
              <w:left w:w="0" w:type="dxa"/>
              <w:bottom w:w="30" w:type="dxa"/>
              <w:right w:w="20" w:type="dxa"/>
            </w:tcMar>
            <w:vAlign w:val="bottom"/>
            <w:hideMark/>
          </w:tcPr>
          <w:p w14:paraId="1B2A3164" w14:textId="77777777" w:rsidR="00000000" w:rsidRDefault="000C49AD">
            <w:pPr>
              <w:spacing w:after="100"/>
              <w:jc w:val="right"/>
              <w:rPr>
                <w:rFonts w:eastAsia="Times New Roman"/>
              </w:rPr>
            </w:pPr>
          </w:p>
        </w:tc>
      </w:tr>
      <w:tr w:rsidR="00000000" w14:paraId="6C66D3E0" w14:textId="77777777">
        <w:tc>
          <w:tcPr>
            <w:tcW w:w="0" w:type="auto"/>
            <w:gridSpan w:val="3"/>
            <w:shd w:val="clear" w:color="auto" w:fill="CCEEFF"/>
            <w:tcMar>
              <w:top w:w="30" w:type="dxa"/>
              <w:left w:w="155" w:type="dxa"/>
              <w:bottom w:w="30" w:type="dxa"/>
              <w:right w:w="20" w:type="dxa"/>
            </w:tcMar>
            <w:vAlign w:val="bottom"/>
            <w:hideMark/>
          </w:tcPr>
          <w:p w14:paraId="1AD7CD1F" w14:textId="77777777" w:rsidR="00000000" w:rsidRDefault="000C49AD">
            <w:pPr>
              <w:spacing w:after="100"/>
              <w:rPr>
                <w:rFonts w:eastAsia="Times New Roman"/>
              </w:rPr>
            </w:pPr>
            <w:r>
              <w:rPr>
                <w:rFonts w:eastAsia="Times New Roman"/>
                <w:color w:val="000000"/>
                <w:sz w:val="18"/>
                <w:szCs w:val="18"/>
              </w:rPr>
              <w:t>Total other comprehensive (loss) income, net of tax</w:t>
            </w:r>
          </w:p>
        </w:tc>
        <w:tc>
          <w:tcPr>
            <w:tcW w:w="0" w:type="auto"/>
            <w:gridSpan w:val="3"/>
            <w:shd w:val="clear" w:color="auto" w:fill="CCEEFF"/>
            <w:tcMar>
              <w:top w:w="0" w:type="dxa"/>
              <w:left w:w="20" w:type="dxa"/>
              <w:bottom w:w="0" w:type="dxa"/>
              <w:right w:w="20" w:type="dxa"/>
            </w:tcMar>
            <w:vAlign w:val="center"/>
            <w:hideMark/>
          </w:tcPr>
          <w:p w14:paraId="63E4D99A"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7CE3C0" w14:textId="77777777" w:rsidR="00000000" w:rsidRDefault="000C49AD">
            <w:pPr>
              <w:spacing w:after="100"/>
              <w:jc w:val="right"/>
              <w:rPr>
                <w:rFonts w:eastAsia="Times New Roman"/>
              </w:rPr>
            </w:pPr>
            <w:r>
              <w:rPr>
                <w:rFonts w:eastAsia="Times New Roman"/>
                <w:color w:val="000000"/>
                <w:sz w:val="18"/>
                <w:szCs w:val="18"/>
              </w:rPr>
              <w:t>(2,889)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3A31C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4E196"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9EEABE" w14:textId="77777777" w:rsidR="00000000" w:rsidRDefault="000C49AD">
            <w:pPr>
              <w:spacing w:after="100"/>
              <w:jc w:val="right"/>
              <w:rPr>
                <w:rFonts w:eastAsia="Times New Roman"/>
              </w:rPr>
            </w:pPr>
            <w:r>
              <w:rPr>
                <w:rFonts w:eastAsia="Times New Roman"/>
                <w:color w:val="000000"/>
                <w:sz w:val="18"/>
                <w:szCs w:val="18"/>
              </w:rPr>
              <w:t>1,755 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A05E2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48E3EB"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55CA1D7" w14:textId="77777777" w:rsidR="00000000" w:rsidRDefault="000C49AD">
            <w:pPr>
              <w:spacing w:after="100"/>
              <w:jc w:val="right"/>
              <w:rPr>
                <w:rFonts w:eastAsia="Times New Roman"/>
              </w:rPr>
            </w:pPr>
            <w:r>
              <w:rPr>
                <w:rFonts w:eastAsia="Times New Roman"/>
                <w:color w:val="000000"/>
                <w:sz w:val="18"/>
                <w:szCs w:val="18"/>
              </w:rPr>
              <w:t>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B96510" w14:textId="77777777" w:rsidR="00000000" w:rsidRDefault="000C49AD">
            <w:pPr>
              <w:spacing w:after="100"/>
              <w:jc w:val="right"/>
              <w:rPr>
                <w:rFonts w:eastAsia="Times New Roman"/>
              </w:rPr>
            </w:pPr>
          </w:p>
        </w:tc>
      </w:tr>
      <w:tr w:rsidR="00000000" w14:paraId="2AA1ABBF" w14:textId="77777777">
        <w:tc>
          <w:tcPr>
            <w:tcW w:w="0" w:type="auto"/>
            <w:gridSpan w:val="3"/>
            <w:shd w:val="clear" w:color="auto" w:fill="FFFFFF"/>
            <w:tcMar>
              <w:top w:w="30" w:type="dxa"/>
              <w:left w:w="20" w:type="dxa"/>
              <w:bottom w:w="30" w:type="dxa"/>
              <w:right w:w="20" w:type="dxa"/>
            </w:tcMar>
            <w:vAlign w:val="bottom"/>
            <w:hideMark/>
          </w:tcPr>
          <w:p w14:paraId="3FDB3A00" w14:textId="77777777" w:rsidR="00000000" w:rsidRDefault="000C49AD">
            <w:pPr>
              <w:spacing w:after="100"/>
              <w:rPr>
                <w:rFonts w:eastAsia="Times New Roman"/>
              </w:rPr>
            </w:pPr>
            <w:r>
              <w:rPr>
                <w:rFonts w:eastAsia="Times New Roman"/>
                <w:color w:val="000000"/>
                <w:sz w:val="18"/>
                <w:szCs w:val="18"/>
              </w:rPr>
              <w:t>Total comprehensive (loss) income</w:t>
            </w:r>
          </w:p>
        </w:tc>
        <w:tc>
          <w:tcPr>
            <w:tcW w:w="0" w:type="auto"/>
            <w:gridSpan w:val="3"/>
            <w:shd w:val="clear" w:color="auto" w:fill="FFFFFF"/>
            <w:tcMar>
              <w:top w:w="0" w:type="dxa"/>
              <w:left w:w="20" w:type="dxa"/>
              <w:bottom w:w="0" w:type="dxa"/>
              <w:right w:w="20" w:type="dxa"/>
            </w:tcMar>
            <w:vAlign w:val="center"/>
            <w:hideMark/>
          </w:tcPr>
          <w:p w14:paraId="584CF521"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64D8BE"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6DBBE21" w14:textId="77777777" w:rsidR="00000000" w:rsidRDefault="000C49AD">
            <w:pPr>
              <w:spacing w:after="100"/>
              <w:jc w:val="right"/>
              <w:rPr>
                <w:rFonts w:eastAsia="Times New Roman"/>
              </w:rPr>
            </w:pPr>
            <w:r>
              <w:rPr>
                <w:rFonts w:eastAsia="Times New Roman"/>
                <w:color w:val="000000"/>
                <w:sz w:val="18"/>
                <w:szCs w:val="18"/>
              </w:rPr>
              <w:t>(80,218)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719A7F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4CABFA"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E6E9773"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3B4D38B" w14:textId="77777777" w:rsidR="00000000" w:rsidRDefault="000C49AD">
            <w:pPr>
              <w:spacing w:after="100"/>
              <w:jc w:val="right"/>
              <w:rPr>
                <w:rFonts w:eastAsia="Times New Roman"/>
              </w:rPr>
            </w:pPr>
            <w:r>
              <w:rPr>
                <w:rFonts w:eastAsia="Times New Roman"/>
                <w:color w:val="000000"/>
                <w:sz w:val="18"/>
                <w:szCs w:val="18"/>
              </w:rPr>
              <w:t>8,783 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24614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3A15B"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41D003"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AD5E685" w14:textId="77777777" w:rsidR="00000000" w:rsidRDefault="000C49AD">
            <w:pPr>
              <w:spacing w:after="100"/>
              <w:jc w:val="right"/>
              <w:rPr>
                <w:rFonts w:eastAsia="Times New Roman"/>
              </w:rPr>
            </w:pPr>
            <w:r>
              <w:rPr>
                <w:rFonts w:eastAsia="Times New Roman"/>
                <w:color w:val="000000"/>
                <w:sz w:val="18"/>
                <w:szCs w:val="18"/>
              </w:rPr>
              <w:t>(32,616)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F95794" w14:textId="77777777" w:rsidR="00000000" w:rsidRDefault="000C49AD">
            <w:pPr>
              <w:spacing w:after="100"/>
              <w:jc w:val="right"/>
              <w:rPr>
                <w:rFonts w:eastAsia="Times New Roman"/>
              </w:rPr>
            </w:pPr>
          </w:p>
        </w:tc>
      </w:tr>
    </w:tbl>
    <w:p w14:paraId="17469635" w14:textId="77777777" w:rsidR="00000000" w:rsidRDefault="000C49AD">
      <w:pPr>
        <w:jc w:val="both"/>
        <w:rPr>
          <w:rFonts w:eastAsia="Times New Roman"/>
        </w:rPr>
      </w:pPr>
      <w:r>
        <w:rPr>
          <w:rFonts w:eastAsia="Times New Roman"/>
          <w:color w:val="000000"/>
        </w:rPr>
        <w:t> </w:t>
      </w:r>
    </w:p>
    <w:p w14:paraId="09FD1E3D" w14:textId="77777777" w:rsidR="00000000" w:rsidRDefault="000C49AD">
      <w:pPr>
        <w:jc w:val="center"/>
        <w:rPr>
          <w:rFonts w:eastAsia="Times New Roman"/>
        </w:rPr>
      </w:pPr>
      <w:r>
        <w:rPr>
          <w:rFonts w:eastAsia="Times New Roman"/>
          <w:i/>
          <w:iCs/>
          <w:color w:val="000000"/>
          <w:sz w:val="20"/>
          <w:szCs w:val="20"/>
        </w:rPr>
        <w:t>See accompanying notes to consolidated financial statements.</w:t>
      </w:r>
    </w:p>
    <w:p w14:paraId="4E7DB95D" w14:textId="77777777" w:rsidR="00000000" w:rsidRDefault="000C49AD">
      <w:pPr>
        <w:jc w:val="both"/>
        <w:rPr>
          <w:rFonts w:eastAsia="Times New Roman"/>
        </w:rPr>
      </w:pPr>
    </w:p>
    <w:p w14:paraId="483D0F42" w14:textId="77777777" w:rsidR="00000000" w:rsidRDefault="000C49AD">
      <w:pPr>
        <w:jc w:val="center"/>
        <w:divId w:val="680156926"/>
        <w:rPr>
          <w:rFonts w:eastAsia="Times New Roman"/>
        </w:rPr>
      </w:pPr>
      <w:r>
        <w:rPr>
          <w:rFonts w:eastAsia="Times New Roman"/>
          <w:color w:val="000000"/>
          <w:sz w:val="20"/>
          <w:szCs w:val="20"/>
        </w:rPr>
        <w:t>-75-</w:t>
      </w:r>
    </w:p>
    <w:p w14:paraId="697F3516" w14:textId="77777777" w:rsidR="00000000" w:rsidRDefault="000C49AD">
      <w:pPr>
        <w:rPr>
          <w:rFonts w:eastAsia="Times New Roman"/>
        </w:rPr>
      </w:pPr>
      <w:r>
        <w:rPr>
          <w:rFonts w:eastAsia="Times New Roman"/>
        </w:rPr>
        <w:pict w14:anchorId="5A314B5B">
          <v:rect id="_x0000_i1100" style="width:0;height:1.5pt" o:hralign="center" o:hrstd="t" o:hr="t" fillcolor="#a0a0a0" stroked="f"/>
        </w:pict>
      </w:r>
    </w:p>
    <w:p w14:paraId="50246C3A" w14:textId="77777777" w:rsidR="00000000" w:rsidRDefault="000C49AD">
      <w:pPr>
        <w:divId w:val="882864526"/>
        <w:rPr>
          <w:rFonts w:eastAsia="Times New Roman"/>
        </w:rPr>
      </w:pPr>
    </w:p>
    <w:p w14:paraId="2058C1BE" w14:textId="77777777" w:rsidR="00000000" w:rsidRDefault="000C49AD">
      <w:pPr>
        <w:jc w:val="center"/>
        <w:rPr>
          <w:rFonts w:eastAsia="Times New Roman"/>
        </w:rPr>
      </w:pPr>
      <w:r>
        <w:rPr>
          <w:rFonts w:eastAsia="Times New Roman"/>
          <w:b/>
          <w:bCs/>
          <w:color w:val="000000"/>
          <w:sz w:val="20"/>
          <w:szCs w:val="20"/>
        </w:rPr>
        <w:t>AVADEL PHARMACEUTICALS PLC</w:t>
      </w:r>
    </w:p>
    <w:p w14:paraId="080D533E" w14:textId="77777777" w:rsidR="00000000" w:rsidRDefault="000C49AD">
      <w:pPr>
        <w:jc w:val="center"/>
        <w:rPr>
          <w:rFonts w:eastAsia="Times New Roman"/>
        </w:rPr>
      </w:pPr>
      <w:r>
        <w:rPr>
          <w:rFonts w:eastAsia="Times New Roman"/>
          <w:b/>
          <w:bCs/>
          <w:color w:val="000000"/>
          <w:sz w:val="20"/>
          <w:szCs w:val="20"/>
        </w:rPr>
        <w:t>CONSOLIDATED BALANCE SHEETS</w:t>
      </w:r>
    </w:p>
    <w:p w14:paraId="023F345D" w14:textId="77777777" w:rsidR="00000000" w:rsidRDefault="000C49AD">
      <w:pPr>
        <w:jc w:val="center"/>
        <w:rPr>
          <w:rFonts w:eastAsia="Times New Roman"/>
        </w:rPr>
      </w:pPr>
      <w:r>
        <w:rPr>
          <w:rFonts w:eastAsia="Times New Roman"/>
          <w:i/>
          <w:iCs/>
          <w:color w:val="000000"/>
          <w:sz w:val="20"/>
          <w:szCs w:val="20"/>
        </w:rPr>
        <w:t>(In thousands, except per share data)</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6190"/>
        <w:gridCol w:w="39"/>
        <w:gridCol w:w="36"/>
        <w:gridCol w:w="36"/>
        <w:gridCol w:w="36"/>
        <w:gridCol w:w="110"/>
        <w:gridCol w:w="751"/>
        <w:gridCol w:w="36"/>
        <w:gridCol w:w="36"/>
        <w:gridCol w:w="36"/>
        <w:gridCol w:w="36"/>
        <w:gridCol w:w="110"/>
        <w:gridCol w:w="765"/>
        <w:gridCol w:w="36"/>
      </w:tblGrid>
      <w:tr w:rsidR="00000000" w14:paraId="6C6E7C24" w14:textId="77777777">
        <w:trPr>
          <w:divId w:val="348410666"/>
          <w:jc w:val="center"/>
        </w:trPr>
        <w:tc>
          <w:tcPr>
            <w:tcW w:w="50" w:type="pct"/>
            <w:vAlign w:val="center"/>
            <w:hideMark/>
          </w:tcPr>
          <w:p w14:paraId="4DC88829" w14:textId="77777777" w:rsidR="00000000" w:rsidRDefault="000C49AD">
            <w:pPr>
              <w:jc w:val="center"/>
              <w:rPr>
                <w:rFonts w:eastAsia="Times New Roman"/>
              </w:rPr>
            </w:pPr>
          </w:p>
        </w:tc>
        <w:tc>
          <w:tcPr>
            <w:tcW w:w="3755" w:type="pct"/>
            <w:vAlign w:val="center"/>
            <w:hideMark/>
          </w:tcPr>
          <w:p w14:paraId="211C6577" w14:textId="77777777" w:rsidR="00000000" w:rsidRDefault="000C49AD">
            <w:pPr>
              <w:spacing w:after="100"/>
              <w:rPr>
                <w:rFonts w:eastAsia="Times New Roman"/>
                <w:sz w:val="20"/>
                <w:szCs w:val="20"/>
              </w:rPr>
            </w:pPr>
          </w:p>
        </w:tc>
        <w:tc>
          <w:tcPr>
            <w:tcW w:w="5" w:type="pct"/>
            <w:vAlign w:val="center"/>
            <w:hideMark/>
          </w:tcPr>
          <w:p w14:paraId="596D452B" w14:textId="77777777" w:rsidR="00000000" w:rsidRDefault="000C49AD">
            <w:pPr>
              <w:spacing w:after="100"/>
              <w:rPr>
                <w:rFonts w:eastAsia="Times New Roman"/>
                <w:sz w:val="20"/>
                <w:szCs w:val="20"/>
              </w:rPr>
            </w:pPr>
          </w:p>
        </w:tc>
        <w:tc>
          <w:tcPr>
            <w:tcW w:w="5" w:type="pct"/>
            <w:vAlign w:val="center"/>
            <w:hideMark/>
          </w:tcPr>
          <w:p w14:paraId="500372A3" w14:textId="77777777" w:rsidR="00000000" w:rsidRDefault="000C49AD">
            <w:pPr>
              <w:spacing w:after="100"/>
              <w:rPr>
                <w:rFonts w:eastAsia="Times New Roman"/>
                <w:sz w:val="20"/>
                <w:szCs w:val="20"/>
              </w:rPr>
            </w:pPr>
          </w:p>
        </w:tc>
        <w:tc>
          <w:tcPr>
            <w:tcW w:w="24" w:type="pct"/>
            <w:vAlign w:val="center"/>
            <w:hideMark/>
          </w:tcPr>
          <w:p w14:paraId="2F51C643" w14:textId="77777777" w:rsidR="00000000" w:rsidRDefault="000C49AD">
            <w:pPr>
              <w:spacing w:after="100"/>
              <w:rPr>
                <w:rFonts w:eastAsia="Times New Roman"/>
                <w:sz w:val="20"/>
                <w:szCs w:val="20"/>
              </w:rPr>
            </w:pPr>
          </w:p>
        </w:tc>
        <w:tc>
          <w:tcPr>
            <w:tcW w:w="5" w:type="pct"/>
            <w:vAlign w:val="center"/>
            <w:hideMark/>
          </w:tcPr>
          <w:p w14:paraId="6F2FB328" w14:textId="77777777" w:rsidR="00000000" w:rsidRDefault="000C49AD">
            <w:pPr>
              <w:spacing w:after="100"/>
              <w:rPr>
                <w:rFonts w:eastAsia="Times New Roman"/>
                <w:sz w:val="20"/>
                <w:szCs w:val="20"/>
              </w:rPr>
            </w:pPr>
          </w:p>
        </w:tc>
        <w:tc>
          <w:tcPr>
            <w:tcW w:w="50" w:type="pct"/>
            <w:vAlign w:val="center"/>
            <w:hideMark/>
          </w:tcPr>
          <w:p w14:paraId="13F8F5ED" w14:textId="77777777" w:rsidR="00000000" w:rsidRDefault="000C49AD">
            <w:pPr>
              <w:spacing w:after="100"/>
              <w:rPr>
                <w:rFonts w:eastAsia="Times New Roman"/>
                <w:sz w:val="20"/>
                <w:szCs w:val="20"/>
              </w:rPr>
            </w:pPr>
          </w:p>
        </w:tc>
        <w:tc>
          <w:tcPr>
            <w:tcW w:w="501" w:type="pct"/>
            <w:vAlign w:val="center"/>
            <w:hideMark/>
          </w:tcPr>
          <w:p w14:paraId="50FF4A41" w14:textId="77777777" w:rsidR="00000000" w:rsidRDefault="000C49AD">
            <w:pPr>
              <w:spacing w:after="100"/>
              <w:rPr>
                <w:rFonts w:eastAsia="Times New Roman"/>
                <w:sz w:val="20"/>
                <w:szCs w:val="20"/>
              </w:rPr>
            </w:pPr>
          </w:p>
        </w:tc>
        <w:tc>
          <w:tcPr>
            <w:tcW w:w="5" w:type="pct"/>
            <w:vAlign w:val="center"/>
            <w:hideMark/>
          </w:tcPr>
          <w:p w14:paraId="6CD0928D" w14:textId="77777777" w:rsidR="00000000" w:rsidRDefault="000C49AD">
            <w:pPr>
              <w:spacing w:after="100"/>
              <w:rPr>
                <w:rFonts w:eastAsia="Times New Roman"/>
                <w:sz w:val="20"/>
                <w:szCs w:val="20"/>
              </w:rPr>
            </w:pPr>
          </w:p>
        </w:tc>
        <w:tc>
          <w:tcPr>
            <w:tcW w:w="5" w:type="pct"/>
            <w:vAlign w:val="center"/>
            <w:hideMark/>
          </w:tcPr>
          <w:p w14:paraId="18931D7E" w14:textId="77777777" w:rsidR="00000000" w:rsidRDefault="000C49AD">
            <w:pPr>
              <w:spacing w:after="100"/>
              <w:rPr>
                <w:rFonts w:eastAsia="Times New Roman"/>
                <w:sz w:val="20"/>
                <w:szCs w:val="20"/>
              </w:rPr>
            </w:pPr>
          </w:p>
        </w:tc>
        <w:tc>
          <w:tcPr>
            <w:tcW w:w="24" w:type="pct"/>
            <w:vAlign w:val="center"/>
            <w:hideMark/>
          </w:tcPr>
          <w:p w14:paraId="5EDF1E66" w14:textId="77777777" w:rsidR="00000000" w:rsidRDefault="000C49AD">
            <w:pPr>
              <w:spacing w:after="100"/>
              <w:rPr>
                <w:rFonts w:eastAsia="Times New Roman"/>
                <w:sz w:val="20"/>
                <w:szCs w:val="20"/>
              </w:rPr>
            </w:pPr>
          </w:p>
        </w:tc>
        <w:tc>
          <w:tcPr>
            <w:tcW w:w="5" w:type="pct"/>
            <w:vAlign w:val="center"/>
            <w:hideMark/>
          </w:tcPr>
          <w:p w14:paraId="309E0EAA" w14:textId="77777777" w:rsidR="00000000" w:rsidRDefault="000C49AD">
            <w:pPr>
              <w:spacing w:after="100"/>
              <w:rPr>
                <w:rFonts w:eastAsia="Times New Roman"/>
                <w:sz w:val="20"/>
                <w:szCs w:val="20"/>
              </w:rPr>
            </w:pPr>
          </w:p>
        </w:tc>
        <w:tc>
          <w:tcPr>
            <w:tcW w:w="50" w:type="pct"/>
            <w:vAlign w:val="center"/>
            <w:hideMark/>
          </w:tcPr>
          <w:p w14:paraId="3AA560E8" w14:textId="77777777" w:rsidR="00000000" w:rsidRDefault="000C49AD">
            <w:pPr>
              <w:spacing w:after="100"/>
              <w:rPr>
                <w:rFonts w:eastAsia="Times New Roman"/>
                <w:sz w:val="20"/>
                <w:szCs w:val="20"/>
              </w:rPr>
            </w:pPr>
          </w:p>
        </w:tc>
        <w:tc>
          <w:tcPr>
            <w:tcW w:w="508" w:type="pct"/>
            <w:vAlign w:val="center"/>
            <w:hideMark/>
          </w:tcPr>
          <w:p w14:paraId="75837341" w14:textId="77777777" w:rsidR="00000000" w:rsidRDefault="000C49AD">
            <w:pPr>
              <w:spacing w:after="100"/>
              <w:rPr>
                <w:rFonts w:eastAsia="Times New Roman"/>
                <w:sz w:val="20"/>
                <w:szCs w:val="20"/>
              </w:rPr>
            </w:pPr>
          </w:p>
        </w:tc>
        <w:tc>
          <w:tcPr>
            <w:tcW w:w="5" w:type="pct"/>
            <w:vAlign w:val="center"/>
            <w:hideMark/>
          </w:tcPr>
          <w:p w14:paraId="4EE96FAF" w14:textId="77777777" w:rsidR="00000000" w:rsidRDefault="000C49AD">
            <w:pPr>
              <w:spacing w:after="100"/>
              <w:rPr>
                <w:rFonts w:eastAsia="Times New Roman"/>
                <w:sz w:val="20"/>
                <w:szCs w:val="20"/>
              </w:rPr>
            </w:pPr>
          </w:p>
        </w:tc>
      </w:tr>
      <w:tr w:rsidR="00000000" w14:paraId="061E8A40" w14:textId="77777777">
        <w:trPr>
          <w:divId w:val="348410666"/>
          <w:jc w:val="center"/>
        </w:trPr>
        <w:tc>
          <w:tcPr>
            <w:tcW w:w="0" w:type="auto"/>
            <w:gridSpan w:val="3"/>
            <w:tcMar>
              <w:top w:w="30" w:type="dxa"/>
              <w:left w:w="20" w:type="dxa"/>
              <w:bottom w:w="30" w:type="dxa"/>
              <w:right w:w="20" w:type="dxa"/>
            </w:tcMar>
            <w:vAlign w:val="bottom"/>
            <w:hideMark/>
          </w:tcPr>
          <w:p w14:paraId="659D5CAC"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0F92C64" w14:textId="77777777" w:rsidR="00000000" w:rsidRDefault="000C49AD">
            <w:pPr>
              <w:spacing w:after="100"/>
              <w:rPr>
                <w:rFonts w:eastAsia="Times New Roman"/>
              </w:rPr>
            </w:pPr>
          </w:p>
        </w:tc>
        <w:tc>
          <w:tcPr>
            <w:tcW w:w="0" w:type="auto"/>
            <w:gridSpan w:val="9"/>
            <w:tcMar>
              <w:top w:w="30" w:type="dxa"/>
              <w:left w:w="20" w:type="dxa"/>
              <w:bottom w:w="30" w:type="dxa"/>
              <w:right w:w="20" w:type="dxa"/>
            </w:tcMar>
            <w:vAlign w:val="bottom"/>
            <w:hideMark/>
          </w:tcPr>
          <w:p w14:paraId="5228E679" w14:textId="77777777" w:rsidR="00000000" w:rsidRDefault="000C49AD">
            <w:pPr>
              <w:spacing w:after="100"/>
              <w:jc w:val="center"/>
              <w:rPr>
                <w:rFonts w:eastAsia="Times New Roman"/>
              </w:rPr>
            </w:pPr>
            <w:r>
              <w:rPr>
                <w:rFonts w:eastAsia="Times New Roman"/>
                <w:b/>
                <w:bCs/>
                <w:color w:val="000000"/>
                <w:sz w:val="18"/>
                <w:szCs w:val="18"/>
              </w:rPr>
              <w:t>December 31,</w:t>
            </w:r>
          </w:p>
        </w:tc>
      </w:tr>
      <w:tr w:rsidR="00000000" w14:paraId="1E3CBE19" w14:textId="77777777">
        <w:trPr>
          <w:divId w:val="348410666"/>
          <w:jc w:val="center"/>
        </w:trPr>
        <w:tc>
          <w:tcPr>
            <w:tcW w:w="0" w:type="auto"/>
            <w:gridSpan w:val="3"/>
            <w:tcMar>
              <w:top w:w="30" w:type="dxa"/>
              <w:left w:w="20" w:type="dxa"/>
              <w:bottom w:w="30" w:type="dxa"/>
              <w:right w:w="20" w:type="dxa"/>
            </w:tcMar>
            <w:vAlign w:val="bottom"/>
            <w:hideMark/>
          </w:tcPr>
          <w:p w14:paraId="5CAA6801"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064D565"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5B2DCE"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14:paraId="4FF8EE75"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E0E84E" w14:textId="77777777" w:rsidR="00000000" w:rsidRDefault="000C49AD">
            <w:pPr>
              <w:spacing w:after="100"/>
              <w:jc w:val="center"/>
              <w:rPr>
                <w:rFonts w:eastAsia="Times New Roman"/>
              </w:rPr>
            </w:pPr>
            <w:r>
              <w:rPr>
                <w:rFonts w:eastAsia="Times New Roman"/>
                <w:b/>
                <w:bCs/>
                <w:color w:val="000000"/>
                <w:sz w:val="18"/>
                <w:szCs w:val="18"/>
              </w:rPr>
              <w:t>2020</w:t>
            </w:r>
          </w:p>
        </w:tc>
      </w:tr>
      <w:tr w:rsidR="00000000" w14:paraId="3E2FF565" w14:textId="77777777">
        <w:trPr>
          <w:divId w:val="348410666"/>
          <w:jc w:val="center"/>
        </w:trPr>
        <w:tc>
          <w:tcPr>
            <w:tcW w:w="0" w:type="auto"/>
            <w:gridSpan w:val="3"/>
            <w:tcMar>
              <w:top w:w="30" w:type="dxa"/>
              <w:left w:w="20" w:type="dxa"/>
              <w:bottom w:w="30" w:type="dxa"/>
              <w:right w:w="20" w:type="dxa"/>
            </w:tcMar>
            <w:vAlign w:val="bottom"/>
            <w:hideMark/>
          </w:tcPr>
          <w:p w14:paraId="1B557CAE" w14:textId="77777777" w:rsidR="00000000" w:rsidRDefault="000C49AD">
            <w:pPr>
              <w:spacing w:after="100"/>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14:paraId="399CF082"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4C38823"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6C4A898B" w14:textId="77777777" w:rsidR="00000000" w:rsidRDefault="000C49A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28B89BE" w14:textId="77777777" w:rsidR="00000000" w:rsidRDefault="000C49AD">
            <w:pPr>
              <w:spacing w:after="100"/>
              <w:jc w:val="right"/>
              <w:rPr>
                <w:rFonts w:eastAsia="Times New Roman"/>
              </w:rPr>
            </w:pPr>
            <w:r>
              <w:rPr>
                <w:rFonts w:eastAsia="Times New Roman"/>
                <w:color w:val="000000"/>
                <w:sz w:val="18"/>
                <w:szCs w:val="18"/>
              </w:rPr>
              <w:t> </w:t>
            </w:r>
          </w:p>
        </w:tc>
      </w:tr>
      <w:tr w:rsidR="00000000" w14:paraId="1D52EC10" w14:textId="77777777">
        <w:trPr>
          <w:divId w:val="348410666"/>
          <w:jc w:val="center"/>
        </w:trPr>
        <w:tc>
          <w:tcPr>
            <w:tcW w:w="0" w:type="auto"/>
            <w:gridSpan w:val="3"/>
            <w:tcMar>
              <w:top w:w="30" w:type="dxa"/>
              <w:left w:w="155" w:type="dxa"/>
              <w:bottom w:w="30" w:type="dxa"/>
              <w:right w:w="20" w:type="dxa"/>
            </w:tcMar>
            <w:vAlign w:val="bottom"/>
            <w:hideMark/>
          </w:tcPr>
          <w:p w14:paraId="50E60673" w14:textId="77777777" w:rsidR="00000000" w:rsidRDefault="000C49AD">
            <w:pPr>
              <w:spacing w:after="100"/>
              <w:rPr>
                <w:rFonts w:eastAsia="Times New Roman"/>
              </w:rPr>
            </w:pPr>
            <w:r>
              <w:rPr>
                <w:rFonts w:eastAsia="Times New Roman"/>
                <w:color w:val="000000"/>
                <w:sz w:val="18"/>
                <w:szCs w:val="18"/>
              </w:rPr>
              <w:t>Current assets:</w:t>
            </w:r>
          </w:p>
        </w:tc>
        <w:tc>
          <w:tcPr>
            <w:tcW w:w="0" w:type="auto"/>
            <w:gridSpan w:val="3"/>
            <w:tcMar>
              <w:top w:w="0" w:type="dxa"/>
              <w:left w:w="20" w:type="dxa"/>
              <w:bottom w:w="0" w:type="dxa"/>
              <w:right w:w="20" w:type="dxa"/>
            </w:tcMar>
            <w:vAlign w:val="center"/>
            <w:hideMark/>
          </w:tcPr>
          <w:p w14:paraId="239243B1"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3D3BB5F1"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36BFB3D2" w14:textId="77777777" w:rsidR="00000000" w:rsidRDefault="000C49A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3624DE3" w14:textId="77777777" w:rsidR="00000000" w:rsidRDefault="000C49AD">
            <w:pPr>
              <w:spacing w:after="100"/>
              <w:jc w:val="right"/>
              <w:rPr>
                <w:rFonts w:eastAsia="Times New Roman"/>
              </w:rPr>
            </w:pPr>
            <w:r>
              <w:rPr>
                <w:rFonts w:eastAsia="Times New Roman"/>
                <w:color w:val="000000"/>
                <w:sz w:val="18"/>
                <w:szCs w:val="18"/>
              </w:rPr>
              <w:t> </w:t>
            </w:r>
          </w:p>
        </w:tc>
      </w:tr>
      <w:tr w:rsidR="00000000" w14:paraId="5C2EF7EF" w14:textId="77777777">
        <w:trPr>
          <w:divId w:val="348410666"/>
          <w:jc w:val="center"/>
        </w:trPr>
        <w:tc>
          <w:tcPr>
            <w:tcW w:w="0" w:type="auto"/>
            <w:gridSpan w:val="3"/>
            <w:shd w:val="clear" w:color="auto" w:fill="CCEEFF"/>
            <w:tcMar>
              <w:top w:w="30" w:type="dxa"/>
              <w:left w:w="245" w:type="dxa"/>
              <w:bottom w:w="30" w:type="dxa"/>
              <w:right w:w="20" w:type="dxa"/>
            </w:tcMar>
            <w:vAlign w:val="bottom"/>
            <w:hideMark/>
          </w:tcPr>
          <w:p w14:paraId="1136D930" w14:textId="77777777" w:rsidR="00000000" w:rsidRDefault="000C49AD">
            <w:pPr>
              <w:spacing w:after="100"/>
              <w:rPr>
                <w:rFonts w:eastAsia="Times New Roman"/>
              </w:rPr>
            </w:pPr>
            <w:r>
              <w:rPr>
                <w:rFonts w:eastAsia="Times New Roman"/>
                <w:color w:val="000000"/>
                <w:sz w:val="18"/>
                <w:szCs w:val="18"/>
              </w:rPr>
              <w:t>Cash and cash equivalents</w:t>
            </w:r>
          </w:p>
        </w:tc>
        <w:tc>
          <w:tcPr>
            <w:tcW w:w="0" w:type="auto"/>
            <w:gridSpan w:val="3"/>
            <w:shd w:val="clear" w:color="auto" w:fill="CCEEFF"/>
            <w:tcMar>
              <w:top w:w="0" w:type="dxa"/>
              <w:left w:w="20" w:type="dxa"/>
              <w:bottom w:w="0" w:type="dxa"/>
              <w:right w:w="20" w:type="dxa"/>
            </w:tcMar>
            <w:vAlign w:val="center"/>
            <w:hideMark/>
          </w:tcPr>
          <w:p w14:paraId="0036C2D5"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FDD284A"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25F8097" w14:textId="77777777" w:rsidR="00000000" w:rsidRDefault="000C49AD">
            <w:pPr>
              <w:spacing w:after="100"/>
              <w:jc w:val="right"/>
              <w:rPr>
                <w:rFonts w:eastAsia="Times New Roman"/>
              </w:rPr>
            </w:pPr>
            <w:r>
              <w:rPr>
                <w:rFonts w:eastAsia="Times New Roman"/>
                <w:color w:val="000000"/>
                <w:sz w:val="18"/>
                <w:szCs w:val="18"/>
              </w:rPr>
              <w:t>50,708 </w:t>
            </w:r>
          </w:p>
        </w:tc>
        <w:tc>
          <w:tcPr>
            <w:tcW w:w="0" w:type="auto"/>
            <w:shd w:val="clear" w:color="auto" w:fill="CCEEFF"/>
            <w:tcMar>
              <w:top w:w="30" w:type="dxa"/>
              <w:left w:w="0" w:type="dxa"/>
              <w:bottom w:w="30" w:type="dxa"/>
              <w:right w:w="20" w:type="dxa"/>
            </w:tcMar>
            <w:vAlign w:val="bottom"/>
            <w:hideMark/>
          </w:tcPr>
          <w:p w14:paraId="54D503A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FB40E5"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3F54F6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4F3334C" w14:textId="77777777" w:rsidR="00000000" w:rsidRDefault="000C49AD">
            <w:pPr>
              <w:spacing w:after="100"/>
              <w:jc w:val="right"/>
              <w:rPr>
                <w:rFonts w:eastAsia="Times New Roman"/>
              </w:rPr>
            </w:pPr>
            <w:r>
              <w:rPr>
                <w:rFonts w:eastAsia="Times New Roman"/>
                <w:color w:val="000000"/>
                <w:sz w:val="18"/>
                <w:szCs w:val="18"/>
              </w:rPr>
              <w:t>71,722 </w:t>
            </w:r>
          </w:p>
        </w:tc>
        <w:tc>
          <w:tcPr>
            <w:tcW w:w="0" w:type="auto"/>
            <w:shd w:val="clear" w:color="auto" w:fill="CCEEFF"/>
            <w:tcMar>
              <w:top w:w="30" w:type="dxa"/>
              <w:left w:w="0" w:type="dxa"/>
              <w:bottom w:w="30" w:type="dxa"/>
              <w:right w:w="20" w:type="dxa"/>
            </w:tcMar>
            <w:vAlign w:val="bottom"/>
            <w:hideMark/>
          </w:tcPr>
          <w:p w14:paraId="1103DC81" w14:textId="77777777" w:rsidR="00000000" w:rsidRDefault="000C49AD">
            <w:pPr>
              <w:spacing w:after="100"/>
              <w:jc w:val="right"/>
              <w:rPr>
                <w:rFonts w:eastAsia="Times New Roman"/>
              </w:rPr>
            </w:pPr>
          </w:p>
        </w:tc>
      </w:tr>
      <w:tr w:rsidR="00000000" w14:paraId="1268CD4F" w14:textId="77777777">
        <w:trPr>
          <w:divId w:val="348410666"/>
          <w:jc w:val="center"/>
        </w:trPr>
        <w:tc>
          <w:tcPr>
            <w:tcW w:w="0" w:type="auto"/>
            <w:gridSpan w:val="3"/>
            <w:shd w:val="clear" w:color="auto" w:fill="FFFFFF"/>
            <w:tcMar>
              <w:top w:w="30" w:type="dxa"/>
              <w:left w:w="245" w:type="dxa"/>
              <w:bottom w:w="30" w:type="dxa"/>
              <w:right w:w="20" w:type="dxa"/>
            </w:tcMar>
            <w:vAlign w:val="bottom"/>
            <w:hideMark/>
          </w:tcPr>
          <w:p w14:paraId="10EA7913" w14:textId="77777777" w:rsidR="00000000" w:rsidRDefault="000C49AD">
            <w:pPr>
              <w:spacing w:after="100"/>
              <w:rPr>
                <w:rFonts w:eastAsia="Times New Roman"/>
              </w:rPr>
            </w:pPr>
            <w:r>
              <w:rPr>
                <w:rFonts w:eastAsia="Times New Roman"/>
                <w:color w:val="000000"/>
                <w:sz w:val="18"/>
                <w:szCs w:val="18"/>
              </w:rPr>
              <w:t>Marketable securities</w:t>
            </w:r>
          </w:p>
        </w:tc>
        <w:tc>
          <w:tcPr>
            <w:tcW w:w="0" w:type="auto"/>
            <w:gridSpan w:val="3"/>
            <w:shd w:val="clear" w:color="auto" w:fill="FFFFFF"/>
            <w:tcMar>
              <w:top w:w="0" w:type="dxa"/>
              <w:left w:w="20" w:type="dxa"/>
              <w:bottom w:w="0" w:type="dxa"/>
              <w:right w:w="20" w:type="dxa"/>
            </w:tcMar>
            <w:vAlign w:val="center"/>
            <w:hideMark/>
          </w:tcPr>
          <w:p w14:paraId="0E337AF0"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8000308" w14:textId="77777777" w:rsidR="00000000" w:rsidRDefault="000C49AD">
            <w:pPr>
              <w:spacing w:after="100"/>
              <w:jc w:val="right"/>
              <w:rPr>
                <w:rFonts w:eastAsia="Times New Roman"/>
              </w:rPr>
            </w:pPr>
            <w:r>
              <w:rPr>
                <w:rFonts w:eastAsia="Times New Roman"/>
                <w:color w:val="000000"/>
                <w:sz w:val="18"/>
                <w:szCs w:val="18"/>
              </w:rPr>
              <w:t>106,513 </w:t>
            </w:r>
          </w:p>
        </w:tc>
        <w:tc>
          <w:tcPr>
            <w:tcW w:w="0" w:type="auto"/>
            <w:shd w:val="clear" w:color="auto" w:fill="FFFFFF"/>
            <w:tcMar>
              <w:top w:w="30" w:type="dxa"/>
              <w:left w:w="0" w:type="dxa"/>
              <w:bottom w:w="30" w:type="dxa"/>
              <w:right w:w="20" w:type="dxa"/>
            </w:tcMar>
            <w:vAlign w:val="bottom"/>
            <w:hideMark/>
          </w:tcPr>
          <w:p w14:paraId="63812C6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92990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069C28" w14:textId="77777777" w:rsidR="00000000" w:rsidRDefault="000C49AD">
            <w:pPr>
              <w:spacing w:after="100"/>
              <w:jc w:val="right"/>
              <w:rPr>
                <w:rFonts w:eastAsia="Times New Roman"/>
              </w:rPr>
            </w:pPr>
            <w:r>
              <w:rPr>
                <w:rFonts w:eastAsia="Times New Roman"/>
                <w:color w:val="000000"/>
                <w:sz w:val="18"/>
                <w:szCs w:val="18"/>
              </w:rPr>
              <w:t>149,680 </w:t>
            </w:r>
          </w:p>
        </w:tc>
        <w:tc>
          <w:tcPr>
            <w:tcW w:w="0" w:type="auto"/>
            <w:shd w:val="clear" w:color="auto" w:fill="FFFFFF"/>
            <w:tcMar>
              <w:top w:w="30" w:type="dxa"/>
              <w:left w:w="0" w:type="dxa"/>
              <w:bottom w:w="30" w:type="dxa"/>
              <w:right w:w="20" w:type="dxa"/>
            </w:tcMar>
            <w:vAlign w:val="bottom"/>
            <w:hideMark/>
          </w:tcPr>
          <w:p w14:paraId="14A17DEE" w14:textId="77777777" w:rsidR="00000000" w:rsidRDefault="000C49AD">
            <w:pPr>
              <w:spacing w:after="100"/>
              <w:jc w:val="right"/>
              <w:rPr>
                <w:rFonts w:eastAsia="Times New Roman"/>
              </w:rPr>
            </w:pPr>
          </w:p>
        </w:tc>
      </w:tr>
      <w:tr w:rsidR="00000000" w14:paraId="124542D1" w14:textId="77777777">
        <w:trPr>
          <w:divId w:val="348410666"/>
          <w:jc w:val="center"/>
        </w:trPr>
        <w:tc>
          <w:tcPr>
            <w:tcW w:w="0" w:type="auto"/>
            <w:gridSpan w:val="3"/>
            <w:vAlign w:val="center"/>
            <w:hideMark/>
          </w:tcPr>
          <w:p w14:paraId="59990BDE" w14:textId="77777777" w:rsidR="00000000" w:rsidRDefault="000C49AD">
            <w:pPr>
              <w:spacing w:after="100"/>
              <w:jc w:val="right"/>
              <w:rPr>
                <w:rFonts w:eastAsia="Times New Roman"/>
                <w:sz w:val="20"/>
                <w:szCs w:val="20"/>
              </w:rPr>
            </w:pPr>
          </w:p>
        </w:tc>
        <w:tc>
          <w:tcPr>
            <w:tcW w:w="0" w:type="auto"/>
            <w:gridSpan w:val="3"/>
            <w:vAlign w:val="center"/>
            <w:hideMark/>
          </w:tcPr>
          <w:p w14:paraId="5F691804" w14:textId="77777777" w:rsidR="00000000" w:rsidRDefault="000C49AD">
            <w:pPr>
              <w:spacing w:after="100"/>
              <w:rPr>
                <w:rFonts w:eastAsia="Times New Roman"/>
                <w:sz w:val="20"/>
                <w:szCs w:val="20"/>
              </w:rPr>
            </w:pPr>
          </w:p>
        </w:tc>
        <w:tc>
          <w:tcPr>
            <w:tcW w:w="0" w:type="auto"/>
            <w:gridSpan w:val="3"/>
            <w:vAlign w:val="center"/>
            <w:hideMark/>
          </w:tcPr>
          <w:p w14:paraId="5DCB3F85" w14:textId="77777777" w:rsidR="00000000" w:rsidRDefault="000C49AD">
            <w:pPr>
              <w:spacing w:after="100"/>
              <w:rPr>
                <w:rFonts w:eastAsia="Times New Roman"/>
                <w:sz w:val="20"/>
                <w:szCs w:val="20"/>
              </w:rPr>
            </w:pPr>
          </w:p>
        </w:tc>
        <w:tc>
          <w:tcPr>
            <w:tcW w:w="0" w:type="auto"/>
            <w:gridSpan w:val="3"/>
            <w:vAlign w:val="center"/>
            <w:hideMark/>
          </w:tcPr>
          <w:p w14:paraId="5950CB00" w14:textId="77777777" w:rsidR="00000000" w:rsidRDefault="000C49AD">
            <w:pPr>
              <w:spacing w:after="100"/>
              <w:rPr>
                <w:rFonts w:eastAsia="Times New Roman"/>
                <w:sz w:val="20"/>
                <w:szCs w:val="20"/>
              </w:rPr>
            </w:pPr>
          </w:p>
        </w:tc>
        <w:tc>
          <w:tcPr>
            <w:tcW w:w="0" w:type="auto"/>
            <w:gridSpan w:val="3"/>
            <w:vAlign w:val="center"/>
            <w:hideMark/>
          </w:tcPr>
          <w:p w14:paraId="0B88983E" w14:textId="77777777" w:rsidR="00000000" w:rsidRDefault="000C49AD">
            <w:pPr>
              <w:spacing w:after="100"/>
              <w:rPr>
                <w:rFonts w:eastAsia="Times New Roman"/>
                <w:sz w:val="20"/>
                <w:szCs w:val="20"/>
              </w:rPr>
            </w:pPr>
          </w:p>
        </w:tc>
      </w:tr>
      <w:tr w:rsidR="00000000" w14:paraId="75576865" w14:textId="77777777">
        <w:trPr>
          <w:divId w:val="348410666"/>
          <w:jc w:val="center"/>
        </w:trPr>
        <w:tc>
          <w:tcPr>
            <w:tcW w:w="0" w:type="auto"/>
            <w:gridSpan w:val="3"/>
            <w:vAlign w:val="center"/>
            <w:hideMark/>
          </w:tcPr>
          <w:p w14:paraId="0620F990" w14:textId="77777777" w:rsidR="00000000" w:rsidRDefault="000C49AD">
            <w:pPr>
              <w:spacing w:after="100"/>
              <w:rPr>
                <w:rFonts w:eastAsia="Times New Roman"/>
                <w:sz w:val="20"/>
                <w:szCs w:val="20"/>
              </w:rPr>
            </w:pPr>
          </w:p>
        </w:tc>
        <w:tc>
          <w:tcPr>
            <w:tcW w:w="0" w:type="auto"/>
            <w:gridSpan w:val="3"/>
            <w:vAlign w:val="center"/>
            <w:hideMark/>
          </w:tcPr>
          <w:p w14:paraId="3A12AE2E" w14:textId="77777777" w:rsidR="00000000" w:rsidRDefault="000C49AD">
            <w:pPr>
              <w:spacing w:after="100"/>
              <w:rPr>
                <w:rFonts w:eastAsia="Times New Roman"/>
                <w:sz w:val="20"/>
                <w:szCs w:val="20"/>
              </w:rPr>
            </w:pPr>
          </w:p>
        </w:tc>
        <w:tc>
          <w:tcPr>
            <w:tcW w:w="0" w:type="auto"/>
            <w:gridSpan w:val="3"/>
            <w:vAlign w:val="center"/>
            <w:hideMark/>
          </w:tcPr>
          <w:p w14:paraId="79B0DC45" w14:textId="77777777" w:rsidR="00000000" w:rsidRDefault="000C49AD">
            <w:pPr>
              <w:spacing w:after="100"/>
              <w:rPr>
                <w:rFonts w:eastAsia="Times New Roman"/>
                <w:sz w:val="20"/>
                <w:szCs w:val="20"/>
              </w:rPr>
            </w:pPr>
          </w:p>
        </w:tc>
        <w:tc>
          <w:tcPr>
            <w:tcW w:w="0" w:type="auto"/>
            <w:gridSpan w:val="3"/>
            <w:vAlign w:val="center"/>
            <w:hideMark/>
          </w:tcPr>
          <w:p w14:paraId="10FF40CD" w14:textId="77777777" w:rsidR="00000000" w:rsidRDefault="000C49AD">
            <w:pPr>
              <w:spacing w:after="100"/>
              <w:rPr>
                <w:rFonts w:eastAsia="Times New Roman"/>
                <w:sz w:val="20"/>
                <w:szCs w:val="20"/>
              </w:rPr>
            </w:pPr>
          </w:p>
        </w:tc>
        <w:tc>
          <w:tcPr>
            <w:tcW w:w="0" w:type="auto"/>
            <w:gridSpan w:val="3"/>
            <w:vAlign w:val="center"/>
            <w:hideMark/>
          </w:tcPr>
          <w:p w14:paraId="2B65A428" w14:textId="77777777" w:rsidR="00000000" w:rsidRDefault="000C49AD">
            <w:pPr>
              <w:spacing w:after="100"/>
              <w:rPr>
                <w:rFonts w:eastAsia="Times New Roman"/>
                <w:sz w:val="20"/>
                <w:szCs w:val="20"/>
              </w:rPr>
            </w:pPr>
          </w:p>
        </w:tc>
      </w:tr>
      <w:tr w:rsidR="00000000" w14:paraId="1B564C82" w14:textId="77777777">
        <w:trPr>
          <w:divId w:val="348410666"/>
          <w:jc w:val="center"/>
        </w:trPr>
        <w:tc>
          <w:tcPr>
            <w:tcW w:w="0" w:type="auto"/>
            <w:gridSpan w:val="3"/>
            <w:shd w:val="clear" w:color="auto" w:fill="CCEEFF"/>
            <w:tcMar>
              <w:top w:w="30" w:type="dxa"/>
              <w:left w:w="245" w:type="dxa"/>
              <w:bottom w:w="30" w:type="dxa"/>
              <w:right w:w="20" w:type="dxa"/>
            </w:tcMar>
            <w:vAlign w:val="bottom"/>
            <w:hideMark/>
          </w:tcPr>
          <w:p w14:paraId="354CF10A" w14:textId="77777777" w:rsidR="00000000" w:rsidRDefault="000C49AD">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14:paraId="63C7DA55"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0FD695" w14:textId="77777777" w:rsidR="00000000" w:rsidRDefault="000C49AD">
            <w:pPr>
              <w:spacing w:after="100"/>
              <w:jc w:val="right"/>
              <w:rPr>
                <w:rFonts w:eastAsia="Times New Roman"/>
              </w:rPr>
            </w:pPr>
            <w:r>
              <w:rPr>
                <w:rFonts w:eastAsia="Times New Roman"/>
                <w:color w:val="000000"/>
                <w:sz w:val="18"/>
                <w:szCs w:val="18"/>
              </w:rPr>
              <w:t>2,443 </w:t>
            </w:r>
          </w:p>
        </w:tc>
        <w:tc>
          <w:tcPr>
            <w:tcW w:w="0" w:type="auto"/>
            <w:shd w:val="clear" w:color="auto" w:fill="CCEEFF"/>
            <w:tcMar>
              <w:top w:w="30" w:type="dxa"/>
              <w:left w:w="0" w:type="dxa"/>
              <w:bottom w:w="30" w:type="dxa"/>
              <w:right w:w="20" w:type="dxa"/>
            </w:tcMar>
            <w:vAlign w:val="bottom"/>
            <w:hideMark/>
          </w:tcPr>
          <w:p w14:paraId="4BA7D49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93831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19DCB5" w14:textId="77777777" w:rsidR="00000000" w:rsidRDefault="000C49AD">
            <w:pPr>
              <w:spacing w:after="100"/>
              <w:jc w:val="right"/>
              <w:rPr>
                <w:rFonts w:eastAsia="Times New Roman"/>
              </w:rPr>
            </w:pPr>
            <w:r>
              <w:rPr>
                <w:rFonts w:eastAsia="Times New Roman"/>
                <w:color w:val="000000"/>
                <w:sz w:val="18"/>
                <w:szCs w:val="18"/>
              </w:rPr>
              <w:t>3,326 </w:t>
            </w:r>
          </w:p>
        </w:tc>
        <w:tc>
          <w:tcPr>
            <w:tcW w:w="0" w:type="auto"/>
            <w:shd w:val="clear" w:color="auto" w:fill="CCEEFF"/>
            <w:tcMar>
              <w:top w:w="30" w:type="dxa"/>
              <w:left w:w="0" w:type="dxa"/>
              <w:bottom w:w="30" w:type="dxa"/>
              <w:right w:w="20" w:type="dxa"/>
            </w:tcMar>
            <w:vAlign w:val="bottom"/>
            <w:hideMark/>
          </w:tcPr>
          <w:p w14:paraId="1934D82F" w14:textId="77777777" w:rsidR="00000000" w:rsidRDefault="000C49AD">
            <w:pPr>
              <w:spacing w:after="100"/>
              <w:jc w:val="right"/>
              <w:rPr>
                <w:rFonts w:eastAsia="Times New Roman"/>
              </w:rPr>
            </w:pPr>
          </w:p>
        </w:tc>
      </w:tr>
      <w:tr w:rsidR="00000000" w14:paraId="49A20DF0" w14:textId="77777777">
        <w:trPr>
          <w:divId w:val="348410666"/>
          <w:jc w:val="center"/>
        </w:trPr>
        <w:tc>
          <w:tcPr>
            <w:tcW w:w="0" w:type="auto"/>
            <w:gridSpan w:val="3"/>
            <w:shd w:val="clear" w:color="auto" w:fill="FFFFFF"/>
            <w:tcMar>
              <w:top w:w="30" w:type="dxa"/>
              <w:left w:w="245" w:type="dxa"/>
              <w:bottom w:w="30" w:type="dxa"/>
              <w:right w:w="20" w:type="dxa"/>
            </w:tcMar>
            <w:vAlign w:val="bottom"/>
            <w:hideMark/>
          </w:tcPr>
          <w:p w14:paraId="58C1CB00" w14:textId="77777777" w:rsidR="00000000" w:rsidRDefault="000C49AD">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1D95AC8C"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093FC5" w14:textId="77777777" w:rsidR="00000000" w:rsidRDefault="000C49AD">
            <w:pPr>
              <w:spacing w:after="100"/>
              <w:jc w:val="right"/>
              <w:rPr>
                <w:rFonts w:eastAsia="Times New Roman"/>
              </w:rPr>
            </w:pPr>
            <w:r>
              <w:rPr>
                <w:rFonts w:eastAsia="Times New Roman"/>
                <w:color w:val="000000"/>
                <w:sz w:val="18"/>
                <w:szCs w:val="18"/>
              </w:rPr>
              <w:t>32,826 </w:t>
            </w:r>
          </w:p>
        </w:tc>
        <w:tc>
          <w:tcPr>
            <w:tcW w:w="0" w:type="auto"/>
            <w:shd w:val="clear" w:color="auto" w:fill="FFFFFF"/>
            <w:tcMar>
              <w:top w:w="30" w:type="dxa"/>
              <w:left w:w="0" w:type="dxa"/>
              <w:bottom w:w="30" w:type="dxa"/>
              <w:right w:w="20" w:type="dxa"/>
            </w:tcMar>
            <w:vAlign w:val="bottom"/>
            <w:hideMark/>
          </w:tcPr>
          <w:p w14:paraId="07E011E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1C952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91D945" w14:textId="77777777" w:rsidR="00000000" w:rsidRDefault="000C49AD">
            <w:pPr>
              <w:spacing w:after="100"/>
              <w:jc w:val="right"/>
              <w:rPr>
                <w:rFonts w:eastAsia="Times New Roman"/>
              </w:rPr>
            </w:pPr>
            <w:r>
              <w:rPr>
                <w:rFonts w:eastAsia="Times New Roman"/>
                <w:color w:val="000000"/>
                <w:sz w:val="18"/>
                <w:szCs w:val="18"/>
              </w:rPr>
              <w:t>38,726 </w:t>
            </w:r>
          </w:p>
        </w:tc>
        <w:tc>
          <w:tcPr>
            <w:tcW w:w="0" w:type="auto"/>
            <w:shd w:val="clear" w:color="auto" w:fill="FFFFFF"/>
            <w:tcMar>
              <w:top w:w="30" w:type="dxa"/>
              <w:left w:w="0" w:type="dxa"/>
              <w:bottom w:w="30" w:type="dxa"/>
              <w:right w:w="20" w:type="dxa"/>
            </w:tcMar>
            <w:vAlign w:val="bottom"/>
            <w:hideMark/>
          </w:tcPr>
          <w:p w14:paraId="77491470" w14:textId="77777777" w:rsidR="00000000" w:rsidRDefault="000C49AD">
            <w:pPr>
              <w:spacing w:after="100"/>
              <w:jc w:val="right"/>
              <w:rPr>
                <w:rFonts w:eastAsia="Times New Roman"/>
              </w:rPr>
            </w:pPr>
          </w:p>
        </w:tc>
      </w:tr>
      <w:tr w:rsidR="00000000" w14:paraId="2F3D7DFC" w14:textId="77777777">
        <w:trPr>
          <w:divId w:val="348410666"/>
          <w:jc w:val="center"/>
        </w:trPr>
        <w:tc>
          <w:tcPr>
            <w:tcW w:w="0" w:type="auto"/>
            <w:gridSpan w:val="3"/>
            <w:shd w:val="clear" w:color="auto" w:fill="CCEEFF"/>
            <w:tcMar>
              <w:top w:w="30" w:type="dxa"/>
              <w:left w:w="20" w:type="dxa"/>
              <w:bottom w:w="30" w:type="dxa"/>
              <w:right w:w="20" w:type="dxa"/>
            </w:tcMar>
            <w:vAlign w:val="bottom"/>
            <w:hideMark/>
          </w:tcPr>
          <w:p w14:paraId="68FD96C3" w14:textId="77777777" w:rsidR="00000000" w:rsidRDefault="000C49AD">
            <w:pPr>
              <w:spacing w:after="100"/>
              <w:rPr>
                <w:rFonts w:eastAsia="Times New Roman"/>
              </w:rPr>
            </w:pPr>
            <w:r>
              <w:rPr>
                <w:rFonts w:eastAsia="Times New Roman"/>
                <w:color w:val="000000"/>
                <w:sz w:val="18"/>
                <w:szCs w:val="18"/>
              </w:rPr>
              <w:t>Total current assets</w:t>
            </w:r>
          </w:p>
        </w:tc>
        <w:tc>
          <w:tcPr>
            <w:tcW w:w="0" w:type="auto"/>
            <w:gridSpan w:val="3"/>
            <w:shd w:val="clear" w:color="auto" w:fill="CCEEFF"/>
            <w:tcMar>
              <w:top w:w="0" w:type="dxa"/>
              <w:left w:w="20" w:type="dxa"/>
              <w:bottom w:w="0" w:type="dxa"/>
              <w:right w:w="20" w:type="dxa"/>
            </w:tcMar>
            <w:vAlign w:val="center"/>
            <w:hideMark/>
          </w:tcPr>
          <w:p w14:paraId="638DAA3A"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C868C8" w14:textId="77777777" w:rsidR="00000000" w:rsidRDefault="000C49AD">
            <w:pPr>
              <w:spacing w:after="100"/>
              <w:jc w:val="right"/>
              <w:rPr>
                <w:rFonts w:eastAsia="Times New Roman"/>
              </w:rPr>
            </w:pPr>
            <w:r>
              <w:rPr>
                <w:rFonts w:eastAsia="Times New Roman"/>
                <w:color w:val="000000"/>
                <w:sz w:val="18"/>
                <w:szCs w:val="18"/>
              </w:rPr>
              <w:t>192,490 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68A83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09D425"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1C4F94" w14:textId="77777777" w:rsidR="00000000" w:rsidRDefault="000C49AD">
            <w:pPr>
              <w:spacing w:after="100"/>
              <w:jc w:val="right"/>
              <w:rPr>
                <w:rFonts w:eastAsia="Times New Roman"/>
              </w:rPr>
            </w:pPr>
            <w:r>
              <w:rPr>
                <w:rFonts w:eastAsia="Times New Roman"/>
                <w:color w:val="000000"/>
                <w:sz w:val="18"/>
                <w:szCs w:val="18"/>
              </w:rPr>
              <w:t>263,454 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225CD2F" w14:textId="77777777" w:rsidR="00000000" w:rsidRDefault="000C49AD">
            <w:pPr>
              <w:spacing w:after="100"/>
              <w:jc w:val="right"/>
              <w:rPr>
                <w:rFonts w:eastAsia="Times New Roman"/>
              </w:rPr>
            </w:pPr>
          </w:p>
        </w:tc>
      </w:tr>
      <w:tr w:rsidR="00000000" w14:paraId="6D9FE2CC" w14:textId="77777777">
        <w:trPr>
          <w:divId w:val="348410666"/>
          <w:jc w:val="center"/>
        </w:trPr>
        <w:tc>
          <w:tcPr>
            <w:tcW w:w="0" w:type="auto"/>
            <w:gridSpan w:val="3"/>
            <w:shd w:val="clear" w:color="auto" w:fill="FFFFFF"/>
            <w:tcMar>
              <w:top w:w="30" w:type="dxa"/>
              <w:left w:w="155" w:type="dxa"/>
              <w:bottom w:w="30" w:type="dxa"/>
              <w:right w:w="20" w:type="dxa"/>
            </w:tcMar>
            <w:vAlign w:val="bottom"/>
            <w:hideMark/>
          </w:tcPr>
          <w:p w14:paraId="6516F467" w14:textId="77777777" w:rsidR="00000000" w:rsidRDefault="000C49AD">
            <w:pPr>
              <w:spacing w:after="100"/>
              <w:rPr>
                <w:rFonts w:eastAsia="Times New Roman"/>
              </w:rPr>
            </w:pPr>
            <w:r>
              <w:rPr>
                <w:rFonts w:eastAsia="Times New Roman"/>
                <w:color w:val="000000"/>
                <w:sz w:val="18"/>
                <w:szCs w:val="18"/>
              </w:rPr>
              <w:t>Property and equipment, net</w:t>
            </w:r>
          </w:p>
        </w:tc>
        <w:tc>
          <w:tcPr>
            <w:tcW w:w="0" w:type="auto"/>
            <w:gridSpan w:val="3"/>
            <w:shd w:val="clear" w:color="auto" w:fill="FFFFFF"/>
            <w:tcMar>
              <w:top w:w="0" w:type="dxa"/>
              <w:left w:w="20" w:type="dxa"/>
              <w:bottom w:w="0" w:type="dxa"/>
              <w:right w:w="20" w:type="dxa"/>
            </w:tcMar>
            <w:vAlign w:val="center"/>
            <w:hideMark/>
          </w:tcPr>
          <w:p w14:paraId="3CAAF4AD"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7961D9" w14:textId="77777777" w:rsidR="00000000" w:rsidRDefault="000C49AD">
            <w:pPr>
              <w:spacing w:after="100"/>
              <w:jc w:val="right"/>
              <w:rPr>
                <w:rFonts w:eastAsia="Times New Roman"/>
              </w:rPr>
            </w:pPr>
            <w:r>
              <w:rPr>
                <w:rFonts w:eastAsia="Times New Roman"/>
                <w:color w:val="000000"/>
                <w:sz w:val="18"/>
                <w:szCs w:val="18"/>
              </w:rPr>
              <w:t>285 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AB82D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C871F6"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C8D91C" w14:textId="77777777" w:rsidR="00000000" w:rsidRDefault="000C49AD">
            <w:pPr>
              <w:spacing w:after="100"/>
              <w:jc w:val="right"/>
              <w:rPr>
                <w:rFonts w:eastAsia="Times New Roman"/>
              </w:rPr>
            </w:pPr>
            <w:r>
              <w:rPr>
                <w:rFonts w:eastAsia="Times New Roman"/>
                <w:color w:val="000000"/>
                <w:sz w:val="18"/>
                <w:szCs w:val="18"/>
              </w:rPr>
              <w:t>359 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23DF2FF" w14:textId="77777777" w:rsidR="00000000" w:rsidRDefault="000C49AD">
            <w:pPr>
              <w:spacing w:after="100"/>
              <w:jc w:val="right"/>
              <w:rPr>
                <w:rFonts w:eastAsia="Times New Roman"/>
              </w:rPr>
            </w:pPr>
          </w:p>
        </w:tc>
      </w:tr>
      <w:tr w:rsidR="00000000" w14:paraId="18E61359" w14:textId="77777777">
        <w:trPr>
          <w:divId w:val="348410666"/>
          <w:jc w:val="center"/>
        </w:trPr>
        <w:tc>
          <w:tcPr>
            <w:tcW w:w="0" w:type="auto"/>
            <w:gridSpan w:val="3"/>
            <w:shd w:val="clear" w:color="auto" w:fill="CCEEFF"/>
            <w:tcMar>
              <w:top w:w="30" w:type="dxa"/>
              <w:left w:w="155" w:type="dxa"/>
              <w:bottom w:w="30" w:type="dxa"/>
              <w:right w:w="20" w:type="dxa"/>
            </w:tcMar>
            <w:vAlign w:val="bottom"/>
            <w:hideMark/>
          </w:tcPr>
          <w:p w14:paraId="29CC94DC" w14:textId="77777777" w:rsidR="00000000" w:rsidRDefault="000C49AD">
            <w:pPr>
              <w:spacing w:after="100"/>
              <w:rPr>
                <w:rFonts w:eastAsia="Times New Roman"/>
              </w:rPr>
            </w:pPr>
            <w:r>
              <w:rPr>
                <w:rFonts w:eastAsia="Times New Roman"/>
                <w:color w:val="000000"/>
                <w:sz w:val="18"/>
                <w:szCs w:val="18"/>
              </w:rPr>
              <w:t>Operating lease right-of-use assets</w:t>
            </w:r>
          </w:p>
        </w:tc>
        <w:tc>
          <w:tcPr>
            <w:tcW w:w="0" w:type="auto"/>
            <w:gridSpan w:val="3"/>
            <w:shd w:val="clear" w:color="auto" w:fill="CCEEFF"/>
            <w:tcMar>
              <w:top w:w="0" w:type="dxa"/>
              <w:left w:w="20" w:type="dxa"/>
              <w:bottom w:w="0" w:type="dxa"/>
              <w:right w:w="20" w:type="dxa"/>
            </w:tcMar>
            <w:vAlign w:val="center"/>
            <w:hideMark/>
          </w:tcPr>
          <w:p w14:paraId="2877935D"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E5D2FA7" w14:textId="77777777" w:rsidR="00000000" w:rsidRDefault="000C49AD">
            <w:pPr>
              <w:spacing w:after="100"/>
              <w:jc w:val="right"/>
              <w:rPr>
                <w:rFonts w:eastAsia="Times New Roman"/>
              </w:rPr>
            </w:pPr>
            <w:r>
              <w:rPr>
                <w:rFonts w:eastAsia="Times New Roman"/>
                <w:color w:val="000000"/>
                <w:sz w:val="18"/>
                <w:szCs w:val="18"/>
              </w:rPr>
              <w:t>2,652 </w:t>
            </w:r>
          </w:p>
        </w:tc>
        <w:tc>
          <w:tcPr>
            <w:tcW w:w="0" w:type="auto"/>
            <w:shd w:val="clear" w:color="auto" w:fill="CCEEFF"/>
            <w:tcMar>
              <w:top w:w="30" w:type="dxa"/>
              <w:left w:w="0" w:type="dxa"/>
              <w:bottom w:w="30" w:type="dxa"/>
              <w:right w:w="20" w:type="dxa"/>
            </w:tcMar>
            <w:vAlign w:val="bottom"/>
            <w:hideMark/>
          </w:tcPr>
          <w:p w14:paraId="27F9DD7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B279E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FC1C17" w14:textId="77777777" w:rsidR="00000000" w:rsidRDefault="000C49AD">
            <w:pPr>
              <w:spacing w:after="100"/>
              <w:jc w:val="right"/>
              <w:rPr>
                <w:rFonts w:eastAsia="Times New Roman"/>
              </w:rPr>
            </w:pPr>
            <w:r>
              <w:rPr>
                <w:rFonts w:eastAsia="Times New Roman"/>
                <w:color w:val="000000"/>
                <w:sz w:val="18"/>
                <w:szCs w:val="18"/>
              </w:rPr>
              <w:t>2,604 </w:t>
            </w:r>
          </w:p>
        </w:tc>
        <w:tc>
          <w:tcPr>
            <w:tcW w:w="0" w:type="auto"/>
            <w:shd w:val="clear" w:color="auto" w:fill="CCEEFF"/>
            <w:tcMar>
              <w:top w:w="30" w:type="dxa"/>
              <w:left w:w="0" w:type="dxa"/>
              <w:bottom w:w="30" w:type="dxa"/>
              <w:right w:w="20" w:type="dxa"/>
            </w:tcMar>
            <w:vAlign w:val="bottom"/>
            <w:hideMark/>
          </w:tcPr>
          <w:p w14:paraId="66CE7186" w14:textId="77777777" w:rsidR="00000000" w:rsidRDefault="000C49AD">
            <w:pPr>
              <w:spacing w:after="100"/>
              <w:jc w:val="right"/>
              <w:rPr>
                <w:rFonts w:eastAsia="Times New Roman"/>
              </w:rPr>
            </w:pPr>
          </w:p>
        </w:tc>
      </w:tr>
      <w:tr w:rsidR="00000000" w14:paraId="728B7EA6" w14:textId="77777777">
        <w:trPr>
          <w:divId w:val="348410666"/>
          <w:jc w:val="center"/>
        </w:trPr>
        <w:tc>
          <w:tcPr>
            <w:tcW w:w="0" w:type="auto"/>
            <w:gridSpan w:val="3"/>
            <w:shd w:val="clear" w:color="auto" w:fill="FFFFFF"/>
            <w:tcMar>
              <w:top w:w="30" w:type="dxa"/>
              <w:left w:w="155" w:type="dxa"/>
              <w:bottom w:w="30" w:type="dxa"/>
              <w:right w:w="20" w:type="dxa"/>
            </w:tcMar>
            <w:vAlign w:val="bottom"/>
            <w:hideMark/>
          </w:tcPr>
          <w:p w14:paraId="4D8105DD" w14:textId="77777777" w:rsidR="00000000" w:rsidRDefault="000C49AD">
            <w:pPr>
              <w:spacing w:after="100"/>
              <w:rPr>
                <w:rFonts w:eastAsia="Times New Roman"/>
              </w:rPr>
            </w:pPr>
            <w:r>
              <w:rPr>
                <w:rFonts w:eastAsia="Times New Roman"/>
                <w:color w:val="000000"/>
                <w:sz w:val="18"/>
                <w:szCs w:val="18"/>
              </w:rPr>
              <w:t>Goodwill</w:t>
            </w:r>
          </w:p>
        </w:tc>
        <w:tc>
          <w:tcPr>
            <w:tcW w:w="0" w:type="auto"/>
            <w:gridSpan w:val="3"/>
            <w:shd w:val="clear" w:color="auto" w:fill="FFFFFF"/>
            <w:tcMar>
              <w:top w:w="0" w:type="dxa"/>
              <w:left w:w="20" w:type="dxa"/>
              <w:bottom w:w="0" w:type="dxa"/>
              <w:right w:w="20" w:type="dxa"/>
            </w:tcMar>
            <w:vAlign w:val="center"/>
            <w:hideMark/>
          </w:tcPr>
          <w:p w14:paraId="69CAC287"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95ADAE" w14:textId="77777777" w:rsidR="00000000" w:rsidRDefault="000C49AD">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14:paraId="6334B09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68976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84595B" w14:textId="77777777" w:rsidR="00000000" w:rsidRDefault="000C49AD">
            <w:pPr>
              <w:spacing w:after="100"/>
              <w:jc w:val="right"/>
              <w:rPr>
                <w:rFonts w:eastAsia="Times New Roman"/>
              </w:rPr>
            </w:pPr>
            <w:r>
              <w:rPr>
                <w:rFonts w:eastAsia="Times New Roman"/>
                <w:color w:val="000000"/>
                <w:sz w:val="18"/>
                <w:szCs w:val="18"/>
              </w:rPr>
              <w:t>16,836 </w:t>
            </w:r>
          </w:p>
        </w:tc>
        <w:tc>
          <w:tcPr>
            <w:tcW w:w="0" w:type="auto"/>
            <w:shd w:val="clear" w:color="auto" w:fill="FFFFFF"/>
            <w:tcMar>
              <w:top w:w="30" w:type="dxa"/>
              <w:left w:w="0" w:type="dxa"/>
              <w:bottom w:w="30" w:type="dxa"/>
              <w:right w:w="20" w:type="dxa"/>
            </w:tcMar>
            <w:vAlign w:val="bottom"/>
            <w:hideMark/>
          </w:tcPr>
          <w:p w14:paraId="2A64A7F0" w14:textId="77777777" w:rsidR="00000000" w:rsidRDefault="000C49AD">
            <w:pPr>
              <w:spacing w:after="100"/>
              <w:jc w:val="right"/>
              <w:rPr>
                <w:rFonts w:eastAsia="Times New Roman"/>
              </w:rPr>
            </w:pPr>
          </w:p>
        </w:tc>
      </w:tr>
      <w:tr w:rsidR="00000000" w14:paraId="3542E84D" w14:textId="77777777">
        <w:trPr>
          <w:divId w:val="348410666"/>
          <w:jc w:val="center"/>
        </w:trPr>
        <w:tc>
          <w:tcPr>
            <w:tcW w:w="0" w:type="auto"/>
            <w:gridSpan w:val="3"/>
            <w:shd w:val="clear" w:color="auto" w:fill="CCEEFF"/>
            <w:tcMar>
              <w:top w:w="30" w:type="dxa"/>
              <w:left w:w="155" w:type="dxa"/>
              <w:bottom w:w="30" w:type="dxa"/>
              <w:right w:w="20" w:type="dxa"/>
            </w:tcMar>
            <w:vAlign w:val="bottom"/>
            <w:hideMark/>
          </w:tcPr>
          <w:p w14:paraId="6C869CB0" w14:textId="77777777" w:rsidR="00000000" w:rsidRDefault="000C49AD">
            <w:pPr>
              <w:spacing w:after="100"/>
              <w:rPr>
                <w:rFonts w:eastAsia="Times New Roman"/>
              </w:rPr>
            </w:pPr>
            <w:r>
              <w:rPr>
                <w:rFonts w:eastAsia="Times New Roman"/>
                <w:color w:val="000000"/>
                <w:sz w:val="18"/>
                <w:szCs w:val="18"/>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14:paraId="03360BD8"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711358" w14:textId="77777777" w:rsidR="00000000" w:rsidRDefault="000C49AD">
            <w:pPr>
              <w:spacing w:after="100"/>
              <w:jc w:val="right"/>
              <w:rPr>
                <w:rFonts w:eastAsia="Times New Roman"/>
              </w:rPr>
            </w:pPr>
            <w:r>
              <w:rPr>
                <w:rFonts w:eastAsia="Times New Roman"/>
                <w:color w:val="000000"/>
                <w:sz w:val="18"/>
                <w:szCs w:val="18"/>
              </w:rPr>
              <w:t>1,225 </w:t>
            </w:r>
          </w:p>
        </w:tc>
        <w:tc>
          <w:tcPr>
            <w:tcW w:w="0" w:type="auto"/>
            <w:shd w:val="clear" w:color="auto" w:fill="CCEEFF"/>
            <w:tcMar>
              <w:top w:w="30" w:type="dxa"/>
              <w:left w:w="0" w:type="dxa"/>
              <w:bottom w:w="30" w:type="dxa"/>
              <w:right w:w="20" w:type="dxa"/>
            </w:tcMar>
            <w:vAlign w:val="bottom"/>
            <w:hideMark/>
          </w:tcPr>
          <w:p w14:paraId="4BFFE17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78D86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121F1C" w14:textId="77777777" w:rsidR="00000000" w:rsidRDefault="000C49AD">
            <w:pPr>
              <w:spacing w:after="100"/>
              <w:jc w:val="right"/>
              <w:rPr>
                <w:rFonts w:eastAsia="Times New Roman"/>
              </w:rPr>
            </w:pPr>
            <w:r>
              <w:rPr>
                <w:rFonts w:eastAsia="Times New Roman"/>
                <w:color w:val="000000"/>
                <w:sz w:val="18"/>
                <w:szCs w:val="18"/>
              </w:rPr>
              <w:t>3,445 </w:t>
            </w:r>
          </w:p>
        </w:tc>
        <w:tc>
          <w:tcPr>
            <w:tcW w:w="0" w:type="auto"/>
            <w:shd w:val="clear" w:color="auto" w:fill="CCEEFF"/>
            <w:tcMar>
              <w:top w:w="30" w:type="dxa"/>
              <w:left w:w="0" w:type="dxa"/>
              <w:bottom w:w="30" w:type="dxa"/>
              <w:right w:w="20" w:type="dxa"/>
            </w:tcMar>
            <w:vAlign w:val="bottom"/>
            <w:hideMark/>
          </w:tcPr>
          <w:p w14:paraId="0F406A83" w14:textId="77777777" w:rsidR="00000000" w:rsidRDefault="000C49AD">
            <w:pPr>
              <w:spacing w:after="100"/>
              <w:jc w:val="right"/>
              <w:rPr>
                <w:rFonts w:eastAsia="Times New Roman"/>
              </w:rPr>
            </w:pPr>
          </w:p>
        </w:tc>
      </w:tr>
      <w:tr w:rsidR="00000000" w14:paraId="09E9D39F" w14:textId="77777777">
        <w:trPr>
          <w:divId w:val="348410666"/>
          <w:jc w:val="center"/>
        </w:trPr>
        <w:tc>
          <w:tcPr>
            <w:tcW w:w="0" w:type="auto"/>
            <w:gridSpan w:val="3"/>
            <w:shd w:val="clear" w:color="auto" w:fill="FFFFFF"/>
            <w:tcMar>
              <w:top w:w="30" w:type="dxa"/>
              <w:left w:w="155" w:type="dxa"/>
              <w:bottom w:w="30" w:type="dxa"/>
              <w:right w:w="20" w:type="dxa"/>
            </w:tcMar>
            <w:vAlign w:val="bottom"/>
            <w:hideMark/>
          </w:tcPr>
          <w:p w14:paraId="62D69B1A" w14:textId="77777777" w:rsidR="00000000" w:rsidRDefault="000C49AD">
            <w:pPr>
              <w:spacing w:after="100"/>
              <w:rPr>
                <w:rFonts w:eastAsia="Times New Roman"/>
              </w:rPr>
            </w:pPr>
            <w:r>
              <w:rPr>
                <w:rFonts w:eastAsia="Times New Roman"/>
                <w:color w:val="000000"/>
                <w:sz w:val="18"/>
                <w:szCs w:val="18"/>
              </w:rPr>
              <w:t>Other non-current assets</w:t>
            </w:r>
          </w:p>
        </w:tc>
        <w:tc>
          <w:tcPr>
            <w:tcW w:w="0" w:type="auto"/>
            <w:gridSpan w:val="3"/>
            <w:shd w:val="clear" w:color="auto" w:fill="FFFFFF"/>
            <w:tcMar>
              <w:top w:w="0" w:type="dxa"/>
              <w:left w:w="20" w:type="dxa"/>
              <w:bottom w:w="0" w:type="dxa"/>
              <w:right w:w="20" w:type="dxa"/>
            </w:tcMar>
            <w:vAlign w:val="center"/>
            <w:hideMark/>
          </w:tcPr>
          <w:p w14:paraId="5E091913"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13C592" w14:textId="77777777" w:rsidR="00000000" w:rsidRDefault="000C49AD">
            <w:pPr>
              <w:spacing w:after="100"/>
              <w:jc w:val="right"/>
              <w:rPr>
                <w:rFonts w:eastAsia="Times New Roman"/>
              </w:rPr>
            </w:pPr>
            <w:r>
              <w:rPr>
                <w:rFonts w:eastAsia="Times New Roman"/>
                <w:color w:val="000000"/>
                <w:sz w:val="18"/>
                <w:szCs w:val="18"/>
              </w:rPr>
              <w:t>33,777 </w:t>
            </w:r>
          </w:p>
        </w:tc>
        <w:tc>
          <w:tcPr>
            <w:tcW w:w="0" w:type="auto"/>
            <w:shd w:val="clear" w:color="auto" w:fill="FFFFFF"/>
            <w:tcMar>
              <w:top w:w="30" w:type="dxa"/>
              <w:left w:w="0" w:type="dxa"/>
              <w:bottom w:w="30" w:type="dxa"/>
              <w:right w:w="20" w:type="dxa"/>
            </w:tcMar>
            <w:vAlign w:val="bottom"/>
            <w:hideMark/>
          </w:tcPr>
          <w:p w14:paraId="778F397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BA83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917C6F" w14:textId="77777777" w:rsidR="00000000" w:rsidRDefault="000C49AD">
            <w:pPr>
              <w:spacing w:after="100"/>
              <w:jc w:val="right"/>
              <w:rPr>
                <w:rFonts w:eastAsia="Times New Roman"/>
              </w:rPr>
            </w:pPr>
            <w:r>
              <w:rPr>
                <w:rFonts w:eastAsia="Times New Roman"/>
                <w:color w:val="000000"/>
                <w:sz w:val="18"/>
                <w:szCs w:val="18"/>
              </w:rPr>
              <w:t>24,939 </w:t>
            </w:r>
          </w:p>
        </w:tc>
        <w:tc>
          <w:tcPr>
            <w:tcW w:w="0" w:type="auto"/>
            <w:shd w:val="clear" w:color="auto" w:fill="FFFFFF"/>
            <w:tcMar>
              <w:top w:w="30" w:type="dxa"/>
              <w:left w:w="0" w:type="dxa"/>
              <w:bottom w:w="30" w:type="dxa"/>
              <w:right w:w="20" w:type="dxa"/>
            </w:tcMar>
            <w:vAlign w:val="bottom"/>
            <w:hideMark/>
          </w:tcPr>
          <w:p w14:paraId="0A5F6D1E" w14:textId="77777777" w:rsidR="00000000" w:rsidRDefault="000C49AD">
            <w:pPr>
              <w:spacing w:after="100"/>
              <w:jc w:val="right"/>
              <w:rPr>
                <w:rFonts w:eastAsia="Times New Roman"/>
              </w:rPr>
            </w:pPr>
          </w:p>
        </w:tc>
      </w:tr>
      <w:tr w:rsidR="00000000" w14:paraId="15F06418" w14:textId="77777777">
        <w:trPr>
          <w:divId w:val="348410666"/>
          <w:jc w:val="center"/>
        </w:trPr>
        <w:tc>
          <w:tcPr>
            <w:tcW w:w="0" w:type="auto"/>
            <w:gridSpan w:val="3"/>
            <w:shd w:val="clear" w:color="auto" w:fill="CCEEFF"/>
            <w:tcMar>
              <w:top w:w="30" w:type="dxa"/>
              <w:left w:w="20" w:type="dxa"/>
              <w:bottom w:w="30" w:type="dxa"/>
              <w:right w:w="20" w:type="dxa"/>
            </w:tcMar>
            <w:vAlign w:val="bottom"/>
            <w:hideMark/>
          </w:tcPr>
          <w:p w14:paraId="6A682552" w14:textId="77777777" w:rsidR="00000000" w:rsidRDefault="000C49AD">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14:paraId="386C9B39" w14:textId="77777777" w:rsidR="00000000" w:rsidRDefault="000C49A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8BAAC8"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2382AA" w14:textId="77777777" w:rsidR="00000000" w:rsidRDefault="000C49AD">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587C9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B0759D"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9CC9E6"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FA496F" w14:textId="77777777" w:rsidR="00000000" w:rsidRDefault="000C49AD">
            <w:pPr>
              <w:spacing w:after="100"/>
              <w:jc w:val="right"/>
              <w:rPr>
                <w:rFonts w:eastAsia="Times New Roman"/>
              </w:rPr>
            </w:pPr>
            <w:r>
              <w:rPr>
                <w:rFonts w:eastAsia="Times New Roman"/>
                <w:color w:val="000000"/>
                <w:sz w:val="18"/>
                <w:szCs w:val="18"/>
              </w:rPr>
              <w:t>311,637 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DFE8BC" w14:textId="77777777" w:rsidR="00000000" w:rsidRDefault="000C49AD">
            <w:pPr>
              <w:spacing w:after="100"/>
              <w:jc w:val="right"/>
              <w:rPr>
                <w:rFonts w:eastAsia="Times New Roman"/>
              </w:rPr>
            </w:pPr>
          </w:p>
        </w:tc>
      </w:tr>
      <w:tr w:rsidR="00000000" w14:paraId="6AB606FE" w14:textId="77777777">
        <w:trPr>
          <w:divId w:val="348410666"/>
          <w:trHeight w:val="280"/>
          <w:jc w:val="center"/>
        </w:trPr>
        <w:tc>
          <w:tcPr>
            <w:tcW w:w="0" w:type="auto"/>
            <w:gridSpan w:val="3"/>
            <w:shd w:val="clear" w:color="auto" w:fill="FFFFFF"/>
            <w:tcMar>
              <w:top w:w="0" w:type="dxa"/>
              <w:left w:w="20" w:type="dxa"/>
              <w:bottom w:w="0" w:type="dxa"/>
              <w:right w:w="20" w:type="dxa"/>
            </w:tcMar>
            <w:vAlign w:val="center"/>
            <w:hideMark/>
          </w:tcPr>
          <w:p w14:paraId="423CA07F"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E5EF52"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1AE5B2"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EAAD63"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0A9300" w14:textId="77777777" w:rsidR="00000000" w:rsidRDefault="000C49AD">
            <w:pPr>
              <w:spacing w:after="100"/>
              <w:rPr>
                <w:rFonts w:eastAsia="Times New Roman"/>
                <w:sz w:val="20"/>
                <w:szCs w:val="20"/>
              </w:rPr>
            </w:pPr>
          </w:p>
        </w:tc>
      </w:tr>
      <w:tr w:rsidR="00000000" w14:paraId="784FDC48" w14:textId="77777777">
        <w:trPr>
          <w:divId w:val="348410666"/>
          <w:jc w:val="center"/>
        </w:trPr>
        <w:tc>
          <w:tcPr>
            <w:tcW w:w="0" w:type="auto"/>
            <w:gridSpan w:val="3"/>
            <w:shd w:val="clear" w:color="auto" w:fill="CCEEFF"/>
            <w:tcMar>
              <w:top w:w="30" w:type="dxa"/>
              <w:left w:w="20" w:type="dxa"/>
              <w:bottom w:w="30" w:type="dxa"/>
              <w:right w:w="20" w:type="dxa"/>
            </w:tcMar>
            <w:vAlign w:val="bottom"/>
            <w:hideMark/>
          </w:tcPr>
          <w:p w14:paraId="64372D9E" w14:textId="77777777" w:rsidR="00000000" w:rsidRDefault="000C49AD">
            <w:pPr>
              <w:spacing w:after="100"/>
              <w:rPr>
                <w:rFonts w:eastAsia="Times New Roman"/>
              </w:rPr>
            </w:pPr>
            <w:r>
              <w:rPr>
                <w:rFonts w:eastAsia="Times New Roman"/>
                <w:color w:val="000000"/>
                <w:sz w:val="18"/>
                <w:szCs w:val="18"/>
              </w:rPr>
              <w:t>LIABILITIES AND SHAREHOLDERS’ EQUITY</w:t>
            </w:r>
          </w:p>
        </w:tc>
        <w:tc>
          <w:tcPr>
            <w:tcW w:w="0" w:type="auto"/>
            <w:gridSpan w:val="3"/>
            <w:shd w:val="clear" w:color="auto" w:fill="CCEEFF"/>
            <w:tcMar>
              <w:top w:w="0" w:type="dxa"/>
              <w:left w:w="20" w:type="dxa"/>
              <w:bottom w:w="0" w:type="dxa"/>
              <w:right w:w="20" w:type="dxa"/>
            </w:tcMar>
            <w:vAlign w:val="center"/>
            <w:hideMark/>
          </w:tcPr>
          <w:p w14:paraId="33DDF418"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4EA138F"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02FD42CC"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F84A86" w14:textId="77777777" w:rsidR="00000000" w:rsidRDefault="000C49AD">
            <w:pPr>
              <w:spacing w:after="100"/>
              <w:jc w:val="right"/>
              <w:rPr>
                <w:rFonts w:eastAsia="Times New Roman"/>
              </w:rPr>
            </w:pPr>
            <w:r>
              <w:rPr>
                <w:rFonts w:eastAsia="Times New Roman"/>
                <w:color w:val="000000"/>
                <w:sz w:val="18"/>
                <w:szCs w:val="18"/>
              </w:rPr>
              <w:t> </w:t>
            </w:r>
          </w:p>
        </w:tc>
      </w:tr>
      <w:tr w:rsidR="00000000" w14:paraId="71C1387F" w14:textId="77777777">
        <w:trPr>
          <w:divId w:val="348410666"/>
          <w:jc w:val="center"/>
        </w:trPr>
        <w:tc>
          <w:tcPr>
            <w:tcW w:w="0" w:type="auto"/>
            <w:gridSpan w:val="3"/>
            <w:shd w:val="clear" w:color="auto" w:fill="FFFFFF"/>
            <w:tcMar>
              <w:top w:w="30" w:type="dxa"/>
              <w:left w:w="155" w:type="dxa"/>
              <w:bottom w:w="30" w:type="dxa"/>
              <w:right w:w="20" w:type="dxa"/>
            </w:tcMar>
            <w:vAlign w:val="bottom"/>
            <w:hideMark/>
          </w:tcPr>
          <w:p w14:paraId="2AC2B2B0" w14:textId="77777777" w:rsidR="00000000" w:rsidRDefault="000C49AD">
            <w:pPr>
              <w:spacing w:after="100"/>
              <w:rPr>
                <w:rFonts w:eastAsia="Times New Roman"/>
              </w:rPr>
            </w:pPr>
            <w:r>
              <w:rPr>
                <w:rFonts w:eastAsia="Times New Roman"/>
                <w:color w:val="000000"/>
                <w:sz w:val="18"/>
                <w:szCs w:val="18"/>
              </w:rPr>
              <w:t>Current liabilities:</w:t>
            </w:r>
          </w:p>
        </w:tc>
        <w:tc>
          <w:tcPr>
            <w:tcW w:w="0" w:type="auto"/>
            <w:gridSpan w:val="3"/>
            <w:shd w:val="clear" w:color="auto" w:fill="FFFFFF"/>
            <w:tcMar>
              <w:top w:w="0" w:type="dxa"/>
              <w:left w:w="20" w:type="dxa"/>
              <w:bottom w:w="0" w:type="dxa"/>
              <w:right w:w="20" w:type="dxa"/>
            </w:tcMar>
            <w:vAlign w:val="center"/>
            <w:hideMark/>
          </w:tcPr>
          <w:p w14:paraId="0A4DDF96" w14:textId="77777777" w:rsidR="00000000" w:rsidRDefault="000C49A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8872234"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338253F"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BF99B22" w14:textId="77777777" w:rsidR="00000000" w:rsidRDefault="000C49AD">
            <w:pPr>
              <w:spacing w:after="100"/>
              <w:jc w:val="right"/>
              <w:rPr>
                <w:rFonts w:eastAsia="Times New Roman"/>
              </w:rPr>
            </w:pPr>
            <w:r>
              <w:rPr>
                <w:rFonts w:eastAsia="Times New Roman"/>
                <w:color w:val="000000"/>
                <w:sz w:val="18"/>
                <w:szCs w:val="18"/>
              </w:rPr>
              <w:t> </w:t>
            </w:r>
          </w:p>
        </w:tc>
      </w:tr>
      <w:tr w:rsidR="00000000" w14:paraId="22C130DE" w14:textId="77777777">
        <w:trPr>
          <w:divId w:val="348410666"/>
          <w:jc w:val="center"/>
        </w:trPr>
        <w:tc>
          <w:tcPr>
            <w:tcW w:w="0" w:type="auto"/>
            <w:gridSpan w:val="3"/>
            <w:shd w:val="clear" w:color="auto" w:fill="CCEEFF"/>
            <w:tcMar>
              <w:top w:w="30" w:type="dxa"/>
              <w:left w:w="245" w:type="dxa"/>
              <w:bottom w:w="30" w:type="dxa"/>
              <w:right w:w="20" w:type="dxa"/>
            </w:tcMar>
            <w:vAlign w:val="bottom"/>
            <w:hideMark/>
          </w:tcPr>
          <w:p w14:paraId="1CA1557A" w14:textId="77777777" w:rsidR="00000000" w:rsidRDefault="000C49AD">
            <w:pPr>
              <w:spacing w:after="100"/>
              <w:rPr>
                <w:rFonts w:eastAsia="Times New Roman"/>
              </w:rPr>
            </w:pPr>
            <w:r>
              <w:rPr>
                <w:rFonts w:eastAsia="Times New Roman"/>
                <w:color w:val="000000"/>
                <w:sz w:val="18"/>
                <w:szCs w:val="18"/>
              </w:rPr>
              <w:t>Current portion of operating lease liability</w:t>
            </w:r>
          </w:p>
        </w:tc>
        <w:tc>
          <w:tcPr>
            <w:tcW w:w="0" w:type="auto"/>
            <w:gridSpan w:val="3"/>
            <w:shd w:val="clear" w:color="auto" w:fill="CCEEFF"/>
            <w:tcMar>
              <w:top w:w="0" w:type="dxa"/>
              <w:left w:w="20" w:type="dxa"/>
              <w:bottom w:w="0" w:type="dxa"/>
              <w:right w:w="20" w:type="dxa"/>
            </w:tcMar>
            <w:vAlign w:val="center"/>
            <w:hideMark/>
          </w:tcPr>
          <w:p w14:paraId="7458EE2D"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2B631C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2A07BD4" w14:textId="77777777" w:rsidR="00000000" w:rsidRDefault="000C49AD">
            <w:pPr>
              <w:spacing w:after="100"/>
              <w:jc w:val="right"/>
              <w:rPr>
                <w:rFonts w:eastAsia="Times New Roman"/>
              </w:rPr>
            </w:pPr>
            <w:r>
              <w:rPr>
                <w:rFonts w:eastAsia="Times New Roman"/>
                <w:color w:val="000000"/>
                <w:sz w:val="18"/>
                <w:szCs w:val="18"/>
              </w:rPr>
              <w:t>900 </w:t>
            </w:r>
          </w:p>
        </w:tc>
        <w:tc>
          <w:tcPr>
            <w:tcW w:w="0" w:type="auto"/>
            <w:shd w:val="clear" w:color="auto" w:fill="CCEEFF"/>
            <w:tcMar>
              <w:top w:w="30" w:type="dxa"/>
              <w:left w:w="0" w:type="dxa"/>
              <w:bottom w:w="30" w:type="dxa"/>
              <w:right w:w="20" w:type="dxa"/>
            </w:tcMar>
            <w:vAlign w:val="bottom"/>
            <w:hideMark/>
          </w:tcPr>
          <w:p w14:paraId="11BB5A5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6A6C8"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B9304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67EFE85" w14:textId="77777777" w:rsidR="00000000" w:rsidRDefault="000C49AD">
            <w:pPr>
              <w:spacing w:after="100"/>
              <w:jc w:val="right"/>
              <w:rPr>
                <w:rFonts w:eastAsia="Times New Roman"/>
              </w:rPr>
            </w:pPr>
            <w:r>
              <w:rPr>
                <w:rFonts w:eastAsia="Times New Roman"/>
                <w:color w:val="000000"/>
                <w:sz w:val="18"/>
                <w:szCs w:val="18"/>
              </w:rPr>
              <w:t>474 </w:t>
            </w:r>
          </w:p>
        </w:tc>
        <w:tc>
          <w:tcPr>
            <w:tcW w:w="0" w:type="auto"/>
            <w:shd w:val="clear" w:color="auto" w:fill="CCEEFF"/>
            <w:tcMar>
              <w:top w:w="30" w:type="dxa"/>
              <w:left w:w="0" w:type="dxa"/>
              <w:bottom w:w="30" w:type="dxa"/>
              <w:right w:w="20" w:type="dxa"/>
            </w:tcMar>
            <w:vAlign w:val="bottom"/>
            <w:hideMark/>
          </w:tcPr>
          <w:p w14:paraId="00F71A86" w14:textId="77777777" w:rsidR="00000000" w:rsidRDefault="000C49AD">
            <w:pPr>
              <w:spacing w:after="100"/>
              <w:jc w:val="right"/>
              <w:rPr>
                <w:rFonts w:eastAsia="Times New Roman"/>
              </w:rPr>
            </w:pPr>
          </w:p>
        </w:tc>
      </w:tr>
      <w:tr w:rsidR="00000000" w14:paraId="06AF2FAD" w14:textId="77777777">
        <w:trPr>
          <w:divId w:val="348410666"/>
          <w:jc w:val="center"/>
        </w:trPr>
        <w:tc>
          <w:tcPr>
            <w:tcW w:w="0" w:type="auto"/>
            <w:gridSpan w:val="3"/>
            <w:shd w:val="clear" w:color="auto" w:fill="FFFFFF"/>
            <w:tcMar>
              <w:top w:w="30" w:type="dxa"/>
              <w:left w:w="245" w:type="dxa"/>
              <w:bottom w:w="30" w:type="dxa"/>
              <w:right w:w="20" w:type="dxa"/>
            </w:tcMar>
            <w:vAlign w:val="bottom"/>
            <w:hideMark/>
          </w:tcPr>
          <w:p w14:paraId="687C723D" w14:textId="77777777" w:rsidR="00000000" w:rsidRDefault="000C49AD">
            <w:pPr>
              <w:spacing w:after="100"/>
              <w:rPr>
                <w:rFonts w:eastAsia="Times New Roman"/>
              </w:rPr>
            </w:pPr>
            <w:r>
              <w:rPr>
                <w:rFonts w:eastAsia="Times New Roman"/>
                <w:color w:val="000000"/>
                <w:sz w:val="18"/>
                <w:szCs w:val="18"/>
              </w:rPr>
              <w:t>Accounts payable</w:t>
            </w:r>
          </w:p>
        </w:tc>
        <w:tc>
          <w:tcPr>
            <w:tcW w:w="0" w:type="auto"/>
            <w:gridSpan w:val="3"/>
            <w:shd w:val="clear" w:color="auto" w:fill="FFFFFF"/>
            <w:tcMar>
              <w:top w:w="0" w:type="dxa"/>
              <w:left w:w="20" w:type="dxa"/>
              <w:bottom w:w="0" w:type="dxa"/>
              <w:right w:w="20" w:type="dxa"/>
            </w:tcMar>
            <w:vAlign w:val="center"/>
            <w:hideMark/>
          </w:tcPr>
          <w:p w14:paraId="09377F58"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1D016D" w14:textId="77777777" w:rsidR="00000000" w:rsidRDefault="000C49AD">
            <w:pPr>
              <w:spacing w:after="100"/>
              <w:jc w:val="right"/>
              <w:rPr>
                <w:rFonts w:eastAsia="Times New Roman"/>
              </w:rPr>
            </w:pPr>
            <w:r>
              <w:rPr>
                <w:rFonts w:eastAsia="Times New Roman"/>
                <w:color w:val="000000"/>
                <w:sz w:val="18"/>
                <w:szCs w:val="18"/>
              </w:rPr>
              <w:t>7,679 </w:t>
            </w:r>
          </w:p>
        </w:tc>
        <w:tc>
          <w:tcPr>
            <w:tcW w:w="0" w:type="auto"/>
            <w:shd w:val="clear" w:color="auto" w:fill="FFFFFF"/>
            <w:tcMar>
              <w:top w:w="30" w:type="dxa"/>
              <w:left w:w="0" w:type="dxa"/>
              <w:bottom w:w="30" w:type="dxa"/>
              <w:right w:w="20" w:type="dxa"/>
            </w:tcMar>
            <w:vAlign w:val="bottom"/>
            <w:hideMark/>
          </w:tcPr>
          <w:p w14:paraId="40CC7DC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10FB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46E3E" w14:textId="77777777" w:rsidR="00000000" w:rsidRDefault="000C49AD">
            <w:pPr>
              <w:spacing w:after="100"/>
              <w:jc w:val="right"/>
              <w:rPr>
                <w:rFonts w:eastAsia="Times New Roman"/>
              </w:rPr>
            </w:pPr>
            <w:r>
              <w:rPr>
                <w:rFonts w:eastAsia="Times New Roman"/>
                <w:color w:val="000000"/>
                <w:sz w:val="18"/>
                <w:szCs w:val="18"/>
              </w:rPr>
              <w:t>2,934 </w:t>
            </w:r>
          </w:p>
        </w:tc>
        <w:tc>
          <w:tcPr>
            <w:tcW w:w="0" w:type="auto"/>
            <w:shd w:val="clear" w:color="auto" w:fill="FFFFFF"/>
            <w:tcMar>
              <w:top w:w="30" w:type="dxa"/>
              <w:left w:w="0" w:type="dxa"/>
              <w:bottom w:w="30" w:type="dxa"/>
              <w:right w:w="20" w:type="dxa"/>
            </w:tcMar>
            <w:vAlign w:val="bottom"/>
            <w:hideMark/>
          </w:tcPr>
          <w:p w14:paraId="61C6120C" w14:textId="77777777" w:rsidR="00000000" w:rsidRDefault="000C49AD">
            <w:pPr>
              <w:spacing w:after="100"/>
              <w:jc w:val="right"/>
              <w:rPr>
                <w:rFonts w:eastAsia="Times New Roman"/>
              </w:rPr>
            </w:pPr>
          </w:p>
        </w:tc>
      </w:tr>
      <w:tr w:rsidR="00000000" w14:paraId="371993BB" w14:textId="77777777">
        <w:trPr>
          <w:divId w:val="348410666"/>
          <w:jc w:val="center"/>
        </w:trPr>
        <w:tc>
          <w:tcPr>
            <w:tcW w:w="0" w:type="auto"/>
            <w:gridSpan w:val="3"/>
            <w:shd w:val="clear" w:color="auto" w:fill="CCEEFF"/>
            <w:tcMar>
              <w:top w:w="30" w:type="dxa"/>
              <w:left w:w="245" w:type="dxa"/>
              <w:bottom w:w="30" w:type="dxa"/>
              <w:right w:w="20" w:type="dxa"/>
            </w:tcMar>
            <w:vAlign w:val="bottom"/>
            <w:hideMark/>
          </w:tcPr>
          <w:p w14:paraId="09C4C71C" w14:textId="77777777" w:rsidR="00000000" w:rsidRDefault="000C49AD">
            <w:pPr>
              <w:spacing w:after="100"/>
              <w:rPr>
                <w:rFonts w:eastAsia="Times New Roman"/>
              </w:rPr>
            </w:pPr>
            <w:r>
              <w:rPr>
                <w:rFonts w:eastAsia="Times New Roman"/>
                <w:color w:val="000000"/>
                <w:sz w:val="18"/>
                <w:szCs w:val="18"/>
              </w:rPr>
              <w:t>Accrued expenses</w:t>
            </w:r>
          </w:p>
        </w:tc>
        <w:tc>
          <w:tcPr>
            <w:tcW w:w="0" w:type="auto"/>
            <w:gridSpan w:val="3"/>
            <w:shd w:val="clear" w:color="auto" w:fill="CCEEFF"/>
            <w:tcMar>
              <w:top w:w="0" w:type="dxa"/>
              <w:left w:w="20" w:type="dxa"/>
              <w:bottom w:w="0" w:type="dxa"/>
              <w:right w:w="20" w:type="dxa"/>
            </w:tcMar>
            <w:vAlign w:val="center"/>
            <w:hideMark/>
          </w:tcPr>
          <w:p w14:paraId="5D1726AE"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33D32D" w14:textId="77777777" w:rsidR="00000000" w:rsidRDefault="000C49AD">
            <w:pPr>
              <w:spacing w:after="100"/>
              <w:jc w:val="right"/>
              <w:rPr>
                <w:rFonts w:eastAsia="Times New Roman"/>
              </w:rPr>
            </w:pPr>
            <w:r>
              <w:rPr>
                <w:rFonts w:eastAsia="Times New Roman"/>
                <w:color w:val="000000"/>
                <w:sz w:val="18"/>
                <w:szCs w:val="18"/>
              </w:rPr>
              <w:t>7,151 </w:t>
            </w:r>
          </w:p>
        </w:tc>
        <w:tc>
          <w:tcPr>
            <w:tcW w:w="0" w:type="auto"/>
            <w:shd w:val="clear" w:color="auto" w:fill="CCEEFF"/>
            <w:tcMar>
              <w:top w:w="30" w:type="dxa"/>
              <w:left w:w="0" w:type="dxa"/>
              <w:bottom w:w="30" w:type="dxa"/>
              <w:right w:w="20" w:type="dxa"/>
            </w:tcMar>
            <w:vAlign w:val="bottom"/>
            <w:hideMark/>
          </w:tcPr>
          <w:p w14:paraId="4B3949C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CF33D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05EC24" w14:textId="77777777" w:rsidR="00000000" w:rsidRDefault="000C49AD">
            <w:pPr>
              <w:spacing w:after="100"/>
              <w:jc w:val="right"/>
              <w:rPr>
                <w:rFonts w:eastAsia="Times New Roman"/>
              </w:rPr>
            </w:pPr>
            <w:r>
              <w:rPr>
                <w:rFonts w:eastAsia="Times New Roman"/>
                <w:color w:val="000000"/>
                <w:sz w:val="18"/>
                <w:szCs w:val="18"/>
              </w:rPr>
              <w:t>6,501 </w:t>
            </w:r>
          </w:p>
        </w:tc>
        <w:tc>
          <w:tcPr>
            <w:tcW w:w="0" w:type="auto"/>
            <w:shd w:val="clear" w:color="auto" w:fill="CCEEFF"/>
            <w:tcMar>
              <w:top w:w="30" w:type="dxa"/>
              <w:left w:w="0" w:type="dxa"/>
              <w:bottom w:w="30" w:type="dxa"/>
              <w:right w:w="20" w:type="dxa"/>
            </w:tcMar>
            <w:vAlign w:val="bottom"/>
            <w:hideMark/>
          </w:tcPr>
          <w:p w14:paraId="2D412447" w14:textId="77777777" w:rsidR="00000000" w:rsidRDefault="000C49AD">
            <w:pPr>
              <w:spacing w:after="100"/>
              <w:jc w:val="right"/>
              <w:rPr>
                <w:rFonts w:eastAsia="Times New Roman"/>
              </w:rPr>
            </w:pPr>
          </w:p>
        </w:tc>
      </w:tr>
      <w:tr w:rsidR="00000000" w14:paraId="0E613599" w14:textId="77777777">
        <w:trPr>
          <w:divId w:val="348410666"/>
          <w:jc w:val="center"/>
        </w:trPr>
        <w:tc>
          <w:tcPr>
            <w:tcW w:w="0" w:type="auto"/>
            <w:gridSpan w:val="3"/>
            <w:vAlign w:val="center"/>
            <w:hideMark/>
          </w:tcPr>
          <w:p w14:paraId="6B4541E6" w14:textId="77777777" w:rsidR="00000000" w:rsidRDefault="000C49AD">
            <w:pPr>
              <w:spacing w:after="100"/>
              <w:jc w:val="right"/>
              <w:rPr>
                <w:rFonts w:eastAsia="Times New Roman"/>
                <w:sz w:val="20"/>
                <w:szCs w:val="20"/>
              </w:rPr>
            </w:pPr>
          </w:p>
        </w:tc>
        <w:tc>
          <w:tcPr>
            <w:tcW w:w="0" w:type="auto"/>
            <w:gridSpan w:val="3"/>
            <w:vAlign w:val="center"/>
            <w:hideMark/>
          </w:tcPr>
          <w:p w14:paraId="5AFE1402" w14:textId="77777777" w:rsidR="00000000" w:rsidRDefault="000C49AD">
            <w:pPr>
              <w:spacing w:after="100"/>
              <w:rPr>
                <w:rFonts w:eastAsia="Times New Roman"/>
                <w:sz w:val="20"/>
                <w:szCs w:val="20"/>
              </w:rPr>
            </w:pPr>
          </w:p>
        </w:tc>
        <w:tc>
          <w:tcPr>
            <w:tcW w:w="0" w:type="auto"/>
            <w:gridSpan w:val="3"/>
            <w:vAlign w:val="center"/>
            <w:hideMark/>
          </w:tcPr>
          <w:p w14:paraId="60526984" w14:textId="77777777" w:rsidR="00000000" w:rsidRDefault="000C49AD">
            <w:pPr>
              <w:spacing w:after="100"/>
              <w:rPr>
                <w:rFonts w:eastAsia="Times New Roman"/>
                <w:sz w:val="20"/>
                <w:szCs w:val="20"/>
              </w:rPr>
            </w:pPr>
          </w:p>
        </w:tc>
        <w:tc>
          <w:tcPr>
            <w:tcW w:w="0" w:type="auto"/>
            <w:gridSpan w:val="3"/>
            <w:vAlign w:val="center"/>
            <w:hideMark/>
          </w:tcPr>
          <w:p w14:paraId="54A6D028" w14:textId="77777777" w:rsidR="00000000" w:rsidRDefault="000C49AD">
            <w:pPr>
              <w:spacing w:after="100"/>
              <w:rPr>
                <w:rFonts w:eastAsia="Times New Roman"/>
                <w:sz w:val="20"/>
                <w:szCs w:val="20"/>
              </w:rPr>
            </w:pPr>
          </w:p>
        </w:tc>
        <w:tc>
          <w:tcPr>
            <w:tcW w:w="0" w:type="auto"/>
            <w:gridSpan w:val="3"/>
            <w:vAlign w:val="center"/>
            <w:hideMark/>
          </w:tcPr>
          <w:p w14:paraId="1E8C7B41" w14:textId="77777777" w:rsidR="00000000" w:rsidRDefault="000C49AD">
            <w:pPr>
              <w:spacing w:after="100"/>
              <w:rPr>
                <w:rFonts w:eastAsia="Times New Roman"/>
                <w:sz w:val="20"/>
                <w:szCs w:val="20"/>
              </w:rPr>
            </w:pPr>
          </w:p>
        </w:tc>
      </w:tr>
      <w:tr w:rsidR="00000000" w14:paraId="2D57FAF1" w14:textId="77777777">
        <w:trPr>
          <w:divId w:val="348410666"/>
          <w:jc w:val="center"/>
        </w:trPr>
        <w:tc>
          <w:tcPr>
            <w:tcW w:w="0" w:type="auto"/>
            <w:gridSpan w:val="3"/>
            <w:shd w:val="clear" w:color="auto" w:fill="FFFFFF"/>
            <w:tcMar>
              <w:top w:w="30" w:type="dxa"/>
              <w:left w:w="245" w:type="dxa"/>
              <w:bottom w:w="30" w:type="dxa"/>
              <w:right w:w="20" w:type="dxa"/>
            </w:tcMar>
            <w:vAlign w:val="bottom"/>
            <w:hideMark/>
          </w:tcPr>
          <w:p w14:paraId="4251DEE9" w14:textId="77777777" w:rsidR="00000000" w:rsidRDefault="000C49AD">
            <w:pPr>
              <w:spacing w:after="100"/>
              <w:rPr>
                <w:rFonts w:eastAsia="Times New Roman"/>
              </w:rPr>
            </w:pPr>
            <w:r>
              <w:rPr>
                <w:rFonts w:eastAsia="Times New Roman"/>
                <w:color w:val="000000"/>
                <w:sz w:val="18"/>
                <w:szCs w:val="18"/>
              </w:rPr>
              <w:t>Other current liabilities</w:t>
            </w:r>
          </w:p>
        </w:tc>
        <w:tc>
          <w:tcPr>
            <w:tcW w:w="0" w:type="auto"/>
            <w:gridSpan w:val="3"/>
            <w:shd w:val="clear" w:color="auto" w:fill="FFFFFF"/>
            <w:tcMar>
              <w:top w:w="0" w:type="dxa"/>
              <w:left w:w="20" w:type="dxa"/>
              <w:bottom w:w="0" w:type="dxa"/>
              <w:right w:w="20" w:type="dxa"/>
            </w:tcMar>
            <w:vAlign w:val="center"/>
            <w:hideMark/>
          </w:tcPr>
          <w:p w14:paraId="59E1708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A7BE3E" w14:textId="77777777" w:rsidR="00000000" w:rsidRDefault="000C49AD">
            <w:pPr>
              <w:spacing w:after="100"/>
              <w:jc w:val="right"/>
              <w:rPr>
                <w:rFonts w:eastAsia="Times New Roman"/>
              </w:rPr>
            </w:pPr>
            <w:r>
              <w:rPr>
                <w:rFonts w:eastAsia="Times New Roman"/>
                <w:color w:val="000000"/>
                <w:sz w:val="18"/>
                <w:szCs w:val="18"/>
              </w:rPr>
              <w:t>5,270 </w:t>
            </w:r>
          </w:p>
        </w:tc>
        <w:tc>
          <w:tcPr>
            <w:tcW w:w="0" w:type="auto"/>
            <w:shd w:val="clear" w:color="auto" w:fill="FFFFFF"/>
            <w:tcMar>
              <w:top w:w="30" w:type="dxa"/>
              <w:left w:w="0" w:type="dxa"/>
              <w:bottom w:w="30" w:type="dxa"/>
              <w:right w:w="20" w:type="dxa"/>
            </w:tcMar>
            <w:vAlign w:val="bottom"/>
            <w:hideMark/>
          </w:tcPr>
          <w:p w14:paraId="163A356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E907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9846D1" w14:textId="77777777" w:rsidR="00000000" w:rsidRDefault="000C49AD">
            <w:pPr>
              <w:spacing w:after="100"/>
              <w:jc w:val="right"/>
              <w:rPr>
                <w:rFonts w:eastAsia="Times New Roman"/>
              </w:rPr>
            </w:pPr>
            <w:r>
              <w:rPr>
                <w:rFonts w:eastAsia="Times New Roman"/>
                <w:color w:val="000000"/>
                <w:sz w:val="18"/>
                <w:szCs w:val="18"/>
              </w:rPr>
              <w:t>5,200 </w:t>
            </w:r>
          </w:p>
        </w:tc>
        <w:tc>
          <w:tcPr>
            <w:tcW w:w="0" w:type="auto"/>
            <w:shd w:val="clear" w:color="auto" w:fill="FFFFFF"/>
            <w:tcMar>
              <w:top w:w="30" w:type="dxa"/>
              <w:left w:w="0" w:type="dxa"/>
              <w:bottom w:w="30" w:type="dxa"/>
              <w:right w:w="20" w:type="dxa"/>
            </w:tcMar>
            <w:vAlign w:val="bottom"/>
            <w:hideMark/>
          </w:tcPr>
          <w:p w14:paraId="61E1C539" w14:textId="77777777" w:rsidR="00000000" w:rsidRDefault="000C49AD">
            <w:pPr>
              <w:spacing w:after="100"/>
              <w:jc w:val="right"/>
              <w:rPr>
                <w:rFonts w:eastAsia="Times New Roman"/>
              </w:rPr>
            </w:pPr>
          </w:p>
        </w:tc>
      </w:tr>
      <w:tr w:rsidR="00000000" w14:paraId="31E3C6B3" w14:textId="77777777">
        <w:trPr>
          <w:divId w:val="348410666"/>
          <w:jc w:val="center"/>
        </w:trPr>
        <w:tc>
          <w:tcPr>
            <w:tcW w:w="0" w:type="auto"/>
            <w:gridSpan w:val="3"/>
            <w:shd w:val="clear" w:color="auto" w:fill="CCEEFF"/>
            <w:tcMar>
              <w:top w:w="30" w:type="dxa"/>
              <w:left w:w="35" w:type="dxa"/>
              <w:bottom w:w="30" w:type="dxa"/>
              <w:right w:w="20" w:type="dxa"/>
            </w:tcMar>
            <w:vAlign w:val="bottom"/>
            <w:hideMark/>
          </w:tcPr>
          <w:p w14:paraId="2342C439" w14:textId="77777777" w:rsidR="00000000" w:rsidRDefault="000C49AD">
            <w:pPr>
              <w:spacing w:after="100"/>
              <w:rPr>
                <w:rFonts w:eastAsia="Times New Roman"/>
              </w:rPr>
            </w:pPr>
            <w:r>
              <w:rPr>
                <w:rFonts w:eastAsia="Times New Roman"/>
                <w:color w:val="000000"/>
                <w:sz w:val="18"/>
                <w:szCs w:val="18"/>
              </w:rPr>
              <w:t>Total current liabilities</w:t>
            </w:r>
          </w:p>
        </w:tc>
        <w:tc>
          <w:tcPr>
            <w:tcW w:w="0" w:type="auto"/>
            <w:gridSpan w:val="3"/>
            <w:shd w:val="clear" w:color="auto" w:fill="CCEEFF"/>
            <w:tcMar>
              <w:top w:w="0" w:type="dxa"/>
              <w:left w:w="20" w:type="dxa"/>
              <w:bottom w:w="0" w:type="dxa"/>
              <w:right w:w="20" w:type="dxa"/>
            </w:tcMar>
            <w:vAlign w:val="center"/>
            <w:hideMark/>
          </w:tcPr>
          <w:p w14:paraId="536E7BEC"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94F5EF" w14:textId="77777777" w:rsidR="00000000" w:rsidRDefault="000C49AD">
            <w:pPr>
              <w:spacing w:after="100"/>
              <w:jc w:val="right"/>
              <w:rPr>
                <w:rFonts w:eastAsia="Times New Roman"/>
              </w:rPr>
            </w:pPr>
            <w:r>
              <w:rPr>
                <w:rFonts w:eastAsia="Times New Roman"/>
                <w:color w:val="000000"/>
                <w:sz w:val="18"/>
                <w:szCs w:val="18"/>
              </w:rPr>
              <w:t>21,000 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ABAC8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07E8E1"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7DCE30" w14:textId="77777777" w:rsidR="00000000" w:rsidRDefault="000C49AD">
            <w:pPr>
              <w:spacing w:after="100"/>
              <w:jc w:val="right"/>
              <w:rPr>
                <w:rFonts w:eastAsia="Times New Roman"/>
              </w:rPr>
            </w:pPr>
            <w:r>
              <w:rPr>
                <w:rFonts w:eastAsia="Times New Roman"/>
                <w:color w:val="000000"/>
                <w:sz w:val="18"/>
                <w:szCs w:val="18"/>
              </w:rPr>
              <w:t>15,109 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5BE819" w14:textId="77777777" w:rsidR="00000000" w:rsidRDefault="000C49AD">
            <w:pPr>
              <w:spacing w:after="100"/>
              <w:jc w:val="right"/>
              <w:rPr>
                <w:rFonts w:eastAsia="Times New Roman"/>
              </w:rPr>
            </w:pPr>
          </w:p>
        </w:tc>
      </w:tr>
      <w:tr w:rsidR="00000000" w14:paraId="0B2C2B9C" w14:textId="77777777">
        <w:trPr>
          <w:divId w:val="348410666"/>
          <w:jc w:val="center"/>
        </w:trPr>
        <w:tc>
          <w:tcPr>
            <w:tcW w:w="0" w:type="auto"/>
            <w:gridSpan w:val="3"/>
            <w:shd w:val="clear" w:color="auto" w:fill="FFFFFF"/>
            <w:tcMar>
              <w:top w:w="30" w:type="dxa"/>
              <w:left w:w="155" w:type="dxa"/>
              <w:bottom w:w="30" w:type="dxa"/>
              <w:right w:w="20" w:type="dxa"/>
            </w:tcMar>
            <w:vAlign w:val="bottom"/>
            <w:hideMark/>
          </w:tcPr>
          <w:p w14:paraId="0A4A7CAD" w14:textId="77777777" w:rsidR="00000000" w:rsidRDefault="000C49AD">
            <w:pPr>
              <w:spacing w:after="100"/>
              <w:rPr>
                <w:rFonts w:eastAsia="Times New Roman"/>
              </w:rPr>
            </w:pPr>
            <w:r>
              <w:rPr>
                <w:rFonts w:eastAsia="Times New Roman"/>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14:paraId="669D9C70"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87593E" w14:textId="77777777" w:rsidR="00000000" w:rsidRDefault="000C49AD">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E77703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19063C"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611093B" w14:textId="77777777" w:rsidR="00000000" w:rsidRDefault="000C49AD">
            <w:pPr>
              <w:spacing w:after="100"/>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69C09AD" w14:textId="77777777" w:rsidR="00000000" w:rsidRDefault="000C49AD">
            <w:pPr>
              <w:spacing w:after="100"/>
              <w:jc w:val="right"/>
              <w:rPr>
                <w:rFonts w:eastAsia="Times New Roman"/>
              </w:rPr>
            </w:pPr>
          </w:p>
        </w:tc>
      </w:tr>
      <w:tr w:rsidR="00000000" w14:paraId="096103FE" w14:textId="77777777">
        <w:trPr>
          <w:divId w:val="348410666"/>
          <w:jc w:val="center"/>
        </w:trPr>
        <w:tc>
          <w:tcPr>
            <w:tcW w:w="0" w:type="auto"/>
            <w:gridSpan w:val="3"/>
            <w:shd w:val="clear" w:color="auto" w:fill="CCEEFF"/>
            <w:tcMar>
              <w:top w:w="30" w:type="dxa"/>
              <w:left w:w="155" w:type="dxa"/>
              <w:bottom w:w="30" w:type="dxa"/>
              <w:right w:w="20" w:type="dxa"/>
            </w:tcMar>
            <w:vAlign w:val="bottom"/>
            <w:hideMark/>
          </w:tcPr>
          <w:p w14:paraId="3891B984" w14:textId="77777777" w:rsidR="00000000" w:rsidRDefault="000C49AD">
            <w:pPr>
              <w:spacing w:after="100"/>
              <w:rPr>
                <w:rFonts w:eastAsia="Times New Roman"/>
              </w:rPr>
            </w:pPr>
            <w:r>
              <w:rPr>
                <w:rFonts w:eastAsia="Times New Roman"/>
                <w:color w:val="000000"/>
                <w:sz w:val="18"/>
                <w:szCs w:val="18"/>
              </w:rPr>
              <w:t>Long-term operating lease liability</w:t>
            </w:r>
          </w:p>
        </w:tc>
        <w:tc>
          <w:tcPr>
            <w:tcW w:w="0" w:type="auto"/>
            <w:gridSpan w:val="3"/>
            <w:shd w:val="clear" w:color="auto" w:fill="CCEEFF"/>
            <w:tcMar>
              <w:top w:w="0" w:type="dxa"/>
              <w:left w:w="20" w:type="dxa"/>
              <w:bottom w:w="0" w:type="dxa"/>
              <w:right w:w="20" w:type="dxa"/>
            </w:tcMar>
            <w:vAlign w:val="center"/>
            <w:hideMark/>
          </w:tcPr>
          <w:p w14:paraId="4986DF7C"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386C6A" w14:textId="77777777" w:rsidR="00000000" w:rsidRDefault="000C49AD">
            <w:pPr>
              <w:spacing w:after="100"/>
              <w:jc w:val="right"/>
              <w:rPr>
                <w:rFonts w:eastAsia="Times New Roman"/>
              </w:rPr>
            </w:pPr>
            <w:r>
              <w:rPr>
                <w:rFonts w:eastAsia="Times New Roman"/>
                <w:color w:val="000000"/>
                <w:sz w:val="18"/>
                <w:szCs w:val="18"/>
              </w:rPr>
              <w:t>1,707 </w:t>
            </w:r>
          </w:p>
        </w:tc>
        <w:tc>
          <w:tcPr>
            <w:tcW w:w="0" w:type="auto"/>
            <w:shd w:val="clear" w:color="auto" w:fill="CCEEFF"/>
            <w:tcMar>
              <w:top w:w="30" w:type="dxa"/>
              <w:left w:w="0" w:type="dxa"/>
              <w:bottom w:w="30" w:type="dxa"/>
              <w:right w:w="20" w:type="dxa"/>
            </w:tcMar>
            <w:vAlign w:val="bottom"/>
            <w:hideMark/>
          </w:tcPr>
          <w:p w14:paraId="4DA40C9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835D1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96EE3C" w14:textId="77777777" w:rsidR="00000000" w:rsidRDefault="000C49AD">
            <w:pPr>
              <w:spacing w:after="100"/>
              <w:jc w:val="right"/>
              <w:rPr>
                <w:rFonts w:eastAsia="Times New Roman"/>
              </w:rPr>
            </w:pPr>
            <w:r>
              <w:rPr>
                <w:rFonts w:eastAsia="Times New Roman"/>
                <w:color w:val="000000"/>
                <w:sz w:val="18"/>
                <w:szCs w:val="18"/>
              </w:rPr>
              <w:t>1,840 </w:t>
            </w:r>
          </w:p>
        </w:tc>
        <w:tc>
          <w:tcPr>
            <w:tcW w:w="0" w:type="auto"/>
            <w:shd w:val="clear" w:color="auto" w:fill="CCEEFF"/>
            <w:tcMar>
              <w:top w:w="30" w:type="dxa"/>
              <w:left w:w="0" w:type="dxa"/>
              <w:bottom w:w="30" w:type="dxa"/>
              <w:right w:w="20" w:type="dxa"/>
            </w:tcMar>
            <w:vAlign w:val="bottom"/>
            <w:hideMark/>
          </w:tcPr>
          <w:p w14:paraId="4C3E3416" w14:textId="77777777" w:rsidR="00000000" w:rsidRDefault="000C49AD">
            <w:pPr>
              <w:spacing w:after="100"/>
              <w:jc w:val="right"/>
              <w:rPr>
                <w:rFonts w:eastAsia="Times New Roman"/>
              </w:rPr>
            </w:pPr>
          </w:p>
        </w:tc>
      </w:tr>
      <w:tr w:rsidR="00000000" w14:paraId="7E1CA726" w14:textId="77777777">
        <w:trPr>
          <w:divId w:val="348410666"/>
          <w:jc w:val="center"/>
        </w:trPr>
        <w:tc>
          <w:tcPr>
            <w:tcW w:w="0" w:type="auto"/>
            <w:gridSpan w:val="3"/>
            <w:shd w:val="clear" w:color="auto" w:fill="FFFFFF"/>
            <w:tcMar>
              <w:top w:w="30" w:type="dxa"/>
              <w:left w:w="155" w:type="dxa"/>
              <w:bottom w:w="30" w:type="dxa"/>
              <w:right w:w="20" w:type="dxa"/>
            </w:tcMar>
            <w:vAlign w:val="bottom"/>
            <w:hideMark/>
          </w:tcPr>
          <w:p w14:paraId="69E2CC23" w14:textId="77777777" w:rsidR="00000000" w:rsidRDefault="000C49AD">
            <w:pPr>
              <w:spacing w:after="100"/>
              <w:rPr>
                <w:rFonts w:eastAsia="Times New Roman"/>
              </w:rPr>
            </w:pPr>
            <w:r>
              <w:rPr>
                <w:rFonts w:eastAsia="Times New Roman"/>
                <w:color w:val="000000"/>
                <w:sz w:val="18"/>
                <w:szCs w:val="18"/>
              </w:rPr>
              <w:t>Other non-current liabilities</w:t>
            </w:r>
          </w:p>
        </w:tc>
        <w:tc>
          <w:tcPr>
            <w:tcW w:w="0" w:type="auto"/>
            <w:gridSpan w:val="3"/>
            <w:shd w:val="clear" w:color="auto" w:fill="FFFFFF"/>
            <w:tcMar>
              <w:top w:w="0" w:type="dxa"/>
              <w:left w:w="20" w:type="dxa"/>
              <w:bottom w:w="0" w:type="dxa"/>
              <w:right w:w="20" w:type="dxa"/>
            </w:tcMar>
            <w:vAlign w:val="center"/>
            <w:hideMark/>
          </w:tcPr>
          <w:p w14:paraId="3CBE42A4"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0F64F1" w14:textId="77777777" w:rsidR="00000000" w:rsidRDefault="000C49AD">
            <w:pPr>
              <w:spacing w:after="100"/>
              <w:jc w:val="right"/>
              <w:rPr>
                <w:rFonts w:eastAsia="Times New Roman"/>
              </w:rPr>
            </w:pPr>
            <w:r>
              <w:rPr>
                <w:rFonts w:eastAsia="Times New Roman"/>
                <w:color w:val="000000"/>
                <w:sz w:val="18"/>
                <w:szCs w:val="18"/>
              </w:rPr>
              <w:t>3,917 </w:t>
            </w:r>
          </w:p>
        </w:tc>
        <w:tc>
          <w:tcPr>
            <w:tcW w:w="0" w:type="auto"/>
            <w:shd w:val="clear" w:color="auto" w:fill="FFFFFF"/>
            <w:tcMar>
              <w:top w:w="30" w:type="dxa"/>
              <w:left w:w="0" w:type="dxa"/>
              <w:bottom w:w="30" w:type="dxa"/>
              <w:right w:w="20" w:type="dxa"/>
            </w:tcMar>
            <w:vAlign w:val="bottom"/>
            <w:hideMark/>
          </w:tcPr>
          <w:p w14:paraId="6BA069C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8187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A08200" w14:textId="77777777" w:rsidR="00000000" w:rsidRDefault="000C49AD">
            <w:pPr>
              <w:spacing w:after="100"/>
              <w:jc w:val="right"/>
              <w:rPr>
                <w:rFonts w:eastAsia="Times New Roman"/>
              </w:rPr>
            </w:pPr>
            <w:r>
              <w:rPr>
                <w:rFonts w:eastAsia="Times New Roman"/>
                <w:color w:val="000000"/>
                <w:sz w:val="18"/>
                <w:szCs w:val="18"/>
              </w:rPr>
              <w:t>4,212 </w:t>
            </w:r>
          </w:p>
        </w:tc>
        <w:tc>
          <w:tcPr>
            <w:tcW w:w="0" w:type="auto"/>
            <w:shd w:val="clear" w:color="auto" w:fill="FFFFFF"/>
            <w:tcMar>
              <w:top w:w="30" w:type="dxa"/>
              <w:left w:w="0" w:type="dxa"/>
              <w:bottom w:w="30" w:type="dxa"/>
              <w:right w:w="20" w:type="dxa"/>
            </w:tcMar>
            <w:vAlign w:val="bottom"/>
            <w:hideMark/>
          </w:tcPr>
          <w:p w14:paraId="39A806E1" w14:textId="77777777" w:rsidR="00000000" w:rsidRDefault="000C49AD">
            <w:pPr>
              <w:spacing w:after="100"/>
              <w:jc w:val="right"/>
              <w:rPr>
                <w:rFonts w:eastAsia="Times New Roman"/>
              </w:rPr>
            </w:pPr>
          </w:p>
        </w:tc>
      </w:tr>
      <w:tr w:rsidR="00000000" w14:paraId="0D2D2D27" w14:textId="77777777">
        <w:trPr>
          <w:divId w:val="348410666"/>
          <w:jc w:val="center"/>
        </w:trPr>
        <w:tc>
          <w:tcPr>
            <w:tcW w:w="0" w:type="auto"/>
            <w:gridSpan w:val="3"/>
            <w:shd w:val="clear" w:color="auto" w:fill="CCEEFF"/>
            <w:tcMar>
              <w:top w:w="30" w:type="dxa"/>
              <w:left w:w="35" w:type="dxa"/>
              <w:bottom w:w="30" w:type="dxa"/>
              <w:right w:w="20" w:type="dxa"/>
            </w:tcMar>
            <w:vAlign w:val="bottom"/>
            <w:hideMark/>
          </w:tcPr>
          <w:p w14:paraId="2C454C99" w14:textId="77777777" w:rsidR="00000000" w:rsidRDefault="000C49AD">
            <w:pPr>
              <w:spacing w:after="100"/>
              <w:rPr>
                <w:rFonts w:eastAsia="Times New Roman"/>
              </w:rPr>
            </w:pPr>
            <w:r>
              <w:rPr>
                <w:rFonts w:eastAsia="Times New Roman"/>
                <w:color w:val="000000"/>
                <w:sz w:val="18"/>
                <w:szCs w:val="18"/>
              </w:rPr>
              <w:t>Total liabilities</w:t>
            </w:r>
          </w:p>
        </w:tc>
        <w:tc>
          <w:tcPr>
            <w:tcW w:w="0" w:type="auto"/>
            <w:gridSpan w:val="3"/>
            <w:shd w:val="clear" w:color="auto" w:fill="CCEEFF"/>
            <w:tcMar>
              <w:top w:w="0" w:type="dxa"/>
              <w:left w:w="20" w:type="dxa"/>
              <w:bottom w:w="0" w:type="dxa"/>
              <w:right w:w="20" w:type="dxa"/>
            </w:tcMar>
            <w:vAlign w:val="center"/>
            <w:hideMark/>
          </w:tcPr>
          <w:p w14:paraId="799863B8"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6367763" w14:textId="77777777" w:rsidR="00000000" w:rsidRDefault="000C49AD">
            <w:pPr>
              <w:spacing w:after="100"/>
              <w:jc w:val="right"/>
              <w:rPr>
                <w:rFonts w:eastAsia="Times New Roman"/>
              </w:rPr>
            </w:pPr>
            <w:r>
              <w:rPr>
                <w:rFonts w:eastAsia="Times New Roman"/>
                <w:color w:val="000000"/>
                <w:sz w:val="18"/>
                <w:szCs w:val="18"/>
              </w:rPr>
              <w:t>169,021 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8F006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0E8D43"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4E1F20" w14:textId="77777777" w:rsidR="00000000" w:rsidRDefault="000C49AD">
            <w:pPr>
              <w:spacing w:after="100"/>
              <w:jc w:val="right"/>
              <w:rPr>
                <w:rFonts w:eastAsia="Times New Roman"/>
              </w:rPr>
            </w:pPr>
            <w:r>
              <w:rPr>
                <w:rFonts w:eastAsia="Times New Roman"/>
                <w:color w:val="000000"/>
                <w:sz w:val="18"/>
                <w:szCs w:val="18"/>
              </w:rPr>
              <w:t>149,371 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0CFC06" w14:textId="77777777" w:rsidR="00000000" w:rsidRDefault="000C49AD">
            <w:pPr>
              <w:spacing w:after="100"/>
              <w:jc w:val="right"/>
              <w:rPr>
                <w:rFonts w:eastAsia="Times New Roman"/>
              </w:rPr>
            </w:pPr>
          </w:p>
        </w:tc>
      </w:tr>
      <w:tr w:rsidR="00000000" w14:paraId="6133D167" w14:textId="77777777">
        <w:trPr>
          <w:divId w:val="348410666"/>
          <w:trHeight w:val="280"/>
          <w:jc w:val="center"/>
        </w:trPr>
        <w:tc>
          <w:tcPr>
            <w:tcW w:w="0" w:type="auto"/>
            <w:gridSpan w:val="3"/>
            <w:shd w:val="clear" w:color="auto" w:fill="FFFFFF"/>
            <w:tcMar>
              <w:top w:w="0" w:type="dxa"/>
              <w:left w:w="20" w:type="dxa"/>
              <w:bottom w:w="0" w:type="dxa"/>
              <w:right w:w="20" w:type="dxa"/>
            </w:tcMar>
            <w:vAlign w:val="center"/>
            <w:hideMark/>
          </w:tcPr>
          <w:p w14:paraId="1929E2C6"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6ED9080"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CD6C97"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CBA875"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90A74E9" w14:textId="77777777" w:rsidR="00000000" w:rsidRDefault="000C49AD">
            <w:pPr>
              <w:spacing w:after="100"/>
              <w:rPr>
                <w:rFonts w:eastAsia="Times New Roman"/>
                <w:sz w:val="20"/>
                <w:szCs w:val="20"/>
              </w:rPr>
            </w:pPr>
          </w:p>
        </w:tc>
      </w:tr>
      <w:tr w:rsidR="00000000" w14:paraId="5A3E4CC8" w14:textId="77777777">
        <w:trPr>
          <w:divId w:val="348410666"/>
          <w:jc w:val="center"/>
        </w:trPr>
        <w:tc>
          <w:tcPr>
            <w:tcW w:w="0" w:type="auto"/>
            <w:gridSpan w:val="3"/>
            <w:shd w:val="clear" w:color="auto" w:fill="CCEEFF"/>
            <w:tcMar>
              <w:top w:w="30" w:type="dxa"/>
              <w:left w:w="35" w:type="dxa"/>
              <w:bottom w:w="30" w:type="dxa"/>
              <w:right w:w="20" w:type="dxa"/>
            </w:tcMar>
            <w:vAlign w:val="bottom"/>
            <w:hideMark/>
          </w:tcPr>
          <w:p w14:paraId="1BF5568E" w14:textId="77777777" w:rsidR="00000000" w:rsidRDefault="000C49AD">
            <w:pPr>
              <w:spacing w:after="100"/>
              <w:rPr>
                <w:rFonts w:eastAsia="Times New Roman"/>
              </w:rPr>
            </w:pPr>
            <w:r>
              <w:rPr>
                <w:rFonts w:eastAsia="Times New Roman"/>
                <w:color w:val="000000"/>
                <w:sz w:val="18"/>
                <w:szCs w:val="18"/>
              </w:rPr>
              <w:t>Shareholders’ equity:</w:t>
            </w:r>
          </w:p>
        </w:tc>
        <w:tc>
          <w:tcPr>
            <w:tcW w:w="0" w:type="auto"/>
            <w:gridSpan w:val="3"/>
            <w:shd w:val="clear" w:color="auto" w:fill="CCEEFF"/>
            <w:tcMar>
              <w:top w:w="0" w:type="dxa"/>
              <w:left w:w="20" w:type="dxa"/>
              <w:bottom w:w="0" w:type="dxa"/>
              <w:right w:w="20" w:type="dxa"/>
            </w:tcMar>
            <w:vAlign w:val="center"/>
            <w:hideMark/>
          </w:tcPr>
          <w:p w14:paraId="2E063BE9"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352792"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523BE248"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64C09E" w14:textId="77777777" w:rsidR="00000000" w:rsidRDefault="000C49AD">
            <w:pPr>
              <w:spacing w:after="100"/>
              <w:jc w:val="right"/>
              <w:rPr>
                <w:rFonts w:eastAsia="Times New Roman"/>
              </w:rPr>
            </w:pPr>
            <w:r>
              <w:rPr>
                <w:rFonts w:eastAsia="Times New Roman"/>
                <w:color w:val="000000"/>
                <w:sz w:val="18"/>
                <w:szCs w:val="18"/>
              </w:rPr>
              <w:t> </w:t>
            </w:r>
          </w:p>
        </w:tc>
      </w:tr>
      <w:tr w:rsidR="00000000" w14:paraId="6D6356B2" w14:textId="77777777">
        <w:trPr>
          <w:divId w:val="348410666"/>
          <w:jc w:val="center"/>
        </w:trPr>
        <w:tc>
          <w:tcPr>
            <w:tcW w:w="0" w:type="auto"/>
            <w:gridSpan w:val="3"/>
            <w:shd w:val="clear" w:color="auto" w:fill="FFFFFF"/>
            <w:tcMar>
              <w:top w:w="30" w:type="dxa"/>
              <w:left w:w="20" w:type="dxa"/>
              <w:bottom w:w="30" w:type="dxa"/>
              <w:right w:w="20" w:type="dxa"/>
            </w:tcMar>
            <w:vAlign w:val="bottom"/>
            <w:hideMark/>
          </w:tcPr>
          <w:p w14:paraId="23147744" w14:textId="77777777" w:rsidR="00000000" w:rsidRDefault="000C49AD">
            <w:pPr>
              <w:spacing w:after="100"/>
              <w:divId w:val="503056105"/>
              <w:rPr>
                <w:rFonts w:eastAsia="Times New Roman"/>
              </w:rPr>
            </w:pPr>
            <w:r>
              <w:rPr>
                <w:rFonts w:eastAsia="Times New Roman"/>
                <w:color w:val="000000"/>
                <w:sz w:val="18"/>
                <w:szCs w:val="18"/>
              </w:rPr>
              <w:t xml:space="preserve">Preferred shares, nominal value of $0.01 per share; 50,000 shares authorized; 488 </w:t>
            </w:r>
            <w:r>
              <w:rPr>
                <w:rFonts w:eastAsia="Times New Roman"/>
                <w:color w:val="000000"/>
                <w:sz w:val="18"/>
                <w:szCs w:val="18"/>
              </w:rPr>
              <w:t>issued and outstanding at December 31, 2021 and 2020, respectively</w:t>
            </w:r>
          </w:p>
        </w:tc>
        <w:tc>
          <w:tcPr>
            <w:tcW w:w="0" w:type="auto"/>
            <w:gridSpan w:val="3"/>
            <w:shd w:val="clear" w:color="auto" w:fill="FFFFFF"/>
            <w:tcMar>
              <w:top w:w="0" w:type="dxa"/>
              <w:left w:w="20" w:type="dxa"/>
              <w:bottom w:w="0" w:type="dxa"/>
              <w:right w:w="20" w:type="dxa"/>
            </w:tcMar>
            <w:vAlign w:val="center"/>
            <w:hideMark/>
          </w:tcPr>
          <w:p w14:paraId="633020A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6276CC" w14:textId="77777777" w:rsidR="00000000" w:rsidRDefault="000C49AD">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14:paraId="047443C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5A0B8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7A18A2" w14:textId="77777777" w:rsidR="00000000" w:rsidRDefault="000C49AD">
            <w:pPr>
              <w:spacing w:after="100"/>
              <w:jc w:val="right"/>
              <w:rPr>
                <w:rFonts w:eastAsia="Times New Roman"/>
              </w:rPr>
            </w:pPr>
            <w:r>
              <w:rPr>
                <w:rFonts w:eastAsia="Times New Roman"/>
                <w:color w:val="000000"/>
                <w:sz w:val="18"/>
                <w:szCs w:val="18"/>
              </w:rPr>
              <w:t>5 </w:t>
            </w:r>
          </w:p>
        </w:tc>
        <w:tc>
          <w:tcPr>
            <w:tcW w:w="0" w:type="auto"/>
            <w:shd w:val="clear" w:color="auto" w:fill="FFFFFF"/>
            <w:tcMar>
              <w:top w:w="30" w:type="dxa"/>
              <w:left w:w="0" w:type="dxa"/>
              <w:bottom w:w="30" w:type="dxa"/>
              <w:right w:w="20" w:type="dxa"/>
            </w:tcMar>
            <w:vAlign w:val="bottom"/>
            <w:hideMark/>
          </w:tcPr>
          <w:p w14:paraId="0F0FD4CC" w14:textId="77777777" w:rsidR="00000000" w:rsidRDefault="000C49AD">
            <w:pPr>
              <w:spacing w:after="100"/>
              <w:jc w:val="right"/>
              <w:rPr>
                <w:rFonts w:eastAsia="Times New Roman"/>
              </w:rPr>
            </w:pPr>
          </w:p>
        </w:tc>
      </w:tr>
      <w:tr w:rsidR="00000000" w14:paraId="649AC2CF" w14:textId="77777777">
        <w:trPr>
          <w:divId w:val="348410666"/>
          <w:jc w:val="center"/>
        </w:trPr>
        <w:tc>
          <w:tcPr>
            <w:tcW w:w="0" w:type="auto"/>
            <w:gridSpan w:val="3"/>
            <w:shd w:val="clear" w:color="auto" w:fill="CCEEFF"/>
            <w:tcMar>
              <w:top w:w="30" w:type="dxa"/>
              <w:left w:w="20" w:type="dxa"/>
              <w:bottom w:w="30" w:type="dxa"/>
              <w:right w:w="20" w:type="dxa"/>
            </w:tcMar>
            <w:vAlign w:val="bottom"/>
            <w:hideMark/>
          </w:tcPr>
          <w:p w14:paraId="1701DA89" w14:textId="77777777" w:rsidR="00000000" w:rsidRDefault="000C49AD">
            <w:pPr>
              <w:spacing w:after="100"/>
              <w:divId w:val="490755321"/>
              <w:rPr>
                <w:rFonts w:eastAsia="Times New Roman"/>
              </w:rPr>
            </w:pPr>
            <w:r>
              <w:rPr>
                <w:rFonts w:eastAsia="Times New Roman"/>
                <w:color w:val="000000"/>
                <w:sz w:val="18"/>
                <w:szCs w:val="18"/>
              </w:rPr>
              <w:t xml:space="preserve">Ordinary shares, nominal value of $0.01 per share; 500,000 shares authorized; 58,620 and 58,396 </w:t>
            </w:r>
            <w:r>
              <w:rPr>
                <w:rFonts w:eastAsia="Times New Roman"/>
                <w:color w:val="000000"/>
                <w:sz w:val="18"/>
                <w:szCs w:val="18"/>
              </w:rPr>
              <w:t>issued and outstanding at December 31, 2021 and 2020, respectively</w:t>
            </w:r>
          </w:p>
        </w:tc>
        <w:tc>
          <w:tcPr>
            <w:tcW w:w="0" w:type="auto"/>
            <w:gridSpan w:val="3"/>
            <w:shd w:val="clear" w:color="auto" w:fill="CCEEFF"/>
            <w:tcMar>
              <w:top w:w="0" w:type="dxa"/>
              <w:left w:w="20" w:type="dxa"/>
              <w:bottom w:w="0" w:type="dxa"/>
              <w:right w:w="20" w:type="dxa"/>
            </w:tcMar>
            <w:vAlign w:val="center"/>
            <w:hideMark/>
          </w:tcPr>
          <w:p w14:paraId="3D297497"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6A8EE2" w14:textId="77777777" w:rsidR="00000000" w:rsidRDefault="000C49AD">
            <w:pPr>
              <w:spacing w:after="100"/>
              <w:jc w:val="right"/>
              <w:rPr>
                <w:rFonts w:eastAsia="Times New Roman"/>
              </w:rPr>
            </w:pPr>
            <w:r>
              <w:rPr>
                <w:rFonts w:eastAsia="Times New Roman"/>
                <w:color w:val="000000"/>
                <w:sz w:val="18"/>
                <w:szCs w:val="18"/>
              </w:rPr>
              <w:t>586 </w:t>
            </w:r>
          </w:p>
        </w:tc>
        <w:tc>
          <w:tcPr>
            <w:tcW w:w="0" w:type="auto"/>
            <w:shd w:val="clear" w:color="auto" w:fill="CCEEFF"/>
            <w:tcMar>
              <w:top w:w="30" w:type="dxa"/>
              <w:left w:w="0" w:type="dxa"/>
              <w:bottom w:w="30" w:type="dxa"/>
              <w:right w:w="20" w:type="dxa"/>
            </w:tcMar>
            <w:vAlign w:val="bottom"/>
            <w:hideMark/>
          </w:tcPr>
          <w:p w14:paraId="64F85F9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7949C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102A29" w14:textId="77777777" w:rsidR="00000000" w:rsidRDefault="000C49AD">
            <w:pPr>
              <w:spacing w:after="100"/>
              <w:jc w:val="right"/>
              <w:rPr>
                <w:rFonts w:eastAsia="Times New Roman"/>
              </w:rPr>
            </w:pPr>
            <w:r>
              <w:rPr>
                <w:rFonts w:eastAsia="Times New Roman"/>
                <w:color w:val="000000"/>
                <w:sz w:val="18"/>
                <w:szCs w:val="18"/>
              </w:rPr>
              <w:t>583 </w:t>
            </w:r>
          </w:p>
        </w:tc>
        <w:tc>
          <w:tcPr>
            <w:tcW w:w="0" w:type="auto"/>
            <w:shd w:val="clear" w:color="auto" w:fill="CCEEFF"/>
            <w:tcMar>
              <w:top w:w="30" w:type="dxa"/>
              <w:left w:w="0" w:type="dxa"/>
              <w:bottom w:w="30" w:type="dxa"/>
              <w:right w:w="20" w:type="dxa"/>
            </w:tcMar>
            <w:vAlign w:val="bottom"/>
            <w:hideMark/>
          </w:tcPr>
          <w:p w14:paraId="4E2E630D" w14:textId="77777777" w:rsidR="00000000" w:rsidRDefault="000C49AD">
            <w:pPr>
              <w:spacing w:after="100"/>
              <w:jc w:val="right"/>
              <w:rPr>
                <w:rFonts w:eastAsia="Times New Roman"/>
              </w:rPr>
            </w:pPr>
          </w:p>
        </w:tc>
      </w:tr>
      <w:tr w:rsidR="00000000" w14:paraId="2B9ECA88" w14:textId="77777777">
        <w:trPr>
          <w:divId w:val="348410666"/>
          <w:jc w:val="center"/>
        </w:trPr>
        <w:tc>
          <w:tcPr>
            <w:tcW w:w="0" w:type="auto"/>
            <w:gridSpan w:val="3"/>
            <w:shd w:val="clear" w:color="auto" w:fill="FFFFFF"/>
            <w:tcMar>
              <w:top w:w="30" w:type="dxa"/>
              <w:left w:w="245" w:type="dxa"/>
              <w:bottom w:w="30" w:type="dxa"/>
              <w:right w:w="20" w:type="dxa"/>
            </w:tcMar>
            <w:vAlign w:val="bottom"/>
            <w:hideMark/>
          </w:tcPr>
          <w:p w14:paraId="20307E48" w14:textId="77777777" w:rsidR="00000000" w:rsidRDefault="000C49AD">
            <w:pPr>
              <w:spacing w:after="100"/>
              <w:rPr>
                <w:rFonts w:eastAsia="Times New Roman"/>
              </w:rPr>
            </w:pPr>
            <w:r>
              <w:rPr>
                <w:rFonts w:eastAsia="Times New Roman"/>
                <w:color w:val="000000"/>
                <w:sz w:val="18"/>
                <w:szCs w:val="18"/>
              </w:rPr>
              <w:t>Additional paid-in capital</w:t>
            </w:r>
          </w:p>
        </w:tc>
        <w:tc>
          <w:tcPr>
            <w:tcW w:w="0" w:type="auto"/>
            <w:gridSpan w:val="3"/>
            <w:shd w:val="clear" w:color="auto" w:fill="FFFFFF"/>
            <w:tcMar>
              <w:top w:w="0" w:type="dxa"/>
              <w:left w:w="20" w:type="dxa"/>
              <w:bottom w:w="0" w:type="dxa"/>
              <w:right w:w="20" w:type="dxa"/>
            </w:tcMar>
            <w:vAlign w:val="center"/>
            <w:hideMark/>
          </w:tcPr>
          <w:p w14:paraId="7F694607"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4B06B64" w14:textId="77777777" w:rsidR="00000000" w:rsidRDefault="000C49AD">
            <w:pPr>
              <w:spacing w:after="100"/>
              <w:jc w:val="right"/>
              <w:rPr>
                <w:rFonts w:eastAsia="Times New Roman"/>
              </w:rPr>
            </w:pPr>
            <w:r>
              <w:rPr>
                <w:rFonts w:eastAsia="Times New Roman"/>
                <w:color w:val="000000"/>
                <w:sz w:val="18"/>
                <w:szCs w:val="18"/>
              </w:rPr>
              <w:t>549,349 </w:t>
            </w:r>
          </w:p>
        </w:tc>
        <w:tc>
          <w:tcPr>
            <w:tcW w:w="0" w:type="auto"/>
            <w:shd w:val="clear" w:color="auto" w:fill="FFFFFF"/>
            <w:tcMar>
              <w:top w:w="30" w:type="dxa"/>
              <w:left w:w="0" w:type="dxa"/>
              <w:bottom w:w="30" w:type="dxa"/>
              <w:right w:w="20" w:type="dxa"/>
            </w:tcMar>
            <w:vAlign w:val="bottom"/>
            <w:hideMark/>
          </w:tcPr>
          <w:p w14:paraId="7F147DB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7E3F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6273B2" w14:textId="77777777" w:rsidR="00000000" w:rsidRDefault="000C49AD">
            <w:pPr>
              <w:spacing w:after="100"/>
              <w:jc w:val="right"/>
              <w:rPr>
                <w:rFonts w:eastAsia="Times New Roman"/>
              </w:rPr>
            </w:pPr>
            <w:r>
              <w:rPr>
                <w:rFonts w:eastAsia="Times New Roman"/>
                <w:color w:val="000000"/>
                <w:sz w:val="18"/>
                <w:szCs w:val="18"/>
              </w:rPr>
              <w:t>566,916 </w:t>
            </w:r>
          </w:p>
        </w:tc>
        <w:tc>
          <w:tcPr>
            <w:tcW w:w="0" w:type="auto"/>
            <w:shd w:val="clear" w:color="auto" w:fill="FFFFFF"/>
            <w:tcMar>
              <w:top w:w="30" w:type="dxa"/>
              <w:left w:w="0" w:type="dxa"/>
              <w:bottom w:w="30" w:type="dxa"/>
              <w:right w:w="20" w:type="dxa"/>
            </w:tcMar>
            <w:vAlign w:val="bottom"/>
            <w:hideMark/>
          </w:tcPr>
          <w:p w14:paraId="4CFD4722" w14:textId="77777777" w:rsidR="00000000" w:rsidRDefault="000C49AD">
            <w:pPr>
              <w:spacing w:after="100"/>
              <w:jc w:val="right"/>
              <w:rPr>
                <w:rFonts w:eastAsia="Times New Roman"/>
              </w:rPr>
            </w:pPr>
          </w:p>
        </w:tc>
      </w:tr>
      <w:tr w:rsidR="00000000" w14:paraId="7221E040" w14:textId="77777777">
        <w:trPr>
          <w:divId w:val="348410666"/>
          <w:jc w:val="center"/>
        </w:trPr>
        <w:tc>
          <w:tcPr>
            <w:tcW w:w="0" w:type="auto"/>
            <w:gridSpan w:val="3"/>
            <w:shd w:val="clear" w:color="auto" w:fill="CCEEFF"/>
            <w:tcMar>
              <w:top w:w="30" w:type="dxa"/>
              <w:left w:w="245" w:type="dxa"/>
              <w:bottom w:w="30" w:type="dxa"/>
              <w:right w:w="20" w:type="dxa"/>
            </w:tcMar>
            <w:vAlign w:val="bottom"/>
            <w:hideMark/>
          </w:tcPr>
          <w:p w14:paraId="05CC7B75" w14:textId="77777777" w:rsidR="00000000" w:rsidRDefault="000C49AD">
            <w:pPr>
              <w:spacing w:after="100"/>
              <w:rPr>
                <w:rFonts w:eastAsia="Times New Roman"/>
              </w:rPr>
            </w:pPr>
            <w:r>
              <w:rPr>
                <w:rFonts w:eastAsia="Times New Roman"/>
                <w:color w:val="000000"/>
                <w:sz w:val="18"/>
                <w:szCs w:val="18"/>
              </w:rPr>
              <w:t>Accumulated deficit</w:t>
            </w:r>
          </w:p>
        </w:tc>
        <w:tc>
          <w:tcPr>
            <w:tcW w:w="0" w:type="auto"/>
            <w:gridSpan w:val="3"/>
            <w:shd w:val="clear" w:color="auto" w:fill="CCEEFF"/>
            <w:tcMar>
              <w:top w:w="0" w:type="dxa"/>
              <w:left w:w="20" w:type="dxa"/>
              <w:bottom w:w="0" w:type="dxa"/>
              <w:right w:w="20" w:type="dxa"/>
            </w:tcMar>
            <w:vAlign w:val="center"/>
            <w:hideMark/>
          </w:tcPr>
          <w:p w14:paraId="10A8E5E3"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87F9A6" w14:textId="77777777" w:rsidR="00000000" w:rsidRDefault="000C49AD">
            <w:pPr>
              <w:spacing w:after="100"/>
              <w:jc w:val="right"/>
              <w:rPr>
                <w:rFonts w:eastAsia="Times New Roman"/>
              </w:rPr>
            </w:pPr>
            <w:r>
              <w:rPr>
                <w:rFonts w:eastAsia="Times New Roman"/>
                <w:color w:val="000000"/>
                <w:sz w:val="18"/>
                <w:szCs w:val="18"/>
              </w:rPr>
              <w:t>(447,756)</w:t>
            </w:r>
          </w:p>
        </w:tc>
        <w:tc>
          <w:tcPr>
            <w:tcW w:w="0" w:type="auto"/>
            <w:shd w:val="clear" w:color="auto" w:fill="CCEEFF"/>
            <w:tcMar>
              <w:top w:w="30" w:type="dxa"/>
              <w:left w:w="0" w:type="dxa"/>
              <w:bottom w:w="30" w:type="dxa"/>
              <w:right w:w="20" w:type="dxa"/>
            </w:tcMar>
            <w:vAlign w:val="bottom"/>
            <w:hideMark/>
          </w:tcPr>
          <w:p w14:paraId="0D813A6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99CB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EDED86" w14:textId="77777777" w:rsidR="00000000" w:rsidRDefault="000C49AD">
            <w:pPr>
              <w:spacing w:after="100"/>
              <w:jc w:val="right"/>
              <w:rPr>
                <w:rFonts w:eastAsia="Times New Roman"/>
              </w:rPr>
            </w:pPr>
            <w:r>
              <w:rPr>
                <w:rFonts w:eastAsia="Times New Roman"/>
                <w:color w:val="000000"/>
                <w:sz w:val="18"/>
                <w:szCs w:val="18"/>
              </w:rPr>
              <w:t>(384,187)</w:t>
            </w:r>
          </w:p>
        </w:tc>
        <w:tc>
          <w:tcPr>
            <w:tcW w:w="0" w:type="auto"/>
            <w:shd w:val="clear" w:color="auto" w:fill="CCEEFF"/>
            <w:tcMar>
              <w:top w:w="30" w:type="dxa"/>
              <w:left w:w="0" w:type="dxa"/>
              <w:bottom w:w="30" w:type="dxa"/>
              <w:right w:w="20" w:type="dxa"/>
            </w:tcMar>
            <w:vAlign w:val="bottom"/>
            <w:hideMark/>
          </w:tcPr>
          <w:p w14:paraId="0CBE0DBE" w14:textId="77777777" w:rsidR="00000000" w:rsidRDefault="000C49AD">
            <w:pPr>
              <w:spacing w:after="100"/>
              <w:jc w:val="right"/>
              <w:rPr>
                <w:rFonts w:eastAsia="Times New Roman"/>
              </w:rPr>
            </w:pPr>
          </w:p>
        </w:tc>
      </w:tr>
      <w:tr w:rsidR="00000000" w14:paraId="6F194439" w14:textId="77777777">
        <w:trPr>
          <w:divId w:val="348410666"/>
          <w:jc w:val="center"/>
        </w:trPr>
        <w:tc>
          <w:tcPr>
            <w:tcW w:w="0" w:type="auto"/>
            <w:gridSpan w:val="3"/>
            <w:shd w:val="clear" w:color="auto" w:fill="FFFFFF"/>
            <w:tcMar>
              <w:top w:w="30" w:type="dxa"/>
              <w:left w:w="245" w:type="dxa"/>
              <w:bottom w:w="30" w:type="dxa"/>
              <w:right w:w="20" w:type="dxa"/>
            </w:tcMar>
            <w:vAlign w:val="bottom"/>
            <w:hideMark/>
          </w:tcPr>
          <w:p w14:paraId="18A4FA3A" w14:textId="77777777" w:rsidR="00000000" w:rsidRDefault="000C49AD">
            <w:pPr>
              <w:spacing w:after="100"/>
              <w:rPr>
                <w:rFonts w:eastAsia="Times New Roman"/>
              </w:rPr>
            </w:pPr>
            <w:r>
              <w:rPr>
                <w:rFonts w:eastAsia="Times New Roman"/>
                <w:color w:val="000000"/>
                <w:sz w:val="18"/>
                <w:szCs w:val="18"/>
              </w:rPr>
              <w:t>Accumulated other comprehensive loss</w:t>
            </w:r>
          </w:p>
        </w:tc>
        <w:tc>
          <w:tcPr>
            <w:tcW w:w="0" w:type="auto"/>
            <w:gridSpan w:val="3"/>
            <w:shd w:val="clear" w:color="auto" w:fill="FFFFFF"/>
            <w:tcMar>
              <w:top w:w="0" w:type="dxa"/>
              <w:left w:w="20" w:type="dxa"/>
              <w:bottom w:w="0" w:type="dxa"/>
              <w:right w:w="20" w:type="dxa"/>
            </w:tcMar>
            <w:vAlign w:val="center"/>
            <w:hideMark/>
          </w:tcPr>
          <w:p w14:paraId="0C204A08"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DC4C8E8" w14:textId="77777777" w:rsidR="00000000" w:rsidRDefault="000C49AD">
            <w:pPr>
              <w:spacing w:after="100"/>
              <w:jc w:val="right"/>
              <w:rPr>
                <w:rFonts w:eastAsia="Times New Roman"/>
              </w:rPr>
            </w:pPr>
            <w:r>
              <w:rPr>
                <w:rFonts w:eastAsia="Times New Roman"/>
                <w:color w:val="000000"/>
                <w:sz w:val="18"/>
                <w:szCs w:val="18"/>
              </w:rPr>
              <w:t>(23,940)</w:t>
            </w:r>
          </w:p>
        </w:tc>
        <w:tc>
          <w:tcPr>
            <w:tcW w:w="0" w:type="auto"/>
            <w:shd w:val="clear" w:color="auto" w:fill="FFFFFF"/>
            <w:tcMar>
              <w:top w:w="30" w:type="dxa"/>
              <w:left w:w="0" w:type="dxa"/>
              <w:bottom w:w="30" w:type="dxa"/>
              <w:right w:w="20" w:type="dxa"/>
            </w:tcMar>
            <w:vAlign w:val="bottom"/>
            <w:hideMark/>
          </w:tcPr>
          <w:p w14:paraId="115C485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51210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6DE6EE" w14:textId="77777777" w:rsidR="00000000" w:rsidRDefault="000C49AD">
            <w:pPr>
              <w:spacing w:after="100"/>
              <w:jc w:val="right"/>
              <w:rPr>
                <w:rFonts w:eastAsia="Times New Roman"/>
              </w:rPr>
            </w:pPr>
            <w:r>
              <w:rPr>
                <w:rFonts w:eastAsia="Times New Roman"/>
                <w:color w:val="000000"/>
                <w:sz w:val="18"/>
                <w:szCs w:val="18"/>
              </w:rPr>
              <w:t>(21,051)</w:t>
            </w:r>
          </w:p>
        </w:tc>
        <w:tc>
          <w:tcPr>
            <w:tcW w:w="0" w:type="auto"/>
            <w:shd w:val="clear" w:color="auto" w:fill="FFFFFF"/>
            <w:tcMar>
              <w:top w:w="30" w:type="dxa"/>
              <w:left w:w="0" w:type="dxa"/>
              <w:bottom w:w="30" w:type="dxa"/>
              <w:right w:w="20" w:type="dxa"/>
            </w:tcMar>
            <w:vAlign w:val="bottom"/>
            <w:hideMark/>
          </w:tcPr>
          <w:p w14:paraId="66413849" w14:textId="77777777" w:rsidR="00000000" w:rsidRDefault="000C49AD">
            <w:pPr>
              <w:spacing w:after="100"/>
              <w:jc w:val="right"/>
              <w:rPr>
                <w:rFonts w:eastAsia="Times New Roman"/>
              </w:rPr>
            </w:pPr>
          </w:p>
        </w:tc>
      </w:tr>
      <w:tr w:rsidR="00000000" w14:paraId="12023D5D" w14:textId="77777777">
        <w:trPr>
          <w:divId w:val="348410666"/>
          <w:jc w:val="center"/>
        </w:trPr>
        <w:tc>
          <w:tcPr>
            <w:tcW w:w="0" w:type="auto"/>
            <w:gridSpan w:val="3"/>
            <w:shd w:val="clear" w:color="auto" w:fill="CCEEFF"/>
            <w:tcMar>
              <w:top w:w="30" w:type="dxa"/>
              <w:left w:w="155" w:type="dxa"/>
              <w:bottom w:w="30" w:type="dxa"/>
              <w:right w:w="20" w:type="dxa"/>
            </w:tcMar>
            <w:vAlign w:val="bottom"/>
            <w:hideMark/>
          </w:tcPr>
          <w:p w14:paraId="375B3AA4" w14:textId="77777777" w:rsidR="00000000" w:rsidRDefault="000C49AD">
            <w:pPr>
              <w:spacing w:after="100"/>
              <w:rPr>
                <w:rFonts w:eastAsia="Times New Roman"/>
              </w:rPr>
            </w:pPr>
            <w:r>
              <w:rPr>
                <w:rFonts w:eastAsia="Times New Roman"/>
                <w:color w:val="000000"/>
                <w:sz w:val="18"/>
                <w:szCs w:val="18"/>
              </w:rPr>
              <w:t>Total shareholders’ equity</w:t>
            </w:r>
          </w:p>
        </w:tc>
        <w:tc>
          <w:tcPr>
            <w:tcW w:w="0" w:type="auto"/>
            <w:gridSpan w:val="3"/>
            <w:shd w:val="clear" w:color="auto" w:fill="CCEEFF"/>
            <w:tcMar>
              <w:top w:w="0" w:type="dxa"/>
              <w:left w:w="20" w:type="dxa"/>
              <w:bottom w:w="0" w:type="dxa"/>
              <w:right w:w="20" w:type="dxa"/>
            </w:tcMar>
            <w:vAlign w:val="center"/>
            <w:hideMark/>
          </w:tcPr>
          <w:p w14:paraId="41E569D7"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1A22CB" w14:textId="77777777" w:rsidR="00000000" w:rsidRDefault="000C49AD">
            <w:pPr>
              <w:spacing w:after="100"/>
              <w:jc w:val="right"/>
              <w:rPr>
                <w:rFonts w:eastAsia="Times New Roman"/>
              </w:rPr>
            </w:pPr>
            <w:r>
              <w:rPr>
                <w:rFonts w:eastAsia="Times New Roman"/>
                <w:color w:val="000000"/>
                <w:sz w:val="18"/>
                <w:szCs w:val="18"/>
              </w:rPr>
              <w:t>78,244 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B5766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8B164B"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8E317C8" w14:textId="77777777" w:rsidR="00000000" w:rsidRDefault="000C49AD">
            <w:pPr>
              <w:spacing w:after="100"/>
              <w:jc w:val="right"/>
              <w:rPr>
                <w:rFonts w:eastAsia="Times New Roman"/>
              </w:rPr>
            </w:pPr>
            <w:r>
              <w:rPr>
                <w:rFonts w:eastAsia="Times New Roman"/>
                <w:color w:val="000000"/>
                <w:sz w:val="18"/>
                <w:szCs w:val="18"/>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143A02" w14:textId="77777777" w:rsidR="00000000" w:rsidRDefault="000C49AD">
            <w:pPr>
              <w:spacing w:after="100"/>
              <w:jc w:val="right"/>
              <w:rPr>
                <w:rFonts w:eastAsia="Times New Roman"/>
              </w:rPr>
            </w:pPr>
          </w:p>
        </w:tc>
      </w:tr>
      <w:tr w:rsidR="00000000" w14:paraId="251B18EC" w14:textId="77777777">
        <w:trPr>
          <w:divId w:val="348410666"/>
          <w:jc w:val="center"/>
        </w:trPr>
        <w:tc>
          <w:tcPr>
            <w:tcW w:w="0" w:type="auto"/>
            <w:gridSpan w:val="3"/>
            <w:shd w:val="clear" w:color="auto" w:fill="FFFFFF"/>
            <w:tcMar>
              <w:top w:w="30" w:type="dxa"/>
              <w:left w:w="20" w:type="dxa"/>
              <w:bottom w:w="30" w:type="dxa"/>
              <w:right w:w="20" w:type="dxa"/>
            </w:tcMar>
            <w:vAlign w:val="bottom"/>
            <w:hideMark/>
          </w:tcPr>
          <w:p w14:paraId="7AF8DC11" w14:textId="77777777" w:rsidR="00000000" w:rsidRDefault="000C49AD">
            <w:pPr>
              <w:spacing w:after="100"/>
              <w:rPr>
                <w:rFonts w:eastAsia="Times New Roman"/>
              </w:rPr>
            </w:pPr>
            <w:r>
              <w:rPr>
                <w:rFonts w:eastAsia="Times New Roman"/>
                <w:color w:val="000000"/>
                <w:sz w:val="18"/>
                <w:szCs w:val="18"/>
              </w:rPr>
              <w:t xml:space="preserve">Total liabilities and shareholders’ equity </w:t>
            </w:r>
          </w:p>
        </w:tc>
        <w:tc>
          <w:tcPr>
            <w:tcW w:w="0" w:type="auto"/>
            <w:gridSpan w:val="3"/>
            <w:shd w:val="clear" w:color="auto" w:fill="FFFFFF"/>
            <w:tcMar>
              <w:top w:w="0" w:type="dxa"/>
              <w:left w:w="20" w:type="dxa"/>
              <w:bottom w:w="0" w:type="dxa"/>
              <w:right w:w="20" w:type="dxa"/>
            </w:tcMar>
            <w:vAlign w:val="center"/>
            <w:hideMark/>
          </w:tcPr>
          <w:p w14:paraId="381F7CBA"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B00AB7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BF8B90" w14:textId="77777777" w:rsidR="00000000" w:rsidRDefault="000C49AD">
            <w:pPr>
              <w:spacing w:after="100"/>
              <w:jc w:val="right"/>
              <w:rPr>
                <w:rFonts w:eastAsia="Times New Roman"/>
              </w:rPr>
            </w:pPr>
            <w:r>
              <w:rPr>
                <w:rFonts w:eastAsia="Times New Roman"/>
                <w:color w:val="000000"/>
                <w:sz w:val="18"/>
                <w:szCs w:val="18"/>
              </w:rPr>
              <w:t>247,265 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659F32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D1B87E"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9FA2E6"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392566" w14:textId="77777777" w:rsidR="00000000" w:rsidRDefault="000C49AD">
            <w:pPr>
              <w:spacing w:after="100"/>
              <w:jc w:val="right"/>
              <w:rPr>
                <w:rFonts w:eastAsia="Times New Roman"/>
              </w:rPr>
            </w:pPr>
            <w:r>
              <w:rPr>
                <w:rFonts w:eastAsia="Times New Roman"/>
                <w:color w:val="000000"/>
                <w:sz w:val="18"/>
                <w:szCs w:val="18"/>
              </w:rPr>
              <w:t>311,637 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5C9DB6" w14:textId="77777777" w:rsidR="00000000" w:rsidRDefault="000C49AD">
            <w:pPr>
              <w:spacing w:after="100"/>
              <w:jc w:val="right"/>
              <w:rPr>
                <w:rFonts w:eastAsia="Times New Roman"/>
              </w:rPr>
            </w:pPr>
          </w:p>
        </w:tc>
      </w:tr>
    </w:tbl>
    <w:p w14:paraId="1B97EC5B" w14:textId="77777777" w:rsidR="00000000" w:rsidRDefault="000C49AD">
      <w:pPr>
        <w:jc w:val="center"/>
        <w:rPr>
          <w:rFonts w:eastAsia="Times New Roman"/>
        </w:rPr>
      </w:pPr>
      <w:r>
        <w:rPr>
          <w:rFonts w:eastAsia="Times New Roman"/>
          <w:i/>
          <w:iCs/>
          <w:color w:val="000000"/>
          <w:sz w:val="20"/>
          <w:szCs w:val="20"/>
        </w:rPr>
        <w:t>S</w:t>
      </w:r>
      <w:r>
        <w:rPr>
          <w:rFonts w:eastAsia="Times New Roman"/>
          <w:i/>
          <w:iCs/>
          <w:color w:val="000000"/>
          <w:sz w:val="20"/>
          <w:szCs w:val="20"/>
        </w:rPr>
        <w:t>ee accompanying notes to consolidated financial statements.</w:t>
      </w:r>
    </w:p>
    <w:p w14:paraId="2E5311A3" w14:textId="77777777" w:rsidR="00000000" w:rsidRDefault="000C49AD">
      <w:pPr>
        <w:jc w:val="center"/>
        <w:divId w:val="34090501"/>
        <w:rPr>
          <w:rFonts w:eastAsia="Times New Roman"/>
        </w:rPr>
      </w:pPr>
      <w:r>
        <w:rPr>
          <w:rFonts w:eastAsia="Times New Roman"/>
          <w:color w:val="000000"/>
          <w:sz w:val="20"/>
          <w:szCs w:val="20"/>
        </w:rPr>
        <w:t>-76-</w:t>
      </w:r>
    </w:p>
    <w:p w14:paraId="43D864FE" w14:textId="77777777" w:rsidR="00000000" w:rsidRDefault="000C49AD">
      <w:pPr>
        <w:rPr>
          <w:rFonts w:eastAsia="Times New Roman"/>
        </w:rPr>
      </w:pPr>
      <w:r>
        <w:rPr>
          <w:rFonts w:eastAsia="Times New Roman"/>
        </w:rPr>
        <w:pict w14:anchorId="3024BB73">
          <v:rect id="_x0000_i1101" style="width:0;height:1.5pt" o:hralign="center" o:hrstd="t" o:hr="t" fillcolor="#a0a0a0" stroked="f"/>
        </w:pict>
      </w:r>
    </w:p>
    <w:p w14:paraId="5FA748C0" w14:textId="77777777" w:rsidR="00000000" w:rsidRDefault="000C49AD">
      <w:pPr>
        <w:divId w:val="1943948922"/>
        <w:rPr>
          <w:rFonts w:eastAsia="Times New Roman"/>
        </w:rPr>
      </w:pPr>
    </w:p>
    <w:p w14:paraId="2F9EDDD8" w14:textId="77777777" w:rsidR="00000000" w:rsidRDefault="000C49AD">
      <w:pPr>
        <w:jc w:val="center"/>
        <w:rPr>
          <w:rFonts w:eastAsia="Times New Roman"/>
        </w:rPr>
      </w:pPr>
      <w:r>
        <w:rPr>
          <w:rFonts w:eastAsia="Times New Roman"/>
          <w:b/>
          <w:bCs/>
          <w:color w:val="000000"/>
          <w:sz w:val="20"/>
          <w:szCs w:val="20"/>
        </w:rPr>
        <w:t>AVADEL PHARMACEUTICALS PLC</w:t>
      </w:r>
    </w:p>
    <w:p w14:paraId="7CB1771D" w14:textId="77777777" w:rsidR="00000000" w:rsidRDefault="000C49AD">
      <w:pPr>
        <w:jc w:val="center"/>
        <w:rPr>
          <w:rFonts w:eastAsia="Times New Roman"/>
        </w:rPr>
      </w:pPr>
      <w:r>
        <w:rPr>
          <w:rFonts w:eastAsia="Times New Roman"/>
          <w:b/>
          <w:bCs/>
          <w:color w:val="000000"/>
          <w:sz w:val="20"/>
          <w:szCs w:val="20"/>
        </w:rPr>
        <w:t>CONSOLIDATED STATEMENTS OF SHAREHOLDERS’ EQUITY</w:t>
      </w:r>
    </w:p>
    <w:p w14:paraId="3F3396F6" w14:textId="77777777" w:rsidR="00000000" w:rsidRDefault="000C49AD">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tbl>
      <w:tblPr>
        <w:tblW w:w="5000" w:type="pct"/>
        <w:tblCellMar>
          <w:top w:w="15" w:type="dxa"/>
          <w:left w:w="15" w:type="dxa"/>
          <w:bottom w:w="15" w:type="dxa"/>
          <w:right w:w="15" w:type="dxa"/>
        </w:tblCellMar>
        <w:tblLook w:val="04A0" w:firstRow="1" w:lastRow="0" w:firstColumn="1" w:lastColumn="0" w:noHBand="0" w:noVBand="1"/>
      </w:tblPr>
      <w:tblGrid>
        <w:gridCol w:w="55"/>
        <w:gridCol w:w="1085"/>
        <w:gridCol w:w="37"/>
        <w:gridCol w:w="36"/>
        <w:gridCol w:w="36"/>
        <w:gridCol w:w="36"/>
        <w:gridCol w:w="77"/>
        <w:gridCol w:w="419"/>
        <w:gridCol w:w="37"/>
        <w:gridCol w:w="36"/>
        <w:gridCol w:w="36"/>
        <w:gridCol w:w="36"/>
        <w:gridCol w:w="101"/>
        <w:gridCol w:w="500"/>
        <w:gridCol w:w="36"/>
        <w:gridCol w:w="36"/>
        <w:gridCol w:w="36"/>
        <w:gridCol w:w="36"/>
        <w:gridCol w:w="101"/>
        <w:gridCol w:w="418"/>
        <w:gridCol w:w="37"/>
        <w:gridCol w:w="36"/>
        <w:gridCol w:w="36"/>
        <w:gridCol w:w="36"/>
        <w:gridCol w:w="101"/>
        <w:gridCol w:w="500"/>
        <w:gridCol w:w="36"/>
        <w:gridCol w:w="36"/>
        <w:gridCol w:w="36"/>
        <w:gridCol w:w="36"/>
        <w:gridCol w:w="101"/>
        <w:gridCol w:w="674"/>
        <w:gridCol w:w="36"/>
        <w:gridCol w:w="36"/>
        <w:gridCol w:w="36"/>
        <w:gridCol w:w="36"/>
        <w:gridCol w:w="120"/>
        <w:gridCol w:w="816"/>
        <w:gridCol w:w="36"/>
        <w:gridCol w:w="36"/>
        <w:gridCol w:w="36"/>
        <w:gridCol w:w="36"/>
        <w:gridCol w:w="121"/>
        <w:gridCol w:w="930"/>
        <w:gridCol w:w="36"/>
        <w:gridCol w:w="36"/>
        <w:gridCol w:w="36"/>
        <w:gridCol w:w="36"/>
        <w:gridCol w:w="77"/>
        <w:gridCol w:w="419"/>
        <w:gridCol w:w="36"/>
        <w:gridCol w:w="36"/>
        <w:gridCol w:w="36"/>
        <w:gridCol w:w="36"/>
        <w:gridCol w:w="100"/>
        <w:gridCol w:w="547"/>
        <w:gridCol w:w="36"/>
        <w:gridCol w:w="36"/>
        <w:gridCol w:w="36"/>
        <w:gridCol w:w="36"/>
        <w:gridCol w:w="112"/>
        <w:gridCol w:w="862"/>
        <w:gridCol w:w="36"/>
      </w:tblGrid>
      <w:tr w:rsidR="00000000" w14:paraId="2480ECF3" w14:textId="77777777">
        <w:tc>
          <w:tcPr>
            <w:tcW w:w="50" w:type="pct"/>
            <w:vAlign w:val="center"/>
            <w:hideMark/>
          </w:tcPr>
          <w:p w14:paraId="393325EC" w14:textId="77777777" w:rsidR="00000000" w:rsidRDefault="000C49AD">
            <w:pPr>
              <w:jc w:val="center"/>
              <w:rPr>
                <w:rFonts w:eastAsia="Times New Roman"/>
              </w:rPr>
            </w:pPr>
          </w:p>
        </w:tc>
        <w:tc>
          <w:tcPr>
            <w:tcW w:w="1002" w:type="pct"/>
            <w:vAlign w:val="center"/>
            <w:hideMark/>
          </w:tcPr>
          <w:p w14:paraId="7A429E4E" w14:textId="77777777" w:rsidR="00000000" w:rsidRDefault="000C49AD">
            <w:pPr>
              <w:spacing w:after="100"/>
              <w:rPr>
                <w:rFonts w:eastAsia="Times New Roman"/>
                <w:sz w:val="20"/>
                <w:szCs w:val="20"/>
              </w:rPr>
            </w:pPr>
          </w:p>
        </w:tc>
        <w:tc>
          <w:tcPr>
            <w:tcW w:w="5" w:type="pct"/>
            <w:vAlign w:val="center"/>
            <w:hideMark/>
          </w:tcPr>
          <w:p w14:paraId="68C012CA" w14:textId="77777777" w:rsidR="00000000" w:rsidRDefault="000C49AD">
            <w:pPr>
              <w:spacing w:after="100"/>
              <w:rPr>
                <w:rFonts w:eastAsia="Times New Roman"/>
                <w:sz w:val="20"/>
                <w:szCs w:val="20"/>
              </w:rPr>
            </w:pPr>
          </w:p>
        </w:tc>
        <w:tc>
          <w:tcPr>
            <w:tcW w:w="5" w:type="pct"/>
            <w:vAlign w:val="center"/>
            <w:hideMark/>
          </w:tcPr>
          <w:p w14:paraId="2B9DC459" w14:textId="77777777" w:rsidR="00000000" w:rsidRDefault="000C49AD">
            <w:pPr>
              <w:spacing w:after="100"/>
              <w:rPr>
                <w:rFonts w:eastAsia="Times New Roman"/>
                <w:sz w:val="20"/>
                <w:szCs w:val="20"/>
              </w:rPr>
            </w:pPr>
          </w:p>
        </w:tc>
        <w:tc>
          <w:tcPr>
            <w:tcW w:w="16" w:type="pct"/>
            <w:vAlign w:val="center"/>
            <w:hideMark/>
          </w:tcPr>
          <w:p w14:paraId="5E825290" w14:textId="77777777" w:rsidR="00000000" w:rsidRDefault="000C49AD">
            <w:pPr>
              <w:spacing w:after="100"/>
              <w:rPr>
                <w:rFonts w:eastAsia="Times New Roman"/>
                <w:sz w:val="20"/>
                <w:szCs w:val="20"/>
              </w:rPr>
            </w:pPr>
          </w:p>
        </w:tc>
        <w:tc>
          <w:tcPr>
            <w:tcW w:w="5" w:type="pct"/>
            <w:vAlign w:val="center"/>
            <w:hideMark/>
          </w:tcPr>
          <w:p w14:paraId="48A63C0C" w14:textId="77777777" w:rsidR="00000000" w:rsidRDefault="000C49AD">
            <w:pPr>
              <w:spacing w:after="100"/>
              <w:rPr>
                <w:rFonts w:eastAsia="Times New Roman"/>
                <w:sz w:val="20"/>
                <w:szCs w:val="20"/>
              </w:rPr>
            </w:pPr>
          </w:p>
        </w:tc>
        <w:tc>
          <w:tcPr>
            <w:tcW w:w="50" w:type="pct"/>
            <w:vAlign w:val="center"/>
            <w:hideMark/>
          </w:tcPr>
          <w:p w14:paraId="2C5A7B1E" w14:textId="77777777" w:rsidR="00000000" w:rsidRDefault="000C49AD">
            <w:pPr>
              <w:spacing w:after="100"/>
              <w:rPr>
                <w:rFonts w:eastAsia="Times New Roman"/>
                <w:sz w:val="20"/>
                <w:szCs w:val="20"/>
              </w:rPr>
            </w:pPr>
          </w:p>
        </w:tc>
        <w:tc>
          <w:tcPr>
            <w:tcW w:w="273" w:type="pct"/>
            <w:vAlign w:val="center"/>
            <w:hideMark/>
          </w:tcPr>
          <w:p w14:paraId="2631F0D0" w14:textId="77777777" w:rsidR="00000000" w:rsidRDefault="000C49AD">
            <w:pPr>
              <w:spacing w:after="100"/>
              <w:rPr>
                <w:rFonts w:eastAsia="Times New Roman"/>
                <w:sz w:val="20"/>
                <w:szCs w:val="20"/>
              </w:rPr>
            </w:pPr>
          </w:p>
        </w:tc>
        <w:tc>
          <w:tcPr>
            <w:tcW w:w="5" w:type="pct"/>
            <w:vAlign w:val="center"/>
            <w:hideMark/>
          </w:tcPr>
          <w:p w14:paraId="64F016E7" w14:textId="77777777" w:rsidR="00000000" w:rsidRDefault="000C49AD">
            <w:pPr>
              <w:spacing w:after="100"/>
              <w:rPr>
                <w:rFonts w:eastAsia="Times New Roman"/>
                <w:sz w:val="20"/>
                <w:szCs w:val="20"/>
              </w:rPr>
            </w:pPr>
          </w:p>
        </w:tc>
        <w:tc>
          <w:tcPr>
            <w:tcW w:w="5" w:type="pct"/>
            <w:vAlign w:val="center"/>
            <w:hideMark/>
          </w:tcPr>
          <w:p w14:paraId="69AB96B9" w14:textId="77777777" w:rsidR="00000000" w:rsidRDefault="000C49AD">
            <w:pPr>
              <w:spacing w:after="100"/>
              <w:rPr>
                <w:rFonts w:eastAsia="Times New Roman"/>
                <w:sz w:val="20"/>
                <w:szCs w:val="20"/>
              </w:rPr>
            </w:pPr>
          </w:p>
        </w:tc>
        <w:tc>
          <w:tcPr>
            <w:tcW w:w="16" w:type="pct"/>
            <w:vAlign w:val="center"/>
            <w:hideMark/>
          </w:tcPr>
          <w:p w14:paraId="76C22C3E" w14:textId="77777777" w:rsidR="00000000" w:rsidRDefault="000C49AD">
            <w:pPr>
              <w:spacing w:after="100"/>
              <w:rPr>
                <w:rFonts w:eastAsia="Times New Roman"/>
                <w:sz w:val="20"/>
                <w:szCs w:val="20"/>
              </w:rPr>
            </w:pPr>
          </w:p>
        </w:tc>
        <w:tc>
          <w:tcPr>
            <w:tcW w:w="5" w:type="pct"/>
            <w:vAlign w:val="center"/>
            <w:hideMark/>
          </w:tcPr>
          <w:p w14:paraId="12283C17" w14:textId="77777777" w:rsidR="00000000" w:rsidRDefault="000C49AD">
            <w:pPr>
              <w:spacing w:after="100"/>
              <w:rPr>
                <w:rFonts w:eastAsia="Times New Roman"/>
                <w:sz w:val="20"/>
                <w:szCs w:val="20"/>
              </w:rPr>
            </w:pPr>
          </w:p>
        </w:tc>
        <w:tc>
          <w:tcPr>
            <w:tcW w:w="50" w:type="pct"/>
            <w:vAlign w:val="center"/>
            <w:hideMark/>
          </w:tcPr>
          <w:p w14:paraId="2C95F1AF" w14:textId="77777777" w:rsidR="00000000" w:rsidRDefault="000C49AD">
            <w:pPr>
              <w:spacing w:after="100"/>
              <w:rPr>
                <w:rFonts w:eastAsia="Times New Roman"/>
                <w:sz w:val="20"/>
                <w:szCs w:val="20"/>
              </w:rPr>
            </w:pPr>
          </w:p>
        </w:tc>
        <w:tc>
          <w:tcPr>
            <w:tcW w:w="273" w:type="pct"/>
            <w:vAlign w:val="center"/>
            <w:hideMark/>
          </w:tcPr>
          <w:p w14:paraId="0F658A50" w14:textId="77777777" w:rsidR="00000000" w:rsidRDefault="000C49AD">
            <w:pPr>
              <w:spacing w:after="100"/>
              <w:rPr>
                <w:rFonts w:eastAsia="Times New Roman"/>
                <w:sz w:val="20"/>
                <w:szCs w:val="20"/>
              </w:rPr>
            </w:pPr>
          </w:p>
        </w:tc>
        <w:tc>
          <w:tcPr>
            <w:tcW w:w="5" w:type="pct"/>
            <w:vAlign w:val="center"/>
            <w:hideMark/>
          </w:tcPr>
          <w:p w14:paraId="4577DA55" w14:textId="77777777" w:rsidR="00000000" w:rsidRDefault="000C49AD">
            <w:pPr>
              <w:spacing w:after="100"/>
              <w:rPr>
                <w:rFonts w:eastAsia="Times New Roman"/>
                <w:sz w:val="20"/>
                <w:szCs w:val="20"/>
              </w:rPr>
            </w:pPr>
          </w:p>
        </w:tc>
        <w:tc>
          <w:tcPr>
            <w:tcW w:w="5" w:type="pct"/>
            <w:vAlign w:val="center"/>
            <w:hideMark/>
          </w:tcPr>
          <w:p w14:paraId="21FFBC5B" w14:textId="77777777" w:rsidR="00000000" w:rsidRDefault="000C49AD">
            <w:pPr>
              <w:spacing w:after="100"/>
              <w:rPr>
                <w:rFonts w:eastAsia="Times New Roman"/>
                <w:sz w:val="20"/>
                <w:szCs w:val="20"/>
              </w:rPr>
            </w:pPr>
          </w:p>
        </w:tc>
        <w:tc>
          <w:tcPr>
            <w:tcW w:w="16" w:type="pct"/>
            <w:vAlign w:val="center"/>
            <w:hideMark/>
          </w:tcPr>
          <w:p w14:paraId="6AE9C1DA" w14:textId="77777777" w:rsidR="00000000" w:rsidRDefault="000C49AD">
            <w:pPr>
              <w:spacing w:after="100"/>
              <w:rPr>
                <w:rFonts w:eastAsia="Times New Roman"/>
                <w:sz w:val="20"/>
                <w:szCs w:val="20"/>
              </w:rPr>
            </w:pPr>
          </w:p>
        </w:tc>
        <w:tc>
          <w:tcPr>
            <w:tcW w:w="5" w:type="pct"/>
            <w:vAlign w:val="center"/>
            <w:hideMark/>
          </w:tcPr>
          <w:p w14:paraId="24BEBD63" w14:textId="77777777" w:rsidR="00000000" w:rsidRDefault="000C49AD">
            <w:pPr>
              <w:spacing w:after="100"/>
              <w:rPr>
                <w:rFonts w:eastAsia="Times New Roman"/>
                <w:sz w:val="20"/>
                <w:szCs w:val="20"/>
              </w:rPr>
            </w:pPr>
          </w:p>
        </w:tc>
        <w:tc>
          <w:tcPr>
            <w:tcW w:w="50" w:type="pct"/>
            <w:vAlign w:val="center"/>
            <w:hideMark/>
          </w:tcPr>
          <w:p w14:paraId="447435BD" w14:textId="77777777" w:rsidR="00000000" w:rsidRDefault="000C49AD">
            <w:pPr>
              <w:spacing w:after="100"/>
              <w:rPr>
                <w:rFonts w:eastAsia="Times New Roman"/>
                <w:sz w:val="20"/>
                <w:szCs w:val="20"/>
              </w:rPr>
            </w:pPr>
          </w:p>
        </w:tc>
        <w:tc>
          <w:tcPr>
            <w:tcW w:w="273" w:type="pct"/>
            <w:vAlign w:val="center"/>
            <w:hideMark/>
          </w:tcPr>
          <w:p w14:paraId="393E6508" w14:textId="77777777" w:rsidR="00000000" w:rsidRDefault="000C49AD">
            <w:pPr>
              <w:spacing w:after="100"/>
              <w:rPr>
                <w:rFonts w:eastAsia="Times New Roman"/>
                <w:sz w:val="20"/>
                <w:szCs w:val="20"/>
              </w:rPr>
            </w:pPr>
          </w:p>
        </w:tc>
        <w:tc>
          <w:tcPr>
            <w:tcW w:w="5" w:type="pct"/>
            <w:vAlign w:val="center"/>
            <w:hideMark/>
          </w:tcPr>
          <w:p w14:paraId="29B6C7CA" w14:textId="77777777" w:rsidR="00000000" w:rsidRDefault="000C49AD">
            <w:pPr>
              <w:spacing w:after="100"/>
              <w:rPr>
                <w:rFonts w:eastAsia="Times New Roman"/>
                <w:sz w:val="20"/>
                <w:szCs w:val="20"/>
              </w:rPr>
            </w:pPr>
          </w:p>
        </w:tc>
        <w:tc>
          <w:tcPr>
            <w:tcW w:w="5" w:type="pct"/>
            <w:vAlign w:val="center"/>
            <w:hideMark/>
          </w:tcPr>
          <w:p w14:paraId="641B48BA" w14:textId="77777777" w:rsidR="00000000" w:rsidRDefault="000C49AD">
            <w:pPr>
              <w:spacing w:after="100"/>
              <w:rPr>
                <w:rFonts w:eastAsia="Times New Roman"/>
                <w:sz w:val="20"/>
                <w:szCs w:val="20"/>
              </w:rPr>
            </w:pPr>
          </w:p>
        </w:tc>
        <w:tc>
          <w:tcPr>
            <w:tcW w:w="10" w:type="pct"/>
            <w:vAlign w:val="center"/>
            <w:hideMark/>
          </w:tcPr>
          <w:p w14:paraId="05C1F831" w14:textId="77777777" w:rsidR="00000000" w:rsidRDefault="000C49AD">
            <w:pPr>
              <w:spacing w:after="100"/>
              <w:rPr>
                <w:rFonts w:eastAsia="Times New Roman"/>
                <w:sz w:val="20"/>
                <w:szCs w:val="20"/>
              </w:rPr>
            </w:pPr>
          </w:p>
        </w:tc>
        <w:tc>
          <w:tcPr>
            <w:tcW w:w="5" w:type="pct"/>
            <w:vAlign w:val="center"/>
            <w:hideMark/>
          </w:tcPr>
          <w:p w14:paraId="7D5B237F" w14:textId="77777777" w:rsidR="00000000" w:rsidRDefault="000C49AD">
            <w:pPr>
              <w:spacing w:after="100"/>
              <w:rPr>
                <w:rFonts w:eastAsia="Times New Roman"/>
                <w:sz w:val="20"/>
                <w:szCs w:val="20"/>
              </w:rPr>
            </w:pPr>
          </w:p>
        </w:tc>
        <w:tc>
          <w:tcPr>
            <w:tcW w:w="50" w:type="pct"/>
            <w:vAlign w:val="center"/>
            <w:hideMark/>
          </w:tcPr>
          <w:p w14:paraId="2C6DCC14" w14:textId="77777777" w:rsidR="00000000" w:rsidRDefault="000C49AD">
            <w:pPr>
              <w:spacing w:after="100"/>
              <w:rPr>
                <w:rFonts w:eastAsia="Times New Roman"/>
                <w:sz w:val="20"/>
                <w:szCs w:val="20"/>
              </w:rPr>
            </w:pPr>
          </w:p>
        </w:tc>
        <w:tc>
          <w:tcPr>
            <w:tcW w:w="273" w:type="pct"/>
            <w:vAlign w:val="center"/>
            <w:hideMark/>
          </w:tcPr>
          <w:p w14:paraId="0B3AE85F" w14:textId="77777777" w:rsidR="00000000" w:rsidRDefault="000C49AD">
            <w:pPr>
              <w:spacing w:after="100"/>
              <w:rPr>
                <w:rFonts w:eastAsia="Times New Roman"/>
                <w:sz w:val="20"/>
                <w:szCs w:val="20"/>
              </w:rPr>
            </w:pPr>
          </w:p>
        </w:tc>
        <w:tc>
          <w:tcPr>
            <w:tcW w:w="5" w:type="pct"/>
            <w:vAlign w:val="center"/>
            <w:hideMark/>
          </w:tcPr>
          <w:p w14:paraId="6DF13477" w14:textId="77777777" w:rsidR="00000000" w:rsidRDefault="000C49AD">
            <w:pPr>
              <w:spacing w:after="100"/>
              <w:rPr>
                <w:rFonts w:eastAsia="Times New Roman"/>
                <w:sz w:val="20"/>
                <w:szCs w:val="20"/>
              </w:rPr>
            </w:pPr>
          </w:p>
        </w:tc>
        <w:tc>
          <w:tcPr>
            <w:tcW w:w="5" w:type="pct"/>
            <w:vAlign w:val="center"/>
            <w:hideMark/>
          </w:tcPr>
          <w:p w14:paraId="59769CA9" w14:textId="77777777" w:rsidR="00000000" w:rsidRDefault="000C49AD">
            <w:pPr>
              <w:spacing w:after="100"/>
              <w:rPr>
                <w:rFonts w:eastAsia="Times New Roman"/>
                <w:sz w:val="20"/>
                <w:szCs w:val="20"/>
              </w:rPr>
            </w:pPr>
          </w:p>
        </w:tc>
        <w:tc>
          <w:tcPr>
            <w:tcW w:w="10" w:type="pct"/>
            <w:vAlign w:val="center"/>
            <w:hideMark/>
          </w:tcPr>
          <w:p w14:paraId="3664DABC" w14:textId="77777777" w:rsidR="00000000" w:rsidRDefault="000C49AD">
            <w:pPr>
              <w:spacing w:after="100"/>
              <w:rPr>
                <w:rFonts w:eastAsia="Times New Roman"/>
                <w:sz w:val="20"/>
                <w:szCs w:val="20"/>
              </w:rPr>
            </w:pPr>
          </w:p>
        </w:tc>
        <w:tc>
          <w:tcPr>
            <w:tcW w:w="5" w:type="pct"/>
            <w:vAlign w:val="center"/>
            <w:hideMark/>
          </w:tcPr>
          <w:p w14:paraId="562821E2" w14:textId="77777777" w:rsidR="00000000" w:rsidRDefault="000C49AD">
            <w:pPr>
              <w:spacing w:after="100"/>
              <w:rPr>
                <w:rFonts w:eastAsia="Times New Roman"/>
                <w:sz w:val="20"/>
                <w:szCs w:val="20"/>
              </w:rPr>
            </w:pPr>
          </w:p>
        </w:tc>
        <w:tc>
          <w:tcPr>
            <w:tcW w:w="50" w:type="pct"/>
            <w:vAlign w:val="center"/>
            <w:hideMark/>
          </w:tcPr>
          <w:p w14:paraId="5CA8AECC" w14:textId="77777777" w:rsidR="00000000" w:rsidRDefault="000C49AD">
            <w:pPr>
              <w:spacing w:after="100"/>
              <w:rPr>
                <w:rFonts w:eastAsia="Times New Roman"/>
                <w:sz w:val="20"/>
                <w:szCs w:val="20"/>
              </w:rPr>
            </w:pPr>
          </w:p>
        </w:tc>
        <w:tc>
          <w:tcPr>
            <w:tcW w:w="387" w:type="pct"/>
            <w:vAlign w:val="center"/>
            <w:hideMark/>
          </w:tcPr>
          <w:p w14:paraId="4E469DD4" w14:textId="77777777" w:rsidR="00000000" w:rsidRDefault="000C49AD">
            <w:pPr>
              <w:spacing w:after="100"/>
              <w:rPr>
                <w:rFonts w:eastAsia="Times New Roman"/>
                <w:sz w:val="20"/>
                <w:szCs w:val="20"/>
              </w:rPr>
            </w:pPr>
          </w:p>
        </w:tc>
        <w:tc>
          <w:tcPr>
            <w:tcW w:w="5" w:type="pct"/>
            <w:vAlign w:val="center"/>
            <w:hideMark/>
          </w:tcPr>
          <w:p w14:paraId="0621A011" w14:textId="77777777" w:rsidR="00000000" w:rsidRDefault="000C49AD">
            <w:pPr>
              <w:spacing w:after="100"/>
              <w:rPr>
                <w:rFonts w:eastAsia="Times New Roman"/>
                <w:sz w:val="20"/>
                <w:szCs w:val="20"/>
              </w:rPr>
            </w:pPr>
          </w:p>
        </w:tc>
        <w:tc>
          <w:tcPr>
            <w:tcW w:w="5" w:type="pct"/>
            <w:vAlign w:val="center"/>
            <w:hideMark/>
          </w:tcPr>
          <w:p w14:paraId="53065BAE" w14:textId="77777777" w:rsidR="00000000" w:rsidRDefault="000C49AD">
            <w:pPr>
              <w:spacing w:after="100"/>
              <w:rPr>
                <w:rFonts w:eastAsia="Times New Roman"/>
                <w:sz w:val="20"/>
                <w:szCs w:val="20"/>
              </w:rPr>
            </w:pPr>
          </w:p>
        </w:tc>
        <w:tc>
          <w:tcPr>
            <w:tcW w:w="16" w:type="pct"/>
            <w:vAlign w:val="center"/>
            <w:hideMark/>
          </w:tcPr>
          <w:p w14:paraId="35F80232" w14:textId="77777777" w:rsidR="00000000" w:rsidRDefault="000C49AD">
            <w:pPr>
              <w:spacing w:after="100"/>
              <w:rPr>
                <w:rFonts w:eastAsia="Times New Roman"/>
                <w:sz w:val="20"/>
                <w:szCs w:val="20"/>
              </w:rPr>
            </w:pPr>
          </w:p>
        </w:tc>
        <w:tc>
          <w:tcPr>
            <w:tcW w:w="5" w:type="pct"/>
            <w:vAlign w:val="center"/>
            <w:hideMark/>
          </w:tcPr>
          <w:p w14:paraId="067905CB" w14:textId="77777777" w:rsidR="00000000" w:rsidRDefault="000C49AD">
            <w:pPr>
              <w:spacing w:after="100"/>
              <w:rPr>
                <w:rFonts w:eastAsia="Times New Roman"/>
                <w:sz w:val="20"/>
                <w:szCs w:val="20"/>
              </w:rPr>
            </w:pPr>
          </w:p>
        </w:tc>
        <w:tc>
          <w:tcPr>
            <w:tcW w:w="50" w:type="pct"/>
            <w:vAlign w:val="center"/>
            <w:hideMark/>
          </w:tcPr>
          <w:p w14:paraId="6BDFF71D" w14:textId="77777777" w:rsidR="00000000" w:rsidRDefault="000C49AD">
            <w:pPr>
              <w:spacing w:after="100"/>
              <w:rPr>
                <w:rFonts w:eastAsia="Times New Roman"/>
                <w:sz w:val="20"/>
                <w:szCs w:val="20"/>
              </w:rPr>
            </w:pPr>
          </w:p>
        </w:tc>
        <w:tc>
          <w:tcPr>
            <w:tcW w:w="340" w:type="pct"/>
            <w:vAlign w:val="center"/>
            <w:hideMark/>
          </w:tcPr>
          <w:p w14:paraId="0A18007C" w14:textId="77777777" w:rsidR="00000000" w:rsidRDefault="000C49AD">
            <w:pPr>
              <w:spacing w:after="100"/>
              <w:rPr>
                <w:rFonts w:eastAsia="Times New Roman"/>
                <w:sz w:val="20"/>
                <w:szCs w:val="20"/>
              </w:rPr>
            </w:pPr>
          </w:p>
        </w:tc>
        <w:tc>
          <w:tcPr>
            <w:tcW w:w="5" w:type="pct"/>
            <w:vAlign w:val="center"/>
            <w:hideMark/>
          </w:tcPr>
          <w:p w14:paraId="55D74CB8" w14:textId="77777777" w:rsidR="00000000" w:rsidRDefault="000C49AD">
            <w:pPr>
              <w:spacing w:after="100"/>
              <w:rPr>
                <w:rFonts w:eastAsia="Times New Roman"/>
                <w:sz w:val="20"/>
                <w:szCs w:val="20"/>
              </w:rPr>
            </w:pPr>
          </w:p>
        </w:tc>
        <w:tc>
          <w:tcPr>
            <w:tcW w:w="5" w:type="pct"/>
            <w:vAlign w:val="center"/>
            <w:hideMark/>
          </w:tcPr>
          <w:p w14:paraId="3FA7071C" w14:textId="77777777" w:rsidR="00000000" w:rsidRDefault="000C49AD">
            <w:pPr>
              <w:spacing w:after="100"/>
              <w:rPr>
                <w:rFonts w:eastAsia="Times New Roman"/>
                <w:sz w:val="20"/>
                <w:szCs w:val="20"/>
              </w:rPr>
            </w:pPr>
          </w:p>
        </w:tc>
        <w:tc>
          <w:tcPr>
            <w:tcW w:w="16" w:type="pct"/>
            <w:vAlign w:val="center"/>
            <w:hideMark/>
          </w:tcPr>
          <w:p w14:paraId="05C895F7" w14:textId="77777777" w:rsidR="00000000" w:rsidRDefault="000C49AD">
            <w:pPr>
              <w:spacing w:after="100"/>
              <w:rPr>
                <w:rFonts w:eastAsia="Times New Roman"/>
                <w:sz w:val="20"/>
                <w:szCs w:val="20"/>
              </w:rPr>
            </w:pPr>
          </w:p>
        </w:tc>
        <w:tc>
          <w:tcPr>
            <w:tcW w:w="5" w:type="pct"/>
            <w:vAlign w:val="center"/>
            <w:hideMark/>
          </w:tcPr>
          <w:p w14:paraId="7B2DE192" w14:textId="77777777" w:rsidR="00000000" w:rsidRDefault="000C49AD">
            <w:pPr>
              <w:spacing w:after="100"/>
              <w:rPr>
                <w:rFonts w:eastAsia="Times New Roman"/>
                <w:sz w:val="20"/>
                <w:szCs w:val="20"/>
              </w:rPr>
            </w:pPr>
          </w:p>
        </w:tc>
        <w:tc>
          <w:tcPr>
            <w:tcW w:w="50" w:type="pct"/>
            <w:vAlign w:val="center"/>
            <w:hideMark/>
          </w:tcPr>
          <w:p w14:paraId="2A338AC3" w14:textId="77777777" w:rsidR="00000000" w:rsidRDefault="000C49AD">
            <w:pPr>
              <w:spacing w:after="100"/>
              <w:rPr>
                <w:rFonts w:eastAsia="Times New Roman"/>
                <w:sz w:val="20"/>
                <w:szCs w:val="20"/>
              </w:rPr>
            </w:pPr>
          </w:p>
        </w:tc>
        <w:tc>
          <w:tcPr>
            <w:tcW w:w="387" w:type="pct"/>
            <w:vAlign w:val="center"/>
            <w:hideMark/>
          </w:tcPr>
          <w:p w14:paraId="165F23E6" w14:textId="77777777" w:rsidR="00000000" w:rsidRDefault="000C49AD">
            <w:pPr>
              <w:spacing w:after="100"/>
              <w:rPr>
                <w:rFonts w:eastAsia="Times New Roman"/>
                <w:sz w:val="20"/>
                <w:szCs w:val="20"/>
              </w:rPr>
            </w:pPr>
          </w:p>
        </w:tc>
        <w:tc>
          <w:tcPr>
            <w:tcW w:w="5" w:type="pct"/>
            <w:vAlign w:val="center"/>
            <w:hideMark/>
          </w:tcPr>
          <w:p w14:paraId="5AF0E5DA" w14:textId="77777777" w:rsidR="00000000" w:rsidRDefault="000C49AD">
            <w:pPr>
              <w:spacing w:after="100"/>
              <w:rPr>
                <w:rFonts w:eastAsia="Times New Roman"/>
                <w:sz w:val="20"/>
                <w:szCs w:val="20"/>
              </w:rPr>
            </w:pPr>
          </w:p>
        </w:tc>
        <w:tc>
          <w:tcPr>
            <w:tcW w:w="5" w:type="pct"/>
            <w:vAlign w:val="center"/>
            <w:hideMark/>
          </w:tcPr>
          <w:p w14:paraId="66AEB7FB" w14:textId="77777777" w:rsidR="00000000" w:rsidRDefault="000C49AD">
            <w:pPr>
              <w:spacing w:after="100"/>
              <w:rPr>
                <w:rFonts w:eastAsia="Times New Roman"/>
                <w:sz w:val="20"/>
                <w:szCs w:val="20"/>
              </w:rPr>
            </w:pPr>
          </w:p>
        </w:tc>
        <w:tc>
          <w:tcPr>
            <w:tcW w:w="16" w:type="pct"/>
            <w:vAlign w:val="center"/>
            <w:hideMark/>
          </w:tcPr>
          <w:p w14:paraId="57D50594" w14:textId="77777777" w:rsidR="00000000" w:rsidRDefault="000C49AD">
            <w:pPr>
              <w:spacing w:after="100"/>
              <w:rPr>
                <w:rFonts w:eastAsia="Times New Roman"/>
                <w:sz w:val="20"/>
                <w:szCs w:val="20"/>
              </w:rPr>
            </w:pPr>
          </w:p>
        </w:tc>
        <w:tc>
          <w:tcPr>
            <w:tcW w:w="5" w:type="pct"/>
            <w:vAlign w:val="center"/>
            <w:hideMark/>
          </w:tcPr>
          <w:p w14:paraId="2243E01A" w14:textId="77777777" w:rsidR="00000000" w:rsidRDefault="000C49AD">
            <w:pPr>
              <w:spacing w:after="100"/>
              <w:rPr>
                <w:rFonts w:eastAsia="Times New Roman"/>
                <w:sz w:val="20"/>
                <w:szCs w:val="20"/>
              </w:rPr>
            </w:pPr>
          </w:p>
        </w:tc>
        <w:tc>
          <w:tcPr>
            <w:tcW w:w="50" w:type="pct"/>
            <w:vAlign w:val="center"/>
            <w:hideMark/>
          </w:tcPr>
          <w:p w14:paraId="20F8F70D" w14:textId="77777777" w:rsidR="00000000" w:rsidRDefault="000C49AD">
            <w:pPr>
              <w:spacing w:after="100"/>
              <w:rPr>
                <w:rFonts w:eastAsia="Times New Roman"/>
                <w:sz w:val="20"/>
                <w:szCs w:val="20"/>
              </w:rPr>
            </w:pPr>
          </w:p>
        </w:tc>
        <w:tc>
          <w:tcPr>
            <w:tcW w:w="273" w:type="pct"/>
            <w:vAlign w:val="center"/>
            <w:hideMark/>
          </w:tcPr>
          <w:p w14:paraId="0A2A6AA5" w14:textId="77777777" w:rsidR="00000000" w:rsidRDefault="000C49AD">
            <w:pPr>
              <w:spacing w:after="100"/>
              <w:rPr>
                <w:rFonts w:eastAsia="Times New Roman"/>
                <w:sz w:val="20"/>
                <w:szCs w:val="20"/>
              </w:rPr>
            </w:pPr>
          </w:p>
        </w:tc>
        <w:tc>
          <w:tcPr>
            <w:tcW w:w="5" w:type="pct"/>
            <w:vAlign w:val="center"/>
            <w:hideMark/>
          </w:tcPr>
          <w:p w14:paraId="1849E2E8" w14:textId="77777777" w:rsidR="00000000" w:rsidRDefault="000C49AD">
            <w:pPr>
              <w:spacing w:after="100"/>
              <w:rPr>
                <w:rFonts w:eastAsia="Times New Roman"/>
                <w:sz w:val="20"/>
                <w:szCs w:val="20"/>
              </w:rPr>
            </w:pPr>
          </w:p>
        </w:tc>
        <w:tc>
          <w:tcPr>
            <w:tcW w:w="5" w:type="pct"/>
            <w:vAlign w:val="center"/>
            <w:hideMark/>
          </w:tcPr>
          <w:p w14:paraId="6592A323" w14:textId="77777777" w:rsidR="00000000" w:rsidRDefault="000C49AD">
            <w:pPr>
              <w:spacing w:after="100"/>
              <w:rPr>
                <w:rFonts w:eastAsia="Times New Roman"/>
                <w:sz w:val="20"/>
                <w:szCs w:val="20"/>
              </w:rPr>
            </w:pPr>
          </w:p>
        </w:tc>
        <w:tc>
          <w:tcPr>
            <w:tcW w:w="16" w:type="pct"/>
            <w:vAlign w:val="center"/>
            <w:hideMark/>
          </w:tcPr>
          <w:p w14:paraId="45897325" w14:textId="77777777" w:rsidR="00000000" w:rsidRDefault="000C49AD">
            <w:pPr>
              <w:spacing w:after="100"/>
              <w:rPr>
                <w:rFonts w:eastAsia="Times New Roman"/>
                <w:sz w:val="20"/>
                <w:szCs w:val="20"/>
              </w:rPr>
            </w:pPr>
          </w:p>
        </w:tc>
        <w:tc>
          <w:tcPr>
            <w:tcW w:w="5" w:type="pct"/>
            <w:vAlign w:val="center"/>
            <w:hideMark/>
          </w:tcPr>
          <w:p w14:paraId="45132ED4" w14:textId="77777777" w:rsidR="00000000" w:rsidRDefault="000C49AD">
            <w:pPr>
              <w:spacing w:after="100"/>
              <w:rPr>
                <w:rFonts w:eastAsia="Times New Roman"/>
                <w:sz w:val="20"/>
                <w:szCs w:val="20"/>
              </w:rPr>
            </w:pPr>
          </w:p>
        </w:tc>
        <w:tc>
          <w:tcPr>
            <w:tcW w:w="50" w:type="pct"/>
            <w:vAlign w:val="center"/>
            <w:hideMark/>
          </w:tcPr>
          <w:p w14:paraId="0BF8536F" w14:textId="77777777" w:rsidR="00000000" w:rsidRDefault="000C49AD">
            <w:pPr>
              <w:spacing w:after="100"/>
              <w:rPr>
                <w:rFonts w:eastAsia="Times New Roman"/>
                <w:sz w:val="20"/>
                <w:szCs w:val="20"/>
              </w:rPr>
            </w:pPr>
          </w:p>
        </w:tc>
        <w:tc>
          <w:tcPr>
            <w:tcW w:w="273" w:type="pct"/>
            <w:vAlign w:val="center"/>
            <w:hideMark/>
          </w:tcPr>
          <w:p w14:paraId="50A589B0" w14:textId="77777777" w:rsidR="00000000" w:rsidRDefault="000C49AD">
            <w:pPr>
              <w:spacing w:after="100"/>
              <w:rPr>
                <w:rFonts w:eastAsia="Times New Roman"/>
                <w:sz w:val="20"/>
                <w:szCs w:val="20"/>
              </w:rPr>
            </w:pPr>
          </w:p>
        </w:tc>
        <w:tc>
          <w:tcPr>
            <w:tcW w:w="5" w:type="pct"/>
            <w:vAlign w:val="center"/>
            <w:hideMark/>
          </w:tcPr>
          <w:p w14:paraId="799FFFE6" w14:textId="77777777" w:rsidR="00000000" w:rsidRDefault="000C49AD">
            <w:pPr>
              <w:spacing w:after="100"/>
              <w:rPr>
                <w:rFonts w:eastAsia="Times New Roman"/>
                <w:sz w:val="20"/>
                <w:szCs w:val="20"/>
              </w:rPr>
            </w:pPr>
          </w:p>
        </w:tc>
        <w:tc>
          <w:tcPr>
            <w:tcW w:w="5" w:type="pct"/>
            <w:vAlign w:val="center"/>
            <w:hideMark/>
          </w:tcPr>
          <w:p w14:paraId="0A290807" w14:textId="77777777" w:rsidR="00000000" w:rsidRDefault="000C49AD">
            <w:pPr>
              <w:spacing w:after="100"/>
              <w:rPr>
                <w:rFonts w:eastAsia="Times New Roman"/>
                <w:sz w:val="20"/>
                <w:szCs w:val="20"/>
              </w:rPr>
            </w:pPr>
          </w:p>
        </w:tc>
        <w:tc>
          <w:tcPr>
            <w:tcW w:w="16" w:type="pct"/>
            <w:vAlign w:val="center"/>
            <w:hideMark/>
          </w:tcPr>
          <w:p w14:paraId="6325B68E" w14:textId="77777777" w:rsidR="00000000" w:rsidRDefault="000C49AD">
            <w:pPr>
              <w:spacing w:after="100"/>
              <w:rPr>
                <w:rFonts w:eastAsia="Times New Roman"/>
                <w:sz w:val="20"/>
                <w:szCs w:val="20"/>
              </w:rPr>
            </w:pPr>
          </w:p>
        </w:tc>
        <w:tc>
          <w:tcPr>
            <w:tcW w:w="5" w:type="pct"/>
            <w:vAlign w:val="center"/>
            <w:hideMark/>
          </w:tcPr>
          <w:p w14:paraId="38D94066" w14:textId="77777777" w:rsidR="00000000" w:rsidRDefault="000C49AD">
            <w:pPr>
              <w:spacing w:after="100"/>
              <w:rPr>
                <w:rFonts w:eastAsia="Times New Roman"/>
                <w:sz w:val="20"/>
                <w:szCs w:val="20"/>
              </w:rPr>
            </w:pPr>
          </w:p>
        </w:tc>
        <w:tc>
          <w:tcPr>
            <w:tcW w:w="50" w:type="pct"/>
            <w:vAlign w:val="center"/>
            <w:hideMark/>
          </w:tcPr>
          <w:p w14:paraId="01886898" w14:textId="77777777" w:rsidR="00000000" w:rsidRDefault="000C49AD">
            <w:pPr>
              <w:spacing w:after="100"/>
              <w:rPr>
                <w:rFonts w:eastAsia="Times New Roman"/>
                <w:sz w:val="20"/>
                <w:szCs w:val="20"/>
              </w:rPr>
            </w:pPr>
          </w:p>
        </w:tc>
        <w:tc>
          <w:tcPr>
            <w:tcW w:w="388" w:type="pct"/>
            <w:vAlign w:val="center"/>
            <w:hideMark/>
          </w:tcPr>
          <w:p w14:paraId="69213308" w14:textId="77777777" w:rsidR="00000000" w:rsidRDefault="000C49AD">
            <w:pPr>
              <w:spacing w:after="100"/>
              <w:rPr>
                <w:rFonts w:eastAsia="Times New Roman"/>
                <w:sz w:val="20"/>
                <w:szCs w:val="20"/>
              </w:rPr>
            </w:pPr>
          </w:p>
        </w:tc>
        <w:tc>
          <w:tcPr>
            <w:tcW w:w="5" w:type="pct"/>
            <w:vAlign w:val="center"/>
            <w:hideMark/>
          </w:tcPr>
          <w:p w14:paraId="39AFB35E" w14:textId="77777777" w:rsidR="00000000" w:rsidRDefault="000C49AD">
            <w:pPr>
              <w:spacing w:after="100"/>
              <w:rPr>
                <w:rFonts w:eastAsia="Times New Roman"/>
                <w:sz w:val="20"/>
                <w:szCs w:val="20"/>
              </w:rPr>
            </w:pPr>
          </w:p>
        </w:tc>
      </w:tr>
      <w:tr w:rsidR="00000000" w14:paraId="051C4A0A" w14:textId="77777777">
        <w:tc>
          <w:tcPr>
            <w:tcW w:w="0" w:type="auto"/>
            <w:gridSpan w:val="3"/>
            <w:tcMar>
              <w:top w:w="30" w:type="dxa"/>
              <w:left w:w="20" w:type="dxa"/>
              <w:bottom w:w="30" w:type="dxa"/>
              <w:right w:w="20" w:type="dxa"/>
            </w:tcMar>
            <w:vAlign w:val="bottom"/>
            <w:hideMark/>
          </w:tcPr>
          <w:p w14:paraId="010EEAEA" w14:textId="77777777" w:rsidR="00000000" w:rsidRDefault="000C49A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3456D52C" w14:textId="77777777" w:rsidR="00000000" w:rsidRDefault="000C49AD">
            <w:pPr>
              <w:spacing w:after="100"/>
              <w:rPr>
                <w:rFonts w:eastAsia="Times New Roman"/>
              </w:rPr>
            </w:pPr>
          </w:p>
        </w:tc>
        <w:tc>
          <w:tcPr>
            <w:tcW w:w="0" w:type="auto"/>
            <w:gridSpan w:val="9"/>
            <w:tcMar>
              <w:top w:w="30" w:type="dxa"/>
              <w:left w:w="20" w:type="dxa"/>
              <w:bottom w:w="30" w:type="dxa"/>
              <w:right w:w="20" w:type="dxa"/>
            </w:tcMar>
            <w:vAlign w:val="bottom"/>
            <w:hideMark/>
          </w:tcPr>
          <w:p w14:paraId="023CBB60" w14:textId="77777777" w:rsidR="00000000" w:rsidRDefault="000C49AD">
            <w:pPr>
              <w:spacing w:after="100"/>
              <w:jc w:val="center"/>
              <w:rPr>
                <w:rFonts w:eastAsia="Times New Roman"/>
              </w:rPr>
            </w:pPr>
            <w:r>
              <w:rPr>
                <w:rFonts w:eastAsia="Times New Roman"/>
                <w:b/>
                <w:bCs/>
                <w:color w:val="000000"/>
                <w:sz w:val="16"/>
                <w:szCs w:val="16"/>
              </w:rPr>
              <w:t>Ordinary shares</w:t>
            </w:r>
          </w:p>
        </w:tc>
        <w:tc>
          <w:tcPr>
            <w:tcW w:w="0" w:type="auto"/>
            <w:gridSpan w:val="3"/>
            <w:tcMar>
              <w:top w:w="0" w:type="dxa"/>
              <w:left w:w="20" w:type="dxa"/>
              <w:bottom w:w="0" w:type="dxa"/>
              <w:right w:w="20" w:type="dxa"/>
            </w:tcMar>
            <w:vAlign w:val="center"/>
            <w:hideMark/>
          </w:tcPr>
          <w:p w14:paraId="6EED0E4D" w14:textId="77777777" w:rsidR="00000000" w:rsidRDefault="000C49A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74A9FEB" w14:textId="77777777" w:rsidR="00000000" w:rsidRDefault="000C49AD">
            <w:pPr>
              <w:spacing w:after="100"/>
              <w:jc w:val="center"/>
              <w:rPr>
                <w:rFonts w:eastAsia="Times New Roman"/>
              </w:rPr>
            </w:pPr>
            <w:r>
              <w:rPr>
                <w:rFonts w:eastAsia="Times New Roman"/>
                <w:b/>
                <w:bCs/>
                <w:color w:val="000000"/>
                <w:sz w:val="16"/>
                <w:szCs w:val="16"/>
              </w:rPr>
              <w:t>Preferred shares</w:t>
            </w:r>
          </w:p>
        </w:tc>
        <w:tc>
          <w:tcPr>
            <w:tcW w:w="0" w:type="auto"/>
            <w:gridSpan w:val="3"/>
            <w:tcMar>
              <w:top w:w="0" w:type="dxa"/>
              <w:left w:w="20" w:type="dxa"/>
              <w:bottom w:w="0" w:type="dxa"/>
              <w:right w:w="20" w:type="dxa"/>
            </w:tcMar>
            <w:vAlign w:val="center"/>
            <w:hideMark/>
          </w:tcPr>
          <w:p w14:paraId="24E5B797"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C0DEB2" w14:textId="77777777" w:rsidR="00000000" w:rsidRDefault="000C49AD">
            <w:pPr>
              <w:spacing w:after="100"/>
              <w:jc w:val="center"/>
              <w:rPr>
                <w:rFonts w:eastAsia="Times New Roman"/>
              </w:rPr>
            </w:pPr>
            <w:r>
              <w:rPr>
                <w:rFonts w:eastAsia="Times New Roman"/>
                <w:b/>
                <w:bCs/>
                <w:color w:val="000000"/>
                <w:sz w:val="16"/>
                <w:szCs w:val="16"/>
              </w:rPr>
              <w:t>Additional</w:t>
            </w:r>
          </w:p>
        </w:tc>
        <w:tc>
          <w:tcPr>
            <w:tcW w:w="0" w:type="auto"/>
            <w:gridSpan w:val="3"/>
            <w:tcMar>
              <w:top w:w="0" w:type="dxa"/>
              <w:left w:w="20" w:type="dxa"/>
              <w:bottom w:w="0" w:type="dxa"/>
              <w:right w:w="20" w:type="dxa"/>
            </w:tcMar>
            <w:vAlign w:val="center"/>
            <w:hideMark/>
          </w:tcPr>
          <w:p w14:paraId="512C070A"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116E333" w14:textId="77777777" w:rsidR="00000000" w:rsidRDefault="000C49AD">
            <w:pPr>
              <w:spacing w:after="100"/>
              <w:jc w:val="center"/>
              <w:rPr>
                <w:rFonts w:eastAsia="Times New Roman"/>
              </w:rPr>
            </w:pPr>
            <w:r>
              <w:rPr>
                <w:rFonts w:eastAsia="Times New Roman"/>
                <w:b/>
                <w:bCs/>
                <w:color w:val="000000"/>
                <w:sz w:val="16"/>
                <w:szCs w:val="16"/>
              </w:rPr>
              <w:t>Accumulated</w:t>
            </w:r>
          </w:p>
        </w:tc>
        <w:tc>
          <w:tcPr>
            <w:tcW w:w="0" w:type="auto"/>
            <w:gridSpan w:val="3"/>
            <w:tcMar>
              <w:top w:w="0" w:type="dxa"/>
              <w:left w:w="20" w:type="dxa"/>
              <w:bottom w:w="0" w:type="dxa"/>
              <w:right w:w="20" w:type="dxa"/>
            </w:tcMar>
            <w:vAlign w:val="center"/>
            <w:hideMark/>
          </w:tcPr>
          <w:p w14:paraId="0616E9D5"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8153CBD" w14:textId="77777777" w:rsidR="00000000" w:rsidRDefault="000C49AD">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p>
        </w:tc>
        <w:tc>
          <w:tcPr>
            <w:tcW w:w="0" w:type="auto"/>
            <w:gridSpan w:val="3"/>
            <w:tcMar>
              <w:top w:w="0" w:type="dxa"/>
              <w:left w:w="20" w:type="dxa"/>
              <w:bottom w:w="0" w:type="dxa"/>
              <w:right w:w="20" w:type="dxa"/>
            </w:tcMar>
            <w:vAlign w:val="center"/>
            <w:hideMark/>
          </w:tcPr>
          <w:p w14:paraId="21C7E685" w14:textId="77777777" w:rsidR="00000000" w:rsidRDefault="000C49AD">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CE33737" w14:textId="77777777" w:rsidR="00000000" w:rsidRDefault="000C49AD">
            <w:pPr>
              <w:spacing w:after="100"/>
              <w:jc w:val="center"/>
              <w:rPr>
                <w:rFonts w:eastAsia="Times New Roman"/>
              </w:rPr>
            </w:pPr>
            <w:r>
              <w:rPr>
                <w:rFonts w:eastAsia="Times New Roman"/>
                <w:b/>
                <w:bCs/>
                <w:color w:val="000000"/>
                <w:sz w:val="16"/>
                <w:szCs w:val="16"/>
              </w:rPr>
              <w:t>Treasury Shares</w:t>
            </w:r>
          </w:p>
        </w:tc>
        <w:tc>
          <w:tcPr>
            <w:tcW w:w="0" w:type="auto"/>
            <w:gridSpan w:val="3"/>
            <w:tcMar>
              <w:top w:w="0" w:type="dxa"/>
              <w:left w:w="20" w:type="dxa"/>
              <w:bottom w:w="0" w:type="dxa"/>
              <w:right w:w="20" w:type="dxa"/>
            </w:tcMar>
            <w:vAlign w:val="center"/>
            <w:hideMark/>
          </w:tcPr>
          <w:p w14:paraId="03C9E39E" w14:textId="77777777" w:rsidR="00000000" w:rsidRDefault="000C49AD">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732DE56F" w14:textId="77777777" w:rsidR="00000000" w:rsidRDefault="000C49AD">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p>
        </w:tc>
        <w:tc>
          <w:tcPr>
            <w:tcW w:w="0" w:type="auto"/>
            <w:vAlign w:val="center"/>
            <w:hideMark/>
          </w:tcPr>
          <w:p w14:paraId="42C7C6A4" w14:textId="77777777" w:rsidR="00000000" w:rsidRDefault="000C49AD">
            <w:pPr>
              <w:spacing w:after="100"/>
              <w:rPr>
                <w:rFonts w:eastAsia="Times New Roman"/>
                <w:sz w:val="20"/>
                <w:szCs w:val="20"/>
              </w:rPr>
            </w:pPr>
          </w:p>
        </w:tc>
      </w:tr>
      <w:tr w:rsidR="00000000" w14:paraId="0C799CBF" w14:textId="77777777">
        <w:tc>
          <w:tcPr>
            <w:tcW w:w="0" w:type="auto"/>
            <w:gridSpan w:val="3"/>
            <w:tcMar>
              <w:top w:w="30" w:type="dxa"/>
              <w:left w:w="20" w:type="dxa"/>
              <w:bottom w:w="30" w:type="dxa"/>
              <w:right w:w="20" w:type="dxa"/>
            </w:tcMar>
            <w:vAlign w:val="bottom"/>
            <w:hideMark/>
          </w:tcPr>
          <w:p w14:paraId="2951078C" w14:textId="77777777" w:rsidR="00000000" w:rsidRDefault="000C49A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249B5C41"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2EEDA5" w14:textId="77777777" w:rsidR="00000000" w:rsidRDefault="000C49AD">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5E5FD072"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CC88D9" w14:textId="77777777" w:rsidR="00000000" w:rsidRDefault="000C49A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6DAAA1B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0B65EA" w14:textId="77777777" w:rsidR="00000000" w:rsidRDefault="000C49AD">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3E5199E6"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89E8DD" w14:textId="77777777" w:rsidR="00000000" w:rsidRDefault="000C49A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54B75E18"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9A1A992" w14:textId="77777777" w:rsidR="00000000" w:rsidRDefault="000C49AD">
            <w:pPr>
              <w:spacing w:after="100"/>
              <w:jc w:val="center"/>
              <w:rPr>
                <w:rFonts w:eastAsia="Times New Roman"/>
              </w:rPr>
            </w:pPr>
            <w:r>
              <w:rPr>
                <w:rFonts w:eastAsia="Times New Roman"/>
                <w:b/>
                <w:bCs/>
                <w:color w:val="000000"/>
                <w:sz w:val="16"/>
                <w:szCs w:val="16"/>
              </w:rPr>
              <w:t>paid-in capital</w:t>
            </w:r>
          </w:p>
        </w:tc>
        <w:tc>
          <w:tcPr>
            <w:tcW w:w="0" w:type="auto"/>
            <w:gridSpan w:val="3"/>
            <w:tcMar>
              <w:top w:w="0" w:type="dxa"/>
              <w:left w:w="20" w:type="dxa"/>
              <w:bottom w:w="0" w:type="dxa"/>
              <w:right w:w="20" w:type="dxa"/>
            </w:tcMar>
            <w:vAlign w:val="center"/>
            <w:hideMark/>
          </w:tcPr>
          <w:p w14:paraId="69F2FA43"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977CD55" w14:textId="77777777" w:rsidR="00000000" w:rsidRDefault="000C49AD">
            <w:pPr>
              <w:spacing w:after="100"/>
              <w:jc w:val="center"/>
              <w:rPr>
                <w:rFonts w:eastAsia="Times New Roman"/>
              </w:rPr>
            </w:pPr>
            <w:r>
              <w:rPr>
                <w:rFonts w:eastAsia="Times New Roman"/>
                <w:b/>
                <w:bCs/>
                <w:color w:val="000000"/>
                <w:sz w:val="16"/>
                <w:szCs w:val="16"/>
              </w:rPr>
              <w:t>deficit</w:t>
            </w:r>
          </w:p>
        </w:tc>
        <w:tc>
          <w:tcPr>
            <w:tcW w:w="0" w:type="auto"/>
            <w:gridSpan w:val="3"/>
            <w:tcMar>
              <w:top w:w="0" w:type="dxa"/>
              <w:left w:w="20" w:type="dxa"/>
              <w:bottom w:w="0" w:type="dxa"/>
              <w:right w:w="20" w:type="dxa"/>
            </w:tcMar>
            <w:vAlign w:val="center"/>
            <w:hideMark/>
          </w:tcPr>
          <w:p w14:paraId="740D0C6B"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3A25D35" w14:textId="77777777" w:rsidR="00000000" w:rsidRDefault="000C49AD">
            <w:pPr>
              <w:spacing w:after="100"/>
              <w:jc w:val="center"/>
              <w:rPr>
                <w:rFonts w:eastAsia="Times New Roman"/>
              </w:rPr>
            </w:pPr>
            <w:r>
              <w:rPr>
                <w:rFonts w:eastAsia="Times New Roman"/>
                <w:b/>
                <w:bCs/>
                <w:color w:val="000000"/>
                <w:sz w:val="16"/>
                <w:szCs w:val="16"/>
              </w:rPr>
              <w:t>loss</w:t>
            </w:r>
          </w:p>
        </w:tc>
        <w:tc>
          <w:tcPr>
            <w:tcW w:w="0" w:type="auto"/>
            <w:gridSpan w:val="3"/>
            <w:tcMar>
              <w:top w:w="0" w:type="dxa"/>
              <w:left w:w="20" w:type="dxa"/>
              <w:bottom w:w="0" w:type="dxa"/>
              <w:right w:w="20" w:type="dxa"/>
            </w:tcMar>
            <w:vAlign w:val="center"/>
            <w:hideMark/>
          </w:tcPr>
          <w:p w14:paraId="76DE894D"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464103" w14:textId="77777777" w:rsidR="00000000" w:rsidRDefault="000C49AD">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C38FB9C"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19829C" w14:textId="77777777" w:rsidR="00000000" w:rsidRDefault="000C49AD">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2AB48D17" w14:textId="77777777" w:rsidR="00000000" w:rsidRDefault="000C49AD">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6B956CD7" w14:textId="77777777" w:rsidR="00000000" w:rsidRDefault="000C49AD">
            <w:pPr>
              <w:spacing w:after="100"/>
              <w:jc w:val="center"/>
              <w:rPr>
                <w:rFonts w:eastAsia="Times New Roman"/>
              </w:rPr>
            </w:pPr>
            <w:r>
              <w:rPr>
                <w:rFonts w:eastAsia="Times New Roman"/>
                <w:b/>
                <w:bCs/>
                <w:color w:val="000000"/>
                <w:sz w:val="16"/>
                <w:szCs w:val="16"/>
              </w:rPr>
              <w:t>equity</w:t>
            </w:r>
          </w:p>
        </w:tc>
        <w:tc>
          <w:tcPr>
            <w:tcW w:w="0" w:type="auto"/>
            <w:vAlign w:val="center"/>
            <w:hideMark/>
          </w:tcPr>
          <w:p w14:paraId="5E7D6ADE" w14:textId="77777777" w:rsidR="00000000" w:rsidRDefault="000C49AD">
            <w:pPr>
              <w:spacing w:after="100"/>
              <w:rPr>
                <w:rFonts w:eastAsia="Times New Roman"/>
                <w:sz w:val="20"/>
                <w:szCs w:val="20"/>
              </w:rPr>
            </w:pPr>
          </w:p>
        </w:tc>
      </w:tr>
      <w:tr w:rsidR="000C49AD" w14:paraId="3FCA0D0C" w14:textId="77777777">
        <w:tc>
          <w:tcPr>
            <w:tcW w:w="0" w:type="auto"/>
            <w:gridSpan w:val="3"/>
            <w:shd w:val="clear" w:color="auto" w:fill="CCEEFF"/>
            <w:tcMar>
              <w:top w:w="30" w:type="dxa"/>
              <w:left w:w="20" w:type="dxa"/>
              <w:bottom w:w="30" w:type="dxa"/>
              <w:right w:w="20" w:type="dxa"/>
            </w:tcMar>
            <w:vAlign w:val="bottom"/>
            <w:hideMark/>
          </w:tcPr>
          <w:p w14:paraId="307EF38D" w14:textId="77777777" w:rsidR="00000000" w:rsidRDefault="000C49AD">
            <w:pPr>
              <w:spacing w:after="100"/>
              <w:rPr>
                <w:rFonts w:eastAsia="Times New Roman"/>
              </w:rPr>
            </w:pPr>
            <w:r>
              <w:rPr>
                <w:rFonts w:eastAsia="Times New Roman"/>
                <w:color w:val="000000"/>
                <w:sz w:val="16"/>
                <w:szCs w:val="16"/>
              </w:rPr>
              <w:t>Balance, December 31, 2018</w:t>
            </w:r>
          </w:p>
        </w:tc>
        <w:tc>
          <w:tcPr>
            <w:tcW w:w="0" w:type="auto"/>
            <w:gridSpan w:val="3"/>
            <w:shd w:val="clear" w:color="auto" w:fill="CCEEFF"/>
            <w:tcMar>
              <w:top w:w="0" w:type="dxa"/>
              <w:left w:w="20" w:type="dxa"/>
              <w:bottom w:w="0" w:type="dxa"/>
              <w:right w:w="20" w:type="dxa"/>
            </w:tcMar>
            <w:vAlign w:val="center"/>
            <w:hideMark/>
          </w:tcPr>
          <w:p w14:paraId="1152297D"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0E5BE8" w14:textId="77777777" w:rsidR="00000000" w:rsidRDefault="000C49AD">
            <w:pPr>
              <w:spacing w:after="100"/>
              <w:jc w:val="right"/>
              <w:rPr>
                <w:rFonts w:eastAsia="Times New Roman"/>
              </w:rPr>
            </w:pPr>
            <w:r>
              <w:rPr>
                <w:rFonts w:eastAsia="Times New Roman"/>
                <w:color w:val="000000"/>
                <w:sz w:val="16"/>
                <w:szCs w:val="16"/>
              </w:rPr>
              <w:t>42,720 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E88F4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E4367"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FCBCBB"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2E12482" w14:textId="77777777" w:rsidR="00000000" w:rsidRDefault="000C49AD">
            <w:pPr>
              <w:spacing w:after="100"/>
              <w:jc w:val="right"/>
              <w:rPr>
                <w:rFonts w:eastAsia="Times New Roman"/>
              </w:rPr>
            </w:pPr>
            <w:r>
              <w:rPr>
                <w:rFonts w:eastAsia="Times New Roman"/>
                <w:color w:val="000000"/>
                <w:sz w:val="16"/>
                <w:szCs w:val="16"/>
              </w:rPr>
              <w:t>427 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42492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CF9F2"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0D79CD"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0692D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3C85E5"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EE96DCB"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25E927"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6E3FE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97613C"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779F145"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29BFEE" w14:textId="77777777" w:rsidR="00000000" w:rsidRDefault="000C49AD">
            <w:pPr>
              <w:spacing w:after="100"/>
              <w:jc w:val="right"/>
              <w:rPr>
                <w:rFonts w:eastAsia="Times New Roman"/>
              </w:rPr>
            </w:pPr>
            <w:r>
              <w:rPr>
                <w:rFonts w:eastAsia="Times New Roman"/>
                <w:color w:val="000000"/>
                <w:sz w:val="16"/>
                <w:szCs w:val="16"/>
              </w:rPr>
              <w:t>433,756 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B4DB7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541B14"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E9FA69C"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C76812" w14:textId="77777777" w:rsidR="00000000" w:rsidRDefault="000C49AD">
            <w:pPr>
              <w:spacing w:after="100"/>
              <w:jc w:val="right"/>
              <w:rPr>
                <w:rFonts w:eastAsia="Times New Roman"/>
              </w:rPr>
            </w:pPr>
            <w:r>
              <w:rPr>
                <w:rFonts w:eastAsia="Times New Roman"/>
                <w:color w:val="000000"/>
                <w:sz w:val="16"/>
                <w:szCs w:val="16"/>
              </w:rPr>
              <w:t>(357,989)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F0334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EB5812"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19E965C"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FB2FF3" w14:textId="77777777" w:rsidR="00000000" w:rsidRDefault="000C49AD">
            <w:pPr>
              <w:spacing w:after="100"/>
              <w:jc w:val="right"/>
              <w:rPr>
                <w:rFonts w:eastAsia="Times New Roman"/>
              </w:rPr>
            </w:pPr>
            <w:r>
              <w:rPr>
                <w:rFonts w:eastAsia="Times New Roman"/>
                <w:color w:val="000000"/>
                <w:sz w:val="16"/>
                <w:szCs w:val="16"/>
              </w:rPr>
              <w:t>(23,416)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6B3FA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76340D"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8B7A1A7" w14:textId="77777777" w:rsidR="00000000" w:rsidRDefault="000C49AD">
            <w:pPr>
              <w:spacing w:after="100"/>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C14FB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C2DB2"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11D610"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4DF9D4" w14:textId="77777777" w:rsidR="00000000" w:rsidRDefault="000C49AD">
            <w:pPr>
              <w:spacing w:after="100"/>
              <w:jc w:val="right"/>
              <w:rPr>
                <w:rFonts w:eastAsia="Times New Roman"/>
              </w:rPr>
            </w:pPr>
            <w:r>
              <w:rPr>
                <w:rFonts w:eastAsia="Times New Roman"/>
                <w:color w:val="000000"/>
                <w:sz w:val="16"/>
                <w:szCs w:val="16"/>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7627F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6E7A6"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518D64"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6AA171C" w14:textId="77777777" w:rsidR="00000000" w:rsidRDefault="000C49AD">
            <w:pPr>
              <w:spacing w:after="100"/>
              <w:jc w:val="right"/>
              <w:rPr>
                <w:rFonts w:eastAsia="Times New Roman"/>
              </w:rPr>
            </w:pPr>
            <w:r>
              <w:rPr>
                <w:rFonts w:eastAsia="Times New Roman"/>
                <w:color w:val="000000"/>
                <w:sz w:val="16"/>
                <w:szCs w:val="16"/>
              </w:rPr>
              <w:t>2,780 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456895" w14:textId="77777777" w:rsidR="00000000" w:rsidRDefault="000C49AD">
            <w:pPr>
              <w:spacing w:after="100"/>
              <w:jc w:val="right"/>
              <w:rPr>
                <w:rFonts w:eastAsia="Times New Roman"/>
              </w:rPr>
            </w:pPr>
          </w:p>
        </w:tc>
      </w:tr>
      <w:tr w:rsidR="000C49AD" w14:paraId="2228EA59" w14:textId="77777777">
        <w:tc>
          <w:tcPr>
            <w:tcW w:w="0" w:type="auto"/>
            <w:gridSpan w:val="3"/>
            <w:shd w:val="clear" w:color="auto" w:fill="FFFFFF"/>
            <w:tcMar>
              <w:top w:w="30" w:type="dxa"/>
              <w:left w:w="155" w:type="dxa"/>
              <w:bottom w:w="30" w:type="dxa"/>
              <w:right w:w="20" w:type="dxa"/>
            </w:tcMar>
            <w:vAlign w:val="bottom"/>
            <w:hideMark/>
          </w:tcPr>
          <w:p w14:paraId="456354EF" w14:textId="77777777" w:rsidR="00000000" w:rsidRDefault="000C49AD">
            <w:pPr>
              <w:spacing w:after="100"/>
              <w:rPr>
                <w:rFonts w:eastAsia="Times New Roman"/>
              </w:rPr>
            </w:pPr>
            <w:r>
              <w:rPr>
                <w:rFonts w:eastAsia="Times New Roman"/>
                <w:color w:val="000000"/>
                <w:sz w:val="16"/>
                <w:szCs w:val="16"/>
              </w:rPr>
              <w:t>Net loss</w:t>
            </w:r>
          </w:p>
        </w:tc>
        <w:tc>
          <w:tcPr>
            <w:tcW w:w="0" w:type="auto"/>
            <w:gridSpan w:val="3"/>
            <w:shd w:val="clear" w:color="auto" w:fill="FFFFFF"/>
            <w:tcMar>
              <w:top w:w="0" w:type="dxa"/>
              <w:left w:w="20" w:type="dxa"/>
              <w:bottom w:w="0" w:type="dxa"/>
              <w:right w:w="20" w:type="dxa"/>
            </w:tcMar>
            <w:vAlign w:val="center"/>
            <w:hideMark/>
          </w:tcPr>
          <w:p w14:paraId="0EBE2AEC"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08147E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AB003D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F4AC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4BD0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B44EF2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70F1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29FB0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990456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C3AF6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BD4BC"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08D087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8B753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1D3FC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F23E1D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9B282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604B76" w14:textId="77777777" w:rsidR="00000000" w:rsidRDefault="000C49AD">
            <w:pPr>
              <w:spacing w:after="100"/>
              <w:jc w:val="right"/>
              <w:rPr>
                <w:rFonts w:eastAsia="Times New Roman"/>
              </w:rPr>
            </w:pPr>
            <w:r>
              <w:rPr>
                <w:rFonts w:eastAsia="Times New Roman"/>
                <w:color w:val="000000"/>
                <w:sz w:val="16"/>
                <w:szCs w:val="16"/>
              </w:rPr>
              <w:t>(</w:t>
            </w:r>
            <w:r>
              <w:rPr>
                <w:rFonts w:eastAsia="Times New Roman"/>
                <w:color w:val="000000"/>
                <w:sz w:val="16"/>
                <w:szCs w:val="16"/>
              </w:rPr>
              <w:t>33,226)</w:t>
            </w:r>
          </w:p>
        </w:tc>
        <w:tc>
          <w:tcPr>
            <w:tcW w:w="0" w:type="auto"/>
            <w:shd w:val="clear" w:color="auto" w:fill="FFFFFF"/>
            <w:tcMar>
              <w:top w:w="30" w:type="dxa"/>
              <w:left w:w="0" w:type="dxa"/>
              <w:bottom w:w="30" w:type="dxa"/>
              <w:right w:w="20" w:type="dxa"/>
            </w:tcMar>
            <w:vAlign w:val="bottom"/>
            <w:hideMark/>
          </w:tcPr>
          <w:p w14:paraId="163BF24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9F30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7DCCC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F24E73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C6564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E80DC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66338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D4D6B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3E9F5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73E3E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FA4B0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1D94BA" w14:textId="77777777" w:rsidR="00000000" w:rsidRDefault="000C49AD">
            <w:pPr>
              <w:spacing w:after="100"/>
              <w:jc w:val="right"/>
              <w:rPr>
                <w:rFonts w:eastAsia="Times New Roman"/>
              </w:rPr>
            </w:pPr>
            <w:r>
              <w:rPr>
                <w:rFonts w:eastAsia="Times New Roman"/>
                <w:color w:val="000000"/>
                <w:sz w:val="16"/>
                <w:szCs w:val="16"/>
              </w:rPr>
              <w:t>(33,226)</w:t>
            </w:r>
          </w:p>
        </w:tc>
        <w:tc>
          <w:tcPr>
            <w:tcW w:w="0" w:type="auto"/>
            <w:shd w:val="clear" w:color="auto" w:fill="FFFFFF"/>
            <w:tcMar>
              <w:top w:w="30" w:type="dxa"/>
              <w:left w:w="0" w:type="dxa"/>
              <w:bottom w:w="30" w:type="dxa"/>
              <w:right w:w="20" w:type="dxa"/>
            </w:tcMar>
            <w:vAlign w:val="bottom"/>
            <w:hideMark/>
          </w:tcPr>
          <w:p w14:paraId="07DF7219" w14:textId="77777777" w:rsidR="00000000" w:rsidRDefault="000C49AD">
            <w:pPr>
              <w:spacing w:after="100"/>
              <w:jc w:val="right"/>
              <w:rPr>
                <w:rFonts w:eastAsia="Times New Roman"/>
              </w:rPr>
            </w:pPr>
          </w:p>
        </w:tc>
      </w:tr>
      <w:tr w:rsidR="000C49AD" w14:paraId="63EFD36A" w14:textId="77777777">
        <w:tc>
          <w:tcPr>
            <w:tcW w:w="0" w:type="auto"/>
            <w:gridSpan w:val="3"/>
            <w:shd w:val="clear" w:color="auto" w:fill="CCEEFF"/>
            <w:tcMar>
              <w:top w:w="30" w:type="dxa"/>
              <w:left w:w="155" w:type="dxa"/>
              <w:bottom w:w="30" w:type="dxa"/>
              <w:right w:w="20" w:type="dxa"/>
            </w:tcMar>
            <w:vAlign w:val="bottom"/>
            <w:hideMark/>
          </w:tcPr>
          <w:p w14:paraId="16B313D4" w14:textId="77777777" w:rsidR="00000000" w:rsidRDefault="000C49AD">
            <w:pPr>
              <w:spacing w:after="100"/>
              <w:rPr>
                <w:rFonts w:eastAsia="Times New Roman"/>
              </w:rPr>
            </w:pPr>
            <w:r>
              <w:rPr>
                <w:rFonts w:eastAsia="Times New Roman"/>
                <w:color w:val="000000"/>
                <w:sz w:val="16"/>
                <w:szCs w:val="16"/>
              </w:rPr>
              <w:t>Other comprehensive income</w:t>
            </w:r>
          </w:p>
        </w:tc>
        <w:tc>
          <w:tcPr>
            <w:tcW w:w="0" w:type="auto"/>
            <w:gridSpan w:val="3"/>
            <w:shd w:val="clear" w:color="auto" w:fill="CCEEFF"/>
            <w:tcMar>
              <w:top w:w="0" w:type="dxa"/>
              <w:left w:w="20" w:type="dxa"/>
              <w:bottom w:w="0" w:type="dxa"/>
              <w:right w:w="20" w:type="dxa"/>
            </w:tcMar>
            <w:vAlign w:val="center"/>
            <w:hideMark/>
          </w:tcPr>
          <w:p w14:paraId="6F0C6808"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FFE7B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968B45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DB402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39DEC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5246FB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DF20F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FF866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0D3265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73593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32328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BC92A9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7338D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57ADF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8B91F1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9964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37307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C4ACC5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E561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8874A9" w14:textId="77777777" w:rsidR="00000000" w:rsidRDefault="000C49AD">
            <w:pPr>
              <w:spacing w:after="100"/>
              <w:jc w:val="right"/>
              <w:rPr>
                <w:rFonts w:eastAsia="Times New Roman"/>
              </w:rPr>
            </w:pPr>
            <w:r>
              <w:rPr>
                <w:rFonts w:eastAsia="Times New Roman"/>
                <w:color w:val="000000"/>
                <w:sz w:val="16"/>
                <w:szCs w:val="16"/>
              </w:rPr>
              <w:t>610 </w:t>
            </w:r>
          </w:p>
        </w:tc>
        <w:tc>
          <w:tcPr>
            <w:tcW w:w="0" w:type="auto"/>
            <w:shd w:val="clear" w:color="auto" w:fill="CCEEFF"/>
            <w:tcMar>
              <w:top w:w="30" w:type="dxa"/>
              <w:left w:w="0" w:type="dxa"/>
              <w:bottom w:w="30" w:type="dxa"/>
              <w:right w:w="20" w:type="dxa"/>
            </w:tcMar>
            <w:vAlign w:val="bottom"/>
            <w:hideMark/>
          </w:tcPr>
          <w:p w14:paraId="4CF050D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5ADD1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E18F8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A4C20C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918FD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47EB0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E0FF65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9FAB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C3FE2C" w14:textId="77777777" w:rsidR="00000000" w:rsidRDefault="000C49AD">
            <w:pPr>
              <w:spacing w:after="100"/>
              <w:jc w:val="right"/>
              <w:rPr>
                <w:rFonts w:eastAsia="Times New Roman"/>
              </w:rPr>
            </w:pPr>
            <w:r>
              <w:rPr>
                <w:rFonts w:eastAsia="Times New Roman"/>
                <w:color w:val="000000"/>
                <w:sz w:val="16"/>
                <w:szCs w:val="16"/>
              </w:rPr>
              <w:t>610 </w:t>
            </w:r>
          </w:p>
        </w:tc>
        <w:tc>
          <w:tcPr>
            <w:tcW w:w="0" w:type="auto"/>
            <w:shd w:val="clear" w:color="auto" w:fill="CCEEFF"/>
            <w:tcMar>
              <w:top w:w="30" w:type="dxa"/>
              <w:left w:w="0" w:type="dxa"/>
              <w:bottom w:w="30" w:type="dxa"/>
              <w:right w:w="20" w:type="dxa"/>
            </w:tcMar>
            <w:vAlign w:val="bottom"/>
            <w:hideMark/>
          </w:tcPr>
          <w:p w14:paraId="02FAA09A" w14:textId="77777777" w:rsidR="00000000" w:rsidRDefault="000C49AD">
            <w:pPr>
              <w:spacing w:after="100"/>
              <w:jc w:val="right"/>
              <w:rPr>
                <w:rFonts w:eastAsia="Times New Roman"/>
              </w:rPr>
            </w:pPr>
          </w:p>
        </w:tc>
      </w:tr>
      <w:tr w:rsidR="000C49AD" w14:paraId="3B9D6FC3" w14:textId="77777777">
        <w:tc>
          <w:tcPr>
            <w:tcW w:w="0" w:type="auto"/>
            <w:gridSpan w:val="3"/>
            <w:shd w:val="clear" w:color="auto" w:fill="FFFFFF"/>
            <w:tcMar>
              <w:top w:w="30" w:type="dxa"/>
              <w:left w:w="155" w:type="dxa"/>
              <w:bottom w:w="30" w:type="dxa"/>
              <w:right w:w="20" w:type="dxa"/>
            </w:tcMar>
            <w:vAlign w:val="bottom"/>
            <w:hideMark/>
          </w:tcPr>
          <w:p w14:paraId="028E6E71" w14:textId="77777777" w:rsidR="00000000" w:rsidRDefault="000C49AD">
            <w:pPr>
              <w:spacing w:after="100"/>
              <w:rPr>
                <w:rFonts w:eastAsia="Times New Roman"/>
              </w:rPr>
            </w:pPr>
            <w:r>
              <w:rPr>
                <w:rFonts w:eastAsia="Times New Roman"/>
                <w:color w:val="000000"/>
                <w:sz w:val="16"/>
                <w:szCs w:val="16"/>
              </w:rPr>
              <w:t>Vesting of restricted shares</w:t>
            </w:r>
          </w:p>
        </w:tc>
        <w:tc>
          <w:tcPr>
            <w:tcW w:w="0" w:type="auto"/>
            <w:gridSpan w:val="3"/>
            <w:shd w:val="clear" w:color="auto" w:fill="FFFFFF"/>
            <w:tcMar>
              <w:top w:w="0" w:type="dxa"/>
              <w:left w:w="20" w:type="dxa"/>
              <w:bottom w:w="0" w:type="dxa"/>
              <w:right w:w="20" w:type="dxa"/>
            </w:tcMar>
            <w:vAlign w:val="center"/>
            <w:hideMark/>
          </w:tcPr>
          <w:p w14:paraId="2D2FA2DE"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87F2DF" w14:textId="77777777" w:rsidR="00000000" w:rsidRDefault="000C49AD">
            <w:pPr>
              <w:spacing w:after="100"/>
              <w:jc w:val="right"/>
              <w:rPr>
                <w:rFonts w:eastAsia="Times New Roman"/>
              </w:rPr>
            </w:pPr>
            <w:r>
              <w:rPr>
                <w:rFonts w:eastAsia="Times New Roman"/>
                <w:color w:val="000000"/>
                <w:sz w:val="16"/>
                <w:szCs w:val="16"/>
              </w:rPr>
              <w:t>153 </w:t>
            </w:r>
          </w:p>
        </w:tc>
        <w:tc>
          <w:tcPr>
            <w:tcW w:w="0" w:type="auto"/>
            <w:shd w:val="clear" w:color="auto" w:fill="FFFFFF"/>
            <w:tcMar>
              <w:top w:w="30" w:type="dxa"/>
              <w:left w:w="0" w:type="dxa"/>
              <w:bottom w:w="30" w:type="dxa"/>
              <w:right w:w="20" w:type="dxa"/>
            </w:tcMar>
            <w:vAlign w:val="bottom"/>
            <w:hideMark/>
          </w:tcPr>
          <w:p w14:paraId="557D25C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F628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133B44" w14:textId="77777777" w:rsidR="00000000" w:rsidRDefault="000C49AD">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14:paraId="14D58D5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9B791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81AD0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BD752B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8DDFC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CF655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670428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B41EA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092465" w14:textId="77777777" w:rsidR="00000000" w:rsidRDefault="000C49AD">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14:paraId="01C5F8D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E8ABF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193A35"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9DAE53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97256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8388E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32822F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2532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CC7E1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00F306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C16BD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51D67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9D6D2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0FD1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A9E3E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198BD27" w14:textId="77777777" w:rsidR="00000000" w:rsidRDefault="000C49AD">
            <w:pPr>
              <w:spacing w:after="100"/>
              <w:jc w:val="right"/>
              <w:rPr>
                <w:rFonts w:eastAsia="Times New Roman"/>
              </w:rPr>
            </w:pPr>
          </w:p>
        </w:tc>
      </w:tr>
      <w:tr w:rsidR="000C49AD" w14:paraId="7A87F084" w14:textId="77777777">
        <w:tc>
          <w:tcPr>
            <w:tcW w:w="0" w:type="auto"/>
            <w:gridSpan w:val="3"/>
            <w:shd w:val="clear" w:color="auto" w:fill="CCEEFF"/>
            <w:tcMar>
              <w:top w:w="30" w:type="dxa"/>
              <w:left w:w="155" w:type="dxa"/>
              <w:bottom w:w="30" w:type="dxa"/>
              <w:right w:w="20" w:type="dxa"/>
            </w:tcMar>
            <w:vAlign w:val="bottom"/>
            <w:hideMark/>
          </w:tcPr>
          <w:p w14:paraId="21D56994" w14:textId="77777777" w:rsidR="00000000" w:rsidRDefault="000C49AD">
            <w:pPr>
              <w:spacing w:after="100"/>
              <w:rPr>
                <w:rFonts w:eastAsia="Times New Roman"/>
              </w:rPr>
            </w:pPr>
            <w:r>
              <w:rPr>
                <w:rFonts w:eastAsia="Times New Roman"/>
                <w:color w:val="000000"/>
                <w:sz w:val="16"/>
                <w:szCs w:val="16"/>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14:paraId="13400F29"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B925ACF" w14:textId="77777777" w:rsidR="00000000" w:rsidRDefault="000C49AD">
            <w:pPr>
              <w:spacing w:after="100"/>
              <w:jc w:val="right"/>
              <w:rPr>
                <w:rFonts w:eastAsia="Times New Roman"/>
              </w:rPr>
            </w:pPr>
            <w:r>
              <w:rPr>
                <w:rFonts w:eastAsia="Times New Roman"/>
                <w:color w:val="000000"/>
                <w:sz w:val="16"/>
                <w:szCs w:val="16"/>
              </w:rPr>
              <w:t>54 </w:t>
            </w:r>
          </w:p>
        </w:tc>
        <w:tc>
          <w:tcPr>
            <w:tcW w:w="0" w:type="auto"/>
            <w:shd w:val="clear" w:color="auto" w:fill="CCEEFF"/>
            <w:tcMar>
              <w:top w:w="30" w:type="dxa"/>
              <w:left w:w="0" w:type="dxa"/>
              <w:bottom w:w="30" w:type="dxa"/>
              <w:right w:w="20" w:type="dxa"/>
            </w:tcMar>
            <w:vAlign w:val="bottom"/>
            <w:hideMark/>
          </w:tcPr>
          <w:p w14:paraId="58B2728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E112F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A0763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E45E4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0156A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67345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F4FD37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F1D6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77DE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135514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B9BC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152293" w14:textId="77777777" w:rsidR="00000000" w:rsidRDefault="000C49AD">
            <w:pPr>
              <w:spacing w:after="100"/>
              <w:jc w:val="right"/>
              <w:rPr>
                <w:rFonts w:eastAsia="Times New Roman"/>
              </w:rPr>
            </w:pPr>
            <w:r>
              <w:rPr>
                <w:rFonts w:eastAsia="Times New Roman"/>
                <w:color w:val="000000"/>
                <w:sz w:val="16"/>
                <w:szCs w:val="16"/>
              </w:rPr>
              <w:t>118 </w:t>
            </w:r>
          </w:p>
        </w:tc>
        <w:tc>
          <w:tcPr>
            <w:tcW w:w="0" w:type="auto"/>
            <w:shd w:val="clear" w:color="auto" w:fill="CCEEFF"/>
            <w:tcMar>
              <w:top w:w="30" w:type="dxa"/>
              <w:left w:w="0" w:type="dxa"/>
              <w:bottom w:w="30" w:type="dxa"/>
              <w:right w:w="20" w:type="dxa"/>
            </w:tcMar>
            <w:vAlign w:val="bottom"/>
            <w:hideMark/>
          </w:tcPr>
          <w:p w14:paraId="5FDC3B1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D3CB7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3102C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944336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74EF9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17CFA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18690D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03B8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A8DB05"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6E7505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3023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799AB5"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530BC3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2499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BF5477" w14:textId="77777777" w:rsidR="00000000" w:rsidRDefault="000C49AD">
            <w:pPr>
              <w:spacing w:after="100"/>
              <w:jc w:val="right"/>
              <w:rPr>
                <w:rFonts w:eastAsia="Times New Roman"/>
              </w:rPr>
            </w:pPr>
            <w:r>
              <w:rPr>
                <w:rFonts w:eastAsia="Times New Roman"/>
                <w:color w:val="000000"/>
                <w:sz w:val="16"/>
                <w:szCs w:val="16"/>
              </w:rPr>
              <w:t>118 </w:t>
            </w:r>
          </w:p>
        </w:tc>
        <w:tc>
          <w:tcPr>
            <w:tcW w:w="0" w:type="auto"/>
            <w:shd w:val="clear" w:color="auto" w:fill="CCEEFF"/>
            <w:tcMar>
              <w:top w:w="30" w:type="dxa"/>
              <w:left w:w="0" w:type="dxa"/>
              <w:bottom w:w="30" w:type="dxa"/>
              <w:right w:w="20" w:type="dxa"/>
            </w:tcMar>
            <w:vAlign w:val="bottom"/>
            <w:hideMark/>
          </w:tcPr>
          <w:p w14:paraId="0218552A" w14:textId="77777777" w:rsidR="00000000" w:rsidRDefault="000C49AD">
            <w:pPr>
              <w:spacing w:after="100"/>
              <w:jc w:val="right"/>
              <w:rPr>
                <w:rFonts w:eastAsia="Times New Roman"/>
              </w:rPr>
            </w:pPr>
          </w:p>
        </w:tc>
      </w:tr>
      <w:tr w:rsidR="000C49AD" w14:paraId="321EB39C" w14:textId="77777777">
        <w:tc>
          <w:tcPr>
            <w:tcW w:w="0" w:type="auto"/>
            <w:gridSpan w:val="3"/>
            <w:shd w:val="clear" w:color="auto" w:fill="FFFFFF"/>
            <w:tcMar>
              <w:top w:w="30" w:type="dxa"/>
              <w:left w:w="155" w:type="dxa"/>
              <w:bottom w:w="30" w:type="dxa"/>
              <w:right w:w="20" w:type="dxa"/>
            </w:tcMar>
            <w:vAlign w:val="bottom"/>
            <w:hideMark/>
          </w:tcPr>
          <w:p w14:paraId="4C22E400" w14:textId="77777777" w:rsidR="00000000" w:rsidRDefault="000C49AD">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0" w:type="dxa"/>
              <w:left w:w="20" w:type="dxa"/>
              <w:bottom w:w="0" w:type="dxa"/>
              <w:right w:w="20" w:type="dxa"/>
            </w:tcMar>
            <w:vAlign w:val="center"/>
            <w:hideMark/>
          </w:tcPr>
          <w:p w14:paraId="7191C211"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CEFFDB"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33A742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72F9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3AC1B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626C3A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2DAC2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3201A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87620F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DB472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6399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21CA1E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7B4C3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28CB02" w14:textId="77777777" w:rsidR="00000000" w:rsidRDefault="000C49AD">
            <w:pPr>
              <w:spacing w:after="100"/>
              <w:jc w:val="right"/>
              <w:rPr>
                <w:rFonts w:eastAsia="Times New Roman"/>
              </w:rPr>
            </w:pPr>
            <w:r>
              <w:rPr>
                <w:rFonts w:eastAsia="Times New Roman"/>
                <w:color w:val="000000"/>
                <w:sz w:val="16"/>
                <w:szCs w:val="16"/>
              </w:rPr>
              <w:t>519 </w:t>
            </w:r>
          </w:p>
        </w:tc>
        <w:tc>
          <w:tcPr>
            <w:tcW w:w="0" w:type="auto"/>
            <w:shd w:val="clear" w:color="auto" w:fill="FFFFFF"/>
            <w:tcMar>
              <w:top w:w="30" w:type="dxa"/>
              <w:left w:w="0" w:type="dxa"/>
              <w:bottom w:w="30" w:type="dxa"/>
              <w:right w:w="20" w:type="dxa"/>
            </w:tcMar>
            <w:vAlign w:val="bottom"/>
            <w:hideMark/>
          </w:tcPr>
          <w:p w14:paraId="2000AF1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9FB5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3D223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563C0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4973D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ECF74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D6931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D6AE3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EE5E59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4A5D6D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3052E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E9E68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13D84E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0BD8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12D60F" w14:textId="77777777" w:rsidR="00000000" w:rsidRDefault="000C49AD">
            <w:pPr>
              <w:spacing w:after="100"/>
              <w:jc w:val="right"/>
              <w:rPr>
                <w:rFonts w:eastAsia="Times New Roman"/>
              </w:rPr>
            </w:pPr>
            <w:r>
              <w:rPr>
                <w:rFonts w:eastAsia="Times New Roman"/>
                <w:color w:val="000000"/>
                <w:sz w:val="16"/>
                <w:szCs w:val="16"/>
              </w:rPr>
              <w:t>519 </w:t>
            </w:r>
          </w:p>
        </w:tc>
        <w:tc>
          <w:tcPr>
            <w:tcW w:w="0" w:type="auto"/>
            <w:shd w:val="clear" w:color="auto" w:fill="FFFFFF"/>
            <w:tcMar>
              <w:top w:w="30" w:type="dxa"/>
              <w:left w:w="0" w:type="dxa"/>
              <w:bottom w:w="30" w:type="dxa"/>
              <w:right w:w="20" w:type="dxa"/>
            </w:tcMar>
            <w:vAlign w:val="bottom"/>
            <w:hideMark/>
          </w:tcPr>
          <w:p w14:paraId="54AAA8E8" w14:textId="77777777" w:rsidR="00000000" w:rsidRDefault="000C49AD">
            <w:pPr>
              <w:spacing w:after="100"/>
              <w:jc w:val="right"/>
              <w:rPr>
                <w:rFonts w:eastAsia="Times New Roman"/>
              </w:rPr>
            </w:pPr>
          </w:p>
        </w:tc>
      </w:tr>
      <w:tr w:rsidR="000C49AD" w14:paraId="35869222" w14:textId="77777777">
        <w:tc>
          <w:tcPr>
            <w:tcW w:w="0" w:type="auto"/>
            <w:gridSpan w:val="3"/>
            <w:shd w:val="clear" w:color="auto" w:fill="CCEEFF"/>
            <w:tcMar>
              <w:top w:w="30" w:type="dxa"/>
              <w:left w:w="20" w:type="dxa"/>
              <w:bottom w:w="30" w:type="dxa"/>
              <w:right w:w="20" w:type="dxa"/>
            </w:tcMar>
            <w:vAlign w:val="bottom"/>
            <w:hideMark/>
          </w:tcPr>
          <w:p w14:paraId="5EDD2DA7" w14:textId="77777777" w:rsidR="00000000" w:rsidRDefault="000C49AD">
            <w:pPr>
              <w:spacing w:after="100"/>
              <w:rPr>
                <w:rFonts w:eastAsia="Times New Roman"/>
              </w:rPr>
            </w:pPr>
            <w:r>
              <w:rPr>
                <w:rFonts w:eastAsia="Times New Roman"/>
                <w:color w:val="000000"/>
                <w:sz w:val="16"/>
                <w:szCs w:val="16"/>
              </w:rPr>
              <w:t>Balance, December 31, 2019</w:t>
            </w:r>
          </w:p>
        </w:tc>
        <w:tc>
          <w:tcPr>
            <w:tcW w:w="0" w:type="auto"/>
            <w:gridSpan w:val="3"/>
            <w:shd w:val="clear" w:color="auto" w:fill="CCEEFF"/>
            <w:tcMar>
              <w:top w:w="0" w:type="dxa"/>
              <w:left w:w="20" w:type="dxa"/>
              <w:bottom w:w="0" w:type="dxa"/>
              <w:right w:w="20" w:type="dxa"/>
            </w:tcMar>
            <w:vAlign w:val="center"/>
            <w:hideMark/>
          </w:tcPr>
          <w:p w14:paraId="662D5288"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C416B3" w14:textId="77777777" w:rsidR="00000000" w:rsidRDefault="000C49AD">
            <w:pPr>
              <w:spacing w:after="100"/>
              <w:jc w:val="right"/>
              <w:rPr>
                <w:rFonts w:eastAsia="Times New Roman"/>
              </w:rPr>
            </w:pPr>
            <w:r>
              <w:rPr>
                <w:rFonts w:eastAsia="Times New Roman"/>
                <w:color w:val="000000"/>
                <w:sz w:val="16"/>
                <w:szCs w:val="16"/>
              </w:rPr>
              <w:t>42,927 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A7D56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B38EEF"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7F6CF3"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7835F26" w14:textId="77777777" w:rsidR="00000000" w:rsidRDefault="000C49AD">
            <w:pPr>
              <w:spacing w:after="100"/>
              <w:jc w:val="right"/>
              <w:rPr>
                <w:rFonts w:eastAsia="Times New Roman"/>
              </w:rPr>
            </w:pPr>
            <w:r>
              <w:rPr>
                <w:rFonts w:eastAsia="Times New Roman"/>
                <w:color w:val="000000"/>
                <w:sz w:val="16"/>
                <w:szCs w:val="16"/>
              </w:rPr>
              <w:t>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E6097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064A8A"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D66530C"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8CAEB4"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1703D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FAF76B"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F29313"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00F327"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7D024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E035C"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463D3E3"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C481C8" w14:textId="77777777" w:rsidR="00000000" w:rsidRDefault="000C49AD">
            <w:pPr>
              <w:spacing w:after="100"/>
              <w:jc w:val="right"/>
              <w:rPr>
                <w:rFonts w:eastAsia="Times New Roman"/>
              </w:rPr>
            </w:pPr>
            <w:r>
              <w:rPr>
                <w:rFonts w:eastAsia="Times New Roman"/>
                <w:color w:val="000000"/>
                <w:sz w:val="16"/>
                <w:szCs w:val="16"/>
              </w:rPr>
              <w:t>434,391 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B3B91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D05C42"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700C98"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9FFB09" w14:textId="77777777" w:rsidR="00000000" w:rsidRDefault="000C49AD">
            <w:pPr>
              <w:spacing w:after="100"/>
              <w:jc w:val="right"/>
              <w:rPr>
                <w:rFonts w:eastAsia="Times New Roman"/>
              </w:rPr>
            </w:pPr>
            <w:r>
              <w:rPr>
                <w:rFonts w:eastAsia="Times New Roman"/>
                <w:color w:val="000000"/>
                <w:sz w:val="16"/>
                <w:szCs w:val="16"/>
              </w:rPr>
              <w:t>(391,215)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6E5D9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A259A"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516F93"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31F9B9" w14:textId="77777777" w:rsidR="00000000" w:rsidRDefault="000C49AD">
            <w:pPr>
              <w:spacing w:after="100"/>
              <w:jc w:val="right"/>
              <w:rPr>
                <w:rFonts w:eastAsia="Times New Roman"/>
              </w:rPr>
            </w:pPr>
            <w:r>
              <w:rPr>
                <w:rFonts w:eastAsia="Times New Roman"/>
                <w:color w:val="000000"/>
                <w:sz w:val="16"/>
                <w:szCs w:val="16"/>
              </w:rPr>
              <w:t>(22,806)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46053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25955"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69E9A0" w14:textId="77777777" w:rsidR="00000000" w:rsidRDefault="000C49AD">
            <w:pPr>
              <w:spacing w:after="100"/>
              <w:jc w:val="right"/>
              <w:rPr>
                <w:rFonts w:eastAsia="Times New Roman"/>
              </w:rPr>
            </w:pPr>
            <w:r>
              <w:rPr>
                <w:rFonts w:eastAsia="Times New Roman"/>
                <w:color w:val="000000"/>
                <w:sz w:val="16"/>
                <w:szCs w:val="16"/>
              </w:rPr>
              <w:t>5,407 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34472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99E367"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8B5D098"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101975" w14:textId="77777777" w:rsidR="00000000" w:rsidRDefault="000C49AD">
            <w:pPr>
              <w:spacing w:after="100"/>
              <w:jc w:val="right"/>
              <w:rPr>
                <w:rFonts w:eastAsia="Times New Roman"/>
              </w:rPr>
            </w:pPr>
            <w:r>
              <w:rPr>
                <w:rFonts w:eastAsia="Times New Roman"/>
                <w:color w:val="000000"/>
                <w:sz w:val="16"/>
                <w:szCs w:val="16"/>
              </w:rPr>
              <w:t>(49,998)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EAD66D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4FD917"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483906"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C063B5" w14:textId="77777777" w:rsidR="00000000" w:rsidRDefault="000C49AD">
            <w:pPr>
              <w:spacing w:after="100"/>
              <w:jc w:val="right"/>
              <w:rPr>
                <w:rFonts w:eastAsia="Times New Roman"/>
              </w:rPr>
            </w:pPr>
            <w:r>
              <w:rPr>
                <w:rFonts w:eastAsia="Times New Roman"/>
                <w:color w:val="000000"/>
                <w:sz w:val="16"/>
                <w:szCs w:val="16"/>
              </w:rPr>
              <w:t>(29,199)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BE105D" w14:textId="77777777" w:rsidR="00000000" w:rsidRDefault="000C49AD">
            <w:pPr>
              <w:spacing w:after="100"/>
              <w:jc w:val="right"/>
              <w:rPr>
                <w:rFonts w:eastAsia="Times New Roman"/>
              </w:rPr>
            </w:pPr>
          </w:p>
        </w:tc>
      </w:tr>
      <w:tr w:rsidR="000C49AD" w14:paraId="22D79094" w14:textId="77777777">
        <w:tc>
          <w:tcPr>
            <w:tcW w:w="0" w:type="auto"/>
            <w:gridSpan w:val="3"/>
            <w:shd w:val="clear" w:color="auto" w:fill="FFFFFF"/>
            <w:tcMar>
              <w:top w:w="30" w:type="dxa"/>
              <w:left w:w="155" w:type="dxa"/>
              <w:bottom w:w="30" w:type="dxa"/>
              <w:right w:w="20" w:type="dxa"/>
            </w:tcMar>
            <w:vAlign w:val="bottom"/>
            <w:hideMark/>
          </w:tcPr>
          <w:p w14:paraId="06A0EDBC" w14:textId="77777777" w:rsidR="00000000" w:rsidRDefault="000C49AD">
            <w:pPr>
              <w:spacing w:after="100"/>
              <w:rPr>
                <w:rFonts w:eastAsia="Times New Roman"/>
              </w:rPr>
            </w:pPr>
            <w:r>
              <w:rPr>
                <w:rFonts w:eastAsia="Times New Roman"/>
                <w:color w:val="000000"/>
                <w:sz w:val="16"/>
                <w:szCs w:val="16"/>
              </w:rPr>
              <w:t xml:space="preserve">Net income </w:t>
            </w:r>
          </w:p>
        </w:tc>
        <w:tc>
          <w:tcPr>
            <w:tcW w:w="0" w:type="auto"/>
            <w:gridSpan w:val="3"/>
            <w:shd w:val="clear" w:color="auto" w:fill="FFFFFF"/>
            <w:tcMar>
              <w:top w:w="0" w:type="dxa"/>
              <w:left w:w="20" w:type="dxa"/>
              <w:bottom w:w="0" w:type="dxa"/>
              <w:right w:w="20" w:type="dxa"/>
            </w:tcMar>
            <w:vAlign w:val="center"/>
            <w:hideMark/>
          </w:tcPr>
          <w:p w14:paraId="66CCEE6E"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E3E772"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832F96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78B7D"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CEF96C"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5439B3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A69E44"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127843"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9C68F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74E37E"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481EFC"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D9649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4D3CB"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6DCB8B"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A26613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6BA2DE"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53E11B" w14:textId="77777777" w:rsidR="00000000" w:rsidRDefault="000C49AD">
            <w:pPr>
              <w:spacing w:after="100"/>
              <w:jc w:val="right"/>
              <w:rPr>
                <w:rFonts w:eastAsia="Times New Roman"/>
              </w:rPr>
            </w:pPr>
            <w:r>
              <w:rPr>
                <w:rFonts w:eastAsia="Times New Roman"/>
                <w:color w:val="000000"/>
                <w:sz w:val="16"/>
                <w:szCs w:val="16"/>
              </w:rPr>
              <w:t>7,028 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EFCD6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8E248"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FDBE85"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82D06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81E254"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BD45B01"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B3F3F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32E92"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3E857C"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A93B5D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B40A77"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9025FC1" w14:textId="77777777" w:rsidR="00000000" w:rsidRDefault="000C49AD">
            <w:pPr>
              <w:spacing w:after="100"/>
              <w:jc w:val="right"/>
              <w:rPr>
                <w:rFonts w:eastAsia="Times New Roman"/>
              </w:rPr>
            </w:pPr>
            <w:r>
              <w:rPr>
                <w:rFonts w:eastAsia="Times New Roman"/>
                <w:color w:val="000000"/>
                <w:sz w:val="16"/>
                <w:szCs w:val="16"/>
              </w:rPr>
              <w:t>7,028 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B2057DC" w14:textId="77777777" w:rsidR="00000000" w:rsidRDefault="000C49AD">
            <w:pPr>
              <w:spacing w:after="100"/>
              <w:jc w:val="right"/>
              <w:rPr>
                <w:rFonts w:eastAsia="Times New Roman"/>
              </w:rPr>
            </w:pPr>
          </w:p>
        </w:tc>
      </w:tr>
      <w:tr w:rsidR="000C49AD" w14:paraId="12B8DE04" w14:textId="77777777">
        <w:tc>
          <w:tcPr>
            <w:tcW w:w="0" w:type="auto"/>
            <w:gridSpan w:val="3"/>
            <w:shd w:val="clear" w:color="auto" w:fill="CCEEFF"/>
            <w:tcMar>
              <w:top w:w="30" w:type="dxa"/>
              <w:left w:w="155" w:type="dxa"/>
              <w:bottom w:w="30" w:type="dxa"/>
              <w:right w:w="20" w:type="dxa"/>
            </w:tcMar>
            <w:vAlign w:val="bottom"/>
            <w:hideMark/>
          </w:tcPr>
          <w:p w14:paraId="42D248C5" w14:textId="77777777" w:rsidR="00000000" w:rsidRDefault="000C49AD">
            <w:pPr>
              <w:spacing w:after="100"/>
              <w:rPr>
                <w:rFonts w:eastAsia="Times New Roman"/>
              </w:rPr>
            </w:pPr>
            <w:r>
              <w:rPr>
                <w:rFonts w:eastAsia="Times New Roman"/>
                <w:color w:val="000000"/>
                <w:sz w:val="16"/>
                <w:szCs w:val="16"/>
              </w:rPr>
              <w:t>Other comprehensive income</w:t>
            </w:r>
          </w:p>
        </w:tc>
        <w:tc>
          <w:tcPr>
            <w:tcW w:w="0" w:type="auto"/>
            <w:gridSpan w:val="3"/>
            <w:shd w:val="clear" w:color="auto" w:fill="CCEEFF"/>
            <w:tcMar>
              <w:top w:w="0" w:type="dxa"/>
              <w:left w:w="20" w:type="dxa"/>
              <w:bottom w:w="0" w:type="dxa"/>
              <w:right w:w="20" w:type="dxa"/>
            </w:tcMar>
            <w:vAlign w:val="center"/>
            <w:hideMark/>
          </w:tcPr>
          <w:p w14:paraId="183E8097"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D7DE3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75017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69E2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AF240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F05E7C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9A735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47E915"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1C5BCF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EF56F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8896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CEC841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95603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991EB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E3BE1F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997C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1F8FB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7D9600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46ED9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15F1BB" w14:textId="77777777" w:rsidR="00000000" w:rsidRDefault="000C49AD">
            <w:pPr>
              <w:spacing w:after="100"/>
              <w:jc w:val="right"/>
              <w:rPr>
                <w:rFonts w:eastAsia="Times New Roman"/>
              </w:rPr>
            </w:pPr>
            <w:r>
              <w:rPr>
                <w:rFonts w:eastAsia="Times New Roman"/>
                <w:color w:val="000000"/>
                <w:sz w:val="16"/>
                <w:szCs w:val="16"/>
              </w:rPr>
              <w:t>1,755 </w:t>
            </w:r>
          </w:p>
        </w:tc>
        <w:tc>
          <w:tcPr>
            <w:tcW w:w="0" w:type="auto"/>
            <w:shd w:val="clear" w:color="auto" w:fill="CCEEFF"/>
            <w:tcMar>
              <w:top w:w="30" w:type="dxa"/>
              <w:left w:w="0" w:type="dxa"/>
              <w:bottom w:w="30" w:type="dxa"/>
              <w:right w:w="20" w:type="dxa"/>
            </w:tcMar>
            <w:vAlign w:val="bottom"/>
            <w:hideMark/>
          </w:tcPr>
          <w:p w14:paraId="01E7630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CF0A6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F5C8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F1E681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CE0A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412E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2A621D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C89C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EF3167" w14:textId="77777777" w:rsidR="00000000" w:rsidRDefault="000C49AD">
            <w:pPr>
              <w:spacing w:after="100"/>
              <w:jc w:val="right"/>
              <w:rPr>
                <w:rFonts w:eastAsia="Times New Roman"/>
              </w:rPr>
            </w:pPr>
            <w:r>
              <w:rPr>
                <w:rFonts w:eastAsia="Times New Roman"/>
                <w:color w:val="000000"/>
                <w:sz w:val="16"/>
                <w:szCs w:val="16"/>
              </w:rPr>
              <w:t>1,755 </w:t>
            </w:r>
          </w:p>
        </w:tc>
        <w:tc>
          <w:tcPr>
            <w:tcW w:w="0" w:type="auto"/>
            <w:shd w:val="clear" w:color="auto" w:fill="CCEEFF"/>
            <w:tcMar>
              <w:top w:w="30" w:type="dxa"/>
              <w:left w:w="0" w:type="dxa"/>
              <w:bottom w:w="30" w:type="dxa"/>
              <w:right w:w="20" w:type="dxa"/>
            </w:tcMar>
            <w:vAlign w:val="bottom"/>
            <w:hideMark/>
          </w:tcPr>
          <w:p w14:paraId="4346EB2C" w14:textId="77777777" w:rsidR="00000000" w:rsidRDefault="000C49AD">
            <w:pPr>
              <w:spacing w:after="100"/>
              <w:jc w:val="right"/>
              <w:rPr>
                <w:rFonts w:eastAsia="Times New Roman"/>
              </w:rPr>
            </w:pPr>
          </w:p>
        </w:tc>
      </w:tr>
      <w:tr w:rsidR="000C49AD" w14:paraId="7372E07B" w14:textId="77777777">
        <w:tc>
          <w:tcPr>
            <w:tcW w:w="0" w:type="auto"/>
            <w:gridSpan w:val="3"/>
            <w:shd w:val="clear" w:color="auto" w:fill="FFFFFF"/>
            <w:tcMar>
              <w:top w:w="30" w:type="dxa"/>
              <w:left w:w="155" w:type="dxa"/>
              <w:bottom w:w="30" w:type="dxa"/>
              <w:right w:w="20" w:type="dxa"/>
            </w:tcMar>
            <w:vAlign w:val="bottom"/>
            <w:hideMark/>
          </w:tcPr>
          <w:p w14:paraId="5929E990" w14:textId="77777777" w:rsidR="00000000" w:rsidRDefault="000C49AD">
            <w:pPr>
              <w:spacing w:after="100"/>
              <w:rPr>
                <w:rFonts w:eastAsia="Times New Roman"/>
              </w:rPr>
            </w:pPr>
            <w:r>
              <w:rPr>
                <w:rFonts w:eastAsia="Times New Roman"/>
                <w:color w:val="000000"/>
                <w:sz w:val="16"/>
                <w:szCs w:val="16"/>
              </w:rPr>
              <w:t>Exercise of stock options</w:t>
            </w:r>
          </w:p>
        </w:tc>
        <w:tc>
          <w:tcPr>
            <w:tcW w:w="0" w:type="auto"/>
            <w:gridSpan w:val="3"/>
            <w:shd w:val="clear" w:color="auto" w:fill="FFFFFF"/>
            <w:tcMar>
              <w:top w:w="0" w:type="dxa"/>
              <w:left w:w="20" w:type="dxa"/>
              <w:bottom w:w="0" w:type="dxa"/>
              <w:right w:w="20" w:type="dxa"/>
            </w:tcMar>
            <w:vAlign w:val="center"/>
            <w:hideMark/>
          </w:tcPr>
          <w:p w14:paraId="37F2164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D4E4B68" w14:textId="77777777" w:rsidR="00000000" w:rsidRDefault="000C49AD">
            <w:pPr>
              <w:spacing w:after="100"/>
              <w:jc w:val="right"/>
              <w:rPr>
                <w:rFonts w:eastAsia="Times New Roman"/>
              </w:rPr>
            </w:pPr>
            <w:r>
              <w:rPr>
                <w:rFonts w:eastAsia="Times New Roman"/>
                <w:color w:val="000000"/>
                <w:sz w:val="16"/>
                <w:szCs w:val="16"/>
              </w:rPr>
              <w:t>403 </w:t>
            </w:r>
          </w:p>
        </w:tc>
        <w:tc>
          <w:tcPr>
            <w:tcW w:w="0" w:type="auto"/>
            <w:shd w:val="clear" w:color="auto" w:fill="FFFFFF"/>
            <w:tcMar>
              <w:top w:w="30" w:type="dxa"/>
              <w:left w:w="0" w:type="dxa"/>
              <w:bottom w:w="30" w:type="dxa"/>
              <w:right w:w="20" w:type="dxa"/>
            </w:tcMar>
            <w:vAlign w:val="bottom"/>
            <w:hideMark/>
          </w:tcPr>
          <w:p w14:paraId="1FAFC0E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883BE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6DF809" w14:textId="77777777" w:rsidR="00000000" w:rsidRDefault="000C49AD">
            <w:pPr>
              <w:spacing w:after="100"/>
              <w:jc w:val="right"/>
              <w:rPr>
                <w:rFonts w:eastAsia="Times New Roman"/>
              </w:rPr>
            </w:pPr>
            <w:r>
              <w:rPr>
                <w:rFonts w:eastAsia="Times New Roman"/>
                <w:color w:val="000000"/>
                <w:sz w:val="16"/>
                <w:szCs w:val="16"/>
              </w:rPr>
              <w:t>4 </w:t>
            </w:r>
          </w:p>
        </w:tc>
        <w:tc>
          <w:tcPr>
            <w:tcW w:w="0" w:type="auto"/>
            <w:shd w:val="clear" w:color="auto" w:fill="FFFFFF"/>
            <w:tcMar>
              <w:top w:w="30" w:type="dxa"/>
              <w:left w:w="0" w:type="dxa"/>
              <w:bottom w:w="30" w:type="dxa"/>
              <w:right w:w="20" w:type="dxa"/>
            </w:tcMar>
            <w:vAlign w:val="bottom"/>
            <w:hideMark/>
          </w:tcPr>
          <w:p w14:paraId="3AD14E2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B11D8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C72760"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E3E6B7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AD62A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AFC51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28E46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E8C6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EDD8A3" w14:textId="77777777" w:rsidR="00000000" w:rsidRDefault="000C49AD">
            <w:pPr>
              <w:spacing w:after="100"/>
              <w:jc w:val="right"/>
              <w:rPr>
                <w:rFonts w:eastAsia="Times New Roman"/>
              </w:rPr>
            </w:pPr>
            <w:r>
              <w:rPr>
                <w:rFonts w:eastAsia="Times New Roman"/>
                <w:color w:val="000000"/>
                <w:sz w:val="16"/>
                <w:szCs w:val="16"/>
              </w:rPr>
              <w:t>2,041 </w:t>
            </w:r>
          </w:p>
        </w:tc>
        <w:tc>
          <w:tcPr>
            <w:tcW w:w="0" w:type="auto"/>
            <w:shd w:val="clear" w:color="auto" w:fill="FFFFFF"/>
            <w:tcMar>
              <w:top w:w="30" w:type="dxa"/>
              <w:left w:w="0" w:type="dxa"/>
              <w:bottom w:w="30" w:type="dxa"/>
              <w:right w:w="20" w:type="dxa"/>
            </w:tcMar>
            <w:vAlign w:val="bottom"/>
            <w:hideMark/>
          </w:tcPr>
          <w:p w14:paraId="379CC80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B33E3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6787B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DCF7F3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4FDF6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3A79B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15D234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FFA1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C947C1"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AD267F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B590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C43E4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A95517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62A30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166112" w14:textId="77777777" w:rsidR="00000000" w:rsidRDefault="000C49AD">
            <w:pPr>
              <w:spacing w:after="100"/>
              <w:jc w:val="right"/>
              <w:rPr>
                <w:rFonts w:eastAsia="Times New Roman"/>
              </w:rPr>
            </w:pPr>
            <w:r>
              <w:rPr>
                <w:rFonts w:eastAsia="Times New Roman"/>
                <w:color w:val="000000"/>
                <w:sz w:val="16"/>
                <w:szCs w:val="16"/>
              </w:rPr>
              <w:t>2,045 </w:t>
            </w:r>
          </w:p>
        </w:tc>
        <w:tc>
          <w:tcPr>
            <w:tcW w:w="0" w:type="auto"/>
            <w:shd w:val="clear" w:color="auto" w:fill="FFFFFF"/>
            <w:tcMar>
              <w:top w:w="30" w:type="dxa"/>
              <w:left w:w="0" w:type="dxa"/>
              <w:bottom w:w="30" w:type="dxa"/>
              <w:right w:w="20" w:type="dxa"/>
            </w:tcMar>
            <w:vAlign w:val="bottom"/>
            <w:hideMark/>
          </w:tcPr>
          <w:p w14:paraId="6196DB95" w14:textId="77777777" w:rsidR="00000000" w:rsidRDefault="000C49AD">
            <w:pPr>
              <w:spacing w:after="100"/>
              <w:jc w:val="right"/>
              <w:rPr>
                <w:rFonts w:eastAsia="Times New Roman"/>
              </w:rPr>
            </w:pPr>
          </w:p>
        </w:tc>
      </w:tr>
      <w:tr w:rsidR="000C49AD" w14:paraId="5AE37F14" w14:textId="77777777">
        <w:tc>
          <w:tcPr>
            <w:tcW w:w="0" w:type="auto"/>
            <w:gridSpan w:val="3"/>
            <w:shd w:val="clear" w:color="auto" w:fill="CCEEFF"/>
            <w:tcMar>
              <w:top w:w="30" w:type="dxa"/>
              <w:left w:w="155" w:type="dxa"/>
              <w:bottom w:w="30" w:type="dxa"/>
              <w:right w:w="20" w:type="dxa"/>
            </w:tcMar>
            <w:vAlign w:val="bottom"/>
            <w:hideMark/>
          </w:tcPr>
          <w:p w14:paraId="191ACA78" w14:textId="77777777" w:rsidR="00000000" w:rsidRDefault="000C49AD">
            <w:pPr>
              <w:spacing w:after="100"/>
              <w:rPr>
                <w:rFonts w:eastAsia="Times New Roman"/>
              </w:rPr>
            </w:pPr>
            <w:r>
              <w:rPr>
                <w:rFonts w:eastAsia="Times New Roman"/>
                <w:color w:val="000000"/>
                <w:sz w:val="16"/>
                <w:szCs w:val="16"/>
              </w:rPr>
              <w:t>February 2020 private placement</w:t>
            </w:r>
          </w:p>
        </w:tc>
        <w:tc>
          <w:tcPr>
            <w:tcW w:w="0" w:type="auto"/>
            <w:gridSpan w:val="3"/>
            <w:shd w:val="clear" w:color="auto" w:fill="CCEEFF"/>
            <w:tcMar>
              <w:top w:w="0" w:type="dxa"/>
              <w:left w:w="20" w:type="dxa"/>
              <w:bottom w:w="0" w:type="dxa"/>
              <w:right w:w="20" w:type="dxa"/>
            </w:tcMar>
            <w:vAlign w:val="center"/>
            <w:hideMark/>
          </w:tcPr>
          <w:p w14:paraId="33D613C5"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6C12C8E" w14:textId="77777777" w:rsidR="00000000" w:rsidRDefault="000C49AD">
            <w:pPr>
              <w:spacing w:after="100"/>
              <w:jc w:val="right"/>
              <w:rPr>
                <w:rFonts w:eastAsia="Times New Roman"/>
              </w:rPr>
            </w:pPr>
            <w:r>
              <w:rPr>
                <w:rFonts w:eastAsia="Times New Roman"/>
                <w:color w:val="000000"/>
                <w:sz w:val="16"/>
                <w:szCs w:val="16"/>
              </w:rPr>
              <w:t>8,680 </w:t>
            </w:r>
          </w:p>
        </w:tc>
        <w:tc>
          <w:tcPr>
            <w:tcW w:w="0" w:type="auto"/>
            <w:shd w:val="clear" w:color="auto" w:fill="CCEEFF"/>
            <w:tcMar>
              <w:top w:w="30" w:type="dxa"/>
              <w:left w:w="0" w:type="dxa"/>
              <w:bottom w:w="30" w:type="dxa"/>
              <w:right w:w="20" w:type="dxa"/>
            </w:tcMar>
            <w:vAlign w:val="bottom"/>
            <w:hideMark/>
          </w:tcPr>
          <w:p w14:paraId="2BD7221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42E84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D4C5AD" w14:textId="77777777" w:rsidR="00000000" w:rsidRDefault="000C49AD">
            <w:pPr>
              <w:spacing w:after="100"/>
              <w:jc w:val="right"/>
              <w:rPr>
                <w:rFonts w:eastAsia="Times New Roman"/>
              </w:rPr>
            </w:pPr>
            <w:r>
              <w:rPr>
                <w:rFonts w:eastAsia="Times New Roman"/>
                <w:color w:val="000000"/>
                <w:sz w:val="16"/>
                <w:szCs w:val="16"/>
              </w:rPr>
              <w:t>87 </w:t>
            </w:r>
          </w:p>
        </w:tc>
        <w:tc>
          <w:tcPr>
            <w:tcW w:w="0" w:type="auto"/>
            <w:shd w:val="clear" w:color="auto" w:fill="CCEEFF"/>
            <w:tcMar>
              <w:top w:w="30" w:type="dxa"/>
              <w:left w:w="0" w:type="dxa"/>
              <w:bottom w:w="30" w:type="dxa"/>
              <w:right w:w="20" w:type="dxa"/>
            </w:tcMar>
            <w:vAlign w:val="bottom"/>
            <w:hideMark/>
          </w:tcPr>
          <w:p w14:paraId="69B0636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E1387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3EDD02" w14:textId="77777777" w:rsidR="00000000" w:rsidRDefault="000C49AD">
            <w:pPr>
              <w:spacing w:after="100"/>
              <w:jc w:val="right"/>
              <w:rPr>
                <w:rFonts w:eastAsia="Times New Roman"/>
              </w:rPr>
            </w:pPr>
            <w:r>
              <w:rPr>
                <w:rFonts w:eastAsia="Times New Roman"/>
                <w:color w:val="000000"/>
                <w:sz w:val="16"/>
                <w:szCs w:val="16"/>
              </w:rPr>
              <w:t>488 </w:t>
            </w:r>
          </w:p>
        </w:tc>
        <w:tc>
          <w:tcPr>
            <w:tcW w:w="0" w:type="auto"/>
            <w:shd w:val="clear" w:color="auto" w:fill="CCEEFF"/>
            <w:tcMar>
              <w:top w:w="30" w:type="dxa"/>
              <w:left w:w="0" w:type="dxa"/>
              <w:bottom w:w="30" w:type="dxa"/>
              <w:right w:w="20" w:type="dxa"/>
            </w:tcMar>
            <w:vAlign w:val="bottom"/>
            <w:hideMark/>
          </w:tcPr>
          <w:p w14:paraId="33B151A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6F2F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F32859" w14:textId="77777777" w:rsidR="00000000" w:rsidRDefault="000C49AD">
            <w:pPr>
              <w:spacing w:after="100"/>
              <w:jc w:val="right"/>
              <w:rPr>
                <w:rFonts w:eastAsia="Times New Roman"/>
              </w:rPr>
            </w:pPr>
            <w:r>
              <w:rPr>
                <w:rFonts w:eastAsia="Times New Roman"/>
                <w:color w:val="000000"/>
                <w:sz w:val="16"/>
                <w:szCs w:val="16"/>
              </w:rPr>
              <w:t>5 </w:t>
            </w:r>
          </w:p>
        </w:tc>
        <w:tc>
          <w:tcPr>
            <w:tcW w:w="0" w:type="auto"/>
            <w:shd w:val="clear" w:color="auto" w:fill="CCEEFF"/>
            <w:tcMar>
              <w:top w:w="30" w:type="dxa"/>
              <w:left w:w="0" w:type="dxa"/>
              <w:bottom w:w="30" w:type="dxa"/>
              <w:right w:w="20" w:type="dxa"/>
            </w:tcMar>
            <w:vAlign w:val="bottom"/>
            <w:hideMark/>
          </w:tcPr>
          <w:p w14:paraId="145FB08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40ED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A7292" w14:textId="77777777" w:rsidR="00000000" w:rsidRDefault="000C49AD">
            <w:pPr>
              <w:spacing w:after="100"/>
              <w:jc w:val="right"/>
              <w:rPr>
                <w:rFonts w:eastAsia="Times New Roman"/>
              </w:rPr>
            </w:pPr>
            <w:r>
              <w:rPr>
                <w:rFonts w:eastAsia="Times New Roman"/>
                <w:color w:val="000000"/>
                <w:sz w:val="16"/>
                <w:szCs w:val="16"/>
              </w:rPr>
              <w:t>60,478 </w:t>
            </w:r>
          </w:p>
        </w:tc>
        <w:tc>
          <w:tcPr>
            <w:tcW w:w="0" w:type="auto"/>
            <w:shd w:val="clear" w:color="auto" w:fill="CCEEFF"/>
            <w:tcMar>
              <w:top w:w="30" w:type="dxa"/>
              <w:left w:w="0" w:type="dxa"/>
              <w:bottom w:w="30" w:type="dxa"/>
              <w:right w:w="20" w:type="dxa"/>
            </w:tcMar>
            <w:vAlign w:val="bottom"/>
            <w:hideMark/>
          </w:tcPr>
          <w:p w14:paraId="0FCA3FC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D8EF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631D4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36734C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0F6D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EB28B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85E9A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62224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C90F5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A5EAD3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27CF5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4993C5"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0B6C6B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F1D4F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82C417" w14:textId="77777777" w:rsidR="00000000" w:rsidRDefault="000C49AD">
            <w:pPr>
              <w:spacing w:after="100"/>
              <w:jc w:val="right"/>
              <w:rPr>
                <w:rFonts w:eastAsia="Times New Roman"/>
              </w:rPr>
            </w:pPr>
            <w:r>
              <w:rPr>
                <w:rFonts w:eastAsia="Times New Roman"/>
                <w:color w:val="000000"/>
                <w:sz w:val="16"/>
                <w:szCs w:val="16"/>
              </w:rPr>
              <w:t>60,570 </w:t>
            </w:r>
          </w:p>
        </w:tc>
        <w:tc>
          <w:tcPr>
            <w:tcW w:w="0" w:type="auto"/>
            <w:shd w:val="clear" w:color="auto" w:fill="CCEEFF"/>
            <w:tcMar>
              <w:top w:w="30" w:type="dxa"/>
              <w:left w:w="0" w:type="dxa"/>
              <w:bottom w:w="30" w:type="dxa"/>
              <w:right w:w="20" w:type="dxa"/>
            </w:tcMar>
            <w:vAlign w:val="bottom"/>
            <w:hideMark/>
          </w:tcPr>
          <w:p w14:paraId="59A99C71" w14:textId="77777777" w:rsidR="00000000" w:rsidRDefault="000C49AD">
            <w:pPr>
              <w:spacing w:after="100"/>
              <w:jc w:val="right"/>
              <w:rPr>
                <w:rFonts w:eastAsia="Times New Roman"/>
              </w:rPr>
            </w:pPr>
          </w:p>
        </w:tc>
      </w:tr>
      <w:tr w:rsidR="000C49AD" w14:paraId="26D7E14E" w14:textId="77777777">
        <w:tc>
          <w:tcPr>
            <w:tcW w:w="0" w:type="auto"/>
            <w:gridSpan w:val="3"/>
            <w:shd w:val="clear" w:color="auto" w:fill="FFFFFF"/>
            <w:tcMar>
              <w:top w:w="30" w:type="dxa"/>
              <w:left w:w="155" w:type="dxa"/>
              <w:bottom w:w="30" w:type="dxa"/>
              <w:right w:w="20" w:type="dxa"/>
            </w:tcMar>
            <w:vAlign w:val="bottom"/>
            <w:hideMark/>
          </w:tcPr>
          <w:p w14:paraId="648F0EE9" w14:textId="77777777" w:rsidR="00000000" w:rsidRDefault="000C49AD">
            <w:pPr>
              <w:spacing w:after="100"/>
              <w:rPr>
                <w:rFonts w:eastAsia="Times New Roman"/>
              </w:rPr>
            </w:pPr>
            <w:r>
              <w:rPr>
                <w:rFonts w:eastAsia="Times New Roman"/>
                <w:color w:val="000000"/>
                <w:sz w:val="16"/>
                <w:szCs w:val="16"/>
              </w:rPr>
              <w:t>May 2020 public offering</w:t>
            </w:r>
          </w:p>
        </w:tc>
        <w:tc>
          <w:tcPr>
            <w:tcW w:w="0" w:type="auto"/>
            <w:gridSpan w:val="3"/>
            <w:shd w:val="clear" w:color="auto" w:fill="FFFFFF"/>
            <w:tcMar>
              <w:top w:w="0" w:type="dxa"/>
              <w:left w:w="20" w:type="dxa"/>
              <w:bottom w:w="0" w:type="dxa"/>
              <w:right w:w="20" w:type="dxa"/>
            </w:tcMar>
            <w:vAlign w:val="center"/>
            <w:hideMark/>
          </w:tcPr>
          <w:p w14:paraId="5F3BE905"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8673FA2" w14:textId="77777777" w:rsidR="00000000" w:rsidRDefault="000C49AD">
            <w:pPr>
              <w:spacing w:after="100"/>
              <w:jc w:val="right"/>
              <w:rPr>
                <w:rFonts w:eastAsia="Times New Roman"/>
              </w:rPr>
            </w:pPr>
            <w:r>
              <w:rPr>
                <w:rFonts w:eastAsia="Times New Roman"/>
                <w:color w:val="000000"/>
                <w:sz w:val="16"/>
                <w:szCs w:val="16"/>
              </w:rPr>
              <w:t>11,630 </w:t>
            </w:r>
          </w:p>
        </w:tc>
        <w:tc>
          <w:tcPr>
            <w:tcW w:w="0" w:type="auto"/>
            <w:shd w:val="clear" w:color="auto" w:fill="FFFFFF"/>
            <w:tcMar>
              <w:top w:w="30" w:type="dxa"/>
              <w:left w:w="0" w:type="dxa"/>
              <w:bottom w:w="30" w:type="dxa"/>
              <w:right w:w="20" w:type="dxa"/>
            </w:tcMar>
            <w:vAlign w:val="bottom"/>
            <w:hideMark/>
          </w:tcPr>
          <w:p w14:paraId="4C00E30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2275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7CC785" w14:textId="77777777" w:rsidR="00000000" w:rsidRDefault="000C49AD">
            <w:pPr>
              <w:spacing w:after="100"/>
              <w:jc w:val="right"/>
              <w:rPr>
                <w:rFonts w:eastAsia="Times New Roman"/>
              </w:rPr>
            </w:pPr>
            <w:r>
              <w:rPr>
                <w:rFonts w:eastAsia="Times New Roman"/>
                <w:color w:val="000000"/>
                <w:sz w:val="16"/>
                <w:szCs w:val="16"/>
              </w:rPr>
              <w:t>116 </w:t>
            </w:r>
          </w:p>
        </w:tc>
        <w:tc>
          <w:tcPr>
            <w:tcW w:w="0" w:type="auto"/>
            <w:shd w:val="clear" w:color="auto" w:fill="FFFFFF"/>
            <w:tcMar>
              <w:top w:w="30" w:type="dxa"/>
              <w:left w:w="0" w:type="dxa"/>
              <w:bottom w:w="30" w:type="dxa"/>
              <w:right w:w="20" w:type="dxa"/>
            </w:tcMar>
            <w:vAlign w:val="bottom"/>
            <w:hideMark/>
          </w:tcPr>
          <w:p w14:paraId="55FEFDA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5BC5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2668A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89F13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F6977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1D0EE3"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D0FAD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33AC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61F09A" w14:textId="77777777" w:rsidR="00000000" w:rsidRDefault="000C49AD">
            <w:pPr>
              <w:spacing w:after="100"/>
              <w:jc w:val="right"/>
              <w:rPr>
                <w:rFonts w:eastAsia="Times New Roman"/>
              </w:rPr>
            </w:pPr>
            <w:r>
              <w:rPr>
                <w:rFonts w:eastAsia="Times New Roman"/>
                <w:color w:val="000000"/>
                <w:sz w:val="16"/>
                <w:szCs w:val="16"/>
              </w:rPr>
              <w:t>116,808 </w:t>
            </w:r>
          </w:p>
        </w:tc>
        <w:tc>
          <w:tcPr>
            <w:tcW w:w="0" w:type="auto"/>
            <w:shd w:val="clear" w:color="auto" w:fill="FFFFFF"/>
            <w:tcMar>
              <w:top w:w="30" w:type="dxa"/>
              <w:left w:w="0" w:type="dxa"/>
              <w:bottom w:w="30" w:type="dxa"/>
              <w:right w:w="20" w:type="dxa"/>
            </w:tcMar>
            <w:vAlign w:val="bottom"/>
            <w:hideMark/>
          </w:tcPr>
          <w:p w14:paraId="045832C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A0558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FF05F3"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593FB3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85E5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E72943"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D26AF0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15888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231C2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FBC2B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6A737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DCC63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9AE17D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5220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86D2E9" w14:textId="77777777" w:rsidR="00000000" w:rsidRDefault="000C49AD">
            <w:pPr>
              <w:spacing w:after="100"/>
              <w:jc w:val="right"/>
              <w:rPr>
                <w:rFonts w:eastAsia="Times New Roman"/>
              </w:rPr>
            </w:pPr>
            <w:r>
              <w:rPr>
                <w:rFonts w:eastAsia="Times New Roman"/>
                <w:color w:val="000000"/>
                <w:sz w:val="16"/>
                <w:szCs w:val="16"/>
              </w:rPr>
              <w:t>116,924 </w:t>
            </w:r>
          </w:p>
        </w:tc>
        <w:tc>
          <w:tcPr>
            <w:tcW w:w="0" w:type="auto"/>
            <w:shd w:val="clear" w:color="auto" w:fill="FFFFFF"/>
            <w:tcMar>
              <w:top w:w="30" w:type="dxa"/>
              <w:left w:w="0" w:type="dxa"/>
              <w:bottom w:w="30" w:type="dxa"/>
              <w:right w:w="20" w:type="dxa"/>
            </w:tcMar>
            <w:vAlign w:val="bottom"/>
            <w:hideMark/>
          </w:tcPr>
          <w:p w14:paraId="74561E5E" w14:textId="77777777" w:rsidR="00000000" w:rsidRDefault="000C49AD">
            <w:pPr>
              <w:spacing w:after="100"/>
              <w:jc w:val="right"/>
              <w:rPr>
                <w:rFonts w:eastAsia="Times New Roman"/>
              </w:rPr>
            </w:pPr>
          </w:p>
        </w:tc>
      </w:tr>
      <w:tr w:rsidR="000C49AD" w14:paraId="238FA4EC" w14:textId="77777777">
        <w:tc>
          <w:tcPr>
            <w:tcW w:w="0" w:type="auto"/>
            <w:gridSpan w:val="3"/>
            <w:shd w:val="clear" w:color="auto" w:fill="CCEEFF"/>
            <w:tcMar>
              <w:top w:w="30" w:type="dxa"/>
              <w:left w:w="155" w:type="dxa"/>
              <w:bottom w:w="30" w:type="dxa"/>
              <w:right w:w="20" w:type="dxa"/>
            </w:tcMar>
            <w:vAlign w:val="bottom"/>
            <w:hideMark/>
          </w:tcPr>
          <w:p w14:paraId="42EB2934" w14:textId="77777777" w:rsidR="00000000" w:rsidRDefault="000C49AD">
            <w:pPr>
              <w:spacing w:after="100"/>
              <w:rPr>
                <w:rFonts w:eastAsia="Times New Roman"/>
              </w:rPr>
            </w:pPr>
            <w:r>
              <w:rPr>
                <w:rFonts w:eastAsia="Times New Roman"/>
                <w:color w:val="000000"/>
                <w:sz w:val="16"/>
                <w:szCs w:val="16"/>
              </w:rPr>
              <w:t>Vesting of restricted shares</w:t>
            </w:r>
          </w:p>
        </w:tc>
        <w:tc>
          <w:tcPr>
            <w:tcW w:w="0" w:type="auto"/>
            <w:gridSpan w:val="3"/>
            <w:shd w:val="clear" w:color="auto" w:fill="CCEEFF"/>
            <w:tcMar>
              <w:top w:w="0" w:type="dxa"/>
              <w:left w:w="20" w:type="dxa"/>
              <w:bottom w:w="0" w:type="dxa"/>
              <w:right w:w="20" w:type="dxa"/>
            </w:tcMar>
            <w:vAlign w:val="center"/>
            <w:hideMark/>
          </w:tcPr>
          <w:p w14:paraId="52988EC0"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A933F1" w14:textId="77777777" w:rsidR="00000000" w:rsidRDefault="000C49AD">
            <w:pPr>
              <w:spacing w:after="100"/>
              <w:jc w:val="right"/>
              <w:rPr>
                <w:rFonts w:eastAsia="Times New Roman"/>
              </w:rPr>
            </w:pPr>
            <w:r>
              <w:rPr>
                <w:rFonts w:eastAsia="Times New Roman"/>
                <w:color w:val="000000"/>
                <w:sz w:val="16"/>
                <w:szCs w:val="16"/>
              </w:rPr>
              <w:t>114 </w:t>
            </w:r>
          </w:p>
        </w:tc>
        <w:tc>
          <w:tcPr>
            <w:tcW w:w="0" w:type="auto"/>
            <w:shd w:val="clear" w:color="auto" w:fill="CCEEFF"/>
            <w:tcMar>
              <w:top w:w="30" w:type="dxa"/>
              <w:left w:w="0" w:type="dxa"/>
              <w:bottom w:w="30" w:type="dxa"/>
              <w:right w:w="20" w:type="dxa"/>
            </w:tcMar>
            <w:vAlign w:val="bottom"/>
            <w:hideMark/>
          </w:tcPr>
          <w:p w14:paraId="133A766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C01D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3F5B17" w14:textId="77777777" w:rsidR="00000000" w:rsidRDefault="000C49A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64964DD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35B5D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8E709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B824F8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300B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AEFEF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79049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B1855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556A2B" w14:textId="77777777" w:rsidR="00000000" w:rsidRDefault="000C49AD">
            <w:pPr>
              <w:spacing w:after="100"/>
              <w:jc w:val="right"/>
              <w:rPr>
                <w:rFonts w:eastAsia="Times New Roman"/>
              </w:rPr>
            </w:pPr>
            <w:r>
              <w:rPr>
                <w:rFonts w:eastAsia="Times New Roman"/>
                <w:color w:val="000000"/>
                <w:sz w:val="16"/>
                <w:szCs w:val="16"/>
              </w:rPr>
              <w:t>(1)</w:t>
            </w:r>
          </w:p>
        </w:tc>
        <w:tc>
          <w:tcPr>
            <w:tcW w:w="0" w:type="auto"/>
            <w:shd w:val="clear" w:color="auto" w:fill="CCEEFF"/>
            <w:tcMar>
              <w:top w:w="30" w:type="dxa"/>
              <w:left w:w="0" w:type="dxa"/>
              <w:bottom w:w="30" w:type="dxa"/>
              <w:right w:w="20" w:type="dxa"/>
            </w:tcMar>
            <w:vAlign w:val="bottom"/>
            <w:hideMark/>
          </w:tcPr>
          <w:p w14:paraId="1DD6CE5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777F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82F33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3B9315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A69E7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19F620"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803FAA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B28D2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DE5135"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ADE4D0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3CBE4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5DB73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C4A7CA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9C7A3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E0A6E1E"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12F6DAF" w14:textId="77777777" w:rsidR="00000000" w:rsidRDefault="000C49AD">
            <w:pPr>
              <w:spacing w:after="100"/>
              <w:jc w:val="right"/>
              <w:rPr>
                <w:rFonts w:eastAsia="Times New Roman"/>
              </w:rPr>
            </w:pPr>
          </w:p>
        </w:tc>
      </w:tr>
      <w:tr w:rsidR="000C49AD" w14:paraId="07AFF2F1" w14:textId="77777777">
        <w:tc>
          <w:tcPr>
            <w:tcW w:w="0" w:type="auto"/>
            <w:gridSpan w:val="3"/>
            <w:shd w:val="clear" w:color="auto" w:fill="FFFFFF"/>
            <w:tcMar>
              <w:top w:w="30" w:type="dxa"/>
              <w:left w:w="155" w:type="dxa"/>
              <w:bottom w:w="30" w:type="dxa"/>
              <w:right w:w="20" w:type="dxa"/>
            </w:tcMar>
            <w:vAlign w:val="bottom"/>
            <w:hideMark/>
          </w:tcPr>
          <w:p w14:paraId="58B6BD1C" w14:textId="77777777" w:rsidR="00000000" w:rsidRDefault="000C49AD">
            <w:pPr>
              <w:spacing w:after="100"/>
              <w:rPr>
                <w:rFonts w:eastAsia="Times New Roman"/>
              </w:rPr>
            </w:pPr>
            <w:r>
              <w:rPr>
                <w:rFonts w:eastAsia="Times New Roman"/>
                <w:color w:val="000000"/>
                <w:sz w:val="16"/>
                <w:szCs w:val="16"/>
              </w:rPr>
              <w:t>Employee share purchase plan share issuance</w:t>
            </w:r>
          </w:p>
        </w:tc>
        <w:tc>
          <w:tcPr>
            <w:tcW w:w="0" w:type="auto"/>
            <w:gridSpan w:val="3"/>
            <w:shd w:val="clear" w:color="auto" w:fill="FFFFFF"/>
            <w:tcMar>
              <w:top w:w="0" w:type="dxa"/>
              <w:left w:w="20" w:type="dxa"/>
              <w:bottom w:w="0" w:type="dxa"/>
              <w:right w:w="20" w:type="dxa"/>
            </w:tcMar>
            <w:vAlign w:val="center"/>
            <w:hideMark/>
          </w:tcPr>
          <w:p w14:paraId="7581D108"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03D1566" w14:textId="77777777" w:rsidR="00000000" w:rsidRDefault="000C49AD">
            <w:pPr>
              <w:spacing w:after="100"/>
              <w:jc w:val="right"/>
              <w:rPr>
                <w:rFonts w:eastAsia="Times New Roman"/>
              </w:rPr>
            </w:pPr>
            <w:r>
              <w:rPr>
                <w:rFonts w:eastAsia="Times New Roman"/>
                <w:color w:val="000000"/>
                <w:sz w:val="16"/>
                <w:szCs w:val="16"/>
              </w:rPr>
              <w:t>49 </w:t>
            </w:r>
          </w:p>
        </w:tc>
        <w:tc>
          <w:tcPr>
            <w:tcW w:w="0" w:type="auto"/>
            <w:shd w:val="clear" w:color="auto" w:fill="FFFFFF"/>
            <w:tcMar>
              <w:top w:w="30" w:type="dxa"/>
              <w:left w:w="0" w:type="dxa"/>
              <w:bottom w:w="30" w:type="dxa"/>
              <w:right w:w="20" w:type="dxa"/>
            </w:tcMar>
            <w:vAlign w:val="bottom"/>
            <w:hideMark/>
          </w:tcPr>
          <w:p w14:paraId="126A965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16487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E7EF2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7CE7BC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6FDF4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694F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1DBB9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B1A2D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C0BA9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0C229D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AE1E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4A71B4" w14:textId="77777777" w:rsidR="00000000" w:rsidRDefault="000C49AD">
            <w:pPr>
              <w:spacing w:after="100"/>
              <w:jc w:val="right"/>
              <w:rPr>
                <w:rFonts w:eastAsia="Times New Roman"/>
              </w:rPr>
            </w:pPr>
            <w:r>
              <w:rPr>
                <w:rFonts w:eastAsia="Times New Roman"/>
                <w:color w:val="000000"/>
                <w:sz w:val="16"/>
                <w:szCs w:val="16"/>
              </w:rPr>
              <w:t>144 </w:t>
            </w:r>
          </w:p>
        </w:tc>
        <w:tc>
          <w:tcPr>
            <w:tcW w:w="0" w:type="auto"/>
            <w:shd w:val="clear" w:color="auto" w:fill="FFFFFF"/>
            <w:tcMar>
              <w:top w:w="30" w:type="dxa"/>
              <w:left w:w="0" w:type="dxa"/>
              <w:bottom w:w="30" w:type="dxa"/>
              <w:right w:w="20" w:type="dxa"/>
            </w:tcMar>
            <w:vAlign w:val="bottom"/>
            <w:hideMark/>
          </w:tcPr>
          <w:p w14:paraId="47F8E52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7CC09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476FB"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B85622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2A25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EBDF31"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3DE3BF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AFFC9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797EE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90716C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0096A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9F278E"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1BD4B9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0A327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3F62DD" w14:textId="77777777" w:rsidR="00000000" w:rsidRDefault="000C49AD">
            <w:pPr>
              <w:spacing w:after="100"/>
              <w:jc w:val="right"/>
              <w:rPr>
                <w:rFonts w:eastAsia="Times New Roman"/>
              </w:rPr>
            </w:pPr>
            <w:r>
              <w:rPr>
                <w:rFonts w:eastAsia="Times New Roman"/>
                <w:color w:val="000000"/>
                <w:sz w:val="16"/>
                <w:szCs w:val="16"/>
              </w:rPr>
              <w:t>144 </w:t>
            </w:r>
          </w:p>
        </w:tc>
        <w:tc>
          <w:tcPr>
            <w:tcW w:w="0" w:type="auto"/>
            <w:shd w:val="clear" w:color="auto" w:fill="FFFFFF"/>
            <w:tcMar>
              <w:top w:w="30" w:type="dxa"/>
              <w:left w:w="0" w:type="dxa"/>
              <w:bottom w:w="30" w:type="dxa"/>
              <w:right w:w="20" w:type="dxa"/>
            </w:tcMar>
            <w:vAlign w:val="bottom"/>
            <w:hideMark/>
          </w:tcPr>
          <w:p w14:paraId="3AC08B62" w14:textId="77777777" w:rsidR="00000000" w:rsidRDefault="000C49AD">
            <w:pPr>
              <w:spacing w:after="100"/>
              <w:jc w:val="right"/>
              <w:rPr>
                <w:rFonts w:eastAsia="Times New Roman"/>
              </w:rPr>
            </w:pPr>
          </w:p>
        </w:tc>
      </w:tr>
      <w:tr w:rsidR="000C49AD" w14:paraId="1AE90B29" w14:textId="77777777">
        <w:tc>
          <w:tcPr>
            <w:tcW w:w="0" w:type="auto"/>
            <w:gridSpan w:val="3"/>
            <w:shd w:val="clear" w:color="auto" w:fill="CCEEFF"/>
            <w:tcMar>
              <w:top w:w="30" w:type="dxa"/>
              <w:left w:w="155" w:type="dxa"/>
              <w:bottom w:w="30" w:type="dxa"/>
              <w:right w:w="20" w:type="dxa"/>
            </w:tcMar>
            <w:vAlign w:val="bottom"/>
            <w:hideMark/>
          </w:tcPr>
          <w:p w14:paraId="0407ADD8" w14:textId="77777777" w:rsidR="00000000" w:rsidRDefault="000C49AD">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CCEEFF"/>
            <w:tcMar>
              <w:top w:w="0" w:type="dxa"/>
              <w:left w:w="20" w:type="dxa"/>
              <w:bottom w:w="0" w:type="dxa"/>
              <w:right w:w="20" w:type="dxa"/>
            </w:tcMar>
            <w:vAlign w:val="center"/>
            <w:hideMark/>
          </w:tcPr>
          <w:p w14:paraId="35A4E3FA"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1CAC39E"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ABF370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FBF7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513EF3"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8E8E0B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2CB8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464F6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3613B6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3174A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54089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ADAB3C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2F4C6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930253" w14:textId="77777777" w:rsidR="00000000" w:rsidRDefault="000C49AD">
            <w:pPr>
              <w:spacing w:after="100"/>
              <w:jc w:val="right"/>
              <w:rPr>
                <w:rFonts w:eastAsia="Times New Roman"/>
              </w:rPr>
            </w:pPr>
            <w:r>
              <w:rPr>
                <w:rFonts w:eastAsia="Times New Roman"/>
                <w:color w:val="000000"/>
                <w:sz w:val="16"/>
                <w:szCs w:val="16"/>
              </w:rPr>
              <w:t>2,999 </w:t>
            </w:r>
          </w:p>
        </w:tc>
        <w:tc>
          <w:tcPr>
            <w:tcW w:w="0" w:type="auto"/>
            <w:shd w:val="clear" w:color="auto" w:fill="CCEEFF"/>
            <w:tcMar>
              <w:top w:w="30" w:type="dxa"/>
              <w:left w:w="0" w:type="dxa"/>
              <w:bottom w:w="30" w:type="dxa"/>
              <w:right w:w="20" w:type="dxa"/>
            </w:tcMar>
            <w:vAlign w:val="bottom"/>
            <w:hideMark/>
          </w:tcPr>
          <w:p w14:paraId="3ACD348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65A53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801E5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1182CF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82FA3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C5158C"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1D87D5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4D588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494E4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24C54C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D3A7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990841"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DDE666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C420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94D1B79" w14:textId="77777777" w:rsidR="00000000" w:rsidRDefault="000C49AD">
            <w:pPr>
              <w:spacing w:after="100"/>
              <w:jc w:val="right"/>
              <w:rPr>
                <w:rFonts w:eastAsia="Times New Roman"/>
              </w:rPr>
            </w:pPr>
            <w:r>
              <w:rPr>
                <w:rFonts w:eastAsia="Times New Roman"/>
                <w:color w:val="000000"/>
                <w:sz w:val="16"/>
                <w:szCs w:val="16"/>
              </w:rPr>
              <w:t>2,999 </w:t>
            </w:r>
          </w:p>
        </w:tc>
        <w:tc>
          <w:tcPr>
            <w:tcW w:w="0" w:type="auto"/>
            <w:shd w:val="clear" w:color="auto" w:fill="CCEEFF"/>
            <w:tcMar>
              <w:top w:w="30" w:type="dxa"/>
              <w:left w:w="0" w:type="dxa"/>
              <w:bottom w:w="30" w:type="dxa"/>
              <w:right w:w="20" w:type="dxa"/>
            </w:tcMar>
            <w:vAlign w:val="bottom"/>
            <w:hideMark/>
          </w:tcPr>
          <w:p w14:paraId="5E23B524" w14:textId="77777777" w:rsidR="00000000" w:rsidRDefault="000C49AD">
            <w:pPr>
              <w:spacing w:after="100"/>
              <w:jc w:val="right"/>
              <w:rPr>
                <w:rFonts w:eastAsia="Times New Roman"/>
              </w:rPr>
            </w:pPr>
          </w:p>
        </w:tc>
      </w:tr>
      <w:tr w:rsidR="000C49AD" w14:paraId="3F0B51C4" w14:textId="77777777">
        <w:tc>
          <w:tcPr>
            <w:tcW w:w="0" w:type="auto"/>
            <w:gridSpan w:val="3"/>
            <w:shd w:val="clear" w:color="auto" w:fill="FFFFFF"/>
            <w:tcMar>
              <w:top w:w="30" w:type="dxa"/>
              <w:left w:w="155" w:type="dxa"/>
              <w:bottom w:w="30" w:type="dxa"/>
              <w:right w:w="20" w:type="dxa"/>
            </w:tcMar>
            <w:vAlign w:val="bottom"/>
            <w:hideMark/>
          </w:tcPr>
          <w:p w14:paraId="795DD8A4" w14:textId="77777777" w:rsidR="00000000" w:rsidRDefault="000C49AD">
            <w:pPr>
              <w:spacing w:after="100"/>
              <w:rPr>
                <w:rFonts w:eastAsia="Times New Roman"/>
              </w:rPr>
            </w:pPr>
            <w:r>
              <w:rPr>
                <w:rFonts w:eastAsia="Times New Roman"/>
                <w:color w:val="000000"/>
                <w:sz w:val="16"/>
                <w:szCs w:val="16"/>
              </w:rPr>
              <w:t>Retirement of treasury shares</w:t>
            </w:r>
          </w:p>
        </w:tc>
        <w:tc>
          <w:tcPr>
            <w:tcW w:w="0" w:type="auto"/>
            <w:gridSpan w:val="3"/>
            <w:shd w:val="clear" w:color="auto" w:fill="FFFFFF"/>
            <w:tcMar>
              <w:top w:w="0" w:type="dxa"/>
              <w:left w:w="20" w:type="dxa"/>
              <w:bottom w:w="0" w:type="dxa"/>
              <w:right w:w="20" w:type="dxa"/>
            </w:tcMar>
            <w:vAlign w:val="center"/>
            <w:hideMark/>
          </w:tcPr>
          <w:p w14:paraId="204D06F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11D1AE" w14:textId="77777777" w:rsidR="00000000" w:rsidRDefault="000C49AD">
            <w:pPr>
              <w:spacing w:after="100"/>
              <w:jc w:val="right"/>
              <w:rPr>
                <w:rFonts w:eastAsia="Times New Roman"/>
              </w:rPr>
            </w:pPr>
            <w:r>
              <w:rPr>
                <w:rFonts w:eastAsia="Times New Roman"/>
                <w:color w:val="000000"/>
                <w:sz w:val="16"/>
                <w:szCs w:val="16"/>
              </w:rPr>
              <w:t>(5,407)</w:t>
            </w:r>
          </w:p>
        </w:tc>
        <w:tc>
          <w:tcPr>
            <w:tcW w:w="0" w:type="auto"/>
            <w:shd w:val="clear" w:color="auto" w:fill="FFFFFF"/>
            <w:tcMar>
              <w:top w:w="30" w:type="dxa"/>
              <w:left w:w="0" w:type="dxa"/>
              <w:bottom w:w="30" w:type="dxa"/>
              <w:right w:w="20" w:type="dxa"/>
            </w:tcMar>
            <w:vAlign w:val="bottom"/>
            <w:hideMark/>
          </w:tcPr>
          <w:p w14:paraId="34A5DBC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ED136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0EDD90" w14:textId="77777777" w:rsidR="00000000" w:rsidRDefault="000C49AD">
            <w:pPr>
              <w:spacing w:after="100"/>
              <w:jc w:val="right"/>
              <w:rPr>
                <w:rFonts w:eastAsia="Times New Roman"/>
              </w:rPr>
            </w:pPr>
            <w:r>
              <w:rPr>
                <w:rFonts w:eastAsia="Times New Roman"/>
                <w:color w:val="000000"/>
                <w:sz w:val="16"/>
                <w:szCs w:val="16"/>
              </w:rPr>
              <w:t>(54)</w:t>
            </w:r>
          </w:p>
        </w:tc>
        <w:tc>
          <w:tcPr>
            <w:tcW w:w="0" w:type="auto"/>
            <w:shd w:val="clear" w:color="auto" w:fill="FFFFFF"/>
            <w:tcMar>
              <w:top w:w="30" w:type="dxa"/>
              <w:left w:w="0" w:type="dxa"/>
              <w:bottom w:w="30" w:type="dxa"/>
              <w:right w:w="20" w:type="dxa"/>
            </w:tcMar>
            <w:vAlign w:val="bottom"/>
            <w:hideMark/>
          </w:tcPr>
          <w:p w14:paraId="1056DA8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09E7D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1141C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14911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FACA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5F2F1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19EC74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4F7F3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CFBF44" w14:textId="77777777" w:rsidR="00000000" w:rsidRDefault="000C49AD">
            <w:pPr>
              <w:spacing w:after="100"/>
              <w:jc w:val="right"/>
              <w:rPr>
                <w:rFonts w:eastAsia="Times New Roman"/>
              </w:rPr>
            </w:pPr>
            <w:r>
              <w:rPr>
                <w:rFonts w:eastAsia="Times New Roman"/>
                <w:color w:val="000000"/>
                <w:sz w:val="16"/>
                <w:szCs w:val="16"/>
              </w:rPr>
              <w:t>(49,944)</w:t>
            </w:r>
          </w:p>
        </w:tc>
        <w:tc>
          <w:tcPr>
            <w:tcW w:w="0" w:type="auto"/>
            <w:shd w:val="clear" w:color="auto" w:fill="FFFFFF"/>
            <w:tcMar>
              <w:top w:w="30" w:type="dxa"/>
              <w:left w:w="0" w:type="dxa"/>
              <w:bottom w:w="30" w:type="dxa"/>
              <w:right w:w="20" w:type="dxa"/>
            </w:tcMar>
            <w:vAlign w:val="bottom"/>
            <w:hideMark/>
          </w:tcPr>
          <w:p w14:paraId="3BE9513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DB00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B7D35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338AA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BB42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1B7445"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74839B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DAA8E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8E58B7" w14:textId="77777777" w:rsidR="00000000" w:rsidRDefault="000C49AD">
            <w:pPr>
              <w:spacing w:after="100"/>
              <w:jc w:val="right"/>
              <w:rPr>
                <w:rFonts w:eastAsia="Times New Roman"/>
              </w:rPr>
            </w:pPr>
            <w:r>
              <w:rPr>
                <w:rFonts w:eastAsia="Times New Roman"/>
                <w:color w:val="000000"/>
                <w:sz w:val="16"/>
                <w:szCs w:val="16"/>
              </w:rPr>
              <w:t>(5,407)</w:t>
            </w:r>
          </w:p>
        </w:tc>
        <w:tc>
          <w:tcPr>
            <w:tcW w:w="0" w:type="auto"/>
            <w:shd w:val="clear" w:color="auto" w:fill="FFFFFF"/>
            <w:tcMar>
              <w:top w:w="30" w:type="dxa"/>
              <w:left w:w="0" w:type="dxa"/>
              <w:bottom w:w="30" w:type="dxa"/>
              <w:right w:w="20" w:type="dxa"/>
            </w:tcMar>
            <w:vAlign w:val="bottom"/>
            <w:hideMark/>
          </w:tcPr>
          <w:p w14:paraId="2AEE6AA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7F54F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EBC467" w14:textId="77777777" w:rsidR="00000000" w:rsidRDefault="000C49AD">
            <w:pPr>
              <w:spacing w:after="100"/>
              <w:jc w:val="right"/>
              <w:rPr>
                <w:rFonts w:eastAsia="Times New Roman"/>
              </w:rPr>
            </w:pPr>
            <w:r>
              <w:rPr>
                <w:rFonts w:eastAsia="Times New Roman"/>
                <w:color w:val="000000"/>
                <w:sz w:val="16"/>
                <w:szCs w:val="16"/>
              </w:rPr>
              <w:t>49,998 </w:t>
            </w:r>
          </w:p>
        </w:tc>
        <w:tc>
          <w:tcPr>
            <w:tcW w:w="0" w:type="auto"/>
            <w:shd w:val="clear" w:color="auto" w:fill="FFFFFF"/>
            <w:tcMar>
              <w:top w:w="30" w:type="dxa"/>
              <w:left w:w="0" w:type="dxa"/>
              <w:bottom w:w="30" w:type="dxa"/>
              <w:right w:w="20" w:type="dxa"/>
            </w:tcMar>
            <w:vAlign w:val="bottom"/>
            <w:hideMark/>
          </w:tcPr>
          <w:p w14:paraId="11DA652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66884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876EE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0B65C9B" w14:textId="77777777" w:rsidR="00000000" w:rsidRDefault="000C49AD">
            <w:pPr>
              <w:spacing w:after="100"/>
              <w:jc w:val="right"/>
              <w:rPr>
                <w:rFonts w:eastAsia="Times New Roman"/>
              </w:rPr>
            </w:pPr>
          </w:p>
        </w:tc>
      </w:tr>
      <w:tr w:rsidR="000C49AD" w14:paraId="25BBE921" w14:textId="77777777">
        <w:tc>
          <w:tcPr>
            <w:tcW w:w="0" w:type="auto"/>
            <w:gridSpan w:val="3"/>
            <w:shd w:val="clear" w:color="auto" w:fill="CCEEFF"/>
            <w:tcMar>
              <w:top w:w="30" w:type="dxa"/>
              <w:left w:w="20" w:type="dxa"/>
              <w:bottom w:w="30" w:type="dxa"/>
              <w:right w:w="20" w:type="dxa"/>
            </w:tcMar>
            <w:vAlign w:val="bottom"/>
            <w:hideMark/>
          </w:tcPr>
          <w:p w14:paraId="304CB388" w14:textId="77777777" w:rsidR="00000000" w:rsidRDefault="000C49AD">
            <w:pPr>
              <w:spacing w:after="100"/>
              <w:rPr>
                <w:rFonts w:eastAsia="Times New Roman"/>
              </w:rPr>
            </w:pPr>
            <w:r>
              <w:rPr>
                <w:rFonts w:eastAsia="Times New Roman"/>
                <w:color w:val="000000"/>
                <w:sz w:val="16"/>
                <w:szCs w:val="16"/>
              </w:rPr>
              <w:t>Balance, December 31, 2020</w:t>
            </w:r>
          </w:p>
        </w:tc>
        <w:tc>
          <w:tcPr>
            <w:tcW w:w="0" w:type="auto"/>
            <w:gridSpan w:val="3"/>
            <w:shd w:val="clear" w:color="auto" w:fill="CCEEFF"/>
            <w:tcMar>
              <w:top w:w="0" w:type="dxa"/>
              <w:left w:w="20" w:type="dxa"/>
              <w:bottom w:w="0" w:type="dxa"/>
              <w:right w:w="20" w:type="dxa"/>
            </w:tcMar>
            <w:vAlign w:val="center"/>
            <w:hideMark/>
          </w:tcPr>
          <w:p w14:paraId="09902E65"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507ED4" w14:textId="77777777" w:rsidR="00000000" w:rsidRDefault="000C49AD">
            <w:pPr>
              <w:spacing w:after="100"/>
              <w:jc w:val="right"/>
              <w:rPr>
                <w:rFonts w:eastAsia="Times New Roman"/>
              </w:rPr>
            </w:pPr>
            <w:r>
              <w:rPr>
                <w:rFonts w:eastAsia="Times New Roman"/>
                <w:color w:val="000000"/>
                <w:sz w:val="16"/>
                <w:szCs w:val="16"/>
              </w:rPr>
              <w:t>58,396 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1E765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ADB919"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CA2CC58"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864B1F" w14:textId="77777777" w:rsidR="00000000" w:rsidRDefault="000C49AD">
            <w:pPr>
              <w:spacing w:after="100"/>
              <w:jc w:val="right"/>
              <w:rPr>
                <w:rFonts w:eastAsia="Times New Roman"/>
              </w:rPr>
            </w:pPr>
            <w:r>
              <w:rPr>
                <w:rFonts w:eastAsia="Times New Roman"/>
                <w:color w:val="000000"/>
                <w:sz w:val="16"/>
                <w:szCs w:val="16"/>
              </w:rPr>
              <w:t>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FCC78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7FECD3"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AD1F84" w14:textId="77777777" w:rsidR="00000000" w:rsidRDefault="000C49AD">
            <w:pPr>
              <w:spacing w:after="100"/>
              <w:jc w:val="right"/>
              <w:rPr>
                <w:rFonts w:eastAsia="Times New Roman"/>
              </w:rPr>
            </w:pPr>
            <w:r>
              <w:rPr>
                <w:rFonts w:eastAsia="Times New Roman"/>
                <w:color w:val="000000"/>
                <w:sz w:val="16"/>
                <w:szCs w:val="16"/>
              </w:rPr>
              <w:t>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EBBA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1F86C"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F3F95C"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B22C1E" w14:textId="77777777" w:rsidR="00000000" w:rsidRDefault="000C49AD">
            <w:pPr>
              <w:spacing w:after="100"/>
              <w:jc w:val="right"/>
              <w:rPr>
                <w:rFonts w:eastAsia="Times New Roman"/>
              </w:rPr>
            </w:pPr>
            <w:r>
              <w:rPr>
                <w:rFonts w:eastAsia="Times New Roman"/>
                <w:color w:val="000000"/>
                <w:sz w:val="16"/>
                <w:szCs w:val="16"/>
              </w:rPr>
              <w:t>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5351B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73AD81"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D412A5"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DC1A2F" w14:textId="77777777" w:rsidR="00000000" w:rsidRDefault="000C49AD">
            <w:pPr>
              <w:spacing w:after="100"/>
              <w:jc w:val="right"/>
              <w:rPr>
                <w:rFonts w:eastAsia="Times New Roman"/>
              </w:rPr>
            </w:pPr>
            <w:r>
              <w:rPr>
                <w:rFonts w:eastAsia="Times New Roman"/>
                <w:color w:val="000000"/>
                <w:sz w:val="16"/>
                <w:szCs w:val="16"/>
              </w:rPr>
              <w:t>566,916 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E5598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A8BC27"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4706C5"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DDBB545" w14:textId="77777777" w:rsidR="00000000" w:rsidRDefault="000C49AD">
            <w:pPr>
              <w:spacing w:after="100"/>
              <w:jc w:val="right"/>
              <w:rPr>
                <w:rFonts w:eastAsia="Times New Roman"/>
              </w:rPr>
            </w:pPr>
            <w:r>
              <w:rPr>
                <w:rFonts w:eastAsia="Times New Roman"/>
                <w:color w:val="000000"/>
                <w:sz w:val="16"/>
                <w:szCs w:val="16"/>
              </w:rPr>
              <w:t>(384,187)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C5DBB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8B493D"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855465"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03791D" w14:textId="77777777" w:rsidR="00000000" w:rsidRDefault="000C49AD">
            <w:pPr>
              <w:spacing w:after="100"/>
              <w:jc w:val="right"/>
              <w:rPr>
                <w:rFonts w:eastAsia="Times New Roman"/>
              </w:rPr>
            </w:pPr>
            <w:r>
              <w:rPr>
                <w:rFonts w:eastAsia="Times New Roman"/>
                <w:color w:val="000000"/>
                <w:sz w:val="16"/>
                <w:szCs w:val="16"/>
              </w:rPr>
              <w:t>(21,051)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4A1FE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B5EC7A"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3DFA2E"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B3AC3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E1F32D"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3AC63C"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D3D12D"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0C7C0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FA3E3"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3F18E7"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AB2844" w14:textId="77777777" w:rsidR="00000000" w:rsidRDefault="000C49AD">
            <w:pPr>
              <w:spacing w:after="100"/>
              <w:jc w:val="right"/>
              <w:rPr>
                <w:rFonts w:eastAsia="Times New Roman"/>
              </w:rPr>
            </w:pPr>
            <w:r>
              <w:rPr>
                <w:rFonts w:eastAsia="Times New Roman"/>
                <w:color w:val="000000"/>
                <w:sz w:val="16"/>
                <w:szCs w:val="16"/>
              </w:rPr>
              <w:t>162,266 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348415" w14:textId="77777777" w:rsidR="00000000" w:rsidRDefault="000C49AD">
            <w:pPr>
              <w:spacing w:after="100"/>
              <w:jc w:val="right"/>
              <w:rPr>
                <w:rFonts w:eastAsia="Times New Roman"/>
              </w:rPr>
            </w:pPr>
          </w:p>
        </w:tc>
      </w:tr>
      <w:tr w:rsidR="000C49AD" w14:paraId="69EB9DF1" w14:textId="77777777">
        <w:tc>
          <w:tcPr>
            <w:tcW w:w="0" w:type="auto"/>
            <w:gridSpan w:val="3"/>
            <w:shd w:val="clear" w:color="auto" w:fill="FFFFFF"/>
            <w:tcMar>
              <w:top w:w="30" w:type="dxa"/>
              <w:left w:w="155" w:type="dxa"/>
              <w:bottom w:w="30" w:type="dxa"/>
              <w:right w:w="20" w:type="dxa"/>
            </w:tcMar>
            <w:vAlign w:val="bottom"/>
            <w:hideMark/>
          </w:tcPr>
          <w:p w14:paraId="34EB661D" w14:textId="77777777" w:rsidR="00000000" w:rsidRDefault="000C49AD">
            <w:pPr>
              <w:spacing w:after="100"/>
              <w:rPr>
                <w:rFonts w:eastAsia="Times New Roman"/>
              </w:rPr>
            </w:pPr>
            <w:r>
              <w:rPr>
                <w:rFonts w:eastAsia="Times New Roman"/>
                <w:color w:val="000000"/>
                <w:sz w:val="16"/>
                <w:szCs w:val="16"/>
              </w:rPr>
              <w:t>Impact of the adoption of ASU 2020-0</w:t>
            </w:r>
            <w:r>
              <w:rPr>
                <w:rFonts w:eastAsia="Times New Roman"/>
                <w:color w:val="000000"/>
                <w:sz w:val="16"/>
                <w:szCs w:val="16"/>
              </w:rPr>
              <w:t>6</w:t>
            </w:r>
          </w:p>
        </w:tc>
        <w:tc>
          <w:tcPr>
            <w:tcW w:w="0" w:type="auto"/>
            <w:gridSpan w:val="3"/>
            <w:shd w:val="clear" w:color="auto" w:fill="FFFFFF"/>
            <w:tcMar>
              <w:top w:w="0" w:type="dxa"/>
              <w:left w:w="20" w:type="dxa"/>
              <w:bottom w:w="0" w:type="dxa"/>
              <w:right w:w="20" w:type="dxa"/>
            </w:tcMar>
            <w:vAlign w:val="center"/>
            <w:hideMark/>
          </w:tcPr>
          <w:p w14:paraId="45B9392E" w14:textId="77777777" w:rsidR="00000000" w:rsidRDefault="000C49AD">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DD380F6"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60742B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986A16" w14:textId="77777777" w:rsidR="00000000" w:rsidRDefault="000C49AD">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52A9985"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E5060C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C92FF" w14:textId="77777777" w:rsidR="00000000" w:rsidRDefault="000C49AD">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2DC01409"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CCD571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3D611" w14:textId="77777777" w:rsidR="00000000" w:rsidRDefault="000C49AD">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E881E8C"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708A89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3795FE" w14:textId="77777777" w:rsidR="00000000" w:rsidRDefault="000C49AD">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598230E0" w14:textId="77777777" w:rsidR="00000000" w:rsidRDefault="000C49AD">
            <w:pPr>
              <w:spacing w:after="100"/>
              <w:jc w:val="right"/>
              <w:rPr>
                <w:rFonts w:eastAsia="Times New Roman"/>
              </w:rPr>
            </w:pPr>
            <w:r>
              <w:rPr>
                <w:rFonts w:eastAsia="Times New Roman"/>
                <w:color w:val="000000"/>
                <w:sz w:val="16"/>
                <w:szCs w:val="16"/>
              </w:rPr>
              <w:t>(</w:t>
            </w:r>
            <w:r>
              <w:rPr>
                <w:rFonts w:eastAsia="Times New Roman"/>
                <w:color w:val="000000"/>
                <w:sz w:val="16"/>
                <w:szCs w:val="16"/>
              </w:rPr>
              <w:t>26,699)</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7299E81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A0869" w14:textId="77777777" w:rsidR="00000000" w:rsidRDefault="000C49AD">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FD16B67" w14:textId="77777777" w:rsidR="00000000" w:rsidRDefault="000C49AD">
            <w:pPr>
              <w:spacing w:after="100"/>
              <w:jc w:val="right"/>
              <w:rPr>
                <w:rFonts w:eastAsia="Times New Roman"/>
              </w:rPr>
            </w:pPr>
            <w:r>
              <w:rPr>
                <w:rFonts w:eastAsia="Times New Roman"/>
                <w:color w:val="000000"/>
                <w:sz w:val="16"/>
                <w:szCs w:val="16"/>
              </w:rPr>
              <w:t>13,760 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0121E4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20EEDA" w14:textId="77777777" w:rsidR="00000000" w:rsidRDefault="000C49AD">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1477DF3D"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5BBE9E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09D682" w14:textId="77777777" w:rsidR="00000000" w:rsidRDefault="000C49AD">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576EF8E"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ED0C22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B5020C" w14:textId="77777777" w:rsidR="00000000" w:rsidRDefault="000C49AD">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601C62D2"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C07F1A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CF3618" w14:textId="77777777" w:rsidR="00000000" w:rsidRDefault="000C49AD">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035AEBB2" w14:textId="77777777" w:rsidR="00000000" w:rsidRDefault="000C49AD">
            <w:pPr>
              <w:spacing w:after="100"/>
              <w:jc w:val="right"/>
              <w:rPr>
                <w:rFonts w:eastAsia="Times New Roman"/>
              </w:rPr>
            </w:pPr>
            <w:r>
              <w:rPr>
                <w:rFonts w:eastAsia="Times New Roman"/>
                <w:color w:val="000000"/>
                <w:sz w:val="16"/>
                <w:szCs w:val="16"/>
              </w:rPr>
              <w:t>(12,939)</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210CF40" w14:textId="77777777" w:rsidR="00000000" w:rsidRDefault="000C49AD">
            <w:pPr>
              <w:spacing w:after="100"/>
              <w:jc w:val="right"/>
              <w:rPr>
                <w:rFonts w:eastAsia="Times New Roman"/>
              </w:rPr>
            </w:pPr>
          </w:p>
        </w:tc>
      </w:tr>
      <w:tr w:rsidR="000C49AD" w14:paraId="69B62170" w14:textId="77777777">
        <w:tc>
          <w:tcPr>
            <w:tcW w:w="0" w:type="auto"/>
            <w:gridSpan w:val="3"/>
            <w:shd w:val="clear" w:color="auto" w:fill="CCEEFF"/>
            <w:tcMar>
              <w:top w:w="30" w:type="dxa"/>
              <w:left w:w="155" w:type="dxa"/>
              <w:bottom w:w="30" w:type="dxa"/>
              <w:right w:w="20" w:type="dxa"/>
            </w:tcMar>
            <w:vAlign w:val="bottom"/>
            <w:hideMark/>
          </w:tcPr>
          <w:p w14:paraId="0F1722A3" w14:textId="77777777" w:rsidR="00000000" w:rsidRDefault="000C49AD">
            <w:pPr>
              <w:spacing w:after="100"/>
              <w:rPr>
                <w:rFonts w:eastAsia="Times New Roman"/>
              </w:rPr>
            </w:pPr>
            <w:r>
              <w:rPr>
                <w:rFonts w:eastAsia="Times New Roman"/>
                <w:color w:val="000000"/>
                <w:sz w:val="16"/>
                <w:szCs w:val="16"/>
              </w:rPr>
              <w:t>Net loss</w:t>
            </w:r>
          </w:p>
        </w:tc>
        <w:tc>
          <w:tcPr>
            <w:tcW w:w="0" w:type="auto"/>
            <w:gridSpan w:val="3"/>
            <w:shd w:val="clear" w:color="auto" w:fill="CCEEFF"/>
            <w:tcMar>
              <w:top w:w="0" w:type="dxa"/>
              <w:left w:w="20" w:type="dxa"/>
              <w:bottom w:w="0" w:type="dxa"/>
              <w:right w:w="20" w:type="dxa"/>
            </w:tcMar>
            <w:vAlign w:val="center"/>
            <w:hideMark/>
          </w:tcPr>
          <w:p w14:paraId="059872E7"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7CB76C"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F958A3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E453F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7631D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162589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DC37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709D00"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B43CAA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C1AD8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2BC7F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9A4704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55C0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58E790"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EB869E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C4E1E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9FF02" w14:textId="77777777" w:rsidR="00000000" w:rsidRDefault="000C49AD">
            <w:pPr>
              <w:spacing w:after="100"/>
              <w:jc w:val="right"/>
              <w:rPr>
                <w:rFonts w:eastAsia="Times New Roman"/>
              </w:rPr>
            </w:pPr>
            <w:r>
              <w:rPr>
                <w:rFonts w:eastAsia="Times New Roman"/>
                <w:color w:val="000000"/>
                <w:sz w:val="16"/>
                <w:szCs w:val="16"/>
              </w:rPr>
              <w:t>(77,329)</w:t>
            </w:r>
          </w:p>
        </w:tc>
        <w:tc>
          <w:tcPr>
            <w:tcW w:w="0" w:type="auto"/>
            <w:shd w:val="clear" w:color="auto" w:fill="CCEEFF"/>
            <w:tcMar>
              <w:top w:w="30" w:type="dxa"/>
              <w:left w:w="0" w:type="dxa"/>
              <w:bottom w:w="30" w:type="dxa"/>
              <w:right w:w="20" w:type="dxa"/>
            </w:tcMar>
            <w:vAlign w:val="bottom"/>
            <w:hideMark/>
          </w:tcPr>
          <w:p w14:paraId="17589EC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03B3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7BC42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F2107F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3AD1D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8FFEE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73335A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9DBE4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9A7520"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88C2EB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E8A6A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4F1B48" w14:textId="77777777" w:rsidR="00000000" w:rsidRDefault="000C49AD">
            <w:pPr>
              <w:spacing w:after="100"/>
              <w:jc w:val="right"/>
              <w:rPr>
                <w:rFonts w:eastAsia="Times New Roman"/>
              </w:rPr>
            </w:pPr>
            <w:r>
              <w:rPr>
                <w:rFonts w:eastAsia="Times New Roman"/>
                <w:color w:val="000000"/>
                <w:sz w:val="16"/>
                <w:szCs w:val="16"/>
              </w:rPr>
              <w:t>(77,329)</w:t>
            </w:r>
          </w:p>
        </w:tc>
        <w:tc>
          <w:tcPr>
            <w:tcW w:w="0" w:type="auto"/>
            <w:shd w:val="clear" w:color="auto" w:fill="CCEEFF"/>
            <w:tcMar>
              <w:top w:w="30" w:type="dxa"/>
              <w:left w:w="0" w:type="dxa"/>
              <w:bottom w:w="30" w:type="dxa"/>
              <w:right w:w="20" w:type="dxa"/>
            </w:tcMar>
            <w:vAlign w:val="bottom"/>
            <w:hideMark/>
          </w:tcPr>
          <w:p w14:paraId="11D66A3B" w14:textId="77777777" w:rsidR="00000000" w:rsidRDefault="000C49AD">
            <w:pPr>
              <w:spacing w:after="100"/>
              <w:jc w:val="right"/>
              <w:rPr>
                <w:rFonts w:eastAsia="Times New Roman"/>
              </w:rPr>
            </w:pPr>
          </w:p>
        </w:tc>
      </w:tr>
      <w:tr w:rsidR="000C49AD" w14:paraId="12192F05" w14:textId="77777777">
        <w:tc>
          <w:tcPr>
            <w:tcW w:w="0" w:type="auto"/>
            <w:gridSpan w:val="3"/>
            <w:shd w:val="clear" w:color="auto" w:fill="FFFFFF"/>
            <w:tcMar>
              <w:top w:w="30" w:type="dxa"/>
              <w:left w:w="155" w:type="dxa"/>
              <w:bottom w:w="30" w:type="dxa"/>
              <w:right w:w="20" w:type="dxa"/>
            </w:tcMar>
            <w:vAlign w:val="bottom"/>
            <w:hideMark/>
          </w:tcPr>
          <w:p w14:paraId="0B2DB4E2" w14:textId="77777777" w:rsidR="00000000" w:rsidRDefault="000C49AD">
            <w:pPr>
              <w:spacing w:after="100"/>
              <w:rPr>
                <w:rFonts w:eastAsia="Times New Roman"/>
              </w:rPr>
            </w:pPr>
            <w:r>
              <w:rPr>
                <w:rFonts w:eastAsia="Times New Roman"/>
                <w:color w:val="000000"/>
                <w:sz w:val="16"/>
                <w:szCs w:val="16"/>
              </w:rPr>
              <w:t>Other comprehensive loss</w:t>
            </w:r>
          </w:p>
        </w:tc>
        <w:tc>
          <w:tcPr>
            <w:tcW w:w="0" w:type="auto"/>
            <w:gridSpan w:val="3"/>
            <w:shd w:val="clear" w:color="auto" w:fill="FFFFFF"/>
            <w:tcMar>
              <w:top w:w="0" w:type="dxa"/>
              <w:left w:w="20" w:type="dxa"/>
              <w:bottom w:w="0" w:type="dxa"/>
              <w:right w:w="20" w:type="dxa"/>
            </w:tcMar>
            <w:vAlign w:val="center"/>
            <w:hideMark/>
          </w:tcPr>
          <w:p w14:paraId="73810ADB"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88A5BB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EED1B2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3860D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E7191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56BAD8D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1E1E4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7D5A85"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B06856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84EE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36E9B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8B246B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EA2F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F573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E52BA1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BAED8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36818C"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214B23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0610C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BF1EA8" w14:textId="77777777" w:rsidR="00000000" w:rsidRDefault="000C49AD">
            <w:pPr>
              <w:spacing w:after="100"/>
              <w:jc w:val="right"/>
              <w:rPr>
                <w:rFonts w:eastAsia="Times New Roman"/>
              </w:rPr>
            </w:pPr>
            <w:r>
              <w:rPr>
                <w:rFonts w:eastAsia="Times New Roman"/>
                <w:color w:val="000000"/>
                <w:sz w:val="16"/>
                <w:szCs w:val="16"/>
              </w:rPr>
              <w:t>(2,889)</w:t>
            </w:r>
          </w:p>
        </w:tc>
        <w:tc>
          <w:tcPr>
            <w:tcW w:w="0" w:type="auto"/>
            <w:shd w:val="clear" w:color="auto" w:fill="FFFFFF"/>
            <w:tcMar>
              <w:top w:w="30" w:type="dxa"/>
              <w:left w:w="0" w:type="dxa"/>
              <w:bottom w:w="30" w:type="dxa"/>
              <w:right w:w="20" w:type="dxa"/>
            </w:tcMar>
            <w:vAlign w:val="bottom"/>
            <w:hideMark/>
          </w:tcPr>
          <w:p w14:paraId="6D07BD8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E4A6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79C03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CFD38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38C5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5B76FE"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7F0A72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490B1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3C14C0" w14:textId="77777777" w:rsidR="00000000" w:rsidRDefault="000C49AD">
            <w:pPr>
              <w:spacing w:after="100"/>
              <w:jc w:val="right"/>
              <w:rPr>
                <w:rFonts w:eastAsia="Times New Roman"/>
              </w:rPr>
            </w:pPr>
            <w:r>
              <w:rPr>
                <w:rFonts w:eastAsia="Times New Roman"/>
                <w:color w:val="000000"/>
                <w:sz w:val="16"/>
                <w:szCs w:val="16"/>
              </w:rPr>
              <w:t>(2,889)</w:t>
            </w:r>
          </w:p>
        </w:tc>
        <w:tc>
          <w:tcPr>
            <w:tcW w:w="0" w:type="auto"/>
            <w:shd w:val="clear" w:color="auto" w:fill="FFFFFF"/>
            <w:tcMar>
              <w:top w:w="30" w:type="dxa"/>
              <w:left w:w="0" w:type="dxa"/>
              <w:bottom w:w="30" w:type="dxa"/>
              <w:right w:w="20" w:type="dxa"/>
            </w:tcMar>
            <w:vAlign w:val="bottom"/>
            <w:hideMark/>
          </w:tcPr>
          <w:p w14:paraId="2AF4F2F3" w14:textId="77777777" w:rsidR="00000000" w:rsidRDefault="000C49AD">
            <w:pPr>
              <w:spacing w:after="100"/>
              <w:jc w:val="right"/>
              <w:rPr>
                <w:rFonts w:eastAsia="Times New Roman"/>
              </w:rPr>
            </w:pPr>
          </w:p>
        </w:tc>
      </w:tr>
      <w:tr w:rsidR="000C49AD" w14:paraId="662378E8" w14:textId="77777777">
        <w:tc>
          <w:tcPr>
            <w:tcW w:w="0" w:type="auto"/>
            <w:gridSpan w:val="3"/>
            <w:shd w:val="clear" w:color="auto" w:fill="CCEEFF"/>
            <w:tcMar>
              <w:top w:w="30" w:type="dxa"/>
              <w:left w:w="155" w:type="dxa"/>
              <w:bottom w:w="30" w:type="dxa"/>
              <w:right w:w="20" w:type="dxa"/>
            </w:tcMar>
            <w:vAlign w:val="bottom"/>
            <w:hideMark/>
          </w:tcPr>
          <w:p w14:paraId="6B2D8504" w14:textId="77777777" w:rsidR="00000000" w:rsidRDefault="000C49AD">
            <w:pPr>
              <w:spacing w:after="100"/>
              <w:rPr>
                <w:rFonts w:eastAsia="Times New Roman"/>
              </w:rPr>
            </w:pPr>
            <w:r>
              <w:rPr>
                <w:rFonts w:eastAsia="Times New Roman"/>
                <w:color w:val="000000"/>
                <w:sz w:val="16"/>
                <w:szCs w:val="16"/>
              </w:rPr>
              <w:t>Exercise of stock options</w:t>
            </w:r>
          </w:p>
        </w:tc>
        <w:tc>
          <w:tcPr>
            <w:tcW w:w="0" w:type="auto"/>
            <w:gridSpan w:val="3"/>
            <w:shd w:val="clear" w:color="auto" w:fill="CCEEFF"/>
            <w:tcMar>
              <w:top w:w="0" w:type="dxa"/>
              <w:left w:w="20" w:type="dxa"/>
              <w:bottom w:w="0" w:type="dxa"/>
              <w:right w:w="20" w:type="dxa"/>
            </w:tcMar>
            <w:vAlign w:val="center"/>
            <w:hideMark/>
          </w:tcPr>
          <w:p w14:paraId="4C54DF1E"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0054B1" w14:textId="77777777" w:rsidR="00000000" w:rsidRDefault="000C49AD">
            <w:pPr>
              <w:spacing w:after="100"/>
              <w:jc w:val="right"/>
              <w:rPr>
                <w:rFonts w:eastAsia="Times New Roman"/>
              </w:rPr>
            </w:pPr>
            <w:r>
              <w:rPr>
                <w:rFonts w:eastAsia="Times New Roman"/>
                <w:color w:val="000000"/>
                <w:sz w:val="16"/>
                <w:szCs w:val="16"/>
              </w:rPr>
              <w:t>48 </w:t>
            </w:r>
          </w:p>
        </w:tc>
        <w:tc>
          <w:tcPr>
            <w:tcW w:w="0" w:type="auto"/>
            <w:shd w:val="clear" w:color="auto" w:fill="CCEEFF"/>
            <w:tcMar>
              <w:top w:w="30" w:type="dxa"/>
              <w:left w:w="0" w:type="dxa"/>
              <w:bottom w:w="30" w:type="dxa"/>
              <w:right w:w="20" w:type="dxa"/>
            </w:tcMar>
            <w:vAlign w:val="bottom"/>
            <w:hideMark/>
          </w:tcPr>
          <w:p w14:paraId="7ABDFF7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FF3B8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9C3B4F" w14:textId="77777777" w:rsidR="00000000" w:rsidRDefault="000C49AD">
            <w:pPr>
              <w:spacing w:after="100"/>
              <w:jc w:val="right"/>
              <w:rPr>
                <w:rFonts w:eastAsia="Times New Roman"/>
              </w:rPr>
            </w:pPr>
            <w:r>
              <w:rPr>
                <w:rFonts w:eastAsia="Times New Roman"/>
                <w:color w:val="000000"/>
                <w:sz w:val="16"/>
                <w:szCs w:val="16"/>
              </w:rPr>
              <w:t>1 </w:t>
            </w:r>
          </w:p>
        </w:tc>
        <w:tc>
          <w:tcPr>
            <w:tcW w:w="0" w:type="auto"/>
            <w:shd w:val="clear" w:color="auto" w:fill="CCEEFF"/>
            <w:tcMar>
              <w:top w:w="30" w:type="dxa"/>
              <w:left w:w="0" w:type="dxa"/>
              <w:bottom w:w="30" w:type="dxa"/>
              <w:right w:w="20" w:type="dxa"/>
            </w:tcMar>
            <w:vAlign w:val="bottom"/>
            <w:hideMark/>
          </w:tcPr>
          <w:p w14:paraId="039C0A3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F87A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444F6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BA65F8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AD03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02036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44A50B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6D6A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6535D4" w14:textId="77777777" w:rsidR="00000000" w:rsidRDefault="000C49AD">
            <w:pPr>
              <w:spacing w:after="100"/>
              <w:jc w:val="right"/>
              <w:rPr>
                <w:rFonts w:eastAsia="Times New Roman"/>
              </w:rPr>
            </w:pPr>
            <w:r>
              <w:rPr>
                <w:rFonts w:eastAsia="Times New Roman"/>
                <w:color w:val="000000"/>
                <w:sz w:val="16"/>
                <w:szCs w:val="16"/>
              </w:rPr>
              <w:t>168 </w:t>
            </w:r>
          </w:p>
        </w:tc>
        <w:tc>
          <w:tcPr>
            <w:tcW w:w="0" w:type="auto"/>
            <w:shd w:val="clear" w:color="auto" w:fill="CCEEFF"/>
            <w:tcMar>
              <w:top w:w="30" w:type="dxa"/>
              <w:left w:w="0" w:type="dxa"/>
              <w:bottom w:w="30" w:type="dxa"/>
              <w:right w:w="20" w:type="dxa"/>
            </w:tcMar>
            <w:vAlign w:val="bottom"/>
            <w:hideMark/>
          </w:tcPr>
          <w:p w14:paraId="74CF079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221C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B618D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4E3081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AC92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C3B2B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ACC0C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C23A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A1831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22E915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BD42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56087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98FE7F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3D38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72DEC" w14:textId="77777777" w:rsidR="00000000" w:rsidRDefault="000C49AD">
            <w:pPr>
              <w:spacing w:after="100"/>
              <w:jc w:val="right"/>
              <w:rPr>
                <w:rFonts w:eastAsia="Times New Roman"/>
              </w:rPr>
            </w:pPr>
            <w:r>
              <w:rPr>
                <w:rFonts w:eastAsia="Times New Roman"/>
                <w:color w:val="000000"/>
                <w:sz w:val="16"/>
                <w:szCs w:val="16"/>
              </w:rPr>
              <w:t>169 </w:t>
            </w:r>
          </w:p>
        </w:tc>
        <w:tc>
          <w:tcPr>
            <w:tcW w:w="0" w:type="auto"/>
            <w:shd w:val="clear" w:color="auto" w:fill="CCEEFF"/>
            <w:tcMar>
              <w:top w:w="30" w:type="dxa"/>
              <w:left w:w="0" w:type="dxa"/>
              <w:bottom w:w="30" w:type="dxa"/>
              <w:right w:w="20" w:type="dxa"/>
            </w:tcMar>
            <w:vAlign w:val="bottom"/>
            <w:hideMark/>
          </w:tcPr>
          <w:p w14:paraId="19C999F1" w14:textId="77777777" w:rsidR="00000000" w:rsidRDefault="000C49AD">
            <w:pPr>
              <w:spacing w:after="100"/>
              <w:jc w:val="right"/>
              <w:rPr>
                <w:rFonts w:eastAsia="Times New Roman"/>
              </w:rPr>
            </w:pPr>
          </w:p>
        </w:tc>
      </w:tr>
      <w:tr w:rsidR="000C49AD" w14:paraId="474116ED" w14:textId="77777777">
        <w:tc>
          <w:tcPr>
            <w:tcW w:w="0" w:type="auto"/>
            <w:gridSpan w:val="3"/>
            <w:shd w:val="clear" w:color="auto" w:fill="FFFFFF"/>
            <w:tcMar>
              <w:top w:w="30" w:type="dxa"/>
              <w:left w:w="155" w:type="dxa"/>
              <w:bottom w:w="30" w:type="dxa"/>
              <w:right w:w="20" w:type="dxa"/>
            </w:tcMar>
            <w:vAlign w:val="bottom"/>
            <w:hideMark/>
          </w:tcPr>
          <w:p w14:paraId="79E24B9F" w14:textId="77777777" w:rsidR="00000000" w:rsidRDefault="000C49AD">
            <w:pPr>
              <w:spacing w:after="100"/>
              <w:rPr>
                <w:rFonts w:eastAsia="Times New Roman"/>
              </w:rPr>
            </w:pPr>
            <w:r>
              <w:rPr>
                <w:rFonts w:eastAsia="Times New Roman"/>
                <w:color w:val="000000"/>
                <w:sz w:val="16"/>
                <w:szCs w:val="16"/>
              </w:rPr>
              <w:t>Vesting of restricted shares</w:t>
            </w:r>
          </w:p>
        </w:tc>
        <w:tc>
          <w:tcPr>
            <w:tcW w:w="0" w:type="auto"/>
            <w:gridSpan w:val="3"/>
            <w:shd w:val="clear" w:color="auto" w:fill="FFFFFF"/>
            <w:tcMar>
              <w:top w:w="0" w:type="dxa"/>
              <w:left w:w="20" w:type="dxa"/>
              <w:bottom w:w="0" w:type="dxa"/>
              <w:right w:w="20" w:type="dxa"/>
            </w:tcMar>
            <w:vAlign w:val="center"/>
            <w:hideMark/>
          </w:tcPr>
          <w:p w14:paraId="797C0FD0"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777A4E9" w14:textId="77777777" w:rsidR="00000000" w:rsidRDefault="000C49AD">
            <w:pPr>
              <w:spacing w:after="100"/>
              <w:jc w:val="right"/>
              <w:rPr>
                <w:rFonts w:eastAsia="Times New Roman"/>
              </w:rPr>
            </w:pPr>
            <w:r>
              <w:rPr>
                <w:rFonts w:eastAsia="Times New Roman"/>
                <w:color w:val="000000"/>
                <w:sz w:val="16"/>
                <w:szCs w:val="16"/>
              </w:rPr>
              <w:t>159 </w:t>
            </w:r>
          </w:p>
        </w:tc>
        <w:tc>
          <w:tcPr>
            <w:tcW w:w="0" w:type="auto"/>
            <w:shd w:val="clear" w:color="auto" w:fill="FFFFFF"/>
            <w:tcMar>
              <w:top w:w="30" w:type="dxa"/>
              <w:left w:w="0" w:type="dxa"/>
              <w:bottom w:w="30" w:type="dxa"/>
              <w:right w:w="20" w:type="dxa"/>
            </w:tcMar>
            <w:vAlign w:val="bottom"/>
            <w:hideMark/>
          </w:tcPr>
          <w:p w14:paraId="33FE4C5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C3B3A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D08FF3" w14:textId="77777777" w:rsidR="00000000" w:rsidRDefault="000C49AD">
            <w:pPr>
              <w:spacing w:after="100"/>
              <w:jc w:val="right"/>
              <w:rPr>
                <w:rFonts w:eastAsia="Times New Roman"/>
              </w:rPr>
            </w:pPr>
            <w:r>
              <w:rPr>
                <w:rFonts w:eastAsia="Times New Roman"/>
                <w:color w:val="000000"/>
                <w:sz w:val="16"/>
                <w:szCs w:val="16"/>
              </w:rPr>
              <w:t>2 </w:t>
            </w:r>
          </w:p>
        </w:tc>
        <w:tc>
          <w:tcPr>
            <w:tcW w:w="0" w:type="auto"/>
            <w:shd w:val="clear" w:color="auto" w:fill="FFFFFF"/>
            <w:tcMar>
              <w:top w:w="30" w:type="dxa"/>
              <w:left w:w="0" w:type="dxa"/>
              <w:bottom w:w="30" w:type="dxa"/>
              <w:right w:w="20" w:type="dxa"/>
            </w:tcMar>
            <w:vAlign w:val="bottom"/>
            <w:hideMark/>
          </w:tcPr>
          <w:p w14:paraId="372F152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4C262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6098F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CD8D35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30460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FB9F2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B15C43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14F6B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491BE0" w14:textId="77777777" w:rsidR="00000000" w:rsidRDefault="000C49AD">
            <w:pPr>
              <w:spacing w:after="100"/>
              <w:jc w:val="right"/>
              <w:rPr>
                <w:rFonts w:eastAsia="Times New Roman"/>
              </w:rPr>
            </w:pPr>
            <w:r>
              <w:rPr>
                <w:rFonts w:eastAsia="Times New Roman"/>
                <w:color w:val="000000"/>
                <w:sz w:val="16"/>
                <w:szCs w:val="16"/>
              </w:rPr>
              <w:t>(2)</w:t>
            </w:r>
          </w:p>
        </w:tc>
        <w:tc>
          <w:tcPr>
            <w:tcW w:w="0" w:type="auto"/>
            <w:shd w:val="clear" w:color="auto" w:fill="FFFFFF"/>
            <w:tcMar>
              <w:top w:w="30" w:type="dxa"/>
              <w:left w:w="0" w:type="dxa"/>
              <w:bottom w:w="30" w:type="dxa"/>
              <w:right w:w="20" w:type="dxa"/>
            </w:tcMar>
            <w:vAlign w:val="bottom"/>
            <w:hideMark/>
          </w:tcPr>
          <w:p w14:paraId="17BF3B1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4BA01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49D3B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94D191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C90F0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5260C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458697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307F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68E9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7F8FF3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48C7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6DB21B"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D569FD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E890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1C3C9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F4D65A4" w14:textId="77777777" w:rsidR="00000000" w:rsidRDefault="000C49AD">
            <w:pPr>
              <w:spacing w:after="100"/>
              <w:jc w:val="right"/>
              <w:rPr>
                <w:rFonts w:eastAsia="Times New Roman"/>
              </w:rPr>
            </w:pPr>
          </w:p>
        </w:tc>
      </w:tr>
      <w:tr w:rsidR="000C49AD" w14:paraId="25BD79F8" w14:textId="77777777">
        <w:tc>
          <w:tcPr>
            <w:tcW w:w="0" w:type="auto"/>
            <w:gridSpan w:val="3"/>
            <w:shd w:val="clear" w:color="auto" w:fill="CCEEFF"/>
            <w:tcMar>
              <w:top w:w="30" w:type="dxa"/>
              <w:left w:w="155" w:type="dxa"/>
              <w:bottom w:w="30" w:type="dxa"/>
              <w:right w:w="20" w:type="dxa"/>
            </w:tcMar>
            <w:vAlign w:val="bottom"/>
            <w:hideMark/>
          </w:tcPr>
          <w:p w14:paraId="27194D7A" w14:textId="77777777" w:rsidR="00000000" w:rsidRDefault="000C49AD">
            <w:pPr>
              <w:spacing w:after="100"/>
              <w:rPr>
                <w:rFonts w:eastAsia="Times New Roman"/>
              </w:rPr>
            </w:pPr>
            <w:r>
              <w:rPr>
                <w:rFonts w:eastAsia="Times New Roman"/>
                <w:color w:val="000000"/>
                <w:sz w:val="16"/>
                <w:szCs w:val="16"/>
              </w:rPr>
              <w:t>Employee share purchase plan share issuance</w:t>
            </w:r>
          </w:p>
        </w:tc>
        <w:tc>
          <w:tcPr>
            <w:tcW w:w="0" w:type="auto"/>
            <w:gridSpan w:val="3"/>
            <w:shd w:val="clear" w:color="auto" w:fill="CCEEFF"/>
            <w:tcMar>
              <w:top w:w="0" w:type="dxa"/>
              <w:left w:w="20" w:type="dxa"/>
              <w:bottom w:w="0" w:type="dxa"/>
              <w:right w:w="20" w:type="dxa"/>
            </w:tcMar>
            <w:vAlign w:val="center"/>
            <w:hideMark/>
          </w:tcPr>
          <w:p w14:paraId="10BE10D3"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6981769" w14:textId="77777777" w:rsidR="00000000" w:rsidRDefault="000C49AD">
            <w:pPr>
              <w:spacing w:after="100"/>
              <w:jc w:val="right"/>
              <w:rPr>
                <w:rFonts w:eastAsia="Times New Roman"/>
              </w:rPr>
            </w:pPr>
            <w:r>
              <w:rPr>
                <w:rFonts w:eastAsia="Times New Roman"/>
                <w:color w:val="000000"/>
                <w:sz w:val="16"/>
                <w:szCs w:val="16"/>
              </w:rPr>
              <w:t>17 </w:t>
            </w:r>
          </w:p>
        </w:tc>
        <w:tc>
          <w:tcPr>
            <w:tcW w:w="0" w:type="auto"/>
            <w:shd w:val="clear" w:color="auto" w:fill="CCEEFF"/>
            <w:tcMar>
              <w:top w:w="30" w:type="dxa"/>
              <w:left w:w="0" w:type="dxa"/>
              <w:bottom w:w="30" w:type="dxa"/>
              <w:right w:w="20" w:type="dxa"/>
            </w:tcMar>
            <w:vAlign w:val="bottom"/>
            <w:hideMark/>
          </w:tcPr>
          <w:p w14:paraId="73C7102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C38F6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61E16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110E49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1F3DB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8F77C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FF33FD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E53BE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37DF1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4773F5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C5C45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A58B5" w14:textId="77777777" w:rsidR="00000000" w:rsidRDefault="000C49AD">
            <w:pPr>
              <w:spacing w:after="100"/>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14:paraId="22F9F17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B0662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4BA170"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037D132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5050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AFB8E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8559FC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F8D0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32296D"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D6BF2F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53F82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463A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F51172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F2003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FE4D83" w14:textId="77777777" w:rsidR="00000000" w:rsidRDefault="000C49AD">
            <w:pPr>
              <w:spacing w:after="100"/>
              <w:jc w:val="right"/>
              <w:rPr>
                <w:rFonts w:eastAsia="Times New Roman"/>
              </w:rPr>
            </w:pPr>
            <w:r>
              <w:rPr>
                <w:rFonts w:eastAsia="Times New Roman"/>
                <w:color w:val="000000"/>
                <w:sz w:val="16"/>
                <w:szCs w:val="16"/>
              </w:rPr>
              <w:t>94 </w:t>
            </w:r>
          </w:p>
        </w:tc>
        <w:tc>
          <w:tcPr>
            <w:tcW w:w="0" w:type="auto"/>
            <w:shd w:val="clear" w:color="auto" w:fill="CCEEFF"/>
            <w:tcMar>
              <w:top w:w="30" w:type="dxa"/>
              <w:left w:w="0" w:type="dxa"/>
              <w:bottom w:w="30" w:type="dxa"/>
              <w:right w:w="20" w:type="dxa"/>
            </w:tcMar>
            <w:vAlign w:val="bottom"/>
            <w:hideMark/>
          </w:tcPr>
          <w:p w14:paraId="00F08225" w14:textId="77777777" w:rsidR="00000000" w:rsidRDefault="000C49AD">
            <w:pPr>
              <w:spacing w:after="100"/>
              <w:jc w:val="right"/>
              <w:rPr>
                <w:rFonts w:eastAsia="Times New Roman"/>
              </w:rPr>
            </w:pPr>
          </w:p>
        </w:tc>
      </w:tr>
      <w:tr w:rsidR="000C49AD" w14:paraId="3BAD4501" w14:textId="77777777">
        <w:tc>
          <w:tcPr>
            <w:tcW w:w="0" w:type="auto"/>
            <w:gridSpan w:val="3"/>
            <w:shd w:val="clear" w:color="auto" w:fill="FFFFFF"/>
            <w:tcMar>
              <w:top w:w="30" w:type="dxa"/>
              <w:left w:w="155" w:type="dxa"/>
              <w:bottom w:w="30" w:type="dxa"/>
              <w:right w:w="20" w:type="dxa"/>
            </w:tcMar>
            <w:vAlign w:val="bottom"/>
            <w:hideMark/>
          </w:tcPr>
          <w:p w14:paraId="70FCDF3B" w14:textId="77777777" w:rsidR="00000000" w:rsidRDefault="000C49AD">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0" w:type="dxa"/>
              <w:left w:w="20" w:type="dxa"/>
              <w:bottom w:w="0" w:type="dxa"/>
              <w:right w:w="20" w:type="dxa"/>
            </w:tcMar>
            <w:vAlign w:val="center"/>
            <w:hideMark/>
          </w:tcPr>
          <w:p w14:paraId="300CD25C"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EECF49"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29328B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8ED95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35A48B"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DF6479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24E5D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9314BE"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8FA57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CBF4B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78D22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522CD5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BDAF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7C3291" w14:textId="77777777" w:rsidR="00000000" w:rsidRDefault="000C49AD">
            <w:pPr>
              <w:spacing w:after="100"/>
              <w:jc w:val="right"/>
              <w:rPr>
                <w:rFonts w:eastAsia="Times New Roman"/>
              </w:rPr>
            </w:pPr>
            <w:r>
              <w:rPr>
                <w:rFonts w:eastAsia="Times New Roman"/>
                <w:color w:val="000000"/>
                <w:sz w:val="16"/>
                <w:szCs w:val="16"/>
              </w:rPr>
              <w:t>8,872 </w:t>
            </w:r>
          </w:p>
        </w:tc>
        <w:tc>
          <w:tcPr>
            <w:tcW w:w="0" w:type="auto"/>
            <w:shd w:val="clear" w:color="auto" w:fill="FFFFFF"/>
            <w:tcMar>
              <w:top w:w="30" w:type="dxa"/>
              <w:left w:w="0" w:type="dxa"/>
              <w:bottom w:w="30" w:type="dxa"/>
              <w:right w:w="20" w:type="dxa"/>
            </w:tcMar>
            <w:vAlign w:val="bottom"/>
            <w:hideMark/>
          </w:tcPr>
          <w:p w14:paraId="2BAC895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1CBB7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4FE82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689A43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6DA47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4BB5A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983F57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6CF2D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CA0FB"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5A8A1A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4EC07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3B4B0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EBB5B8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B2867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DD167E" w14:textId="77777777" w:rsidR="00000000" w:rsidRDefault="000C49AD">
            <w:pPr>
              <w:spacing w:after="100"/>
              <w:jc w:val="right"/>
              <w:rPr>
                <w:rFonts w:eastAsia="Times New Roman"/>
              </w:rPr>
            </w:pPr>
            <w:r>
              <w:rPr>
                <w:rFonts w:eastAsia="Times New Roman"/>
                <w:color w:val="000000"/>
                <w:sz w:val="16"/>
                <w:szCs w:val="16"/>
              </w:rPr>
              <w:t>8,872 </w:t>
            </w:r>
          </w:p>
        </w:tc>
        <w:tc>
          <w:tcPr>
            <w:tcW w:w="0" w:type="auto"/>
            <w:shd w:val="clear" w:color="auto" w:fill="FFFFFF"/>
            <w:tcMar>
              <w:top w:w="30" w:type="dxa"/>
              <w:left w:w="0" w:type="dxa"/>
              <w:bottom w:w="30" w:type="dxa"/>
              <w:right w:w="20" w:type="dxa"/>
            </w:tcMar>
            <w:vAlign w:val="bottom"/>
            <w:hideMark/>
          </w:tcPr>
          <w:p w14:paraId="2FB4870A" w14:textId="77777777" w:rsidR="00000000" w:rsidRDefault="000C49AD">
            <w:pPr>
              <w:spacing w:after="100"/>
              <w:jc w:val="right"/>
              <w:rPr>
                <w:rFonts w:eastAsia="Times New Roman"/>
              </w:rPr>
            </w:pPr>
          </w:p>
        </w:tc>
      </w:tr>
      <w:tr w:rsidR="000C49AD" w14:paraId="6731C69D" w14:textId="77777777">
        <w:tc>
          <w:tcPr>
            <w:tcW w:w="0" w:type="auto"/>
            <w:gridSpan w:val="3"/>
            <w:shd w:val="clear" w:color="auto" w:fill="CCEEFF"/>
            <w:tcMar>
              <w:top w:w="30" w:type="dxa"/>
              <w:left w:w="20" w:type="dxa"/>
              <w:bottom w:w="30" w:type="dxa"/>
              <w:right w:w="20" w:type="dxa"/>
            </w:tcMar>
            <w:vAlign w:val="bottom"/>
            <w:hideMark/>
          </w:tcPr>
          <w:p w14:paraId="013CFDF3" w14:textId="77777777" w:rsidR="00000000" w:rsidRDefault="000C49AD">
            <w:pPr>
              <w:spacing w:after="100"/>
              <w:rPr>
                <w:rFonts w:eastAsia="Times New Roman"/>
              </w:rPr>
            </w:pPr>
            <w:r>
              <w:rPr>
                <w:rFonts w:eastAsia="Times New Roman"/>
                <w:color w:val="000000"/>
                <w:sz w:val="16"/>
                <w:szCs w:val="16"/>
              </w:rPr>
              <w:t>Balance, December 31, 2021</w:t>
            </w:r>
          </w:p>
        </w:tc>
        <w:tc>
          <w:tcPr>
            <w:tcW w:w="0" w:type="auto"/>
            <w:gridSpan w:val="3"/>
            <w:shd w:val="clear" w:color="auto" w:fill="CCEEFF"/>
            <w:tcMar>
              <w:top w:w="0" w:type="dxa"/>
              <w:left w:w="20" w:type="dxa"/>
              <w:bottom w:w="0" w:type="dxa"/>
              <w:right w:w="20" w:type="dxa"/>
            </w:tcMar>
            <w:vAlign w:val="center"/>
            <w:hideMark/>
          </w:tcPr>
          <w:p w14:paraId="1BE70ACD" w14:textId="77777777" w:rsidR="00000000" w:rsidRDefault="000C49AD">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9624CE" w14:textId="77777777" w:rsidR="00000000" w:rsidRDefault="000C49AD">
            <w:pPr>
              <w:spacing w:after="100"/>
              <w:jc w:val="right"/>
              <w:rPr>
                <w:rFonts w:eastAsia="Times New Roman"/>
              </w:rPr>
            </w:pPr>
            <w:r>
              <w:rPr>
                <w:rFonts w:eastAsia="Times New Roman"/>
                <w:color w:val="000000"/>
                <w:sz w:val="16"/>
                <w:szCs w:val="16"/>
              </w:rPr>
              <w:t>58,620 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0EB90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C4C78"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6E655F"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333B5D1" w14:textId="77777777" w:rsidR="00000000" w:rsidRDefault="000C49AD">
            <w:pPr>
              <w:spacing w:after="100"/>
              <w:jc w:val="right"/>
              <w:rPr>
                <w:rFonts w:eastAsia="Times New Roman"/>
              </w:rPr>
            </w:pPr>
            <w:r>
              <w:rPr>
                <w:rFonts w:eastAsia="Times New Roman"/>
                <w:color w:val="000000"/>
                <w:sz w:val="16"/>
                <w:szCs w:val="16"/>
              </w:rPr>
              <w:t>586 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D2F7A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2BA20" w14:textId="77777777" w:rsidR="00000000" w:rsidRDefault="000C49A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5B20EA" w14:textId="77777777" w:rsidR="00000000" w:rsidRDefault="000C49AD">
            <w:pPr>
              <w:spacing w:after="100"/>
              <w:jc w:val="right"/>
              <w:rPr>
                <w:rFonts w:eastAsia="Times New Roman"/>
              </w:rPr>
            </w:pPr>
            <w:r>
              <w:rPr>
                <w:rFonts w:eastAsia="Times New Roman"/>
                <w:color w:val="000000"/>
                <w:sz w:val="16"/>
                <w:szCs w:val="16"/>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C0A68D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647338"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A4FBE4"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603DC8" w14:textId="77777777" w:rsidR="00000000" w:rsidRDefault="000C49AD">
            <w:pPr>
              <w:spacing w:after="100"/>
              <w:jc w:val="right"/>
              <w:rPr>
                <w:rFonts w:eastAsia="Times New Roman"/>
              </w:rPr>
            </w:pPr>
            <w:r>
              <w:rPr>
                <w:rFonts w:eastAsia="Times New Roman"/>
                <w:color w:val="000000"/>
                <w:sz w:val="16"/>
                <w:szCs w:val="16"/>
              </w:rPr>
              <w:t>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2F075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93461"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19B2151"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59E89D" w14:textId="77777777" w:rsidR="00000000" w:rsidRDefault="000C49AD">
            <w:pPr>
              <w:spacing w:after="100"/>
              <w:jc w:val="right"/>
              <w:rPr>
                <w:rFonts w:eastAsia="Times New Roman"/>
              </w:rPr>
            </w:pPr>
            <w:r>
              <w:rPr>
                <w:rFonts w:eastAsia="Times New Roman"/>
                <w:color w:val="000000"/>
                <w:sz w:val="16"/>
                <w:szCs w:val="16"/>
              </w:rPr>
              <w:t>549,349 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F3DB4D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4EE674"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EBEE40"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41FB557" w14:textId="77777777" w:rsidR="00000000" w:rsidRDefault="000C49AD">
            <w:pPr>
              <w:spacing w:after="100"/>
              <w:jc w:val="right"/>
              <w:rPr>
                <w:rFonts w:eastAsia="Times New Roman"/>
              </w:rPr>
            </w:pPr>
            <w:r>
              <w:rPr>
                <w:rFonts w:eastAsia="Times New Roman"/>
                <w:color w:val="000000"/>
                <w:sz w:val="16"/>
                <w:szCs w:val="16"/>
              </w:rPr>
              <w:t>(447,756)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7C84E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035189"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5BB07C"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8E7C55" w14:textId="77777777" w:rsidR="00000000" w:rsidRDefault="000C49AD">
            <w:pPr>
              <w:spacing w:after="100"/>
              <w:jc w:val="right"/>
              <w:rPr>
                <w:rFonts w:eastAsia="Times New Roman"/>
              </w:rPr>
            </w:pPr>
            <w:r>
              <w:rPr>
                <w:rFonts w:eastAsia="Times New Roman"/>
                <w:color w:val="000000"/>
                <w:sz w:val="16"/>
                <w:szCs w:val="16"/>
              </w:rPr>
              <w:t>(23,940)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44A95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203323" w14:textId="77777777" w:rsidR="00000000" w:rsidRDefault="000C49AD">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9568DB9"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887BB0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1F3764"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A9CB91E"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7679CF" w14:textId="77777777" w:rsidR="00000000" w:rsidRDefault="000C49AD">
            <w:pPr>
              <w:spacing w:after="100"/>
              <w:jc w:val="right"/>
              <w:rPr>
                <w:rFonts w:eastAsia="Times New Roman"/>
              </w:rPr>
            </w:pPr>
            <w:r>
              <w:rPr>
                <w:rFonts w:eastAsia="Times New Roman"/>
                <w:color w:val="000000"/>
                <w:sz w:val="16"/>
                <w:szCs w:val="16"/>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12BBFB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67585A"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5B5525C"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82548D9" w14:textId="77777777" w:rsidR="00000000" w:rsidRDefault="000C49AD">
            <w:pPr>
              <w:spacing w:after="100"/>
              <w:jc w:val="right"/>
              <w:rPr>
                <w:rFonts w:eastAsia="Times New Roman"/>
              </w:rPr>
            </w:pPr>
            <w:r>
              <w:rPr>
                <w:rFonts w:eastAsia="Times New Roman"/>
                <w:color w:val="000000"/>
                <w:sz w:val="16"/>
                <w:szCs w:val="16"/>
              </w:rPr>
              <w:t>78,244 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6873DD" w14:textId="77777777" w:rsidR="00000000" w:rsidRDefault="000C49AD">
            <w:pPr>
              <w:spacing w:after="100"/>
              <w:jc w:val="right"/>
              <w:rPr>
                <w:rFonts w:eastAsia="Times New Roman"/>
              </w:rPr>
            </w:pPr>
          </w:p>
        </w:tc>
      </w:tr>
    </w:tbl>
    <w:p w14:paraId="7B9D735C" w14:textId="77777777" w:rsidR="00000000" w:rsidRDefault="000C49AD">
      <w:pPr>
        <w:jc w:val="both"/>
        <w:rPr>
          <w:rFonts w:eastAsia="Times New Roman"/>
        </w:rPr>
      </w:pPr>
      <w:r>
        <w:rPr>
          <w:rFonts w:eastAsia="Times New Roman"/>
          <w:color w:val="000000"/>
          <w:sz w:val="20"/>
          <w:szCs w:val="20"/>
        </w:rPr>
        <w:t> </w:t>
      </w:r>
    </w:p>
    <w:p w14:paraId="625F9A10" w14:textId="77777777" w:rsidR="00000000" w:rsidRDefault="000C49AD">
      <w:pPr>
        <w:jc w:val="center"/>
        <w:rPr>
          <w:rFonts w:eastAsia="Times New Roman"/>
        </w:rPr>
      </w:pPr>
      <w:r>
        <w:rPr>
          <w:rFonts w:eastAsia="Times New Roman"/>
          <w:i/>
          <w:iCs/>
          <w:color w:val="000000"/>
          <w:sz w:val="20"/>
          <w:szCs w:val="20"/>
        </w:rPr>
        <w:t>See accompanying notes to consolidated financial statements.</w:t>
      </w:r>
    </w:p>
    <w:p w14:paraId="08A64B95" w14:textId="77777777" w:rsidR="00000000" w:rsidRDefault="000C49AD">
      <w:pPr>
        <w:jc w:val="center"/>
        <w:divId w:val="506138412"/>
        <w:rPr>
          <w:rFonts w:eastAsia="Times New Roman"/>
        </w:rPr>
      </w:pPr>
      <w:r>
        <w:rPr>
          <w:rFonts w:eastAsia="Times New Roman"/>
          <w:color w:val="000000"/>
          <w:sz w:val="20"/>
          <w:szCs w:val="20"/>
        </w:rPr>
        <w:t>-77-</w:t>
      </w:r>
    </w:p>
    <w:p w14:paraId="6EAE3897" w14:textId="77777777" w:rsidR="00000000" w:rsidRDefault="000C49AD">
      <w:pPr>
        <w:rPr>
          <w:rFonts w:eastAsia="Times New Roman"/>
        </w:rPr>
      </w:pPr>
      <w:r>
        <w:rPr>
          <w:rFonts w:eastAsia="Times New Roman"/>
        </w:rPr>
        <w:pict w14:anchorId="0C37F902">
          <v:rect id="_x0000_i1102" style="width:0;height:1.5pt" o:hralign="center" o:hrstd="t" o:hr="t" fillcolor="#a0a0a0" stroked="f"/>
        </w:pict>
      </w:r>
    </w:p>
    <w:p w14:paraId="2CBDF22A" w14:textId="77777777" w:rsidR="00000000" w:rsidRDefault="000C49AD">
      <w:pPr>
        <w:divId w:val="76369348"/>
        <w:rPr>
          <w:rFonts w:eastAsia="Times New Roman"/>
        </w:rPr>
      </w:pPr>
    </w:p>
    <w:p w14:paraId="0E001219" w14:textId="77777777" w:rsidR="00000000" w:rsidRDefault="000C49AD">
      <w:pPr>
        <w:jc w:val="center"/>
        <w:rPr>
          <w:rFonts w:eastAsia="Times New Roman"/>
        </w:rPr>
      </w:pPr>
      <w:r>
        <w:rPr>
          <w:rFonts w:eastAsia="Times New Roman"/>
          <w:b/>
          <w:bCs/>
          <w:color w:val="000000"/>
          <w:sz w:val="20"/>
          <w:szCs w:val="20"/>
        </w:rPr>
        <w:t>AVADEL PHARMACEUTICALS PLC</w:t>
      </w:r>
    </w:p>
    <w:p w14:paraId="33C2FE95" w14:textId="77777777" w:rsidR="00000000" w:rsidRDefault="000C49AD">
      <w:pPr>
        <w:jc w:val="center"/>
        <w:rPr>
          <w:rFonts w:eastAsia="Times New Roman"/>
        </w:rPr>
      </w:pPr>
      <w:r>
        <w:rPr>
          <w:rFonts w:eastAsia="Times New Roman"/>
          <w:b/>
          <w:bCs/>
          <w:color w:val="000000"/>
          <w:sz w:val="20"/>
          <w:szCs w:val="20"/>
        </w:rPr>
        <w:t>CONSOLIDATED STATEMENTS OF CASH FLOWS</w:t>
      </w:r>
    </w:p>
    <w:p w14:paraId="5AAD6821" w14:textId="77777777" w:rsidR="00000000" w:rsidRDefault="000C49AD">
      <w:pPr>
        <w:jc w:val="center"/>
        <w:rPr>
          <w:rFonts w:eastAsia="Times New Roman"/>
        </w:rPr>
      </w:pPr>
      <w:r>
        <w:rPr>
          <w:rFonts w:eastAsia="Times New Roman"/>
          <w:i/>
          <w:iCs/>
          <w:color w:val="000000"/>
          <w:sz w:val="20"/>
          <w:szCs w:val="20"/>
        </w:rPr>
        <w:t>(In thousands)</w:t>
      </w:r>
      <w:r>
        <w:rPr>
          <w:rFonts w:eastAsia="Times New Roman"/>
          <w:color w:val="000000"/>
          <w:sz w:val="20"/>
          <w:szCs w:val="20"/>
        </w:rPr>
        <w:t> </w:t>
      </w:r>
    </w:p>
    <w:tbl>
      <w:tblPr>
        <w:tblW w:w="4986" w:type="pct"/>
        <w:tblCellMar>
          <w:top w:w="15" w:type="dxa"/>
          <w:left w:w="15" w:type="dxa"/>
          <w:bottom w:w="15" w:type="dxa"/>
          <w:right w:w="15" w:type="dxa"/>
        </w:tblCellMar>
        <w:tblLook w:val="04A0" w:firstRow="1" w:lastRow="0" w:firstColumn="1" w:lastColumn="0" w:noHBand="0" w:noVBand="1"/>
      </w:tblPr>
      <w:tblGrid>
        <w:gridCol w:w="41"/>
        <w:gridCol w:w="5188"/>
        <w:gridCol w:w="39"/>
        <w:gridCol w:w="36"/>
        <w:gridCol w:w="36"/>
        <w:gridCol w:w="36"/>
        <w:gridCol w:w="100"/>
        <w:gridCol w:w="763"/>
        <w:gridCol w:w="36"/>
        <w:gridCol w:w="36"/>
        <w:gridCol w:w="36"/>
        <w:gridCol w:w="36"/>
        <w:gridCol w:w="101"/>
        <w:gridCol w:w="754"/>
        <w:gridCol w:w="36"/>
        <w:gridCol w:w="36"/>
        <w:gridCol w:w="36"/>
        <w:gridCol w:w="36"/>
        <w:gridCol w:w="100"/>
        <w:gridCol w:w="765"/>
        <w:gridCol w:w="36"/>
      </w:tblGrid>
      <w:tr w:rsidR="00000000" w14:paraId="277FE37D" w14:textId="77777777">
        <w:tc>
          <w:tcPr>
            <w:tcW w:w="50" w:type="pct"/>
            <w:vAlign w:val="center"/>
            <w:hideMark/>
          </w:tcPr>
          <w:p w14:paraId="49809733" w14:textId="77777777" w:rsidR="00000000" w:rsidRDefault="000C49AD">
            <w:pPr>
              <w:jc w:val="center"/>
              <w:rPr>
                <w:rFonts w:eastAsia="Times New Roman"/>
              </w:rPr>
            </w:pPr>
          </w:p>
        </w:tc>
        <w:tc>
          <w:tcPr>
            <w:tcW w:w="3155" w:type="pct"/>
            <w:vAlign w:val="center"/>
            <w:hideMark/>
          </w:tcPr>
          <w:p w14:paraId="653557DE" w14:textId="77777777" w:rsidR="00000000" w:rsidRDefault="000C49AD">
            <w:pPr>
              <w:spacing w:after="100"/>
              <w:rPr>
                <w:rFonts w:eastAsia="Times New Roman"/>
                <w:sz w:val="20"/>
                <w:szCs w:val="20"/>
              </w:rPr>
            </w:pPr>
          </w:p>
        </w:tc>
        <w:tc>
          <w:tcPr>
            <w:tcW w:w="5" w:type="pct"/>
            <w:vAlign w:val="center"/>
            <w:hideMark/>
          </w:tcPr>
          <w:p w14:paraId="4A78BF68" w14:textId="77777777" w:rsidR="00000000" w:rsidRDefault="000C49AD">
            <w:pPr>
              <w:spacing w:after="100"/>
              <w:rPr>
                <w:rFonts w:eastAsia="Times New Roman"/>
                <w:sz w:val="20"/>
                <w:szCs w:val="20"/>
              </w:rPr>
            </w:pPr>
          </w:p>
        </w:tc>
        <w:tc>
          <w:tcPr>
            <w:tcW w:w="5" w:type="pct"/>
            <w:vAlign w:val="center"/>
            <w:hideMark/>
          </w:tcPr>
          <w:p w14:paraId="1553D7DE" w14:textId="77777777" w:rsidR="00000000" w:rsidRDefault="000C49AD">
            <w:pPr>
              <w:spacing w:after="100"/>
              <w:rPr>
                <w:rFonts w:eastAsia="Times New Roman"/>
                <w:sz w:val="20"/>
                <w:szCs w:val="20"/>
              </w:rPr>
            </w:pPr>
          </w:p>
        </w:tc>
        <w:tc>
          <w:tcPr>
            <w:tcW w:w="24" w:type="pct"/>
            <w:vAlign w:val="center"/>
            <w:hideMark/>
          </w:tcPr>
          <w:p w14:paraId="4C8D2661" w14:textId="77777777" w:rsidR="00000000" w:rsidRDefault="000C49AD">
            <w:pPr>
              <w:spacing w:after="100"/>
              <w:rPr>
                <w:rFonts w:eastAsia="Times New Roman"/>
                <w:sz w:val="20"/>
                <w:szCs w:val="20"/>
              </w:rPr>
            </w:pPr>
          </w:p>
        </w:tc>
        <w:tc>
          <w:tcPr>
            <w:tcW w:w="5" w:type="pct"/>
            <w:vAlign w:val="center"/>
            <w:hideMark/>
          </w:tcPr>
          <w:p w14:paraId="5E06430F" w14:textId="77777777" w:rsidR="00000000" w:rsidRDefault="000C49AD">
            <w:pPr>
              <w:spacing w:after="100"/>
              <w:rPr>
                <w:rFonts w:eastAsia="Times New Roman"/>
                <w:sz w:val="20"/>
                <w:szCs w:val="20"/>
              </w:rPr>
            </w:pPr>
          </w:p>
        </w:tc>
        <w:tc>
          <w:tcPr>
            <w:tcW w:w="50" w:type="pct"/>
            <w:vAlign w:val="center"/>
            <w:hideMark/>
          </w:tcPr>
          <w:p w14:paraId="31477EE7" w14:textId="77777777" w:rsidR="00000000" w:rsidRDefault="000C49AD">
            <w:pPr>
              <w:spacing w:after="100"/>
              <w:rPr>
                <w:rFonts w:eastAsia="Times New Roman"/>
                <w:sz w:val="20"/>
                <w:szCs w:val="20"/>
              </w:rPr>
            </w:pPr>
          </w:p>
        </w:tc>
        <w:tc>
          <w:tcPr>
            <w:tcW w:w="509" w:type="pct"/>
            <w:vAlign w:val="center"/>
            <w:hideMark/>
          </w:tcPr>
          <w:p w14:paraId="1EDC1F57" w14:textId="77777777" w:rsidR="00000000" w:rsidRDefault="000C49AD">
            <w:pPr>
              <w:spacing w:after="100"/>
              <w:rPr>
                <w:rFonts w:eastAsia="Times New Roman"/>
                <w:sz w:val="20"/>
                <w:szCs w:val="20"/>
              </w:rPr>
            </w:pPr>
          </w:p>
        </w:tc>
        <w:tc>
          <w:tcPr>
            <w:tcW w:w="5" w:type="pct"/>
            <w:vAlign w:val="center"/>
            <w:hideMark/>
          </w:tcPr>
          <w:p w14:paraId="7DAB01A7" w14:textId="77777777" w:rsidR="00000000" w:rsidRDefault="000C49AD">
            <w:pPr>
              <w:spacing w:after="100"/>
              <w:rPr>
                <w:rFonts w:eastAsia="Times New Roman"/>
                <w:sz w:val="20"/>
                <w:szCs w:val="20"/>
              </w:rPr>
            </w:pPr>
          </w:p>
        </w:tc>
        <w:tc>
          <w:tcPr>
            <w:tcW w:w="5" w:type="pct"/>
            <w:vAlign w:val="center"/>
            <w:hideMark/>
          </w:tcPr>
          <w:p w14:paraId="246B5496" w14:textId="77777777" w:rsidR="00000000" w:rsidRDefault="000C49AD">
            <w:pPr>
              <w:spacing w:after="100"/>
              <w:rPr>
                <w:rFonts w:eastAsia="Times New Roman"/>
                <w:sz w:val="20"/>
                <w:szCs w:val="20"/>
              </w:rPr>
            </w:pPr>
          </w:p>
        </w:tc>
        <w:tc>
          <w:tcPr>
            <w:tcW w:w="24" w:type="pct"/>
            <w:vAlign w:val="center"/>
            <w:hideMark/>
          </w:tcPr>
          <w:p w14:paraId="4498CE24" w14:textId="77777777" w:rsidR="00000000" w:rsidRDefault="000C49AD">
            <w:pPr>
              <w:spacing w:after="100"/>
              <w:rPr>
                <w:rFonts w:eastAsia="Times New Roman"/>
                <w:sz w:val="20"/>
                <w:szCs w:val="20"/>
              </w:rPr>
            </w:pPr>
          </w:p>
        </w:tc>
        <w:tc>
          <w:tcPr>
            <w:tcW w:w="5" w:type="pct"/>
            <w:vAlign w:val="center"/>
            <w:hideMark/>
          </w:tcPr>
          <w:p w14:paraId="35291824" w14:textId="77777777" w:rsidR="00000000" w:rsidRDefault="000C49AD">
            <w:pPr>
              <w:spacing w:after="100"/>
              <w:rPr>
                <w:rFonts w:eastAsia="Times New Roman"/>
                <w:sz w:val="20"/>
                <w:szCs w:val="20"/>
              </w:rPr>
            </w:pPr>
          </w:p>
        </w:tc>
        <w:tc>
          <w:tcPr>
            <w:tcW w:w="50" w:type="pct"/>
            <w:vAlign w:val="center"/>
            <w:hideMark/>
          </w:tcPr>
          <w:p w14:paraId="048FE77C" w14:textId="77777777" w:rsidR="00000000" w:rsidRDefault="000C49AD">
            <w:pPr>
              <w:spacing w:after="100"/>
              <w:rPr>
                <w:rFonts w:eastAsia="Times New Roman"/>
                <w:sz w:val="20"/>
                <w:szCs w:val="20"/>
              </w:rPr>
            </w:pPr>
          </w:p>
        </w:tc>
        <w:tc>
          <w:tcPr>
            <w:tcW w:w="502" w:type="pct"/>
            <w:vAlign w:val="center"/>
            <w:hideMark/>
          </w:tcPr>
          <w:p w14:paraId="1FB041B0" w14:textId="77777777" w:rsidR="00000000" w:rsidRDefault="000C49AD">
            <w:pPr>
              <w:spacing w:after="100"/>
              <w:rPr>
                <w:rFonts w:eastAsia="Times New Roman"/>
                <w:sz w:val="20"/>
                <w:szCs w:val="20"/>
              </w:rPr>
            </w:pPr>
          </w:p>
        </w:tc>
        <w:tc>
          <w:tcPr>
            <w:tcW w:w="5" w:type="pct"/>
            <w:vAlign w:val="center"/>
            <w:hideMark/>
          </w:tcPr>
          <w:p w14:paraId="47D4B4E9" w14:textId="77777777" w:rsidR="00000000" w:rsidRDefault="000C49AD">
            <w:pPr>
              <w:spacing w:after="100"/>
              <w:rPr>
                <w:rFonts w:eastAsia="Times New Roman"/>
                <w:sz w:val="20"/>
                <w:szCs w:val="20"/>
              </w:rPr>
            </w:pPr>
          </w:p>
        </w:tc>
        <w:tc>
          <w:tcPr>
            <w:tcW w:w="5" w:type="pct"/>
            <w:vAlign w:val="center"/>
            <w:hideMark/>
          </w:tcPr>
          <w:p w14:paraId="462D1C6C" w14:textId="77777777" w:rsidR="00000000" w:rsidRDefault="000C49AD">
            <w:pPr>
              <w:spacing w:after="100"/>
              <w:rPr>
                <w:rFonts w:eastAsia="Times New Roman"/>
                <w:sz w:val="20"/>
                <w:szCs w:val="20"/>
              </w:rPr>
            </w:pPr>
          </w:p>
        </w:tc>
        <w:tc>
          <w:tcPr>
            <w:tcW w:w="24" w:type="pct"/>
            <w:vAlign w:val="center"/>
            <w:hideMark/>
          </w:tcPr>
          <w:p w14:paraId="4BA8238A" w14:textId="77777777" w:rsidR="00000000" w:rsidRDefault="000C49AD">
            <w:pPr>
              <w:spacing w:after="100"/>
              <w:rPr>
                <w:rFonts w:eastAsia="Times New Roman"/>
                <w:sz w:val="20"/>
                <w:szCs w:val="20"/>
              </w:rPr>
            </w:pPr>
          </w:p>
        </w:tc>
        <w:tc>
          <w:tcPr>
            <w:tcW w:w="5" w:type="pct"/>
            <w:vAlign w:val="center"/>
            <w:hideMark/>
          </w:tcPr>
          <w:p w14:paraId="0C6849D7" w14:textId="77777777" w:rsidR="00000000" w:rsidRDefault="000C49AD">
            <w:pPr>
              <w:spacing w:after="100"/>
              <w:rPr>
                <w:rFonts w:eastAsia="Times New Roman"/>
                <w:sz w:val="20"/>
                <w:szCs w:val="20"/>
              </w:rPr>
            </w:pPr>
          </w:p>
        </w:tc>
        <w:tc>
          <w:tcPr>
            <w:tcW w:w="50" w:type="pct"/>
            <w:vAlign w:val="center"/>
            <w:hideMark/>
          </w:tcPr>
          <w:p w14:paraId="17E57561" w14:textId="77777777" w:rsidR="00000000" w:rsidRDefault="000C49AD">
            <w:pPr>
              <w:spacing w:after="100"/>
              <w:rPr>
                <w:rFonts w:eastAsia="Times New Roman"/>
                <w:sz w:val="20"/>
                <w:szCs w:val="20"/>
              </w:rPr>
            </w:pPr>
          </w:p>
        </w:tc>
        <w:tc>
          <w:tcPr>
            <w:tcW w:w="509" w:type="pct"/>
            <w:vAlign w:val="center"/>
            <w:hideMark/>
          </w:tcPr>
          <w:p w14:paraId="58D4CD86" w14:textId="77777777" w:rsidR="00000000" w:rsidRDefault="000C49AD">
            <w:pPr>
              <w:spacing w:after="100"/>
              <w:rPr>
                <w:rFonts w:eastAsia="Times New Roman"/>
                <w:sz w:val="20"/>
                <w:szCs w:val="20"/>
              </w:rPr>
            </w:pPr>
          </w:p>
        </w:tc>
        <w:tc>
          <w:tcPr>
            <w:tcW w:w="5" w:type="pct"/>
            <w:vAlign w:val="center"/>
            <w:hideMark/>
          </w:tcPr>
          <w:p w14:paraId="76DD6BDD" w14:textId="77777777" w:rsidR="00000000" w:rsidRDefault="000C49AD">
            <w:pPr>
              <w:spacing w:after="100"/>
              <w:rPr>
                <w:rFonts w:eastAsia="Times New Roman"/>
                <w:sz w:val="20"/>
                <w:szCs w:val="20"/>
              </w:rPr>
            </w:pPr>
          </w:p>
        </w:tc>
      </w:tr>
      <w:tr w:rsidR="00000000" w14:paraId="08F15F87" w14:textId="77777777">
        <w:tc>
          <w:tcPr>
            <w:tcW w:w="0" w:type="auto"/>
            <w:gridSpan w:val="3"/>
            <w:tcMar>
              <w:top w:w="30" w:type="dxa"/>
              <w:left w:w="20" w:type="dxa"/>
              <w:bottom w:w="30" w:type="dxa"/>
              <w:right w:w="20" w:type="dxa"/>
            </w:tcMar>
            <w:vAlign w:val="bottom"/>
            <w:hideMark/>
          </w:tcPr>
          <w:p w14:paraId="704702F5" w14:textId="77777777" w:rsidR="00000000" w:rsidRDefault="000C49A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F4954F5" w14:textId="77777777" w:rsidR="00000000" w:rsidRDefault="000C49AD">
            <w:pPr>
              <w:spacing w:after="100"/>
              <w:rPr>
                <w:rFonts w:eastAsia="Times New Roman"/>
              </w:rPr>
            </w:pPr>
          </w:p>
        </w:tc>
        <w:tc>
          <w:tcPr>
            <w:tcW w:w="0" w:type="auto"/>
            <w:gridSpan w:val="15"/>
            <w:tcMar>
              <w:top w:w="30" w:type="dxa"/>
              <w:left w:w="20" w:type="dxa"/>
              <w:bottom w:w="30" w:type="dxa"/>
              <w:right w:w="20" w:type="dxa"/>
            </w:tcMar>
            <w:vAlign w:val="bottom"/>
            <w:hideMark/>
          </w:tcPr>
          <w:p w14:paraId="6B4D20D4" w14:textId="77777777" w:rsidR="00000000" w:rsidRDefault="000C49AD">
            <w:pPr>
              <w:spacing w:after="100"/>
              <w:jc w:val="center"/>
              <w:rPr>
                <w:rFonts w:eastAsia="Times New Roman"/>
              </w:rPr>
            </w:pPr>
            <w:r>
              <w:rPr>
                <w:rFonts w:eastAsia="Times New Roman"/>
                <w:b/>
                <w:bCs/>
                <w:color w:val="000000"/>
                <w:sz w:val="16"/>
                <w:szCs w:val="16"/>
              </w:rPr>
              <w:t>Years ended December 31,</w:t>
            </w:r>
          </w:p>
        </w:tc>
      </w:tr>
      <w:tr w:rsidR="00000000" w14:paraId="49D9D82C" w14:textId="77777777">
        <w:tc>
          <w:tcPr>
            <w:tcW w:w="0" w:type="auto"/>
            <w:gridSpan w:val="3"/>
            <w:tcMar>
              <w:top w:w="30" w:type="dxa"/>
              <w:left w:w="20" w:type="dxa"/>
              <w:bottom w:w="30" w:type="dxa"/>
              <w:right w:w="20" w:type="dxa"/>
            </w:tcMar>
            <w:vAlign w:val="bottom"/>
            <w:hideMark/>
          </w:tcPr>
          <w:p w14:paraId="2EEA70EC" w14:textId="77777777" w:rsidR="00000000" w:rsidRDefault="000C49AD">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72FACE05"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ABE902D" w14:textId="77777777" w:rsidR="00000000" w:rsidRDefault="000C49AD">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BADD9A7"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83A432" w14:textId="77777777" w:rsidR="00000000" w:rsidRDefault="000C49AD">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14:paraId="103F0BC7"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B37D46" w14:textId="77777777" w:rsidR="00000000" w:rsidRDefault="000C49AD">
            <w:pPr>
              <w:spacing w:after="100"/>
              <w:jc w:val="center"/>
              <w:rPr>
                <w:rFonts w:eastAsia="Times New Roman"/>
              </w:rPr>
            </w:pPr>
            <w:r>
              <w:rPr>
                <w:rFonts w:eastAsia="Times New Roman"/>
                <w:b/>
                <w:bCs/>
                <w:color w:val="000000"/>
                <w:sz w:val="16"/>
                <w:szCs w:val="16"/>
              </w:rPr>
              <w:t>2019</w:t>
            </w:r>
          </w:p>
        </w:tc>
      </w:tr>
      <w:tr w:rsidR="00000000" w14:paraId="173CAB38" w14:textId="77777777">
        <w:tc>
          <w:tcPr>
            <w:tcW w:w="0" w:type="auto"/>
            <w:gridSpan w:val="3"/>
            <w:tcMar>
              <w:top w:w="30" w:type="dxa"/>
              <w:left w:w="20" w:type="dxa"/>
              <w:bottom w:w="30" w:type="dxa"/>
              <w:right w:w="20" w:type="dxa"/>
            </w:tcMar>
            <w:vAlign w:val="bottom"/>
            <w:hideMark/>
          </w:tcPr>
          <w:p w14:paraId="4546DF7C" w14:textId="77777777" w:rsidR="00000000" w:rsidRDefault="000C49AD">
            <w:pPr>
              <w:spacing w:after="100"/>
              <w:rPr>
                <w:rFonts w:eastAsia="Times New Roman"/>
              </w:rPr>
            </w:pPr>
            <w:r>
              <w:rPr>
                <w:rFonts w:eastAsia="Times New Roman"/>
                <w:b/>
                <w:bCs/>
                <w:color w:val="000000"/>
                <w:sz w:val="16"/>
                <w:szCs w:val="16"/>
              </w:rPr>
              <w:t>Cash flows from operating activities:</w:t>
            </w:r>
          </w:p>
        </w:tc>
        <w:tc>
          <w:tcPr>
            <w:tcW w:w="0" w:type="auto"/>
            <w:gridSpan w:val="3"/>
            <w:tcMar>
              <w:top w:w="0" w:type="dxa"/>
              <w:left w:w="20" w:type="dxa"/>
              <w:bottom w:w="0" w:type="dxa"/>
              <w:right w:w="20" w:type="dxa"/>
            </w:tcMar>
            <w:vAlign w:val="center"/>
            <w:hideMark/>
          </w:tcPr>
          <w:p w14:paraId="4AF8672C"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69AD5A2"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6D0268BD" w14:textId="77777777" w:rsidR="00000000" w:rsidRDefault="000C49A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79000B"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14:paraId="0D035056" w14:textId="77777777" w:rsidR="00000000" w:rsidRDefault="000C49AD">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2D9868" w14:textId="77777777" w:rsidR="00000000" w:rsidRDefault="000C49AD">
            <w:pPr>
              <w:spacing w:after="100"/>
              <w:jc w:val="right"/>
              <w:rPr>
                <w:rFonts w:eastAsia="Times New Roman"/>
              </w:rPr>
            </w:pPr>
            <w:r>
              <w:rPr>
                <w:rFonts w:eastAsia="Times New Roman"/>
                <w:color w:val="000000"/>
                <w:sz w:val="16"/>
                <w:szCs w:val="16"/>
              </w:rPr>
              <w:t> </w:t>
            </w:r>
          </w:p>
        </w:tc>
      </w:tr>
      <w:tr w:rsidR="00000000" w14:paraId="7B766921" w14:textId="77777777">
        <w:tc>
          <w:tcPr>
            <w:tcW w:w="0" w:type="auto"/>
            <w:gridSpan w:val="3"/>
            <w:shd w:val="clear" w:color="auto" w:fill="CCEEFF"/>
            <w:tcMar>
              <w:top w:w="30" w:type="dxa"/>
              <w:left w:w="155" w:type="dxa"/>
              <w:bottom w:w="30" w:type="dxa"/>
              <w:right w:w="20" w:type="dxa"/>
            </w:tcMar>
            <w:vAlign w:val="bottom"/>
            <w:hideMark/>
          </w:tcPr>
          <w:p w14:paraId="0D814A3B" w14:textId="77777777" w:rsidR="00000000" w:rsidRDefault="000C49AD">
            <w:pPr>
              <w:spacing w:after="100"/>
              <w:rPr>
                <w:rFonts w:eastAsia="Times New Roman"/>
              </w:rPr>
            </w:pPr>
            <w:r>
              <w:rPr>
                <w:rFonts w:eastAsia="Times New Roman"/>
                <w:color w:val="000000"/>
                <w:sz w:val="16"/>
                <w:szCs w:val="16"/>
              </w:rPr>
              <w:t>Net (loss) income</w:t>
            </w:r>
          </w:p>
        </w:tc>
        <w:tc>
          <w:tcPr>
            <w:tcW w:w="0" w:type="auto"/>
            <w:gridSpan w:val="3"/>
            <w:shd w:val="clear" w:color="auto" w:fill="CCEEFF"/>
            <w:tcMar>
              <w:top w:w="0" w:type="dxa"/>
              <w:left w:w="20" w:type="dxa"/>
              <w:bottom w:w="0" w:type="dxa"/>
              <w:right w:w="20" w:type="dxa"/>
            </w:tcMar>
            <w:vAlign w:val="center"/>
            <w:hideMark/>
          </w:tcPr>
          <w:p w14:paraId="34096677"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7ACC370" w14:textId="77777777" w:rsidR="00000000" w:rsidRDefault="000C49A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9D28237" w14:textId="77777777" w:rsidR="00000000" w:rsidRDefault="000C49AD">
            <w:pPr>
              <w:spacing w:after="100"/>
              <w:jc w:val="right"/>
              <w:rPr>
                <w:rFonts w:eastAsia="Times New Roman"/>
              </w:rPr>
            </w:pPr>
            <w:r>
              <w:rPr>
                <w:rFonts w:eastAsia="Times New Roman"/>
                <w:color w:val="000000"/>
                <w:sz w:val="16"/>
                <w:szCs w:val="16"/>
              </w:rPr>
              <w:t>(77,329)</w:t>
            </w:r>
          </w:p>
        </w:tc>
        <w:tc>
          <w:tcPr>
            <w:tcW w:w="0" w:type="auto"/>
            <w:shd w:val="clear" w:color="auto" w:fill="CCEEFF"/>
            <w:tcMar>
              <w:top w:w="30" w:type="dxa"/>
              <w:left w:w="0" w:type="dxa"/>
              <w:bottom w:w="30" w:type="dxa"/>
              <w:right w:w="20" w:type="dxa"/>
            </w:tcMar>
            <w:vAlign w:val="bottom"/>
            <w:hideMark/>
          </w:tcPr>
          <w:p w14:paraId="4BDA72B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6F9E31"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3146AC2" w14:textId="77777777" w:rsidR="00000000" w:rsidRDefault="000C49A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51506DB7" w14:textId="77777777" w:rsidR="00000000" w:rsidRDefault="000C49AD">
            <w:pPr>
              <w:spacing w:after="100"/>
              <w:jc w:val="right"/>
              <w:rPr>
                <w:rFonts w:eastAsia="Times New Roman"/>
              </w:rPr>
            </w:pPr>
            <w:r>
              <w:rPr>
                <w:rFonts w:eastAsia="Times New Roman"/>
                <w:color w:val="000000"/>
                <w:sz w:val="16"/>
                <w:szCs w:val="16"/>
              </w:rPr>
              <w:t>7,028 </w:t>
            </w:r>
          </w:p>
        </w:tc>
        <w:tc>
          <w:tcPr>
            <w:tcW w:w="0" w:type="auto"/>
            <w:shd w:val="clear" w:color="auto" w:fill="CCEEFF"/>
            <w:tcMar>
              <w:top w:w="30" w:type="dxa"/>
              <w:left w:w="0" w:type="dxa"/>
              <w:bottom w:w="30" w:type="dxa"/>
              <w:right w:w="20" w:type="dxa"/>
            </w:tcMar>
            <w:vAlign w:val="bottom"/>
            <w:hideMark/>
          </w:tcPr>
          <w:p w14:paraId="158DEC2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8A85A"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4F298F" w14:textId="77777777" w:rsidR="00000000" w:rsidRDefault="000C49AD">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4FA3AE0" w14:textId="77777777" w:rsidR="00000000" w:rsidRDefault="000C49AD">
            <w:pPr>
              <w:spacing w:after="100"/>
              <w:jc w:val="right"/>
              <w:rPr>
                <w:rFonts w:eastAsia="Times New Roman"/>
              </w:rPr>
            </w:pPr>
            <w:r>
              <w:rPr>
                <w:rFonts w:eastAsia="Times New Roman"/>
                <w:color w:val="000000"/>
                <w:sz w:val="16"/>
                <w:szCs w:val="16"/>
              </w:rPr>
              <w:t>(33,226)</w:t>
            </w:r>
          </w:p>
        </w:tc>
        <w:tc>
          <w:tcPr>
            <w:tcW w:w="0" w:type="auto"/>
            <w:shd w:val="clear" w:color="auto" w:fill="CCEEFF"/>
            <w:tcMar>
              <w:top w:w="30" w:type="dxa"/>
              <w:left w:w="0" w:type="dxa"/>
              <w:bottom w:w="30" w:type="dxa"/>
              <w:right w:w="20" w:type="dxa"/>
            </w:tcMar>
            <w:vAlign w:val="bottom"/>
            <w:hideMark/>
          </w:tcPr>
          <w:p w14:paraId="7EB18634" w14:textId="77777777" w:rsidR="00000000" w:rsidRDefault="000C49AD">
            <w:pPr>
              <w:spacing w:after="100"/>
              <w:jc w:val="right"/>
              <w:rPr>
                <w:rFonts w:eastAsia="Times New Roman"/>
              </w:rPr>
            </w:pPr>
          </w:p>
        </w:tc>
      </w:tr>
      <w:tr w:rsidR="00000000" w14:paraId="56FA1395" w14:textId="77777777">
        <w:tc>
          <w:tcPr>
            <w:tcW w:w="0" w:type="auto"/>
            <w:gridSpan w:val="3"/>
            <w:shd w:val="clear" w:color="auto" w:fill="FFFFFF"/>
            <w:tcMar>
              <w:top w:w="30" w:type="dxa"/>
              <w:left w:w="155" w:type="dxa"/>
              <w:bottom w:w="30" w:type="dxa"/>
              <w:right w:w="20" w:type="dxa"/>
            </w:tcMar>
            <w:vAlign w:val="bottom"/>
            <w:hideMark/>
          </w:tcPr>
          <w:p w14:paraId="08AC1B17" w14:textId="77777777" w:rsidR="00000000" w:rsidRDefault="000C49AD">
            <w:pPr>
              <w:spacing w:after="100"/>
              <w:rPr>
                <w:rFonts w:eastAsia="Times New Roman"/>
              </w:rPr>
            </w:pPr>
            <w:r>
              <w:rPr>
                <w:rFonts w:eastAsia="Times New Roman"/>
                <w:color w:val="000000"/>
                <w:sz w:val="16"/>
                <w:szCs w:val="16"/>
              </w:rPr>
              <w:t>Adjustments to reconcile net (loss) income to net cash used in operating activities:</w:t>
            </w:r>
          </w:p>
        </w:tc>
        <w:tc>
          <w:tcPr>
            <w:tcW w:w="0" w:type="auto"/>
            <w:gridSpan w:val="3"/>
            <w:shd w:val="clear" w:color="auto" w:fill="FFFFFF"/>
            <w:tcMar>
              <w:top w:w="0" w:type="dxa"/>
              <w:left w:w="20" w:type="dxa"/>
              <w:bottom w:w="0" w:type="dxa"/>
              <w:right w:w="20" w:type="dxa"/>
            </w:tcMar>
            <w:vAlign w:val="center"/>
            <w:hideMark/>
          </w:tcPr>
          <w:p w14:paraId="4D97FDD2" w14:textId="77777777" w:rsidR="00000000" w:rsidRDefault="000C49A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AF15188"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6D1ABFD"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4C00417"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3569D7DF"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8B66F8" w14:textId="77777777" w:rsidR="00000000" w:rsidRDefault="000C49AD">
            <w:pPr>
              <w:spacing w:after="100"/>
              <w:jc w:val="right"/>
              <w:rPr>
                <w:rFonts w:eastAsia="Times New Roman"/>
              </w:rPr>
            </w:pPr>
            <w:r>
              <w:rPr>
                <w:rFonts w:eastAsia="Times New Roman"/>
                <w:color w:val="000000"/>
                <w:sz w:val="16"/>
                <w:szCs w:val="16"/>
              </w:rPr>
              <w:t> </w:t>
            </w:r>
          </w:p>
        </w:tc>
      </w:tr>
      <w:tr w:rsidR="00000000" w14:paraId="2D0DB4E0" w14:textId="77777777">
        <w:tc>
          <w:tcPr>
            <w:tcW w:w="0" w:type="auto"/>
            <w:gridSpan w:val="3"/>
            <w:shd w:val="clear" w:color="auto" w:fill="CCEEFF"/>
            <w:tcMar>
              <w:top w:w="30" w:type="dxa"/>
              <w:left w:w="245" w:type="dxa"/>
              <w:bottom w:w="30" w:type="dxa"/>
              <w:right w:w="20" w:type="dxa"/>
            </w:tcMar>
            <w:vAlign w:val="bottom"/>
            <w:hideMark/>
          </w:tcPr>
          <w:p w14:paraId="52CE0CA6" w14:textId="77777777" w:rsidR="00000000" w:rsidRDefault="000C49AD">
            <w:pPr>
              <w:spacing w:after="100"/>
              <w:rPr>
                <w:rFonts w:eastAsia="Times New Roman"/>
              </w:rPr>
            </w:pPr>
            <w:r>
              <w:rPr>
                <w:rFonts w:eastAsia="Times New Roman"/>
                <w:color w:val="000000"/>
                <w:sz w:val="16"/>
                <w:szCs w:val="16"/>
              </w:rPr>
              <w:t>Depreciation and amortization</w:t>
            </w:r>
          </w:p>
        </w:tc>
        <w:tc>
          <w:tcPr>
            <w:tcW w:w="0" w:type="auto"/>
            <w:gridSpan w:val="3"/>
            <w:shd w:val="clear" w:color="auto" w:fill="CCEEFF"/>
            <w:tcMar>
              <w:top w:w="0" w:type="dxa"/>
              <w:left w:w="20" w:type="dxa"/>
              <w:bottom w:w="0" w:type="dxa"/>
              <w:right w:w="20" w:type="dxa"/>
            </w:tcMar>
            <w:vAlign w:val="center"/>
            <w:hideMark/>
          </w:tcPr>
          <w:p w14:paraId="45C82E1F"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9E31BB" w14:textId="77777777" w:rsidR="00000000" w:rsidRDefault="000C49AD">
            <w:pPr>
              <w:spacing w:after="100"/>
              <w:jc w:val="right"/>
              <w:rPr>
                <w:rFonts w:eastAsia="Times New Roman"/>
              </w:rPr>
            </w:pPr>
            <w:r>
              <w:rPr>
                <w:rFonts w:eastAsia="Times New Roman"/>
                <w:color w:val="000000"/>
                <w:sz w:val="16"/>
                <w:szCs w:val="16"/>
              </w:rPr>
              <w:t>815 </w:t>
            </w:r>
          </w:p>
        </w:tc>
        <w:tc>
          <w:tcPr>
            <w:tcW w:w="0" w:type="auto"/>
            <w:shd w:val="clear" w:color="auto" w:fill="CCEEFF"/>
            <w:tcMar>
              <w:top w:w="30" w:type="dxa"/>
              <w:left w:w="0" w:type="dxa"/>
              <w:bottom w:w="30" w:type="dxa"/>
              <w:right w:w="20" w:type="dxa"/>
            </w:tcMar>
            <w:vAlign w:val="bottom"/>
            <w:hideMark/>
          </w:tcPr>
          <w:p w14:paraId="6EE69DE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5D33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C47BFC" w14:textId="77777777" w:rsidR="00000000" w:rsidRDefault="000C49AD">
            <w:pPr>
              <w:spacing w:after="100"/>
              <w:jc w:val="right"/>
              <w:rPr>
                <w:rFonts w:eastAsia="Times New Roman"/>
              </w:rPr>
            </w:pPr>
            <w:r>
              <w:rPr>
                <w:rFonts w:eastAsia="Times New Roman"/>
                <w:color w:val="000000"/>
                <w:sz w:val="16"/>
                <w:szCs w:val="16"/>
              </w:rPr>
              <w:t>1,690 </w:t>
            </w:r>
          </w:p>
        </w:tc>
        <w:tc>
          <w:tcPr>
            <w:tcW w:w="0" w:type="auto"/>
            <w:shd w:val="clear" w:color="auto" w:fill="CCEEFF"/>
            <w:tcMar>
              <w:top w:w="30" w:type="dxa"/>
              <w:left w:w="0" w:type="dxa"/>
              <w:bottom w:w="30" w:type="dxa"/>
              <w:right w:w="20" w:type="dxa"/>
            </w:tcMar>
            <w:vAlign w:val="bottom"/>
            <w:hideMark/>
          </w:tcPr>
          <w:p w14:paraId="59D5435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4734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4790D6" w14:textId="77777777" w:rsidR="00000000" w:rsidRDefault="000C49AD">
            <w:pPr>
              <w:spacing w:after="100"/>
              <w:jc w:val="right"/>
              <w:rPr>
                <w:rFonts w:eastAsia="Times New Roman"/>
              </w:rPr>
            </w:pPr>
            <w:r>
              <w:rPr>
                <w:rFonts w:eastAsia="Times New Roman"/>
                <w:color w:val="000000"/>
                <w:sz w:val="16"/>
                <w:szCs w:val="16"/>
              </w:rPr>
              <w:t>2,486 </w:t>
            </w:r>
          </w:p>
        </w:tc>
        <w:tc>
          <w:tcPr>
            <w:tcW w:w="0" w:type="auto"/>
            <w:shd w:val="clear" w:color="auto" w:fill="CCEEFF"/>
            <w:tcMar>
              <w:top w:w="30" w:type="dxa"/>
              <w:left w:w="0" w:type="dxa"/>
              <w:bottom w:w="30" w:type="dxa"/>
              <w:right w:w="20" w:type="dxa"/>
            </w:tcMar>
            <w:vAlign w:val="bottom"/>
            <w:hideMark/>
          </w:tcPr>
          <w:p w14:paraId="458C2900" w14:textId="77777777" w:rsidR="00000000" w:rsidRDefault="000C49AD">
            <w:pPr>
              <w:spacing w:after="100"/>
              <w:jc w:val="right"/>
              <w:rPr>
                <w:rFonts w:eastAsia="Times New Roman"/>
              </w:rPr>
            </w:pPr>
          </w:p>
        </w:tc>
      </w:tr>
      <w:tr w:rsidR="00000000" w14:paraId="4BE1CD9F" w14:textId="77777777">
        <w:tc>
          <w:tcPr>
            <w:tcW w:w="0" w:type="auto"/>
            <w:gridSpan w:val="3"/>
            <w:shd w:val="clear" w:color="auto" w:fill="FFFFFF"/>
            <w:tcMar>
              <w:top w:w="30" w:type="dxa"/>
              <w:left w:w="245" w:type="dxa"/>
              <w:bottom w:w="30" w:type="dxa"/>
              <w:right w:w="20" w:type="dxa"/>
            </w:tcMar>
            <w:vAlign w:val="bottom"/>
            <w:hideMark/>
          </w:tcPr>
          <w:p w14:paraId="01E0C0FB" w14:textId="77777777" w:rsidR="00000000" w:rsidRDefault="000C49AD">
            <w:pPr>
              <w:spacing w:after="100"/>
              <w:rPr>
                <w:rFonts w:eastAsia="Times New Roman"/>
              </w:rPr>
            </w:pPr>
            <w:r>
              <w:rPr>
                <w:rFonts w:eastAsia="Times New Roman"/>
                <w:color w:val="000000"/>
                <w:sz w:val="16"/>
                <w:szCs w:val="16"/>
              </w:rPr>
              <w:t>Remeasurement of acquisition-related contingent consideration</w:t>
            </w:r>
          </w:p>
        </w:tc>
        <w:tc>
          <w:tcPr>
            <w:tcW w:w="0" w:type="auto"/>
            <w:gridSpan w:val="3"/>
            <w:shd w:val="clear" w:color="auto" w:fill="FFFFFF"/>
            <w:tcMar>
              <w:top w:w="0" w:type="dxa"/>
              <w:left w:w="20" w:type="dxa"/>
              <w:bottom w:w="0" w:type="dxa"/>
              <w:right w:w="20" w:type="dxa"/>
            </w:tcMar>
            <w:vAlign w:val="center"/>
            <w:hideMark/>
          </w:tcPr>
          <w:p w14:paraId="26581B3A"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1942D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D25D02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AF3BC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958323" w14:textId="77777777" w:rsidR="00000000" w:rsidRDefault="000C49AD">
            <w:pPr>
              <w:spacing w:after="100"/>
              <w:jc w:val="right"/>
              <w:rPr>
                <w:rFonts w:eastAsia="Times New Roman"/>
              </w:rPr>
            </w:pPr>
            <w:r>
              <w:rPr>
                <w:rFonts w:eastAsia="Times New Roman"/>
                <w:color w:val="000000"/>
                <w:sz w:val="16"/>
                <w:szCs w:val="16"/>
              </w:rPr>
              <w:t>3,327 </w:t>
            </w:r>
          </w:p>
        </w:tc>
        <w:tc>
          <w:tcPr>
            <w:tcW w:w="0" w:type="auto"/>
            <w:shd w:val="clear" w:color="auto" w:fill="FFFFFF"/>
            <w:tcMar>
              <w:top w:w="30" w:type="dxa"/>
              <w:left w:w="0" w:type="dxa"/>
              <w:bottom w:w="30" w:type="dxa"/>
              <w:right w:w="20" w:type="dxa"/>
            </w:tcMar>
            <w:vAlign w:val="bottom"/>
            <w:hideMark/>
          </w:tcPr>
          <w:p w14:paraId="19D4858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314D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122CB4" w14:textId="77777777" w:rsidR="00000000" w:rsidRDefault="000C49AD">
            <w:pPr>
              <w:spacing w:after="100"/>
              <w:jc w:val="right"/>
              <w:rPr>
                <w:rFonts w:eastAsia="Times New Roman"/>
              </w:rPr>
            </w:pPr>
            <w:r>
              <w:rPr>
                <w:rFonts w:eastAsia="Times New Roman"/>
                <w:color w:val="000000"/>
                <w:sz w:val="16"/>
                <w:szCs w:val="16"/>
              </w:rPr>
              <w:t>845 </w:t>
            </w:r>
          </w:p>
        </w:tc>
        <w:tc>
          <w:tcPr>
            <w:tcW w:w="0" w:type="auto"/>
            <w:shd w:val="clear" w:color="auto" w:fill="FFFFFF"/>
            <w:tcMar>
              <w:top w:w="30" w:type="dxa"/>
              <w:left w:w="0" w:type="dxa"/>
              <w:bottom w:w="30" w:type="dxa"/>
              <w:right w:w="20" w:type="dxa"/>
            </w:tcMar>
            <w:vAlign w:val="bottom"/>
            <w:hideMark/>
          </w:tcPr>
          <w:p w14:paraId="2049D7A0" w14:textId="77777777" w:rsidR="00000000" w:rsidRDefault="000C49AD">
            <w:pPr>
              <w:spacing w:after="100"/>
              <w:jc w:val="right"/>
              <w:rPr>
                <w:rFonts w:eastAsia="Times New Roman"/>
              </w:rPr>
            </w:pPr>
          </w:p>
        </w:tc>
      </w:tr>
      <w:tr w:rsidR="00000000" w14:paraId="09EDEAC7" w14:textId="77777777">
        <w:tc>
          <w:tcPr>
            <w:tcW w:w="0" w:type="auto"/>
            <w:gridSpan w:val="3"/>
            <w:shd w:val="clear" w:color="auto" w:fill="CCEEFF"/>
            <w:tcMar>
              <w:top w:w="30" w:type="dxa"/>
              <w:left w:w="245" w:type="dxa"/>
              <w:bottom w:w="30" w:type="dxa"/>
              <w:right w:w="20" w:type="dxa"/>
            </w:tcMar>
            <w:vAlign w:val="bottom"/>
            <w:hideMark/>
          </w:tcPr>
          <w:p w14:paraId="309A24F4" w14:textId="77777777" w:rsidR="00000000" w:rsidRDefault="000C49AD">
            <w:pPr>
              <w:spacing w:after="100"/>
              <w:rPr>
                <w:rFonts w:eastAsia="Times New Roman"/>
              </w:rPr>
            </w:pPr>
            <w:r>
              <w:rPr>
                <w:rFonts w:eastAsia="Times New Roman"/>
                <w:color w:val="000000"/>
                <w:sz w:val="16"/>
                <w:szCs w:val="16"/>
              </w:rPr>
              <w:t>Remeasurement of financing-related contingent consideration</w:t>
            </w:r>
          </w:p>
        </w:tc>
        <w:tc>
          <w:tcPr>
            <w:tcW w:w="0" w:type="auto"/>
            <w:gridSpan w:val="3"/>
            <w:shd w:val="clear" w:color="auto" w:fill="CCEEFF"/>
            <w:tcMar>
              <w:top w:w="0" w:type="dxa"/>
              <w:left w:w="20" w:type="dxa"/>
              <w:bottom w:w="0" w:type="dxa"/>
              <w:right w:w="20" w:type="dxa"/>
            </w:tcMar>
            <w:vAlign w:val="center"/>
            <w:hideMark/>
          </w:tcPr>
          <w:p w14:paraId="24887677"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35743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7B7682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23464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D09B6" w14:textId="77777777" w:rsidR="00000000" w:rsidRDefault="000C49AD">
            <w:pPr>
              <w:spacing w:after="100"/>
              <w:jc w:val="right"/>
              <w:rPr>
                <w:rFonts w:eastAsia="Times New Roman"/>
              </w:rPr>
            </w:pPr>
            <w:r>
              <w:rPr>
                <w:rFonts w:eastAsia="Times New Roman"/>
                <w:color w:val="000000"/>
                <w:sz w:val="16"/>
                <w:szCs w:val="16"/>
              </w:rPr>
              <w:t>435 </w:t>
            </w:r>
          </w:p>
        </w:tc>
        <w:tc>
          <w:tcPr>
            <w:tcW w:w="0" w:type="auto"/>
            <w:shd w:val="clear" w:color="auto" w:fill="CCEEFF"/>
            <w:tcMar>
              <w:top w:w="30" w:type="dxa"/>
              <w:left w:w="0" w:type="dxa"/>
              <w:bottom w:w="30" w:type="dxa"/>
              <w:right w:w="20" w:type="dxa"/>
            </w:tcMar>
            <w:vAlign w:val="bottom"/>
            <w:hideMark/>
          </w:tcPr>
          <w:p w14:paraId="5C7A49C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6C6B9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698BEE" w14:textId="77777777" w:rsidR="00000000" w:rsidRDefault="000C49AD">
            <w:pPr>
              <w:spacing w:after="100"/>
              <w:jc w:val="right"/>
              <w:rPr>
                <w:rFonts w:eastAsia="Times New Roman"/>
              </w:rPr>
            </w:pPr>
            <w:r>
              <w:rPr>
                <w:rFonts w:eastAsia="Times New Roman"/>
                <w:color w:val="000000"/>
                <w:sz w:val="16"/>
                <w:szCs w:val="16"/>
              </w:rPr>
              <w:t>378 </w:t>
            </w:r>
          </w:p>
        </w:tc>
        <w:tc>
          <w:tcPr>
            <w:tcW w:w="0" w:type="auto"/>
            <w:shd w:val="clear" w:color="auto" w:fill="CCEEFF"/>
            <w:tcMar>
              <w:top w:w="30" w:type="dxa"/>
              <w:left w:w="0" w:type="dxa"/>
              <w:bottom w:w="30" w:type="dxa"/>
              <w:right w:w="20" w:type="dxa"/>
            </w:tcMar>
            <w:vAlign w:val="bottom"/>
            <w:hideMark/>
          </w:tcPr>
          <w:p w14:paraId="4829E2C8" w14:textId="77777777" w:rsidR="00000000" w:rsidRDefault="000C49AD">
            <w:pPr>
              <w:spacing w:after="100"/>
              <w:jc w:val="right"/>
              <w:rPr>
                <w:rFonts w:eastAsia="Times New Roman"/>
              </w:rPr>
            </w:pPr>
          </w:p>
        </w:tc>
      </w:tr>
      <w:tr w:rsidR="00000000" w14:paraId="5C9C2A80" w14:textId="77777777">
        <w:tc>
          <w:tcPr>
            <w:tcW w:w="0" w:type="auto"/>
            <w:gridSpan w:val="3"/>
            <w:shd w:val="clear" w:color="auto" w:fill="FFFFFF"/>
            <w:tcMar>
              <w:top w:w="30" w:type="dxa"/>
              <w:left w:w="245" w:type="dxa"/>
              <w:bottom w:w="30" w:type="dxa"/>
              <w:right w:w="20" w:type="dxa"/>
            </w:tcMar>
            <w:vAlign w:val="bottom"/>
            <w:hideMark/>
          </w:tcPr>
          <w:p w14:paraId="075478C9" w14:textId="77777777" w:rsidR="00000000" w:rsidRDefault="000C49AD">
            <w:pPr>
              <w:spacing w:after="100"/>
              <w:rPr>
                <w:rFonts w:eastAsia="Times New Roman"/>
              </w:rPr>
            </w:pPr>
            <w:r>
              <w:rPr>
                <w:rFonts w:eastAsia="Times New Roman"/>
                <w:color w:val="000000"/>
                <w:sz w:val="16"/>
                <w:szCs w:val="16"/>
              </w:rPr>
              <w:t>Amortization of debt discount and debt issuance costs</w:t>
            </w:r>
          </w:p>
        </w:tc>
        <w:tc>
          <w:tcPr>
            <w:tcW w:w="0" w:type="auto"/>
            <w:gridSpan w:val="3"/>
            <w:shd w:val="clear" w:color="auto" w:fill="FFFFFF"/>
            <w:tcMar>
              <w:top w:w="0" w:type="dxa"/>
              <w:left w:w="20" w:type="dxa"/>
              <w:bottom w:w="0" w:type="dxa"/>
              <w:right w:w="20" w:type="dxa"/>
            </w:tcMar>
            <w:vAlign w:val="center"/>
            <w:hideMark/>
          </w:tcPr>
          <w:p w14:paraId="4EAA7C1A"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67DD6A" w14:textId="77777777" w:rsidR="00000000" w:rsidRDefault="000C49AD">
            <w:pPr>
              <w:spacing w:after="100"/>
              <w:jc w:val="right"/>
              <w:rPr>
                <w:rFonts w:eastAsia="Times New Roman"/>
              </w:rPr>
            </w:pPr>
            <w:r>
              <w:rPr>
                <w:rFonts w:eastAsia="Times New Roman"/>
                <w:color w:val="000000"/>
                <w:sz w:val="16"/>
                <w:szCs w:val="16"/>
              </w:rPr>
              <w:t>1,248 </w:t>
            </w:r>
          </w:p>
        </w:tc>
        <w:tc>
          <w:tcPr>
            <w:tcW w:w="0" w:type="auto"/>
            <w:shd w:val="clear" w:color="auto" w:fill="FFFFFF"/>
            <w:tcMar>
              <w:top w:w="30" w:type="dxa"/>
              <w:left w:w="0" w:type="dxa"/>
              <w:bottom w:w="30" w:type="dxa"/>
              <w:right w:w="20" w:type="dxa"/>
            </w:tcMar>
            <w:vAlign w:val="bottom"/>
            <w:hideMark/>
          </w:tcPr>
          <w:p w14:paraId="14A621E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F27B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540D18" w14:textId="77777777" w:rsidR="00000000" w:rsidRDefault="000C49AD">
            <w:pPr>
              <w:spacing w:after="100"/>
              <w:jc w:val="right"/>
              <w:rPr>
                <w:rFonts w:eastAsia="Times New Roman"/>
              </w:rPr>
            </w:pPr>
            <w:r>
              <w:rPr>
                <w:rFonts w:eastAsia="Times New Roman"/>
                <w:color w:val="000000"/>
                <w:sz w:val="16"/>
                <w:szCs w:val="16"/>
              </w:rPr>
              <w:t>6,524 </w:t>
            </w:r>
          </w:p>
        </w:tc>
        <w:tc>
          <w:tcPr>
            <w:tcW w:w="0" w:type="auto"/>
            <w:shd w:val="clear" w:color="auto" w:fill="FFFFFF"/>
            <w:tcMar>
              <w:top w:w="30" w:type="dxa"/>
              <w:left w:w="0" w:type="dxa"/>
              <w:bottom w:w="30" w:type="dxa"/>
              <w:right w:w="20" w:type="dxa"/>
            </w:tcMar>
            <w:vAlign w:val="bottom"/>
            <w:hideMark/>
          </w:tcPr>
          <w:p w14:paraId="6E873B9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6030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AEB7B2" w14:textId="77777777" w:rsidR="00000000" w:rsidRDefault="000C49AD">
            <w:pPr>
              <w:spacing w:after="100"/>
              <w:jc w:val="right"/>
              <w:rPr>
                <w:rFonts w:eastAsia="Times New Roman"/>
              </w:rPr>
            </w:pPr>
            <w:r>
              <w:rPr>
                <w:rFonts w:eastAsia="Times New Roman"/>
                <w:color w:val="000000"/>
                <w:sz w:val="16"/>
                <w:szCs w:val="16"/>
              </w:rPr>
              <w:t>5,995 </w:t>
            </w:r>
          </w:p>
        </w:tc>
        <w:tc>
          <w:tcPr>
            <w:tcW w:w="0" w:type="auto"/>
            <w:shd w:val="clear" w:color="auto" w:fill="FFFFFF"/>
            <w:tcMar>
              <w:top w:w="30" w:type="dxa"/>
              <w:left w:w="0" w:type="dxa"/>
              <w:bottom w:w="30" w:type="dxa"/>
              <w:right w:w="20" w:type="dxa"/>
            </w:tcMar>
            <w:vAlign w:val="bottom"/>
            <w:hideMark/>
          </w:tcPr>
          <w:p w14:paraId="63CA228B" w14:textId="77777777" w:rsidR="00000000" w:rsidRDefault="000C49AD">
            <w:pPr>
              <w:spacing w:after="100"/>
              <w:jc w:val="right"/>
              <w:rPr>
                <w:rFonts w:eastAsia="Times New Roman"/>
              </w:rPr>
            </w:pPr>
          </w:p>
        </w:tc>
      </w:tr>
      <w:tr w:rsidR="00000000" w14:paraId="48F4C841" w14:textId="77777777">
        <w:tc>
          <w:tcPr>
            <w:tcW w:w="0" w:type="auto"/>
            <w:gridSpan w:val="3"/>
            <w:shd w:val="clear" w:color="auto" w:fill="CCEEFF"/>
            <w:tcMar>
              <w:top w:w="30" w:type="dxa"/>
              <w:left w:w="245" w:type="dxa"/>
              <w:bottom w:w="30" w:type="dxa"/>
              <w:right w:w="20" w:type="dxa"/>
            </w:tcMar>
            <w:vAlign w:val="bottom"/>
            <w:hideMark/>
          </w:tcPr>
          <w:p w14:paraId="6E1761F0" w14:textId="77777777" w:rsidR="00000000" w:rsidRDefault="000C49AD">
            <w:pPr>
              <w:spacing w:after="100"/>
              <w:rPr>
                <w:rFonts w:eastAsia="Times New Roman"/>
              </w:rPr>
            </w:pPr>
            <w:r>
              <w:rPr>
                <w:rFonts w:eastAsia="Times New Roman"/>
                <w:color w:val="000000"/>
                <w:sz w:val="16"/>
                <w:szCs w:val="16"/>
              </w:rPr>
              <w:t xml:space="preserve">Changes in deferred tax </w:t>
            </w:r>
          </w:p>
        </w:tc>
        <w:tc>
          <w:tcPr>
            <w:tcW w:w="0" w:type="auto"/>
            <w:gridSpan w:val="3"/>
            <w:shd w:val="clear" w:color="auto" w:fill="CCEEFF"/>
            <w:tcMar>
              <w:top w:w="0" w:type="dxa"/>
              <w:left w:w="20" w:type="dxa"/>
              <w:bottom w:w="0" w:type="dxa"/>
              <w:right w:w="20" w:type="dxa"/>
            </w:tcMar>
            <w:vAlign w:val="center"/>
            <w:hideMark/>
          </w:tcPr>
          <w:p w14:paraId="1215348B"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28D71D1" w14:textId="77777777" w:rsidR="00000000" w:rsidRDefault="000C49AD">
            <w:pPr>
              <w:spacing w:after="100"/>
              <w:jc w:val="right"/>
              <w:rPr>
                <w:rFonts w:eastAsia="Times New Roman"/>
              </w:rPr>
            </w:pPr>
            <w:r>
              <w:rPr>
                <w:rFonts w:eastAsia="Times New Roman"/>
                <w:color w:val="000000"/>
                <w:sz w:val="16"/>
                <w:szCs w:val="16"/>
              </w:rPr>
              <w:t>(15,666)</w:t>
            </w:r>
          </w:p>
        </w:tc>
        <w:tc>
          <w:tcPr>
            <w:tcW w:w="0" w:type="auto"/>
            <w:shd w:val="clear" w:color="auto" w:fill="CCEEFF"/>
            <w:tcMar>
              <w:top w:w="30" w:type="dxa"/>
              <w:left w:w="0" w:type="dxa"/>
              <w:bottom w:w="30" w:type="dxa"/>
              <w:right w:w="20" w:type="dxa"/>
            </w:tcMar>
            <w:vAlign w:val="bottom"/>
            <w:hideMark/>
          </w:tcPr>
          <w:p w14:paraId="1754370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D06BD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C64F48" w14:textId="77777777" w:rsidR="00000000" w:rsidRDefault="000C49AD">
            <w:pPr>
              <w:spacing w:after="100"/>
              <w:jc w:val="right"/>
              <w:rPr>
                <w:rFonts w:eastAsia="Times New Roman"/>
              </w:rPr>
            </w:pPr>
            <w:r>
              <w:rPr>
                <w:rFonts w:eastAsia="Times New Roman"/>
                <w:color w:val="000000"/>
                <w:sz w:val="16"/>
                <w:szCs w:val="16"/>
              </w:rPr>
              <w:t>(7,431)</w:t>
            </w:r>
          </w:p>
        </w:tc>
        <w:tc>
          <w:tcPr>
            <w:tcW w:w="0" w:type="auto"/>
            <w:shd w:val="clear" w:color="auto" w:fill="CCEEFF"/>
            <w:tcMar>
              <w:top w:w="30" w:type="dxa"/>
              <w:left w:w="0" w:type="dxa"/>
              <w:bottom w:w="30" w:type="dxa"/>
              <w:right w:w="20" w:type="dxa"/>
            </w:tcMar>
            <w:vAlign w:val="bottom"/>
            <w:hideMark/>
          </w:tcPr>
          <w:p w14:paraId="44DC42C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A293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C6F9D" w14:textId="77777777" w:rsidR="00000000" w:rsidRDefault="000C49AD">
            <w:pPr>
              <w:spacing w:after="100"/>
              <w:jc w:val="right"/>
              <w:rPr>
                <w:rFonts w:eastAsia="Times New Roman"/>
              </w:rPr>
            </w:pPr>
            <w:r>
              <w:rPr>
                <w:rFonts w:eastAsia="Times New Roman"/>
                <w:color w:val="000000"/>
                <w:sz w:val="16"/>
                <w:szCs w:val="16"/>
              </w:rPr>
              <w:t>(6,334)</w:t>
            </w:r>
          </w:p>
        </w:tc>
        <w:tc>
          <w:tcPr>
            <w:tcW w:w="0" w:type="auto"/>
            <w:shd w:val="clear" w:color="auto" w:fill="CCEEFF"/>
            <w:tcMar>
              <w:top w:w="30" w:type="dxa"/>
              <w:left w:w="0" w:type="dxa"/>
              <w:bottom w:w="30" w:type="dxa"/>
              <w:right w:w="20" w:type="dxa"/>
            </w:tcMar>
            <w:vAlign w:val="bottom"/>
            <w:hideMark/>
          </w:tcPr>
          <w:p w14:paraId="00228FD7" w14:textId="77777777" w:rsidR="00000000" w:rsidRDefault="000C49AD">
            <w:pPr>
              <w:spacing w:after="100"/>
              <w:jc w:val="right"/>
              <w:rPr>
                <w:rFonts w:eastAsia="Times New Roman"/>
              </w:rPr>
            </w:pPr>
          </w:p>
        </w:tc>
      </w:tr>
      <w:tr w:rsidR="00000000" w14:paraId="0EE31D35" w14:textId="77777777">
        <w:tc>
          <w:tcPr>
            <w:tcW w:w="0" w:type="auto"/>
            <w:gridSpan w:val="3"/>
            <w:shd w:val="clear" w:color="auto" w:fill="FFFFFF"/>
            <w:tcMar>
              <w:top w:w="30" w:type="dxa"/>
              <w:left w:w="245" w:type="dxa"/>
              <w:bottom w:w="30" w:type="dxa"/>
              <w:right w:w="20" w:type="dxa"/>
            </w:tcMar>
            <w:vAlign w:val="bottom"/>
            <w:hideMark/>
          </w:tcPr>
          <w:p w14:paraId="71B33257" w14:textId="77777777" w:rsidR="00000000" w:rsidRDefault="000C49AD">
            <w:pPr>
              <w:spacing w:after="100"/>
              <w:rPr>
                <w:rFonts w:eastAsia="Times New Roman"/>
              </w:rPr>
            </w:pPr>
            <w:r>
              <w:rPr>
                <w:rFonts w:eastAsia="Times New Roman"/>
                <w:color w:val="000000"/>
                <w:sz w:val="16"/>
                <w:szCs w:val="16"/>
              </w:rPr>
              <w:t>Share-based compensation expense</w:t>
            </w:r>
          </w:p>
        </w:tc>
        <w:tc>
          <w:tcPr>
            <w:tcW w:w="0" w:type="auto"/>
            <w:gridSpan w:val="3"/>
            <w:shd w:val="clear" w:color="auto" w:fill="FFFFFF"/>
            <w:tcMar>
              <w:top w:w="0" w:type="dxa"/>
              <w:left w:w="20" w:type="dxa"/>
              <w:bottom w:w="0" w:type="dxa"/>
              <w:right w:w="20" w:type="dxa"/>
            </w:tcMar>
            <w:vAlign w:val="center"/>
            <w:hideMark/>
          </w:tcPr>
          <w:p w14:paraId="029F1BD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CFB8755" w14:textId="77777777" w:rsidR="00000000" w:rsidRDefault="000C49AD">
            <w:pPr>
              <w:spacing w:after="100"/>
              <w:jc w:val="right"/>
              <w:rPr>
                <w:rFonts w:eastAsia="Times New Roman"/>
              </w:rPr>
            </w:pPr>
            <w:r>
              <w:rPr>
                <w:rFonts w:eastAsia="Times New Roman"/>
                <w:color w:val="000000"/>
                <w:sz w:val="16"/>
                <w:szCs w:val="16"/>
              </w:rPr>
              <w:t>8,872 </w:t>
            </w:r>
          </w:p>
        </w:tc>
        <w:tc>
          <w:tcPr>
            <w:tcW w:w="0" w:type="auto"/>
            <w:shd w:val="clear" w:color="auto" w:fill="FFFFFF"/>
            <w:tcMar>
              <w:top w:w="30" w:type="dxa"/>
              <w:left w:w="0" w:type="dxa"/>
              <w:bottom w:w="30" w:type="dxa"/>
              <w:right w:w="20" w:type="dxa"/>
            </w:tcMar>
            <w:vAlign w:val="bottom"/>
            <w:hideMark/>
          </w:tcPr>
          <w:p w14:paraId="4883904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4236A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37761D" w14:textId="77777777" w:rsidR="00000000" w:rsidRDefault="000C49AD">
            <w:pPr>
              <w:spacing w:after="100"/>
              <w:jc w:val="right"/>
              <w:rPr>
                <w:rFonts w:eastAsia="Times New Roman"/>
              </w:rPr>
            </w:pPr>
            <w:r>
              <w:rPr>
                <w:rFonts w:eastAsia="Times New Roman"/>
                <w:color w:val="000000"/>
                <w:sz w:val="16"/>
                <w:szCs w:val="16"/>
              </w:rPr>
              <w:t>2,999 </w:t>
            </w:r>
          </w:p>
        </w:tc>
        <w:tc>
          <w:tcPr>
            <w:tcW w:w="0" w:type="auto"/>
            <w:shd w:val="clear" w:color="auto" w:fill="FFFFFF"/>
            <w:tcMar>
              <w:top w:w="30" w:type="dxa"/>
              <w:left w:w="0" w:type="dxa"/>
              <w:bottom w:w="30" w:type="dxa"/>
              <w:right w:w="20" w:type="dxa"/>
            </w:tcMar>
            <w:vAlign w:val="bottom"/>
            <w:hideMark/>
          </w:tcPr>
          <w:p w14:paraId="3FBB217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FF671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219752" w14:textId="77777777" w:rsidR="00000000" w:rsidRDefault="000C49AD">
            <w:pPr>
              <w:spacing w:after="100"/>
              <w:jc w:val="right"/>
              <w:rPr>
                <w:rFonts w:eastAsia="Times New Roman"/>
              </w:rPr>
            </w:pPr>
            <w:r>
              <w:rPr>
                <w:rFonts w:eastAsia="Times New Roman"/>
                <w:color w:val="000000"/>
                <w:sz w:val="16"/>
                <w:szCs w:val="16"/>
              </w:rPr>
              <w:t>519 </w:t>
            </w:r>
          </w:p>
        </w:tc>
        <w:tc>
          <w:tcPr>
            <w:tcW w:w="0" w:type="auto"/>
            <w:shd w:val="clear" w:color="auto" w:fill="FFFFFF"/>
            <w:tcMar>
              <w:top w:w="30" w:type="dxa"/>
              <w:left w:w="0" w:type="dxa"/>
              <w:bottom w:w="30" w:type="dxa"/>
              <w:right w:w="20" w:type="dxa"/>
            </w:tcMar>
            <w:vAlign w:val="bottom"/>
            <w:hideMark/>
          </w:tcPr>
          <w:p w14:paraId="28B6FBB5" w14:textId="77777777" w:rsidR="00000000" w:rsidRDefault="000C49AD">
            <w:pPr>
              <w:spacing w:after="100"/>
              <w:jc w:val="right"/>
              <w:rPr>
                <w:rFonts w:eastAsia="Times New Roman"/>
              </w:rPr>
            </w:pPr>
          </w:p>
        </w:tc>
      </w:tr>
      <w:tr w:rsidR="00000000" w14:paraId="6C5D542A" w14:textId="77777777">
        <w:tc>
          <w:tcPr>
            <w:tcW w:w="0" w:type="auto"/>
            <w:gridSpan w:val="3"/>
            <w:shd w:val="clear" w:color="auto" w:fill="CCEEFF"/>
            <w:tcMar>
              <w:top w:w="30" w:type="dxa"/>
              <w:left w:w="245" w:type="dxa"/>
              <w:bottom w:w="30" w:type="dxa"/>
              <w:right w:w="20" w:type="dxa"/>
            </w:tcMar>
            <w:vAlign w:val="bottom"/>
            <w:hideMark/>
          </w:tcPr>
          <w:p w14:paraId="39E4348C" w14:textId="77777777" w:rsidR="00000000" w:rsidRDefault="000C49AD">
            <w:pPr>
              <w:spacing w:after="100"/>
              <w:rPr>
                <w:rFonts w:eastAsia="Times New Roman"/>
              </w:rPr>
            </w:pPr>
            <w:r>
              <w:rPr>
                <w:rFonts w:eastAsia="Times New Roman"/>
                <w:color w:val="000000"/>
                <w:sz w:val="16"/>
                <w:szCs w:val="16"/>
              </w:rPr>
              <w:t>Gain on the disposition of the Hospital Products</w:t>
            </w:r>
          </w:p>
        </w:tc>
        <w:tc>
          <w:tcPr>
            <w:tcW w:w="0" w:type="auto"/>
            <w:gridSpan w:val="3"/>
            <w:shd w:val="clear" w:color="auto" w:fill="CCEEFF"/>
            <w:tcMar>
              <w:top w:w="0" w:type="dxa"/>
              <w:left w:w="20" w:type="dxa"/>
              <w:bottom w:w="0" w:type="dxa"/>
              <w:right w:w="20" w:type="dxa"/>
            </w:tcMar>
            <w:vAlign w:val="center"/>
            <w:hideMark/>
          </w:tcPr>
          <w:p w14:paraId="02C0C4D7"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4C27C0"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C9DBAB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1086F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15DFE8" w14:textId="77777777" w:rsidR="00000000" w:rsidRDefault="000C49AD">
            <w:pPr>
              <w:spacing w:after="100"/>
              <w:jc w:val="right"/>
              <w:rPr>
                <w:rFonts w:eastAsia="Times New Roman"/>
              </w:rPr>
            </w:pPr>
            <w:r>
              <w:rPr>
                <w:rFonts w:eastAsia="Times New Roman"/>
                <w:color w:val="000000"/>
                <w:sz w:val="16"/>
                <w:szCs w:val="16"/>
              </w:rPr>
              <w:t>(45,760)</w:t>
            </w:r>
          </w:p>
        </w:tc>
        <w:tc>
          <w:tcPr>
            <w:tcW w:w="0" w:type="auto"/>
            <w:shd w:val="clear" w:color="auto" w:fill="CCEEFF"/>
            <w:tcMar>
              <w:top w:w="30" w:type="dxa"/>
              <w:left w:w="0" w:type="dxa"/>
              <w:bottom w:w="30" w:type="dxa"/>
              <w:right w:w="20" w:type="dxa"/>
            </w:tcMar>
            <w:vAlign w:val="bottom"/>
            <w:hideMark/>
          </w:tcPr>
          <w:p w14:paraId="7D3BB9F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5B48F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0C4511"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65C25C57" w14:textId="77777777" w:rsidR="00000000" w:rsidRDefault="000C49AD">
            <w:pPr>
              <w:spacing w:after="100"/>
              <w:jc w:val="right"/>
              <w:rPr>
                <w:rFonts w:eastAsia="Times New Roman"/>
              </w:rPr>
            </w:pPr>
          </w:p>
        </w:tc>
      </w:tr>
      <w:tr w:rsidR="00000000" w14:paraId="101C9157" w14:textId="77777777">
        <w:tc>
          <w:tcPr>
            <w:tcW w:w="0" w:type="auto"/>
            <w:gridSpan w:val="3"/>
            <w:shd w:val="clear" w:color="auto" w:fill="FFFFFF"/>
            <w:tcMar>
              <w:top w:w="30" w:type="dxa"/>
              <w:left w:w="245" w:type="dxa"/>
              <w:bottom w:w="30" w:type="dxa"/>
              <w:right w:w="20" w:type="dxa"/>
            </w:tcMar>
            <w:vAlign w:val="bottom"/>
            <w:hideMark/>
          </w:tcPr>
          <w:p w14:paraId="5372B1F0" w14:textId="77777777" w:rsidR="00000000" w:rsidRDefault="000C49AD">
            <w:pPr>
              <w:spacing w:after="100"/>
              <w:rPr>
                <w:rFonts w:eastAsia="Times New Roman"/>
              </w:rPr>
            </w:pPr>
            <w:r>
              <w:rPr>
                <w:rFonts w:eastAsia="Times New Roman"/>
                <w:color w:val="000000"/>
                <w:sz w:val="16"/>
                <w:szCs w:val="16"/>
              </w:rPr>
              <w:t>Loss on deconsolidation of subsidiary</w:t>
            </w:r>
          </w:p>
        </w:tc>
        <w:tc>
          <w:tcPr>
            <w:tcW w:w="0" w:type="auto"/>
            <w:gridSpan w:val="3"/>
            <w:shd w:val="clear" w:color="auto" w:fill="FFFFFF"/>
            <w:tcMar>
              <w:top w:w="0" w:type="dxa"/>
              <w:left w:w="20" w:type="dxa"/>
              <w:bottom w:w="0" w:type="dxa"/>
              <w:right w:w="20" w:type="dxa"/>
            </w:tcMar>
            <w:vAlign w:val="center"/>
            <w:hideMark/>
          </w:tcPr>
          <w:p w14:paraId="72212691"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D1757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A9472E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0900E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756B5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33A41AD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A7487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9484DD" w14:textId="77777777" w:rsidR="00000000" w:rsidRDefault="000C49AD">
            <w:pPr>
              <w:spacing w:after="100"/>
              <w:jc w:val="right"/>
              <w:rPr>
                <w:rFonts w:eastAsia="Times New Roman"/>
              </w:rPr>
            </w:pPr>
            <w:r>
              <w:rPr>
                <w:rFonts w:eastAsia="Times New Roman"/>
                <w:color w:val="000000"/>
                <w:sz w:val="16"/>
                <w:szCs w:val="16"/>
              </w:rPr>
              <w:t>1,750 </w:t>
            </w:r>
          </w:p>
        </w:tc>
        <w:tc>
          <w:tcPr>
            <w:tcW w:w="0" w:type="auto"/>
            <w:shd w:val="clear" w:color="auto" w:fill="FFFFFF"/>
            <w:tcMar>
              <w:top w:w="30" w:type="dxa"/>
              <w:left w:w="0" w:type="dxa"/>
              <w:bottom w:w="30" w:type="dxa"/>
              <w:right w:w="20" w:type="dxa"/>
            </w:tcMar>
            <w:vAlign w:val="bottom"/>
            <w:hideMark/>
          </w:tcPr>
          <w:p w14:paraId="19BA0348" w14:textId="77777777" w:rsidR="00000000" w:rsidRDefault="000C49AD">
            <w:pPr>
              <w:spacing w:after="100"/>
              <w:jc w:val="right"/>
              <w:rPr>
                <w:rFonts w:eastAsia="Times New Roman"/>
              </w:rPr>
            </w:pPr>
          </w:p>
        </w:tc>
      </w:tr>
      <w:tr w:rsidR="00000000" w14:paraId="6A8B7714" w14:textId="77777777">
        <w:tc>
          <w:tcPr>
            <w:tcW w:w="0" w:type="auto"/>
            <w:gridSpan w:val="3"/>
            <w:shd w:val="clear" w:color="auto" w:fill="CCEEFF"/>
            <w:tcMar>
              <w:top w:w="30" w:type="dxa"/>
              <w:left w:w="245" w:type="dxa"/>
              <w:bottom w:w="30" w:type="dxa"/>
              <w:right w:w="20" w:type="dxa"/>
            </w:tcMar>
            <w:vAlign w:val="bottom"/>
            <w:hideMark/>
          </w:tcPr>
          <w:p w14:paraId="33006237" w14:textId="77777777" w:rsidR="00000000" w:rsidRDefault="000C49AD">
            <w:pPr>
              <w:spacing w:after="100"/>
              <w:rPr>
                <w:rFonts w:eastAsia="Times New Roman"/>
              </w:rPr>
            </w:pPr>
            <w:r>
              <w:rPr>
                <w:rFonts w:eastAsia="Times New Roman"/>
                <w:color w:val="000000"/>
                <w:sz w:val="16"/>
                <w:szCs w:val="16"/>
              </w:rPr>
              <w:t>Gain from the release of certain liabilities</w:t>
            </w:r>
          </w:p>
        </w:tc>
        <w:tc>
          <w:tcPr>
            <w:tcW w:w="0" w:type="auto"/>
            <w:gridSpan w:val="3"/>
            <w:shd w:val="clear" w:color="auto" w:fill="CCEEFF"/>
            <w:tcMar>
              <w:top w:w="0" w:type="dxa"/>
              <w:left w:w="20" w:type="dxa"/>
              <w:bottom w:w="0" w:type="dxa"/>
              <w:right w:w="20" w:type="dxa"/>
            </w:tcMar>
            <w:vAlign w:val="center"/>
            <w:hideMark/>
          </w:tcPr>
          <w:p w14:paraId="30C4A6E2"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342E9D9" w14:textId="77777777" w:rsidR="00000000" w:rsidRDefault="000C49AD">
            <w:pPr>
              <w:spacing w:after="100"/>
              <w:jc w:val="right"/>
              <w:rPr>
                <w:rFonts w:eastAsia="Times New Roman"/>
              </w:rPr>
            </w:pPr>
            <w:r>
              <w:rPr>
                <w:rFonts w:eastAsia="Times New Roman"/>
                <w:color w:val="000000"/>
                <w:sz w:val="16"/>
                <w:szCs w:val="16"/>
              </w:rPr>
              <w:t>(217)</w:t>
            </w:r>
          </w:p>
        </w:tc>
        <w:tc>
          <w:tcPr>
            <w:tcW w:w="0" w:type="auto"/>
            <w:shd w:val="clear" w:color="auto" w:fill="CCEEFF"/>
            <w:tcMar>
              <w:top w:w="30" w:type="dxa"/>
              <w:left w:w="0" w:type="dxa"/>
              <w:bottom w:w="30" w:type="dxa"/>
              <w:right w:w="20" w:type="dxa"/>
            </w:tcMar>
            <w:vAlign w:val="bottom"/>
            <w:hideMark/>
          </w:tcPr>
          <w:p w14:paraId="3911D0B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1071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FA3C46" w14:textId="77777777" w:rsidR="00000000" w:rsidRDefault="000C49AD">
            <w:pPr>
              <w:spacing w:after="100"/>
              <w:jc w:val="right"/>
              <w:rPr>
                <w:rFonts w:eastAsia="Times New Roman"/>
              </w:rPr>
            </w:pPr>
            <w:r>
              <w:rPr>
                <w:rFonts w:eastAsia="Times New Roman"/>
                <w:color w:val="000000"/>
                <w:sz w:val="16"/>
                <w:szCs w:val="16"/>
              </w:rPr>
              <w:t>(3,364)</w:t>
            </w:r>
          </w:p>
        </w:tc>
        <w:tc>
          <w:tcPr>
            <w:tcW w:w="0" w:type="auto"/>
            <w:shd w:val="clear" w:color="auto" w:fill="CCEEFF"/>
            <w:tcMar>
              <w:top w:w="30" w:type="dxa"/>
              <w:left w:w="0" w:type="dxa"/>
              <w:bottom w:w="30" w:type="dxa"/>
              <w:right w:w="20" w:type="dxa"/>
            </w:tcMar>
            <w:vAlign w:val="bottom"/>
            <w:hideMark/>
          </w:tcPr>
          <w:p w14:paraId="5DE71C6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86BA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86211C"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DB1014B" w14:textId="77777777" w:rsidR="00000000" w:rsidRDefault="000C49AD">
            <w:pPr>
              <w:spacing w:after="100"/>
              <w:jc w:val="right"/>
              <w:rPr>
                <w:rFonts w:eastAsia="Times New Roman"/>
              </w:rPr>
            </w:pPr>
          </w:p>
        </w:tc>
      </w:tr>
      <w:tr w:rsidR="00000000" w14:paraId="7432DAFB" w14:textId="77777777">
        <w:tc>
          <w:tcPr>
            <w:tcW w:w="0" w:type="auto"/>
            <w:gridSpan w:val="3"/>
            <w:shd w:val="clear" w:color="auto" w:fill="FFFFFF"/>
            <w:tcMar>
              <w:top w:w="30" w:type="dxa"/>
              <w:left w:w="245" w:type="dxa"/>
              <w:bottom w:w="30" w:type="dxa"/>
              <w:right w:w="20" w:type="dxa"/>
            </w:tcMar>
            <w:vAlign w:val="bottom"/>
            <w:hideMark/>
          </w:tcPr>
          <w:p w14:paraId="03643C7F" w14:textId="77777777" w:rsidR="00000000" w:rsidRDefault="000C49AD">
            <w:pPr>
              <w:spacing w:after="100"/>
              <w:rPr>
                <w:rFonts w:eastAsia="Times New Roman"/>
              </w:rPr>
            </w:pPr>
            <w:r>
              <w:rPr>
                <w:rFonts w:eastAsia="Times New Roman"/>
                <w:color w:val="000000"/>
                <w:sz w:val="16"/>
                <w:szCs w:val="16"/>
              </w:rPr>
              <w:t>Other adjustments</w:t>
            </w:r>
          </w:p>
        </w:tc>
        <w:tc>
          <w:tcPr>
            <w:tcW w:w="0" w:type="auto"/>
            <w:gridSpan w:val="3"/>
            <w:shd w:val="clear" w:color="auto" w:fill="FFFFFF"/>
            <w:tcMar>
              <w:top w:w="0" w:type="dxa"/>
              <w:left w:w="20" w:type="dxa"/>
              <w:bottom w:w="0" w:type="dxa"/>
              <w:right w:w="20" w:type="dxa"/>
            </w:tcMar>
            <w:vAlign w:val="center"/>
            <w:hideMark/>
          </w:tcPr>
          <w:p w14:paraId="37717BC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A63825" w14:textId="77777777" w:rsidR="00000000" w:rsidRDefault="000C49AD">
            <w:pPr>
              <w:spacing w:after="100"/>
              <w:jc w:val="right"/>
              <w:rPr>
                <w:rFonts w:eastAsia="Times New Roman"/>
              </w:rPr>
            </w:pPr>
            <w:r>
              <w:rPr>
                <w:rFonts w:eastAsia="Times New Roman"/>
                <w:color w:val="000000"/>
                <w:sz w:val="16"/>
                <w:szCs w:val="16"/>
              </w:rPr>
              <w:t>1,272 </w:t>
            </w:r>
          </w:p>
        </w:tc>
        <w:tc>
          <w:tcPr>
            <w:tcW w:w="0" w:type="auto"/>
            <w:shd w:val="clear" w:color="auto" w:fill="FFFFFF"/>
            <w:tcMar>
              <w:top w:w="30" w:type="dxa"/>
              <w:left w:w="0" w:type="dxa"/>
              <w:bottom w:w="30" w:type="dxa"/>
              <w:right w:w="20" w:type="dxa"/>
            </w:tcMar>
            <w:vAlign w:val="bottom"/>
            <w:hideMark/>
          </w:tcPr>
          <w:p w14:paraId="5EC4956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A509A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6F4492" w14:textId="77777777" w:rsidR="00000000" w:rsidRDefault="000C49AD">
            <w:pPr>
              <w:spacing w:after="100"/>
              <w:jc w:val="right"/>
              <w:rPr>
                <w:rFonts w:eastAsia="Times New Roman"/>
              </w:rPr>
            </w:pPr>
            <w:r>
              <w:rPr>
                <w:rFonts w:eastAsia="Times New Roman"/>
                <w:color w:val="000000"/>
                <w:sz w:val="16"/>
                <w:szCs w:val="16"/>
              </w:rPr>
              <w:t>142 </w:t>
            </w:r>
          </w:p>
        </w:tc>
        <w:tc>
          <w:tcPr>
            <w:tcW w:w="0" w:type="auto"/>
            <w:shd w:val="clear" w:color="auto" w:fill="FFFFFF"/>
            <w:tcMar>
              <w:top w:w="30" w:type="dxa"/>
              <w:left w:w="0" w:type="dxa"/>
              <w:bottom w:w="30" w:type="dxa"/>
              <w:right w:w="20" w:type="dxa"/>
            </w:tcMar>
            <w:vAlign w:val="bottom"/>
            <w:hideMark/>
          </w:tcPr>
          <w:p w14:paraId="6BA6822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DB3E2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ED0683" w14:textId="77777777" w:rsidR="00000000" w:rsidRDefault="000C49AD">
            <w:pPr>
              <w:spacing w:after="100"/>
              <w:jc w:val="right"/>
              <w:rPr>
                <w:rFonts w:eastAsia="Times New Roman"/>
              </w:rPr>
            </w:pPr>
            <w:r>
              <w:rPr>
                <w:rFonts w:eastAsia="Times New Roman"/>
                <w:color w:val="000000"/>
                <w:sz w:val="16"/>
                <w:szCs w:val="16"/>
              </w:rPr>
              <w:t>(254)</w:t>
            </w:r>
          </w:p>
        </w:tc>
        <w:tc>
          <w:tcPr>
            <w:tcW w:w="0" w:type="auto"/>
            <w:shd w:val="clear" w:color="auto" w:fill="FFFFFF"/>
            <w:tcMar>
              <w:top w:w="30" w:type="dxa"/>
              <w:left w:w="0" w:type="dxa"/>
              <w:bottom w:w="30" w:type="dxa"/>
              <w:right w:w="20" w:type="dxa"/>
            </w:tcMar>
            <w:vAlign w:val="bottom"/>
            <w:hideMark/>
          </w:tcPr>
          <w:p w14:paraId="361F920D" w14:textId="77777777" w:rsidR="00000000" w:rsidRDefault="000C49AD">
            <w:pPr>
              <w:spacing w:after="100"/>
              <w:jc w:val="right"/>
              <w:rPr>
                <w:rFonts w:eastAsia="Times New Roman"/>
              </w:rPr>
            </w:pPr>
          </w:p>
        </w:tc>
      </w:tr>
      <w:tr w:rsidR="00000000" w14:paraId="0952B781" w14:textId="77777777">
        <w:tc>
          <w:tcPr>
            <w:tcW w:w="0" w:type="auto"/>
            <w:gridSpan w:val="3"/>
            <w:shd w:val="clear" w:color="auto" w:fill="CCEEFF"/>
            <w:tcMar>
              <w:top w:w="30" w:type="dxa"/>
              <w:left w:w="155" w:type="dxa"/>
              <w:bottom w:w="30" w:type="dxa"/>
              <w:right w:w="20" w:type="dxa"/>
            </w:tcMar>
            <w:vAlign w:val="bottom"/>
            <w:hideMark/>
          </w:tcPr>
          <w:p w14:paraId="5E07BC5A" w14:textId="77777777" w:rsidR="00000000" w:rsidRDefault="000C49AD">
            <w:pPr>
              <w:spacing w:after="100"/>
              <w:rPr>
                <w:rFonts w:eastAsia="Times New Roman"/>
              </w:rPr>
            </w:pPr>
            <w:r>
              <w:rPr>
                <w:rFonts w:eastAsia="Times New Roman"/>
                <w:color w:val="000000"/>
                <w:sz w:val="16"/>
                <w:szCs w:val="16"/>
              </w:rPr>
              <w:t>Net changes in assets and liabilities</w:t>
            </w:r>
          </w:p>
        </w:tc>
        <w:tc>
          <w:tcPr>
            <w:tcW w:w="0" w:type="auto"/>
            <w:gridSpan w:val="3"/>
            <w:shd w:val="clear" w:color="auto" w:fill="CCEEFF"/>
            <w:tcMar>
              <w:top w:w="0" w:type="dxa"/>
              <w:left w:w="20" w:type="dxa"/>
              <w:bottom w:w="0" w:type="dxa"/>
              <w:right w:w="20" w:type="dxa"/>
            </w:tcMar>
            <w:vAlign w:val="center"/>
            <w:hideMark/>
          </w:tcPr>
          <w:p w14:paraId="69D1BB8F"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E15483F"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018176ED"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EBC1400"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0581CCA"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F55600C" w14:textId="77777777" w:rsidR="00000000" w:rsidRDefault="000C49AD">
            <w:pPr>
              <w:spacing w:after="100"/>
              <w:jc w:val="right"/>
              <w:rPr>
                <w:rFonts w:eastAsia="Times New Roman"/>
              </w:rPr>
            </w:pPr>
            <w:r>
              <w:rPr>
                <w:rFonts w:eastAsia="Times New Roman"/>
                <w:color w:val="000000"/>
                <w:sz w:val="16"/>
                <w:szCs w:val="16"/>
              </w:rPr>
              <w:t> </w:t>
            </w:r>
          </w:p>
        </w:tc>
      </w:tr>
      <w:tr w:rsidR="00000000" w14:paraId="4A23AD7D" w14:textId="77777777">
        <w:tc>
          <w:tcPr>
            <w:tcW w:w="0" w:type="auto"/>
            <w:gridSpan w:val="3"/>
            <w:shd w:val="clear" w:color="auto" w:fill="FFFFFF"/>
            <w:tcMar>
              <w:top w:w="30" w:type="dxa"/>
              <w:left w:w="245" w:type="dxa"/>
              <w:bottom w:w="30" w:type="dxa"/>
              <w:right w:w="20" w:type="dxa"/>
            </w:tcMar>
            <w:vAlign w:val="bottom"/>
            <w:hideMark/>
          </w:tcPr>
          <w:p w14:paraId="45568F2D" w14:textId="77777777" w:rsidR="00000000" w:rsidRDefault="000C49AD">
            <w:pPr>
              <w:spacing w:after="100"/>
              <w:rPr>
                <w:rFonts w:eastAsia="Times New Roman"/>
              </w:rPr>
            </w:pPr>
            <w:r>
              <w:rPr>
                <w:rFonts w:eastAsia="Times New Roman"/>
                <w:color w:val="000000"/>
                <w:sz w:val="16"/>
                <w:szCs w:val="16"/>
              </w:rPr>
              <w:t>Accounts receivable</w:t>
            </w:r>
          </w:p>
        </w:tc>
        <w:tc>
          <w:tcPr>
            <w:tcW w:w="0" w:type="auto"/>
            <w:gridSpan w:val="3"/>
            <w:shd w:val="clear" w:color="auto" w:fill="FFFFFF"/>
            <w:tcMar>
              <w:top w:w="0" w:type="dxa"/>
              <w:left w:w="20" w:type="dxa"/>
              <w:bottom w:w="0" w:type="dxa"/>
              <w:right w:w="20" w:type="dxa"/>
            </w:tcMar>
            <w:vAlign w:val="center"/>
            <w:hideMark/>
          </w:tcPr>
          <w:p w14:paraId="24BF9DD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1741E8"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2548445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72760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26BBC4" w14:textId="77777777" w:rsidR="00000000" w:rsidRDefault="000C49AD">
            <w:pPr>
              <w:spacing w:after="100"/>
              <w:jc w:val="right"/>
              <w:rPr>
                <w:rFonts w:eastAsia="Times New Roman"/>
              </w:rPr>
            </w:pPr>
            <w:r>
              <w:rPr>
                <w:rFonts w:eastAsia="Times New Roman"/>
                <w:color w:val="000000"/>
                <w:sz w:val="16"/>
                <w:szCs w:val="16"/>
              </w:rPr>
              <w:t>8,281 </w:t>
            </w:r>
          </w:p>
        </w:tc>
        <w:tc>
          <w:tcPr>
            <w:tcW w:w="0" w:type="auto"/>
            <w:shd w:val="clear" w:color="auto" w:fill="FFFFFF"/>
            <w:tcMar>
              <w:top w:w="30" w:type="dxa"/>
              <w:left w:w="0" w:type="dxa"/>
              <w:bottom w:w="30" w:type="dxa"/>
              <w:right w:w="20" w:type="dxa"/>
            </w:tcMar>
            <w:vAlign w:val="bottom"/>
            <w:hideMark/>
          </w:tcPr>
          <w:p w14:paraId="42FE242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BD866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D99A32" w14:textId="77777777" w:rsidR="00000000" w:rsidRDefault="000C49AD">
            <w:pPr>
              <w:spacing w:after="100"/>
              <w:jc w:val="right"/>
              <w:rPr>
                <w:rFonts w:eastAsia="Times New Roman"/>
              </w:rPr>
            </w:pPr>
            <w:r>
              <w:rPr>
                <w:rFonts w:eastAsia="Times New Roman"/>
                <w:color w:val="000000"/>
                <w:sz w:val="16"/>
                <w:szCs w:val="16"/>
              </w:rPr>
              <w:t>2,471 </w:t>
            </w:r>
          </w:p>
        </w:tc>
        <w:tc>
          <w:tcPr>
            <w:tcW w:w="0" w:type="auto"/>
            <w:shd w:val="clear" w:color="auto" w:fill="FFFFFF"/>
            <w:tcMar>
              <w:top w:w="30" w:type="dxa"/>
              <w:left w:w="0" w:type="dxa"/>
              <w:bottom w:w="30" w:type="dxa"/>
              <w:right w:w="20" w:type="dxa"/>
            </w:tcMar>
            <w:vAlign w:val="bottom"/>
            <w:hideMark/>
          </w:tcPr>
          <w:p w14:paraId="0DFD5146" w14:textId="77777777" w:rsidR="00000000" w:rsidRDefault="000C49AD">
            <w:pPr>
              <w:spacing w:after="100"/>
              <w:jc w:val="right"/>
              <w:rPr>
                <w:rFonts w:eastAsia="Times New Roman"/>
              </w:rPr>
            </w:pPr>
          </w:p>
        </w:tc>
      </w:tr>
      <w:tr w:rsidR="00000000" w14:paraId="50D06FE0" w14:textId="77777777">
        <w:tc>
          <w:tcPr>
            <w:tcW w:w="0" w:type="auto"/>
            <w:gridSpan w:val="3"/>
            <w:shd w:val="clear" w:color="auto" w:fill="CCEEFF"/>
            <w:tcMar>
              <w:top w:w="30" w:type="dxa"/>
              <w:left w:w="245" w:type="dxa"/>
              <w:bottom w:w="30" w:type="dxa"/>
              <w:right w:w="20" w:type="dxa"/>
            </w:tcMar>
            <w:vAlign w:val="bottom"/>
            <w:hideMark/>
          </w:tcPr>
          <w:p w14:paraId="55C3840D" w14:textId="77777777" w:rsidR="00000000" w:rsidRDefault="000C49AD">
            <w:pPr>
              <w:spacing w:after="100"/>
              <w:rPr>
                <w:rFonts w:eastAsia="Times New Roman"/>
              </w:rPr>
            </w:pPr>
            <w:r>
              <w:rPr>
                <w:rFonts w:eastAsia="Times New Roman"/>
                <w:color w:val="000000"/>
                <w:sz w:val="16"/>
                <w:szCs w:val="16"/>
              </w:rPr>
              <w:t>Inventories, net</w:t>
            </w:r>
          </w:p>
        </w:tc>
        <w:tc>
          <w:tcPr>
            <w:tcW w:w="0" w:type="auto"/>
            <w:gridSpan w:val="3"/>
            <w:shd w:val="clear" w:color="auto" w:fill="CCEEFF"/>
            <w:tcMar>
              <w:top w:w="0" w:type="dxa"/>
              <w:left w:w="20" w:type="dxa"/>
              <w:bottom w:w="0" w:type="dxa"/>
              <w:right w:w="20" w:type="dxa"/>
            </w:tcMar>
            <w:vAlign w:val="center"/>
            <w:hideMark/>
          </w:tcPr>
          <w:p w14:paraId="48ADD94A"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75BB4E"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F9F8DD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11E15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FE1407" w14:textId="77777777" w:rsidR="00000000" w:rsidRDefault="000C49AD">
            <w:pPr>
              <w:spacing w:after="100"/>
              <w:jc w:val="right"/>
              <w:rPr>
                <w:rFonts w:eastAsia="Times New Roman"/>
              </w:rPr>
            </w:pPr>
            <w:r>
              <w:rPr>
                <w:rFonts w:eastAsia="Times New Roman"/>
                <w:color w:val="000000"/>
                <w:sz w:val="16"/>
                <w:szCs w:val="16"/>
              </w:rPr>
              <w:t>(1,352)</w:t>
            </w:r>
          </w:p>
        </w:tc>
        <w:tc>
          <w:tcPr>
            <w:tcW w:w="0" w:type="auto"/>
            <w:shd w:val="clear" w:color="auto" w:fill="CCEEFF"/>
            <w:tcMar>
              <w:top w:w="30" w:type="dxa"/>
              <w:left w:w="0" w:type="dxa"/>
              <w:bottom w:w="30" w:type="dxa"/>
              <w:right w:w="20" w:type="dxa"/>
            </w:tcMar>
            <w:vAlign w:val="bottom"/>
            <w:hideMark/>
          </w:tcPr>
          <w:p w14:paraId="0553397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F894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D251D9" w14:textId="77777777" w:rsidR="00000000" w:rsidRDefault="000C49AD">
            <w:pPr>
              <w:spacing w:after="100"/>
              <w:jc w:val="right"/>
              <w:rPr>
                <w:rFonts w:eastAsia="Times New Roman"/>
              </w:rPr>
            </w:pPr>
            <w:r>
              <w:rPr>
                <w:rFonts w:eastAsia="Times New Roman"/>
                <w:color w:val="000000"/>
                <w:sz w:val="16"/>
                <w:szCs w:val="16"/>
              </w:rPr>
              <w:t>1,155 </w:t>
            </w:r>
          </w:p>
        </w:tc>
        <w:tc>
          <w:tcPr>
            <w:tcW w:w="0" w:type="auto"/>
            <w:shd w:val="clear" w:color="auto" w:fill="CCEEFF"/>
            <w:tcMar>
              <w:top w:w="30" w:type="dxa"/>
              <w:left w:w="0" w:type="dxa"/>
              <w:bottom w:w="30" w:type="dxa"/>
              <w:right w:w="20" w:type="dxa"/>
            </w:tcMar>
            <w:vAlign w:val="bottom"/>
            <w:hideMark/>
          </w:tcPr>
          <w:p w14:paraId="079A9846" w14:textId="77777777" w:rsidR="00000000" w:rsidRDefault="000C49AD">
            <w:pPr>
              <w:spacing w:after="100"/>
              <w:jc w:val="right"/>
              <w:rPr>
                <w:rFonts w:eastAsia="Times New Roman"/>
              </w:rPr>
            </w:pPr>
          </w:p>
        </w:tc>
      </w:tr>
      <w:tr w:rsidR="00000000" w14:paraId="3FEECF97" w14:textId="77777777">
        <w:tc>
          <w:tcPr>
            <w:tcW w:w="0" w:type="auto"/>
            <w:gridSpan w:val="3"/>
            <w:shd w:val="clear" w:color="auto" w:fill="FFFFFF"/>
            <w:tcMar>
              <w:top w:w="30" w:type="dxa"/>
              <w:left w:w="245" w:type="dxa"/>
              <w:bottom w:w="30" w:type="dxa"/>
              <w:right w:w="20" w:type="dxa"/>
            </w:tcMar>
            <w:vAlign w:val="bottom"/>
            <w:hideMark/>
          </w:tcPr>
          <w:p w14:paraId="6760B1EC" w14:textId="77777777" w:rsidR="00000000" w:rsidRDefault="000C49AD">
            <w:pPr>
              <w:spacing w:after="100"/>
              <w:rPr>
                <w:rFonts w:eastAsia="Times New Roman"/>
              </w:rPr>
            </w:pPr>
            <w:r>
              <w:rPr>
                <w:rFonts w:eastAsia="Times New Roman"/>
                <w:color w:val="000000"/>
                <w:sz w:val="16"/>
                <w:szCs w:val="16"/>
              </w:rPr>
              <w:t>Prepaid expenses and other current assets</w:t>
            </w:r>
          </w:p>
        </w:tc>
        <w:tc>
          <w:tcPr>
            <w:tcW w:w="0" w:type="auto"/>
            <w:gridSpan w:val="3"/>
            <w:shd w:val="clear" w:color="auto" w:fill="FFFFFF"/>
            <w:tcMar>
              <w:top w:w="0" w:type="dxa"/>
              <w:left w:w="20" w:type="dxa"/>
              <w:bottom w:w="0" w:type="dxa"/>
              <w:right w:w="20" w:type="dxa"/>
            </w:tcMar>
            <w:vAlign w:val="center"/>
            <w:hideMark/>
          </w:tcPr>
          <w:p w14:paraId="0396AADE"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625AAFD" w14:textId="77777777" w:rsidR="00000000" w:rsidRDefault="000C49AD">
            <w:pPr>
              <w:spacing w:after="100"/>
              <w:jc w:val="right"/>
              <w:rPr>
                <w:rFonts w:eastAsia="Times New Roman"/>
              </w:rPr>
            </w:pPr>
            <w:r>
              <w:rPr>
                <w:rFonts w:eastAsia="Times New Roman"/>
                <w:color w:val="000000"/>
                <w:sz w:val="16"/>
                <w:szCs w:val="16"/>
              </w:rPr>
              <w:t>(439)</w:t>
            </w:r>
          </w:p>
        </w:tc>
        <w:tc>
          <w:tcPr>
            <w:tcW w:w="0" w:type="auto"/>
            <w:shd w:val="clear" w:color="auto" w:fill="FFFFFF"/>
            <w:tcMar>
              <w:top w:w="30" w:type="dxa"/>
              <w:left w:w="0" w:type="dxa"/>
              <w:bottom w:w="30" w:type="dxa"/>
              <w:right w:w="20" w:type="dxa"/>
            </w:tcMar>
            <w:vAlign w:val="bottom"/>
            <w:hideMark/>
          </w:tcPr>
          <w:p w14:paraId="2E1D896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2DC21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B9543" w14:textId="77777777" w:rsidR="00000000" w:rsidRDefault="000C49AD">
            <w:pPr>
              <w:spacing w:after="100"/>
              <w:jc w:val="right"/>
              <w:rPr>
                <w:rFonts w:eastAsia="Times New Roman"/>
              </w:rPr>
            </w:pPr>
            <w:r>
              <w:rPr>
                <w:rFonts w:eastAsia="Times New Roman"/>
                <w:color w:val="000000"/>
                <w:sz w:val="16"/>
                <w:szCs w:val="16"/>
              </w:rPr>
              <w:t>1,863 </w:t>
            </w:r>
          </w:p>
        </w:tc>
        <w:tc>
          <w:tcPr>
            <w:tcW w:w="0" w:type="auto"/>
            <w:shd w:val="clear" w:color="auto" w:fill="FFFFFF"/>
            <w:tcMar>
              <w:top w:w="30" w:type="dxa"/>
              <w:left w:w="0" w:type="dxa"/>
              <w:bottom w:w="30" w:type="dxa"/>
              <w:right w:w="20" w:type="dxa"/>
            </w:tcMar>
            <w:vAlign w:val="bottom"/>
            <w:hideMark/>
          </w:tcPr>
          <w:p w14:paraId="2C1A324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7F99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FF760B" w14:textId="77777777" w:rsidR="00000000" w:rsidRDefault="000C49AD">
            <w:pPr>
              <w:spacing w:after="100"/>
              <w:jc w:val="right"/>
              <w:rPr>
                <w:rFonts w:eastAsia="Times New Roman"/>
              </w:rPr>
            </w:pPr>
            <w:r>
              <w:rPr>
                <w:rFonts w:eastAsia="Times New Roman"/>
                <w:color w:val="000000"/>
                <w:sz w:val="16"/>
                <w:szCs w:val="16"/>
              </w:rPr>
              <w:t>(1,187)</w:t>
            </w:r>
          </w:p>
        </w:tc>
        <w:tc>
          <w:tcPr>
            <w:tcW w:w="0" w:type="auto"/>
            <w:shd w:val="clear" w:color="auto" w:fill="FFFFFF"/>
            <w:tcMar>
              <w:top w:w="30" w:type="dxa"/>
              <w:left w:w="0" w:type="dxa"/>
              <w:bottom w:w="30" w:type="dxa"/>
              <w:right w:w="20" w:type="dxa"/>
            </w:tcMar>
            <w:vAlign w:val="bottom"/>
            <w:hideMark/>
          </w:tcPr>
          <w:p w14:paraId="23604975" w14:textId="77777777" w:rsidR="00000000" w:rsidRDefault="000C49AD">
            <w:pPr>
              <w:spacing w:after="100"/>
              <w:jc w:val="right"/>
              <w:rPr>
                <w:rFonts w:eastAsia="Times New Roman"/>
              </w:rPr>
            </w:pPr>
          </w:p>
        </w:tc>
      </w:tr>
      <w:tr w:rsidR="00000000" w14:paraId="7F4E0134" w14:textId="77777777">
        <w:tc>
          <w:tcPr>
            <w:tcW w:w="0" w:type="auto"/>
            <w:gridSpan w:val="3"/>
            <w:shd w:val="clear" w:color="auto" w:fill="CCEEFF"/>
            <w:tcMar>
              <w:top w:w="30" w:type="dxa"/>
              <w:left w:w="245" w:type="dxa"/>
              <w:bottom w:w="30" w:type="dxa"/>
              <w:right w:w="20" w:type="dxa"/>
            </w:tcMar>
            <w:vAlign w:val="bottom"/>
            <w:hideMark/>
          </w:tcPr>
          <w:p w14:paraId="479EB5A3" w14:textId="77777777" w:rsidR="00000000" w:rsidRDefault="000C49AD">
            <w:pPr>
              <w:spacing w:after="100"/>
              <w:rPr>
                <w:rFonts w:eastAsia="Times New Roman"/>
              </w:rPr>
            </w:pPr>
            <w:r>
              <w:rPr>
                <w:rFonts w:eastAsia="Times New Roman"/>
                <w:color w:val="000000"/>
                <w:sz w:val="16"/>
                <w:szCs w:val="16"/>
              </w:rPr>
              <w:t>Research and development tax credit receivable</w:t>
            </w:r>
          </w:p>
        </w:tc>
        <w:tc>
          <w:tcPr>
            <w:tcW w:w="0" w:type="auto"/>
            <w:gridSpan w:val="3"/>
            <w:shd w:val="clear" w:color="auto" w:fill="CCEEFF"/>
            <w:tcMar>
              <w:top w:w="0" w:type="dxa"/>
              <w:left w:w="20" w:type="dxa"/>
              <w:bottom w:w="0" w:type="dxa"/>
              <w:right w:w="20" w:type="dxa"/>
            </w:tcMar>
            <w:vAlign w:val="center"/>
            <w:hideMark/>
          </w:tcPr>
          <w:p w14:paraId="2EAB09A1"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9D300A" w14:textId="77777777" w:rsidR="00000000" w:rsidRDefault="000C49AD">
            <w:pPr>
              <w:spacing w:after="100"/>
              <w:jc w:val="right"/>
              <w:rPr>
                <w:rFonts w:eastAsia="Times New Roman"/>
              </w:rPr>
            </w:pPr>
            <w:r>
              <w:rPr>
                <w:rFonts w:eastAsia="Times New Roman"/>
                <w:color w:val="000000"/>
                <w:sz w:val="16"/>
                <w:szCs w:val="16"/>
              </w:rPr>
              <w:t>2,796 </w:t>
            </w:r>
          </w:p>
        </w:tc>
        <w:tc>
          <w:tcPr>
            <w:tcW w:w="0" w:type="auto"/>
            <w:shd w:val="clear" w:color="auto" w:fill="CCEEFF"/>
            <w:tcMar>
              <w:top w:w="30" w:type="dxa"/>
              <w:left w:w="0" w:type="dxa"/>
              <w:bottom w:w="30" w:type="dxa"/>
              <w:right w:w="20" w:type="dxa"/>
            </w:tcMar>
            <w:vAlign w:val="bottom"/>
            <w:hideMark/>
          </w:tcPr>
          <w:p w14:paraId="1348E59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9BE84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2AEE9E" w14:textId="77777777" w:rsidR="00000000" w:rsidRDefault="000C49AD">
            <w:pPr>
              <w:spacing w:after="100"/>
              <w:jc w:val="right"/>
              <w:rPr>
                <w:rFonts w:eastAsia="Times New Roman"/>
              </w:rPr>
            </w:pPr>
            <w:r>
              <w:rPr>
                <w:rFonts w:eastAsia="Times New Roman"/>
                <w:color w:val="000000"/>
                <w:sz w:val="16"/>
                <w:szCs w:val="16"/>
              </w:rPr>
              <w:t>2,213 </w:t>
            </w:r>
          </w:p>
        </w:tc>
        <w:tc>
          <w:tcPr>
            <w:tcW w:w="0" w:type="auto"/>
            <w:shd w:val="clear" w:color="auto" w:fill="CCEEFF"/>
            <w:tcMar>
              <w:top w:w="30" w:type="dxa"/>
              <w:left w:w="0" w:type="dxa"/>
              <w:bottom w:w="30" w:type="dxa"/>
              <w:right w:w="20" w:type="dxa"/>
            </w:tcMar>
            <w:vAlign w:val="bottom"/>
            <w:hideMark/>
          </w:tcPr>
          <w:p w14:paraId="001102F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AA551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EBA55" w14:textId="77777777" w:rsidR="00000000" w:rsidRDefault="000C49AD">
            <w:pPr>
              <w:spacing w:after="100"/>
              <w:jc w:val="right"/>
              <w:rPr>
                <w:rFonts w:eastAsia="Times New Roman"/>
              </w:rPr>
            </w:pPr>
            <w:r>
              <w:rPr>
                <w:rFonts w:eastAsia="Times New Roman"/>
                <w:color w:val="000000"/>
                <w:sz w:val="16"/>
                <w:szCs w:val="16"/>
              </w:rPr>
              <w:t>(1,014)</w:t>
            </w:r>
          </w:p>
        </w:tc>
        <w:tc>
          <w:tcPr>
            <w:tcW w:w="0" w:type="auto"/>
            <w:shd w:val="clear" w:color="auto" w:fill="CCEEFF"/>
            <w:tcMar>
              <w:top w:w="30" w:type="dxa"/>
              <w:left w:w="0" w:type="dxa"/>
              <w:bottom w:w="30" w:type="dxa"/>
              <w:right w:w="20" w:type="dxa"/>
            </w:tcMar>
            <w:vAlign w:val="bottom"/>
            <w:hideMark/>
          </w:tcPr>
          <w:p w14:paraId="1A8F1CBB" w14:textId="77777777" w:rsidR="00000000" w:rsidRDefault="000C49AD">
            <w:pPr>
              <w:spacing w:after="100"/>
              <w:jc w:val="right"/>
              <w:rPr>
                <w:rFonts w:eastAsia="Times New Roman"/>
              </w:rPr>
            </w:pPr>
          </w:p>
        </w:tc>
      </w:tr>
      <w:tr w:rsidR="00000000" w14:paraId="79C18181" w14:textId="77777777">
        <w:tc>
          <w:tcPr>
            <w:tcW w:w="0" w:type="auto"/>
            <w:gridSpan w:val="3"/>
            <w:shd w:val="clear" w:color="auto" w:fill="FFFFFF"/>
            <w:tcMar>
              <w:top w:w="30" w:type="dxa"/>
              <w:left w:w="245" w:type="dxa"/>
              <w:bottom w:w="30" w:type="dxa"/>
              <w:right w:w="20" w:type="dxa"/>
            </w:tcMar>
            <w:vAlign w:val="bottom"/>
            <w:hideMark/>
          </w:tcPr>
          <w:p w14:paraId="6E912ED5" w14:textId="77777777" w:rsidR="00000000" w:rsidRDefault="000C49AD">
            <w:pPr>
              <w:spacing w:after="100"/>
              <w:rPr>
                <w:rFonts w:eastAsia="Times New Roman"/>
              </w:rPr>
            </w:pPr>
            <w:r>
              <w:rPr>
                <w:rFonts w:eastAsia="Times New Roman"/>
                <w:color w:val="000000"/>
                <w:sz w:val="16"/>
                <w:szCs w:val="16"/>
              </w:rPr>
              <w:t>Accounts payable &amp; other current liabilities</w:t>
            </w:r>
          </w:p>
        </w:tc>
        <w:tc>
          <w:tcPr>
            <w:tcW w:w="0" w:type="auto"/>
            <w:gridSpan w:val="3"/>
            <w:shd w:val="clear" w:color="auto" w:fill="FFFFFF"/>
            <w:tcMar>
              <w:top w:w="0" w:type="dxa"/>
              <w:left w:w="20" w:type="dxa"/>
              <w:bottom w:w="0" w:type="dxa"/>
              <w:right w:w="20" w:type="dxa"/>
            </w:tcMar>
            <w:vAlign w:val="center"/>
            <w:hideMark/>
          </w:tcPr>
          <w:p w14:paraId="52BEA6D3"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12D9D2" w14:textId="77777777" w:rsidR="00000000" w:rsidRDefault="000C49AD">
            <w:pPr>
              <w:spacing w:after="100"/>
              <w:jc w:val="right"/>
              <w:rPr>
                <w:rFonts w:eastAsia="Times New Roman"/>
              </w:rPr>
            </w:pPr>
            <w:r>
              <w:rPr>
                <w:rFonts w:eastAsia="Times New Roman"/>
                <w:color w:val="000000"/>
                <w:sz w:val="16"/>
                <w:szCs w:val="16"/>
              </w:rPr>
              <w:t>4,232 </w:t>
            </w:r>
          </w:p>
        </w:tc>
        <w:tc>
          <w:tcPr>
            <w:tcW w:w="0" w:type="auto"/>
            <w:shd w:val="clear" w:color="auto" w:fill="FFFFFF"/>
            <w:tcMar>
              <w:top w:w="30" w:type="dxa"/>
              <w:left w:w="0" w:type="dxa"/>
              <w:bottom w:w="30" w:type="dxa"/>
              <w:right w:w="20" w:type="dxa"/>
            </w:tcMar>
            <w:vAlign w:val="bottom"/>
            <w:hideMark/>
          </w:tcPr>
          <w:p w14:paraId="293B401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16239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606060" w14:textId="77777777" w:rsidR="00000000" w:rsidRDefault="000C49AD">
            <w:pPr>
              <w:spacing w:after="100"/>
              <w:jc w:val="right"/>
              <w:rPr>
                <w:rFonts w:eastAsia="Times New Roman"/>
              </w:rPr>
            </w:pPr>
            <w:r>
              <w:rPr>
                <w:rFonts w:eastAsia="Times New Roman"/>
                <w:color w:val="000000"/>
                <w:sz w:val="16"/>
                <w:szCs w:val="16"/>
              </w:rPr>
              <w:t>(2,788)</w:t>
            </w:r>
          </w:p>
        </w:tc>
        <w:tc>
          <w:tcPr>
            <w:tcW w:w="0" w:type="auto"/>
            <w:shd w:val="clear" w:color="auto" w:fill="FFFFFF"/>
            <w:tcMar>
              <w:top w:w="30" w:type="dxa"/>
              <w:left w:w="0" w:type="dxa"/>
              <w:bottom w:w="30" w:type="dxa"/>
              <w:right w:w="20" w:type="dxa"/>
            </w:tcMar>
            <w:vAlign w:val="bottom"/>
            <w:hideMark/>
          </w:tcPr>
          <w:p w14:paraId="715E1AC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35AD8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4E7267" w14:textId="77777777" w:rsidR="00000000" w:rsidRDefault="000C49AD">
            <w:pPr>
              <w:spacing w:after="100"/>
              <w:jc w:val="right"/>
              <w:rPr>
                <w:rFonts w:eastAsia="Times New Roman"/>
              </w:rPr>
            </w:pPr>
            <w:r>
              <w:rPr>
                <w:rFonts w:eastAsia="Times New Roman"/>
                <w:color w:val="000000"/>
                <w:sz w:val="16"/>
                <w:szCs w:val="16"/>
              </w:rPr>
              <w:t>4,641 </w:t>
            </w:r>
          </w:p>
        </w:tc>
        <w:tc>
          <w:tcPr>
            <w:tcW w:w="0" w:type="auto"/>
            <w:shd w:val="clear" w:color="auto" w:fill="FFFFFF"/>
            <w:tcMar>
              <w:top w:w="30" w:type="dxa"/>
              <w:left w:w="0" w:type="dxa"/>
              <w:bottom w:w="30" w:type="dxa"/>
              <w:right w:w="20" w:type="dxa"/>
            </w:tcMar>
            <w:vAlign w:val="bottom"/>
            <w:hideMark/>
          </w:tcPr>
          <w:p w14:paraId="7C879DE6" w14:textId="77777777" w:rsidR="00000000" w:rsidRDefault="000C49AD">
            <w:pPr>
              <w:spacing w:after="100"/>
              <w:jc w:val="right"/>
              <w:rPr>
                <w:rFonts w:eastAsia="Times New Roman"/>
              </w:rPr>
            </w:pPr>
          </w:p>
        </w:tc>
      </w:tr>
      <w:tr w:rsidR="00000000" w14:paraId="1B8F880C" w14:textId="77777777">
        <w:tc>
          <w:tcPr>
            <w:tcW w:w="0" w:type="auto"/>
            <w:gridSpan w:val="3"/>
            <w:shd w:val="clear" w:color="auto" w:fill="CCEEFF"/>
            <w:tcMar>
              <w:top w:w="30" w:type="dxa"/>
              <w:left w:w="245" w:type="dxa"/>
              <w:bottom w:w="30" w:type="dxa"/>
              <w:right w:w="20" w:type="dxa"/>
            </w:tcMar>
            <w:vAlign w:val="bottom"/>
            <w:hideMark/>
          </w:tcPr>
          <w:p w14:paraId="0F9222EF" w14:textId="77777777" w:rsidR="00000000" w:rsidRDefault="000C49AD">
            <w:pPr>
              <w:spacing w:after="100"/>
              <w:rPr>
                <w:rFonts w:eastAsia="Times New Roman"/>
              </w:rPr>
            </w:pPr>
            <w:r>
              <w:rPr>
                <w:rFonts w:eastAsia="Times New Roman"/>
                <w:color w:val="000000"/>
                <w:sz w:val="16"/>
                <w:szCs w:val="16"/>
              </w:rPr>
              <w:t>Deferred revenue</w:t>
            </w:r>
          </w:p>
        </w:tc>
        <w:tc>
          <w:tcPr>
            <w:tcW w:w="0" w:type="auto"/>
            <w:gridSpan w:val="3"/>
            <w:shd w:val="clear" w:color="auto" w:fill="CCEEFF"/>
            <w:tcMar>
              <w:top w:w="0" w:type="dxa"/>
              <w:left w:w="20" w:type="dxa"/>
              <w:bottom w:w="0" w:type="dxa"/>
              <w:right w:w="20" w:type="dxa"/>
            </w:tcMar>
            <w:vAlign w:val="center"/>
            <w:hideMark/>
          </w:tcPr>
          <w:p w14:paraId="7452E20B"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B6BB2E"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F379ED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6653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6D702"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32A35F9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7D57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E5F2E1" w14:textId="77777777" w:rsidR="00000000" w:rsidRDefault="000C49AD">
            <w:pPr>
              <w:spacing w:after="100"/>
              <w:jc w:val="right"/>
              <w:rPr>
                <w:rFonts w:eastAsia="Times New Roman"/>
              </w:rPr>
            </w:pPr>
            <w:r>
              <w:rPr>
                <w:rFonts w:eastAsia="Times New Roman"/>
                <w:color w:val="000000"/>
                <w:sz w:val="16"/>
                <w:szCs w:val="16"/>
              </w:rPr>
              <w:t>(114)</w:t>
            </w:r>
          </w:p>
        </w:tc>
        <w:tc>
          <w:tcPr>
            <w:tcW w:w="0" w:type="auto"/>
            <w:shd w:val="clear" w:color="auto" w:fill="CCEEFF"/>
            <w:tcMar>
              <w:top w:w="30" w:type="dxa"/>
              <w:left w:w="0" w:type="dxa"/>
              <w:bottom w:w="30" w:type="dxa"/>
              <w:right w:w="20" w:type="dxa"/>
            </w:tcMar>
            <w:vAlign w:val="bottom"/>
            <w:hideMark/>
          </w:tcPr>
          <w:p w14:paraId="5FA36CBD" w14:textId="77777777" w:rsidR="00000000" w:rsidRDefault="000C49AD">
            <w:pPr>
              <w:spacing w:after="100"/>
              <w:jc w:val="right"/>
              <w:rPr>
                <w:rFonts w:eastAsia="Times New Roman"/>
              </w:rPr>
            </w:pPr>
          </w:p>
        </w:tc>
      </w:tr>
      <w:tr w:rsidR="00000000" w14:paraId="31B1B454" w14:textId="77777777">
        <w:tc>
          <w:tcPr>
            <w:tcW w:w="0" w:type="auto"/>
            <w:gridSpan w:val="3"/>
            <w:shd w:val="clear" w:color="auto" w:fill="FFFFFF"/>
            <w:tcMar>
              <w:top w:w="30" w:type="dxa"/>
              <w:left w:w="245" w:type="dxa"/>
              <w:bottom w:w="30" w:type="dxa"/>
              <w:right w:w="20" w:type="dxa"/>
            </w:tcMar>
            <w:vAlign w:val="bottom"/>
            <w:hideMark/>
          </w:tcPr>
          <w:p w14:paraId="6C62F1B9" w14:textId="77777777" w:rsidR="00000000" w:rsidRDefault="000C49AD">
            <w:pPr>
              <w:spacing w:after="100"/>
              <w:rPr>
                <w:rFonts w:eastAsia="Times New Roman"/>
              </w:rPr>
            </w:pPr>
            <w:r>
              <w:rPr>
                <w:rFonts w:eastAsia="Times New Roman"/>
                <w:color w:val="000000"/>
                <w:sz w:val="16"/>
                <w:szCs w:val="16"/>
              </w:rPr>
              <w:t>Accrued expenses</w:t>
            </w:r>
          </w:p>
        </w:tc>
        <w:tc>
          <w:tcPr>
            <w:tcW w:w="0" w:type="auto"/>
            <w:gridSpan w:val="3"/>
            <w:shd w:val="clear" w:color="auto" w:fill="FFFFFF"/>
            <w:tcMar>
              <w:top w:w="0" w:type="dxa"/>
              <w:left w:w="20" w:type="dxa"/>
              <w:bottom w:w="0" w:type="dxa"/>
              <w:right w:w="20" w:type="dxa"/>
            </w:tcMar>
            <w:vAlign w:val="center"/>
            <w:hideMark/>
          </w:tcPr>
          <w:p w14:paraId="2AE03D58"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9E2B9D" w14:textId="77777777" w:rsidR="00000000" w:rsidRDefault="000C49AD">
            <w:pPr>
              <w:spacing w:after="100"/>
              <w:jc w:val="right"/>
              <w:rPr>
                <w:rFonts w:eastAsia="Times New Roman"/>
              </w:rPr>
            </w:pPr>
            <w:r>
              <w:rPr>
                <w:rFonts w:eastAsia="Times New Roman"/>
                <w:color w:val="000000"/>
                <w:sz w:val="16"/>
                <w:szCs w:val="16"/>
              </w:rPr>
              <w:t>895 </w:t>
            </w:r>
          </w:p>
        </w:tc>
        <w:tc>
          <w:tcPr>
            <w:tcW w:w="0" w:type="auto"/>
            <w:shd w:val="clear" w:color="auto" w:fill="FFFFFF"/>
            <w:tcMar>
              <w:top w:w="30" w:type="dxa"/>
              <w:left w:w="0" w:type="dxa"/>
              <w:bottom w:w="30" w:type="dxa"/>
              <w:right w:w="20" w:type="dxa"/>
            </w:tcMar>
            <w:vAlign w:val="bottom"/>
            <w:hideMark/>
          </w:tcPr>
          <w:p w14:paraId="09FC0D4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968F0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FA9DEC" w14:textId="77777777" w:rsidR="00000000" w:rsidRDefault="000C49AD">
            <w:pPr>
              <w:spacing w:after="100"/>
              <w:jc w:val="right"/>
              <w:rPr>
                <w:rFonts w:eastAsia="Times New Roman"/>
              </w:rPr>
            </w:pPr>
            <w:r>
              <w:rPr>
                <w:rFonts w:eastAsia="Times New Roman"/>
                <w:color w:val="000000"/>
                <w:sz w:val="16"/>
                <w:szCs w:val="16"/>
              </w:rPr>
              <w:t>(13,226)</w:t>
            </w:r>
          </w:p>
        </w:tc>
        <w:tc>
          <w:tcPr>
            <w:tcW w:w="0" w:type="auto"/>
            <w:shd w:val="clear" w:color="auto" w:fill="FFFFFF"/>
            <w:tcMar>
              <w:top w:w="30" w:type="dxa"/>
              <w:left w:w="0" w:type="dxa"/>
              <w:bottom w:w="30" w:type="dxa"/>
              <w:right w:w="20" w:type="dxa"/>
            </w:tcMar>
            <w:vAlign w:val="bottom"/>
            <w:hideMark/>
          </w:tcPr>
          <w:p w14:paraId="7889230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128C0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92CE5F" w14:textId="77777777" w:rsidR="00000000" w:rsidRDefault="000C49AD">
            <w:pPr>
              <w:spacing w:after="100"/>
              <w:jc w:val="right"/>
              <w:rPr>
                <w:rFonts w:eastAsia="Times New Roman"/>
              </w:rPr>
            </w:pPr>
            <w:r>
              <w:rPr>
                <w:rFonts w:eastAsia="Times New Roman"/>
                <w:color w:val="000000"/>
                <w:sz w:val="16"/>
                <w:szCs w:val="16"/>
              </w:rPr>
              <w:t>357 </w:t>
            </w:r>
          </w:p>
        </w:tc>
        <w:tc>
          <w:tcPr>
            <w:tcW w:w="0" w:type="auto"/>
            <w:shd w:val="clear" w:color="auto" w:fill="FFFFFF"/>
            <w:tcMar>
              <w:top w:w="30" w:type="dxa"/>
              <w:left w:w="0" w:type="dxa"/>
              <w:bottom w:w="30" w:type="dxa"/>
              <w:right w:w="20" w:type="dxa"/>
            </w:tcMar>
            <w:vAlign w:val="bottom"/>
            <w:hideMark/>
          </w:tcPr>
          <w:p w14:paraId="7503E694" w14:textId="77777777" w:rsidR="00000000" w:rsidRDefault="000C49AD">
            <w:pPr>
              <w:spacing w:after="100"/>
              <w:jc w:val="right"/>
              <w:rPr>
                <w:rFonts w:eastAsia="Times New Roman"/>
              </w:rPr>
            </w:pPr>
          </w:p>
        </w:tc>
      </w:tr>
      <w:tr w:rsidR="00000000" w14:paraId="7006A90A" w14:textId="77777777">
        <w:tc>
          <w:tcPr>
            <w:tcW w:w="0" w:type="auto"/>
            <w:gridSpan w:val="3"/>
            <w:shd w:val="clear" w:color="auto" w:fill="CCEEFF"/>
            <w:tcMar>
              <w:top w:w="30" w:type="dxa"/>
              <w:left w:w="245" w:type="dxa"/>
              <w:bottom w:w="30" w:type="dxa"/>
              <w:right w:w="20" w:type="dxa"/>
            </w:tcMar>
            <w:vAlign w:val="bottom"/>
            <w:hideMark/>
          </w:tcPr>
          <w:p w14:paraId="095FB809" w14:textId="77777777" w:rsidR="00000000" w:rsidRDefault="000C49AD">
            <w:pPr>
              <w:spacing w:after="100"/>
              <w:rPr>
                <w:rFonts w:eastAsia="Times New Roman"/>
              </w:rPr>
            </w:pPr>
            <w:r>
              <w:rPr>
                <w:rFonts w:eastAsia="Times New Roman"/>
                <w:color w:val="000000"/>
                <w:sz w:val="16"/>
                <w:szCs w:val="16"/>
              </w:rPr>
              <w:t>Earn-out payments for contingent consideration in excess of acquisition-date fair value</w:t>
            </w:r>
          </w:p>
        </w:tc>
        <w:tc>
          <w:tcPr>
            <w:tcW w:w="0" w:type="auto"/>
            <w:gridSpan w:val="3"/>
            <w:shd w:val="clear" w:color="auto" w:fill="CCEEFF"/>
            <w:tcMar>
              <w:top w:w="0" w:type="dxa"/>
              <w:left w:w="20" w:type="dxa"/>
              <w:bottom w:w="0" w:type="dxa"/>
              <w:right w:w="20" w:type="dxa"/>
            </w:tcMar>
            <w:vAlign w:val="center"/>
            <w:hideMark/>
          </w:tcPr>
          <w:p w14:paraId="3823E99E"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C61CA7"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F460CB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3488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E1969D" w14:textId="77777777" w:rsidR="00000000" w:rsidRDefault="000C49AD">
            <w:pPr>
              <w:spacing w:after="100"/>
              <w:jc w:val="right"/>
              <w:rPr>
                <w:rFonts w:eastAsia="Times New Roman"/>
              </w:rPr>
            </w:pPr>
            <w:r>
              <w:rPr>
                <w:rFonts w:eastAsia="Times New Roman"/>
                <w:color w:val="000000"/>
                <w:sz w:val="16"/>
                <w:szCs w:val="16"/>
              </w:rPr>
              <w:t>(5,323)</w:t>
            </w:r>
          </w:p>
        </w:tc>
        <w:tc>
          <w:tcPr>
            <w:tcW w:w="0" w:type="auto"/>
            <w:shd w:val="clear" w:color="auto" w:fill="CCEEFF"/>
            <w:tcMar>
              <w:top w:w="30" w:type="dxa"/>
              <w:left w:w="0" w:type="dxa"/>
              <w:bottom w:w="30" w:type="dxa"/>
              <w:right w:w="20" w:type="dxa"/>
            </w:tcMar>
            <w:vAlign w:val="bottom"/>
            <w:hideMark/>
          </w:tcPr>
          <w:p w14:paraId="0D5BFAC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AF590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F6A9F3" w14:textId="77777777" w:rsidR="00000000" w:rsidRDefault="000C49AD">
            <w:pPr>
              <w:spacing w:after="100"/>
              <w:jc w:val="right"/>
              <w:rPr>
                <w:rFonts w:eastAsia="Times New Roman"/>
              </w:rPr>
            </w:pPr>
            <w:r>
              <w:rPr>
                <w:rFonts w:eastAsia="Times New Roman"/>
                <w:color w:val="000000"/>
                <w:sz w:val="16"/>
                <w:szCs w:val="16"/>
              </w:rPr>
              <w:t>(10,988)</w:t>
            </w:r>
          </w:p>
        </w:tc>
        <w:tc>
          <w:tcPr>
            <w:tcW w:w="0" w:type="auto"/>
            <w:shd w:val="clear" w:color="auto" w:fill="CCEEFF"/>
            <w:tcMar>
              <w:top w:w="30" w:type="dxa"/>
              <w:left w:w="0" w:type="dxa"/>
              <w:bottom w:w="30" w:type="dxa"/>
              <w:right w:w="20" w:type="dxa"/>
            </w:tcMar>
            <w:vAlign w:val="bottom"/>
            <w:hideMark/>
          </w:tcPr>
          <w:p w14:paraId="4AE28B4B" w14:textId="77777777" w:rsidR="00000000" w:rsidRDefault="000C49AD">
            <w:pPr>
              <w:spacing w:after="100"/>
              <w:jc w:val="right"/>
              <w:rPr>
                <w:rFonts w:eastAsia="Times New Roman"/>
              </w:rPr>
            </w:pPr>
          </w:p>
        </w:tc>
      </w:tr>
      <w:tr w:rsidR="00000000" w14:paraId="4E513059" w14:textId="77777777">
        <w:tc>
          <w:tcPr>
            <w:tcW w:w="0" w:type="auto"/>
            <w:gridSpan w:val="3"/>
            <w:shd w:val="clear" w:color="auto" w:fill="FFFFFF"/>
            <w:tcMar>
              <w:top w:w="30" w:type="dxa"/>
              <w:left w:w="245" w:type="dxa"/>
              <w:bottom w:w="30" w:type="dxa"/>
              <w:right w:w="20" w:type="dxa"/>
            </w:tcMar>
            <w:vAlign w:val="bottom"/>
            <w:hideMark/>
          </w:tcPr>
          <w:p w14:paraId="4A8FDAF2" w14:textId="77777777" w:rsidR="00000000" w:rsidRDefault="000C49AD">
            <w:pPr>
              <w:spacing w:after="100"/>
              <w:rPr>
                <w:rFonts w:eastAsia="Times New Roman"/>
              </w:rPr>
            </w:pPr>
            <w:r>
              <w:rPr>
                <w:rFonts w:eastAsia="Times New Roman"/>
                <w:color w:val="000000"/>
                <w:sz w:val="16"/>
                <w:szCs w:val="16"/>
              </w:rPr>
              <w:t>Royalty payments for contingent consideration payable in excess of original fair value</w:t>
            </w:r>
          </w:p>
        </w:tc>
        <w:tc>
          <w:tcPr>
            <w:tcW w:w="0" w:type="auto"/>
            <w:gridSpan w:val="3"/>
            <w:shd w:val="clear" w:color="auto" w:fill="FFFFFF"/>
            <w:tcMar>
              <w:top w:w="0" w:type="dxa"/>
              <w:left w:w="20" w:type="dxa"/>
              <w:bottom w:w="0" w:type="dxa"/>
              <w:right w:w="20" w:type="dxa"/>
            </w:tcMar>
            <w:vAlign w:val="center"/>
            <w:hideMark/>
          </w:tcPr>
          <w:p w14:paraId="0BCF4890"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A1F7D3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512F2E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FD7EE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FA4ED8" w14:textId="77777777" w:rsidR="00000000" w:rsidRDefault="000C49AD">
            <w:pPr>
              <w:spacing w:after="100"/>
              <w:jc w:val="right"/>
              <w:rPr>
                <w:rFonts w:eastAsia="Times New Roman"/>
              </w:rPr>
            </w:pPr>
            <w:r>
              <w:rPr>
                <w:rFonts w:eastAsia="Times New Roman"/>
                <w:color w:val="000000"/>
                <w:sz w:val="16"/>
                <w:szCs w:val="16"/>
              </w:rPr>
              <w:t>(866)</w:t>
            </w:r>
          </w:p>
        </w:tc>
        <w:tc>
          <w:tcPr>
            <w:tcW w:w="0" w:type="auto"/>
            <w:shd w:val="clear" w:color="auto" w:fill="FFFFFF"/>
            <w:tcMar>
              <w:top w:w="30" w:type="dxa"/>
              <w:left w:w="0" w:type="dxa"/>
              <w:bottom w:w="30" w:type="dxa"/>
              <w:right w:w="20" w:type="dxa"/>
            </w:tcMar>
            <w:vAlign w:val="bottom"/>
            <w:hideMark/>
          </w:tcPr>
          <w:p w14:paraId="1AAF6FA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B934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2D6E9E" w14:textId="77777777" w:rsidR="00000000" w:rsidRDefault="000C49AD">
            <w:pPr>
              <w:spacing w:after="100"/>
              <w:jc w:val="right"/>
              <w:rPr>
                <w:rFonts w:eastAsia="Times New Roman"/>
              </w:rPr>
            </w:pPr>
            <w:r>
              <w:rPr>
                <w:rFonts w:eastAsia="Times New Roman"/>
                <w:color w:val="000000"/>
                <w:sz w:val="16"/>
                <w:szCs w:val="16"/>
              </w:rPr>
              <w:t>(1,748)</w:t>
            </w:r>
          </w:p>
        </w:tc>
        <w:tc>
          <w:tcPr>
            <w:tcW w:w="0" w:type="auto"/>
            <w:shd w:val="clear" w:color="auto" w:fill="FFFFFF"/>
            <w:tcMar>
              <w:top w:w="30" w:type="dxa"/>
              <w:left w:w="0" w:type="dxa"/>
              <w:bottom w:w="30" w:type="dxa"/>
              <w:right w:w="20" w:type="dxa"/>
            </w:tcMar>
            <w:vAlign w:val="bottom"/>
            <w:hideMark/>
          </w:tcPr>
          <w:p w14:paraId="3CF99836" w14:textId="77777777" w:rsidR="00000000" w:rsidRDefault="000C49AD">
            <w:pPr>
              <w:spacing w:after="100"/>
              <w:jc w:val="right"/>
              <w:rPr>
                <w:rFonts w:eastAsia="Times New Roman"/>
              </w:rPr>
            </w:pPr>
          </w:p>
        </w:tc>
      </w:tr>
      <w:tr w:rsidR="00000000" w14:paraId="2678EF57" w14:textId="77777777">
        <w:tc>
          <w:tcPr>
            <w:tcW w:w="0" w:type="auto"/>
            <w:gridSpan w:val="3"/>
            <w:shd w:val="clear" w:color="auto" w:fill="CCEEFF"/>
            <w:tcMar>
              <w:top w:w="30" w:type="dxa"/>
              <w:left w:w="245" w:type="dxa"/>
              <w:bottom w:w="30" w:type="dxa"/>
              <w:right w:w="20" w:type="dxa"/>
            </w:tcMar>
            <w:vAlign w:val="bottom"/>
            <w:hideMark/>
          </w:tcPr>
          <w:p w14:paraId="1BB8B348" w14:textId="77777777" w:rsidR="00000000" w:rsidRDefault="000C49AD">
            <w:pPr>
              <w:spacing w:after="100"/>
              <w:rPr>
                <w:rFonts w:eastAsia="Times New Roman"/>
              </w:rPr>
            </w:pPr>
            <w:r>
              <w:rPr>
                <w:rFonts w:eastAsia="Times New Roman"/>
                <w:color w:val="000000"/>
                <w:sz w:val="16"/>
                <w:szCs w:val="16"/>
              </w:rPr>
              <w:t>Other assets and liabilities</w:t>
            </w:r>
          </w:p>
        </w:tc>
        <w:tc>
          <w:tcPr>
            <w:tcW w:w="0" w:type="auto"/>
            <w:gridSpan w:val="3"/>
            <w:shd w:val="clear" w:color="auto" w:fill="CCEEFF"/>
            <w:tcMar>
              <w:top w:w="0" w:type="dxa"/>
              <w:left w:w="20" w:type="dxa"/>
              <w:bottom w:w="0" w:type="dxa"/>
              <w:right w:w="20" w:type="dxa"/>
            </w:tcMar>
            <w:vAlign w:val="center"/>
            <w:hideMark/>
          </w:tcPr>
          <w:p w14:paraId="17C288AE"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02458B" w14:textId="77777777" w:rsidR="00000000" w:rsidRDefault="000C49AD">
            <w:pPr>
              <w:spacing w:after="100"/>
              <w:jc w:val="right"/>
              <w:rPr>
                <w:rFonts w:eastAsia="Times New Roman"/>
              </w:rPr>
            </w:pPr>
            <w:r>
              <w:rPr>
                <w:rFonts w:eastAsia="Times New Roman"/>
                <w:color w:val="000000"/>
                <w:sz w:val="16"/>
                <w:szCs w:val="16"/>
              </w:rPr>
              <w:t>(3,789)</w:t>
            </w:r>
          </w:p>
        </w:tc>
        <w:tc>
          <w:tcPr>
            <w:tcW w:w="0" w:type="auto"/>
            <w:shd w:val="clear" w:color="auto" w:fill="CCEEFF"/>
            <w:tcMar>
              <w:top w:w="30" w:type="dxa"/>
              <w:left w:w="0" w:type="dxa"/>
              <w:bottom w:w="30" w:type="dxa"/>
              <w:right w:w="20" w:type="dxa"/>
            </w:tcMar>
            <w:vAlign w:val="bottom"/>
            <w:hideMark/>
          </w:tcPr>
          <w:p w14:paraId="7B32A02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74DB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D3308" w14:textId="77777777" w:rsidR="00000000" w:rsidRDefault="000C49AD">
            <w:pPr>
              <w:spacing w:after="100"/>
              <w:jc w:val="right"/>
              <w:rPr>
                <w:rFonts w:eastAsia="Times New Roman"/>
              </w:rPr>
            </w:pPr>
            <w:r>
              <w:rPr>
                <w:rFonts w:eastAsia="Times New Roman"/>
                <w:color w:val="000000"/>
                <w:sz w:val="16"/>
                <w:szCs w:val="16"/>
              </w:rPr>
              <w:t>(3,126)</w:t>
            </w:r>
          </w:p>
        </w:tc>
        <w:tc>
          <w:tcPr>
            <w:tcW w:w="0" w:type="auto"/>
            <w:shd w:val="clear" w:color="auto" w:fill="CCEEFF"/>
            <w:tcMar>
              <w:top w:w="30" w:type="dxa"/>
              <w:left w:w="0" w:type="dxa"/>
              <w:bottom w:w="30" w:type="dxa"/>
              <w:right w:w="20" w:type="dxa"/>
            </w:tcMar>
            <w:vAlign w:val="bottom"/>
            <w:hideMark/>
          </w:tcPr>
          <w:p w14:paraId="438B93A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CF83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BA26F2" w14:textId="77777777" w:rsidR="00000000" w:rsidRDefault="000C49AD">
            <w:pPr>
              <w:spacing w:after="100"/>
              <w:jc w:val="right"/>
              <w:rPr>
                <w:rFonts w:eastAsia="Times New Roman"/>
              </w:rPr>
            </w:pPr>
            <w:r>
              <w:rPr>
                <w:rFonts w:eastAsia="Times New Roman"/>
                <w:color w:val="000000"/>
                <w:sz w:val="16"/>
                <w:szCs w:val="16"/>
              </w:rPr>
              <w:t>(4,057)</w:t>
            </w:r>
          </w:p>
        </w:tc>
        <w:tc>
          <w:tcPr>
            <w:tcW w:w="0" w:type="auto"/>
            <w:shd w:val="clear" w:color="auto" w:fill="CCEEFF"/>
            <w:tcMar>
              <w:top w:w="30" w:type="dxa"/>
              <w:left w:w="0" w:type="dxa"/>
              <w:bottom w:w="30" w:type="dxa"/>
              <w:right w:w="20" w:type="dxa"/>
            </w:tcMar>
            <w:vAlign w:val="bottom"/>
            <w:hideMark/>
          </w:tcPr>
          <w:p w14:paraId="6A750620" w14:textId="77777777" w:rsidR="00000000" w:rsidRDefault="000C49AD">
            <w:pPr>
              <w:spacing w:after="100"/>
              <w:jc w:val="right"/>
              <w:rPr>
                <w:rFonts w:eastAsia="Times New Roman"/>
              </w:rPr>
            </w:pPr>
          </w:p>
        </w:tc>
      </w:tr>
      <w:tr w:rsidR="00000000" w14:paraId="5E20F2A6" w14:textId="77777777">
        <w:tc>
          <w:tcPr>
            <w:tcW w:w="0" w:type="auto"/>
            <w:gridSpan w:val="3"/>
            <w:shd w:val="clear" w:color="auto" w:fill="FFFFFF"/>
            <w:tcMar>
              <w:top w:w="30" w:type="dxa"/>
              <w:left w:w="20" w:type="dxa"/>
              <w:bottom w:w="30" w:type="dxa"/>
              <w:right w:w="20" w:type="dxa"/>
            </w:tcMar>
            <w:vAlign w:val="bottom"/>
            <w:hideMark/>
          </w:tcPr>
          <w:p w14:paraId="08829DCC" w14:textId="77777777" w:rsidR="00000000" w:rsidRDefault="000C49AD">
            <w:pPr>
              <w:spacing w:after="100"/>
              <w:rPr>
                <w:rFonts w:eastAsia="Times New Roman"/>
              </w:rPr>
            </w:pPr>
            <w:r>
              <w:rPr>
                <w:rFonts w:eastAsia="Times New Roman"/>
                <w:color w:val="000000"/>
                <w:sz w:val="16"/>
                <w:szCs w:val="16"/>
              </w:rPr>
              <w:t>Net cash used in operating activities</w:t>
            </w:r>
          </w:p>
        </w:tc>
        <w:tc>
          <w:tcPr>
            <w:tcW w:w="0" w:type="auto"/>
            <w:gridSpan w:val="3"/>
            <w:shd w:val="clear" w:color="auto" w:fill="FFFFFF"/>
            <w:tcMar>
              <w:top w:w="0" w:type="dxa"/>
              <w:left w:w="20" w:type="dxa"/>
              <w:bottom w:w="0" w:type="dxa"/>
              <w:right w:w="20" w:type="dxa"/>
            </w:tcMar>
            <w:vAlign w:val="center"/>
            <w:hideMark/>
          </w:tcPr>
          <w:p w14:paraId="15EC4FA3"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5B7E05B" w14:textId="77777777" w:rsidR="00000000" w:rsidRDefault="000C49AD">
            <w:pPr>
              <w:spacing w:after="100"/>
              <w:jc w:val="right"/>
              <w:rPr>
                <w:rFonts w:eastAsia="Times New Roman"/>
              </w:rPr>
            </w:pPr>
            <w:r>
              <w:rPr>
                <w:rFonts w:eastAsia="Times New Roman"/>
                <w:color w:val="000000"/>
                <w:sz w:val="16"/>
                <w:szCs w:val="16"/>
              </w:rPr>
              <w:t>(77,310)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26C91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FE575E"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46A9854" w14:textId="77777777" w:rsidR="00000000" w:rsidRDefault="000C49AD">
            <w:pPr>
              <w:spacing w:after="100"/>
              <w:jc w:val="right"/>
              <w:rPr>
                <w:rFonts w:eastAsia="Times New Roman"/>
              </w:rPr>
            </w:pPr>
            <w:r>
              <w:rPr>
                <w:rFonts w:eastAsia="Times New Roman"/>
                <w:color w:val="000000"/>
                <w:sz w:val="16"/>
                <w:szCs w:val="16"/>
              </w:rPr>
              <w:t>(48,734)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62869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1170E"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E6E5EA1" w14:textId="77777777" w:rsidR="00000000" w:rsidRDefault="000C49AD">
            <w:pPr>
              <w:spacing w:after="100"/>
              <w:jc w:val="right"/>
              <w:rPr>
                <w:rFonts w:eastAsia="Times New Roman"/>
              </w:rPr>
            </w:pPr>
            <w:r>
              <w:rPr>
                <w:rFonts w:eastAsia="Times New Roman"/>
                <w:color w:val="000000"/>
                <w:sz w:val="16"/>
                <w:szCs w:val="16"/>
              </w:rPr>
              <w:t>(38,325)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B3151ED" w14:textId="77777777" w:rsidR="00000000" w:rsidRDefault="000C49AD">
            <w:pPr>
              <w:spacing w:after="100"/>
              <w:jc w:val="right"/>
              <w:rPr>
                <w:rFonts w:eastAsia="Times New Roman"/>
              </w:rPr>
            </w:pPr>
          </w:p>
        </w:tc>
      </w:tr>
      <w:tr w:rsidR="00000000" w14:paraId="24B85323" w14:textId="77777777">
        <w:trPr>
          <w:trHeight w:val="100"/>
        </w:trPr>
        <w:tc>
          <w:tcPr>
            <w:tcW w:w="0" w:type="auto"/>
            <w:gridSpan w:val="3"/>
            <w:shd w:val="clear" w:color="auto" w:fill="CCEEFF"/>
            <w:tcMar>
              <w:top w:w="0" w:type="dxa"/>
              <w:left w:w="20" w:type="dxa"/>
              <w:bottom w:w="0" w:type="dxa"/>
              <w:right w:w="20" w:type="dxa"/>
            </w:tcMar>
            <w:vAlign w:val="center"/>
            <w:hideMark/>
          </w:tcPr>
          <w:p w14:paraId="3109A665" w14:textId="77777777" w:rsidR="00000000" w:rsidRDefault="000C49A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412D3B"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7127A6"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0ABE68"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03770F9"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F5EE74"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C9A47D" w14:textId="77777777" w:rsidR="00000000" w:rsidRDefault="000C49AD">
            <w:pPr>
              <w:spacing w:after="100"/>
              <w:rPr>
                <w:rFonts w:eastAsia="Times New Roman"/>
                <w:sz w:val="20"/>
                <w:szCs w:val="20"/>
              </w:rPr>
            </w:pPr>
          </w:p>
        </w:tc>
      </w:tr>
      <w:tr w:rsidR="00000000" w14:paraId="411769F8" w14:textId="77777777">
        <w:tc>
          <w:tcPr>
            <w:tcW w:w="0" w:type="auto"/>
            <w:gridSpan w:val="3"/>
            <w:shd w:val="clear" w:color="auto" w:fill="FFFFFF"/>
            <w:tcMar>
              <w:top w:w="30" w:type="dxa"/>
              <w:left w:w="20" w:type="dxa"/>
              <w:bottom w:w="30" w:type="dxa"/>
              <w:right w:w="20" w:type="dxa"/>
            </w:tcMar>
            <w:vAlign w:val="bottom"/>
            <w:hideMark/>
          </w:tcPr>
          <w:p w14:paraId="4E5A25C7" w14:textId="77777777" w:rsidR="00000000" w:rsidRDefault="000C49AD">
            <w:pPr>
              <w:spacing w:after="100"/>
              <w:rPr>
                <w:rFonts w:eastAsia="Times New Roman"/>
              </w:rPr>
            </w:pPr>
            <w:r>
              <w:rPr>
                <w:rFonts w:eastAsia="Times New Roman"/>
                <w:b/>
                <w:bCs/>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center"/>
            <w:hideMark/>
          </w:tcPr>
          <w:p w14:paraId="736828BE" w14:textId="77777777" w:rsidR="00000000" w:rsidRDefault="000C49A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DEFFEF9"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7B15A3B2"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835CCA4"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2F8757D"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0C001F1" w14:textId="77777777" w:rsidR="00000000" w:rsidRDefault="000C49AD">
            <w:pPr>
              <w:spacing w:after="100"/>
              <w:jc w:val="right"/>
              <w:rPr>
                <w:rFonts w:eastAsia="Times New Roman"/>
              </w:rPr>
            </w:pPr>
            <w:r>
              <w:rPr>
                <w:rFonts w:eastAsia="Times New Roman"/>
                <w:color w:val="000000"/>
                <w:sz w:val="16"/>
                <w:szCs w:val="16"/>
              </w:rPr>
              <w:t> </w:t>
            </w:r>
          </w:p>
        </w:tc>
      </w:tr>
      <w:tr w:rsidR="00000000" w14:paraId="368FD4C0" w14:textId="77777777">
        <w:tc>
          <w:tcPr>
            <w:tcW w:w="0" w:type="auto"/>
            <w:gridSpan w:val="3"/>
            <w:shd w:val="clear" w:color="auto" w:fill="CCEEFF"/>
            <w:tcMar>
              <w:top w:w="30" w:type="dxa"/>
              <w:left w:w="155" w:type="dxa"/>
              <w:bottom w:w="30" w:type="dxa"/>
              <w:right w:w="20" w:type="dxa"/>
            </w:tcMar>
            <w:vAlign w:val="bottom"/>
            <w:hideMark/>
          </w:tcPr>
          <w:p w14:paraId="3A492CC1" w14:textId="77777777" w:rsidR="00000000" w:rsidRDefault="000C49AD">
            <w:pPr>
              <w:spacing w:after="100"/>
              <w:rPr>
                <w:rFonts w:eastAsia="Times New Roman"/>
              </w:rPr>
            </w:pPr>
            <w:r>
              <w:rPr>
                <w:rFonts w:eastAsia="Times New Roman"/>
                <w:color w:val="000000"/>
                <w:sz w:val="16"/>
                <w:szCs w:val="16"/>
              </w:rPr>
              <w:t>Purchases of property and equipment</w:t>
            </w:r>
          </w:p>
        </w:tc>
        <w:tc>
          <w:tcPr>
            <w:tcW w:w="0" w:type="auto"/>
            <w:gridSpan w:val="3"/>
            <w:shd w:val="clear" w:color="auto" w:fill="CCEEFF"/>
            <w:tcMar>
              <w:top w:w="0" w:type="dxa"/>
              <w:left w:w="20" w:type="dxa"/>
              <w:bottom w:w="0" w:type="dxa"/>
              <w:right w:w="20" w:type="dxa"/>
            </w:tcMar>
            <w:vAlign w:val="center"/>
            <w:hideMark/>
          </w:tcPr>
          <w:p w14:paraId="2446C3E7"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9D63BF3" w14:textId="77777777" w:rsidR="00000000" w:rsidRDefault="000C49AD">
            <w:pPr>
              <w:spacing w:after="100"/>
              <w:jc w:val="right"/>
              <w:rPr>
                <w:rFonts w:eastAsia="Times New Roman"/>
              </w:rPr>
            </w:pPr>
            <w:r>
              <w:rPr>
                <w:rFonts w:eastAsia="Times New Roman"/>
                <w:color w:val="000000"/>
                <w:sz w:val="16"/>
                <w:szCs w:val="16"/>
              </w:rPr>
              <w:t>(26)</w:t>
            </w:r>
          </w:p>
        </w:tc>
        <w:tc>
          <w:tcPr>
            <w:tcW w:w="0" w:type="auto"/>
            <w:shd w:val="clear" w:color="auto" w:fill="CCEEFF"/>
            <w:tcMar>
              <w:top w:w="30" w:type="dxa"/>
              <w:left w:w="0" w:type="dxa"/>
              <w:bottom w:w="30" w:type="dxa"/>
              <w:right w:w="20" w:type="dxa"/>
            </w:tcMar>
            <w:vAlign w:val="bottom"/>
            <w:hideMark/>
          </w:tcPr>
          <w:p w14:paraId="3AC6BA9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F1CAA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F7B27E" w14:textId="77777777" w:rsidR="00000000" w:rsidRDefault="000C49AD">
            <w:pPr>
              <w:spacing w:after="100"/>
              <w:jc w:val="right"/>
              <w:rPr>
                <w:rFonts w:eastAsia="Times New Roman"/>
              </w:rPr>
            </w:pPr>
            <w:r>
              <w:rPr>
                <w:rFonts w:eastAsia="Times New Roman"/>
                <w:color w:val="000000"/>
                <w:sz w:val="16"/>
                <w:szCs w:val="16"/>
              </w:rPr>
              <w:t>(98)</w:t>
            </w:r>
          </w:p>
        </w:tc>
        <w:tc>
          <w:tcPr>
            <w:tcW w:w="0" w:type="auto"/>
            <w:shd w:val="clear" w:color="auto" w:fill="CCEEFF"/>
            <w:tcMar>
              <w:top w:w="30" w:type="dxa"/>
              <w:left w:w="0" w:type="dxa"/>
              <w:bottom w:w="30" w:type="dxa"/>
              <w:right w:w="20" w:type="dxa"/>
            </w:tcMar>
            <w:vAlign w:val="bottom"/>
            <w:hideMark/>
          </w:tcPr>
          <w:p w14:paraId="0B877F8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49D0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793C2F" w14:textId="77777777" w:rsidR="00000000" w:rsidRDefault="000C49AD">
            <w:pPr>
              <w:spacing w:after="100"/>
              <w:jc w:val="right"/>
              <w:rPr>
                <w:rFonts w:eastAsia="Times New Roman"/>
              </w:rPr>
            </w:pPr>
            <w:r>
              <w:rPr>
                <w:rFonts w:eastAsia="Times New Roman"/>
                <w:color w:val="000000"/>
                <w:sz w:val="16"/>
                <w:szCs w:val="16"/>
              </w:rPr>
              <w:t>(29)</w:t>
            </w:r>
          </w:p>
        </w:tc>
        <w:tc>
          <w:tcPr>
            <w:tcW w:w="0" w:type="auto"/>
            <w:shd w:val="clear" w:color="auto" w:fill="CCEEFF"/>
            <w:tcMar>
              <w:top w:w="30" w:type="dxa"/>
              <w:left w:w="0" w:type="dxa"/>
              <w:bottom w:w="30" w:type="dxa"/>
              <w:right w:w="20" w:type="dxa"/>
            </w:tcMar>
            <w:vAlign w:val="bottom"/>
            <w:hideMark/>
          </w:tcPr>
          <w:p w14:paraId="5706AFB7" w14:textId="77777777" w:rsidR="00000000" w:rsidRDefault="000C49AD">
            <w:pPr>
              <w:spacing w:after="100"/>
              <w:jc w:val="right"/>
              <w:rPr>
                <w:rFonts w:eastAsia="Times New Roman"/>
              </w:rPr>
            </w:pPr>
          </w:p>
        </w:tc>
      </w:tr>
      <w:tr w:rsidR="00000000" w14:paraId="64DFBEF4" w14:textId="77777777">
        <w:tc>
          <w:tcPr>
            <w:tcW w:w="0" w:type="auto"/>
            <w:gridSpan w:val="3"/>
            <w:shd w:val="clear" w:color="auto" w:fill="FFFFFF"/>
            <w:tcMar>
              <w:top w:w="30" w:type="dxa"/>
              <w:left w:w="155" w:type="dxa"/>
              <w:bottom w:w="30" w:type="dxa"/>
              <w:right w:w="20" w:type="dxa"/>
            </w:tcMar>
            <w:vAlign w:val="bottom"/>
            <w:hideMark/>
          </w:tcPr>
          <w:p w14:paraId="46E1985A" w14:textId="77777777" w:rsidR="00000000" w:rsidRDefault="000C49AD">
            <w:pPr>
              <w:spacing w:after="100"/>
              <w:rPr>
                <w:rFonts w:eastAsia="Times New Roman"/>
              </w:rPr>
            </w:pPr>
            <w:r>
              <w:rPr>
                <w:rFonts w:eastAsia="Times New Roman"/>
                <w:color w:val="000000"/>
                <w:sz w:val="16"/>
                <w:szCs w:val="16"/>
              </w:rPr>
              <w:t>Proceeds from disposal of property and equipment</w:t>
            </w:r>
          </w:p>
        </w:tc>
        <w:tc>
          <w:tcPr>
            <w:tcW w:w="0" w:type="auto"/>
            <w:gridSpan w:val="3"/>
            <w:shd w:val="clear" w:color="auto" w:fill="FFFFFF"/>
            <w:tcMar>
              <w:top w:w="0" w:type="dxa"/>
              <w:left w:w="20" w:type="dxa"/>
              <w:bottom w:w="0" w:type="dxa"/>
              <w:right w:w="20" w:type="dxa"/>
            </w:tcMar>
            <w:vAlign w:val="center"/>
            <w:hideMark/>
          </w:tcPr>
          <w:p w14:paraId="579E7CE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2B6DD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B21672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E6CC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1FD7A6"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CA0CE7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1DE9A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9867BB" w14:textId="77777777" w:rsidR="00000000" w:rsidRDefault="000C49AD">
            <w:pPr>
              <w:spacing w:after="100"/>
              <w:jc w:val="right"/>
              <w:rPr>
                <w:rFonts w:eastAsia="Times New Roman"/>
              </w:rPr>
            </w:pPr>
            <w:r>
              <w:rPr>
                <w:rFonts w:eastAsia="Times New Roman"/>
                <w:color w:val="000000"/>
                <w:sz w:val="16"/>
                <w:szCs w:val="16"/>
              </w:rPr>
              <w:t>154 </w:t>
            </w:r>
          </w:p>
        </w:tc>
        <w:tc>
          <w:tcPr>
            <w:tcW w:w="0" w:type="auto"/>
            <w:shd w:val="clear" w:color="auto" w:fill="FFFFFF"/>
            <w:tcMar>
              <w:top w:w="30" w:type="dxa"/>
              <w:left w:w="0" w:type="dxa"/>
              <w:bottom w:w="30" w:type="dxa"/>
              <w:right w:w="20" w:type="dxa"/>
            </w:tcMar>
            <w:vAlign w:val="bottom"/>
            <w:hideMark/>
          </w:tcPr>
          <w:p w14:paraId="2FD04B26" w14:textId="77777777" w:rsidR="00000000" w:rsidRDefault="000C49AD">
            <w:pPr>
              <w:spacing w:after="100"/>
              <w:jc w:val="right"/>
              <w:rPr>
                <w:rFonts w:eastAsia="Times New Roman"/>
              </w:rPr>
            </w:pPr>
          </w:p>
        </w:tc>
      </w:tr>
      <w:tr w:rsidR="00000000" w14:paraId="2455116D" w14:textId="77777777">
        <w:tc>
          <w:tcPr>
            <w:tcW w:w="0" w:type="auto"/>
            <w:gridSpan w:val="3"/>
            <w:shd w:val="clear" w:color="auto" w:fill="CCEEFF"/>
            <w:tcMar>
              <w:top w:w="30" w:type="dxa"/>
              <w:left w:w="155" w:type="dxa"/>
              <w:bottom w:w="30" w:type="dxa"/>
              <w:right w:w="20" w:type="dxa"/>
            </w:tcMar>
            <w:vAlign w:val="bottom"/>
            <w:hideMark/>
          </w:tcPr>
          <w:p w14:paraId="76AD81C9" w14:textId="77777777" w:rsidR="00000000" w:rsidRDefault="000C49AD">
            <w:pPr>
              <w:spacing w:after="100"/>
              <w:rPr>
                <w:rFonts w:eastAsia="Times New Roman"/>
              </w:rPr>
            </w:pPr>
            <w:r>
              <w:rPr>
                <w:rFonts w:eastAsia="Times New Roman"/>
                <w:color w:val="000000"/>
                <w:sz w:val="16"/>
                <w:szCs w:val="16"/>
              </w:rPr>
              <w:t>Proceeds from the disposition of the Hospital Products</w:t>
            </w:r>
          </w:p>
        </w:tc>
        <w:tc>
          <w:tcPr>
            <w:tcW w:w="0" w:type="auto"/>
            <w:gridSpan w:val="3"/>
            <w:shd w:val="clear" w:color="auto" w:fill="CCEEFF"/>
            <w:tcMar>
              <w:top w:w="0" w:type="dxa"/>
              <w:left w:w="20" w:type="dxa"/>
              <w:bottom w:w="0" w:type="dxa"/>
              <w:right w:w="20" w:type="dxa"/>
            </w:tcMar>
            <w:vAlign w:val="center"/>
            <w:hideMark/>
          </w:tcPr>
          <w:p w14:paraId="7958F27A"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5B3944" w14:textId="77777777" w:rsidR="00000000" w:rsidRDefault="000C49AD">
            <w:pPr>
              <w:spacing w:after="100"/>
              <w:jc w:val="right"/>
              <w:rPr>
                <w:rFonts w:eastAsia="Times New Roman"/>
              </w:rPr>
            </w:pPr>
            <w:r>
              <w:rPr>
                <w:rFonts w:eastAsia="Times New Roman"/>
                <w:color w:val="000000"/>
                <w:sz w:val="16"/>
                <w:szCs w:val="16"/>
              </w:rPr>
              <w:t>16,500 </w:t>
            </w:r>
          </w:p>
        </w:tc>
        <w:tc>
          <w:tcPr>
            <w:tcW w:w="0" w:type="auto"/>
            <w:shd w:val="clear" w:color="auto" w:fill="CCEEFF"/>
            <w:tcMar>
              <w:top w:w="30" w:type="dxa"/>
              <w:left w:w="0" w:type="dxa"/>
              <w:bottom w:w="30" w:type="dxa"/>
              <w:right w:w="20" w:type="dxa"/>
            </w:tcMar>
            <w:vAlign w:val="bottom"/>
            <w:hideMark/>
          </w:tcPr>
          <w:p w14:paraId="1AB0C4C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A401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FA845C" w14:textId="77777777" w:rsidR="00000000" w:rsidRDefault="000C49AD">
            <w:pPr>
              <w:spacing w:after="100"/>
              <w:jc w:val="right"/>
              <w:rPr>
                <w:rFonts w:eastAsia="Times New Roman"/>
              </w:rPr>
            </w:pPr>
            <w:r>
              <w:rPr>
                <w:rFonts w:eastAsia="Times New Roman"/>
                <w:color w:val="000000"/>
                <w:sz w:val="16"/>
                <w:szCs w:val="16"/>
              </w:rPr>
              <w:t>25,500 </w:t>
            </w:r>
          </w:p>
        </w:tc>
        <w:tc>
          <w:tcPr>
            <w:tcW w:w="0" w:type="auto"/>
            <w:shd w:val="clear" w:color="auto" w:fill="CCEEFF"/>
            <w:tcMar>
              <w:top w:w="30" w:type="dxa"/>
              <w:left w:w="0" w:type="dxa"/>
              <w:bottom w:w="30" w:type="dxa"/>
              <w:right w:w="20" w:type="dxa"/>
            </w:tcMar>
            <w:vAlign w:val="bottom"/>
            <w:hideMark/>
          </w:tcPr>
          <w:p w14:paraId="3BB47F8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C800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17A824"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19A37A2" w14:textId="77777777" w:rsidR="00000000" w:rsidRDefault="000C49AD">
            <w:pPr>
              <w:spacing w:after="100"/>
              <w:jc w:val="right"/>
              <w:rPr>
                <w:rFonts w:eastAsia="Times New Roman"/>
              </w:rPr>
            </w:pPr>
          </w:p>
        </w:tc>
      </w:tr>
      <w:tr w:rsidR="00000000" w14:paraId="56E672AB" w14:textId="77777777">
        <w:tc>
          <w:tcPr>
            <w:tcW w:w="0" w:type="auto"/>
            <w:gridSpan w:val="3"/>
            <w:shd w:val="clear" w:color="auto" w:fill="FFFFFF"/>
            <w:tcMar>
              <w:top w:w="30" w:type="dxa"/>
              <w:left w:w="155" w:type="dxa"/>
              <w:bottom w:w="30" w:type="dxa"/>
              <w:right w:w="20" w:type="dxa"/>
            </w:tcMar>
            <w:vAlign w:val="bottom"/>
            <w:hideMark/>
          </w:tcPr>
          <w:p w14:paraId="6E8A58B0" w14:textId="77777777" w:rsidR="00000000" w:rsidRDefault="000C49AD">
            <w:pPr>
              <w:spacing w:after="100"/>
              <w:rPr>
                <w:rFonts w:eastAsia="Times New Roman"/>
              </w:rPr>
            </w:pPr>
            <w:r>
              <w:rPr>
                <w:rFonts w:eastAsia="Times New Roman"/>
                <w:color w:val="000000"/>
                <w:sz w:val="16"/>
                <w:szCs w:val="16"/>
              </w:rPr>
              <w:t>Proceeds from sales of marketable securities</w:t>
            </w:r>
          </w:p>
        </w:tc>
        <w:tc>
          <w:tcPr>
            <w:tcW w:w="0" w:type="auto"/>
            <w:gridSpan w:val="3"/>
            <w:shd w:val="clear" w:color="auto" w:fill="FFFFFF"/>
            <w:tcMar>
              <w:top w:w="0" w:type="dxa"/>
              <w:left w:w="20" w:type="dxa"/>
              <w:bottom w:w="0" w:type="dxa"/>
              <w:right w:w="20" w:type="dxa"/>
            </w:tcMar>
            <w:vAlign w:val="center"/>
            <w:hideMark/>
          </w:tcPr>
          <w:p w14:paraId="4C794CD3"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4852247" w14:textId="77777777" w:rsidR="00000000" w:rsidRDefault="000C49AD">
            <w:pPr>
              <w:spacing w:after="100"/>
              <w:jc w:val="right"/>
              <w:rPr>
                <w:rFonts w:eastAsia="Times New Roman"/>
              </w:rPr>
            </w:pPr>
            <w:r>
              <w:rPr>
                <w:rFonts w:eastAsia="Times New Roman"/>
                <w:color w:val="000000"/>
                <w:sz w:val="16"/>
                <w:szCs w:val="16"/>
              </w:rPr>
              <w:t>102,224 </w:t>
            </w:r>
          </w:p>
        </w:tc>
        <w:tc>
          <w:tcPr>
            <w:tcW w:w="0" w:type="auto"/>
            <w:shd w:val="clear" w:color="auto" w:fill="FFFFFF"/>
            <w:tcMar>
              <w:top w:w="30" w:type="dxa"/>
              <w:left w:w="0" w:type="dxa"/>
              <w:bottom w:w="30" w:type="dxa"/>
              <w:right w:w="20" w:type="dxa"/>
            </w:tcMar>
            <w:vAlign w:val="bottom"/>
            <w:hideMark/>
          </w:tcPr>
          <w:p w14:paraId="6280DFA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10C5B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7CB75E" w14:textId="77777777" w:rsidR="00000000" w:rsidRDefault="000C49AD">
            <w:pPr>
              <w:spacing w:after="100"/>
              <w:jc w:val="right"/>
              <w:rPr>
                <w:rFonts w:eastAsia="Times New Roman"/>
              </w:rPr>
            </w:pPr>
            <w:r>
              <w:rPr>
                <w:rFonts w:eastAsia="Times New Roman"/>
                <w:color w:val="000000"/>
                <w:sz w:val="16"/>
                <w:szCs w:val="16"/>
              </w:rPr>
              <w:t>36,284 </w:t>
            </w:r>
          </w:p>
        </w:tc>
        <w:tc>
          <w:tcPr>
            <w:tcW w:w="0" w:type="auto"/>
            <w:shd w:val="clear" w:color="auto" w:fill="FFFFFF"/>
            <w:tcMar>
              <w:top w:w="30" w:type="dxa"/>
              <w:left w:w="0" w:type="dxa"/>
              <w:bottom w:w="30" w:type="dxa"/>
              <w:right w:w="20" w:type="dxa"/>
            </w:tcMar>
            <w:vAlign w:val="bottom"/>
            <w:hideMark/>
          </w:tcPr>
          <w:p w14:paraId="1E93877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08C8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DB64D8" w14:textId="77777777" w:rsidR="00000000" w:rsidRDefault="000C49AD">
            <w:pPr>
              <w:spacing w:after="100"/>
              <w:jc w:val="right"/>
              <w:rPr>
                <w:rFonts w:eastAsia="Times New Roman"/>
              </w:rPr>
            </w:pPr>
            <w:r>
              <w:rPr>
                <w:rFonts w:eastAsia="Times New Roman"/>
                <w:color w:val="000000"/>
                <w:sz w:val="16"/>
                <w:szCs w:val="16"/>
              </w:rPr>
              <w:t>63,246 </w:t>
            </w:r>
          </w:p>
        </w:tc>
        <w:tc>
          <w:tcPr>
            <w:tcW w:w="0" w:type="auto"/>
            <w:shd w:val="clear" w:color="auto" w:fill="FFFFFF"/>
            <w:tcMar>
              <w:top w:w="30" w:type="dxa"/>
              <w:left w:w="0" w:type="dxa"/>
              <w:bottom w:w="30" w:type="dxa"/>
              <w:right w:w="20" w:type="dxa"/>
            </w:tcMar>
            <w:vAlign w:val="bottom"/>
            <w:hideMark/>
          </w:tcPr>
          <w:p w14:paraId="78B8717B" w14:textId="77777777" w:rsidR="00000000" w:rsidRDefault="000C49AD">
            <w:pPr>
              <w:spacing w:after="100"/>
              <w:jc w:val="right"/>
              <w:rPr>
                <w:rFonts w:eastAsia="Times New Roman"/>
              </w:rPr>
            </w:pPr>
          </w:p>
        </w:tc>
      </w:tr>
      <w:tr w:rsidR="00000000" w14:paraId="399F9223" w14:textId="77777777">
        <w:tc>
          <w:tcPr>
            <w:tcW w:w="0" w:type="auto"/>
            <w:gridSpan w:val="3"/>
            <w:shd w:val="clear" w:color="auto" w:fill="CCEEFF"/>
            <w:tcMar>
              <w:top w:w="30" w:type="dxa"/>
              <w:left w:w="155" w:type="dxa"/>
              <w:bottom w:w="30" w:type="dxa"/>
              <w:right w:w="20" w:type="dxa"/>
            </w:tcMar>
            <w:vAlign w:val="bottom"/>
            <w:hideMark/>
          </w:tcPr>
          <w:p w14:paraId="61C9F50B" w14:textId="77777777" w:rsidR="00000000" w:rsidRDefault="000C49AD">
            <w:pPr>
              <w:spacing w:after="100"/>
              <w:rPr>
                <w:rFonts w:eastAsia="Times New Roman"/>
              </w:rPr>
            </w:pPr>
            <w:r>
              <w:rPr>
                <w:rFonts w:eastAsia="Times New Roman"/>
                <w:color w:val="000000"/>
                <w:sz w:val="16"/>
                <w:szCs w:val="16"/>
              </w:rPr>
              <w:t>Purchases of marketable securities</w:t>
            </w:r>
          </w:p>
        </w:tc>
        <w:tc>
          <w:tcPr>
            <w:tcW w:w="0" w:type="auto"/>
            <w:gridSpan w:val="3"/>
            <w:shd w:val="clear" w:color="auto" w:fill="CCEEFF"/>
            <w:tcMar>
              <w:top w:w="0" w:type="dxa"/>
              <w:left w:w="20" w:type="dxa"/>
              <w:bottom w:w="0" w:type="dxa"/>
              <w:right w:w="20" w:type="dxa"/>
            </w:tcMar>
            <w:vAlign w:val="center"/>
            <w:hideMark/>
          </w:tcPr>
          <w:p w14:paraId="1BCA888E"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E57618" w14:textId="77777777" w:rsidR="00000000" w:rsidRDefault="000C49AD">
            <w:pPr>
              <w:spacing w:after="100"/>
              <w:jc w:val="right"/>
              <w:rPr>
                <w:rFonts w:eastAsia="Times New Roman"/>
              </w:rPr>
            </w:pPr>
            <w:r>
              <w:rPr>
                <w:rFonts w:eastAsia="Times New Roman"/>
                <w:color w:val="000000"/>
                <w:sz w:val="16"/>
                <w:szCs w:val="16"/>
              </w:rPr>
              <w:t>(61,769)</w:t>
            </w:r>
          </w:p>
        </w:tc>
        <w:tc>
          <w:tcPr>
            <w:tcW w:w="0" w:type="auto"/>
            <w:shd w:val="clear" w:color="auto" w:fill="CCEEFF"/>
            <w:tcMar>
              <w:top w:w="30" w:type="dxa"/>
              <w:left w:w="0" w:type="dxa"/>
              <w:bottom w:w="30" w:type="dxa"/>
              <w:right w:w="20" w:type="dxa"/>
            </w:tcMar>
            <w:vAlign w:val="bottom"/>
            <w:hideMark/>
          </w:tcPr>
          <w:p w14:paraId="54F04DA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F34A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F43E6B" w14:textId="77777777" w:rsidR="00000000" w:rsidRDefault="000C49AD">
            <w:pPr>
              <w:spacing w:after="100"/>
              <w:jc w:val="right"/>
              <w:rPr>
                <w:rFonts w:eastAsia="Times New Roman"/>
              </w:rPr>
            </w:pPr>
            <w:r>
              <w:rPr>
                <w:rFonts w:eastAsia="Times New Roman"/>
                <w:color w:val="000000"/>
                <w:sz w:val="16"/>
                <w:szCs w:val="16"/>
              </w:rPr>
              <w:t>(131,407)</w:t>
            </w:r>
          </w:p>
        </w:tc>
        <w:tc>
          <w:tcPr>
            <w:tcW w:w="0" w:type="auto"/>
            <w:shd w:val="clear" w:color="auto" w:fill="CCEEFF"/>
            <w:tcMar>
              <w:top w:w="30" w:type="dxa"/>
              <w:left w:w="0" w:type="dxa"/>
              <w:bottom w:w="30" w:type="dxa"/>
              <w:right w:w="20" w:type="dxa"/>
            </w:tcMar>
            <w:vAlign w:val="bottom"/>
            <w:hideMark/>
          </w:tcPr>
          <w:p w14:paraId="570B4E7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CECD0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D5C0B" w14:textId="77777777" w:rsidR="00000000" w:rsidRDefault="000C49AD">
            <w:pPr>
              <w:spacing w:after="100"/>
              <w:jc w:val="right"/>
              <w:rPr>
                <w:rFonts w:eastAsia="Times New Roman"/>
              </w:rPr>
            </w:pPr>
            <w:r>
              <w:rPr>
                <w:rFonts w:eastAsia="Times New Roman"/>
                <w:color w:val="000000"/>
                <w:sz w:val="16"/>
                <w:szCs w:val="16"/>
              </w:rPr>
              <w:t>(24,648)</w:t>
            </w:r>
          </w:p>
        </w:tc>
        <w:tc>
          <w:tcPr>
            <w:tcW w:w="0" w:type="auto"/>
            <w:shd w:val="clear" w:color="auto" w:fill="CCEEFF"/>
            <w:tcMar>
              <w:top w:w="30" w:type="dxa"/>
              <w:left w:w="0" w:type="dxa"/>
              <w:bottom w:w="30" w:type="dxa"/>
              <w:right w:w="20" w:type="dxa"/>
            </w:tcMar>
            <w:vAlign w:val="bottom"/>
            <w:hideMark/>
          </w:tcPr>
          <w:p w14:paraId="46E0D030" w14:textId="77777777" w:rsidR="00000000" w:rsidRDefault="000C49AD">
            <w:pPr>
              <w:spacing w:after="100"/>
              <w:jc w:val="right"/>
              <w:rPr>
                <w:rFonts w:eastAsia="Times New Roman"/>
              </w:rPr>
            </w:pPr>
          </w:p>
        </w:tc>
      </w:tr>
      <w:tr w:rsidR="00000000" w14:paraId="38C5B047" w14:textId="77777777">
        <w:tc>
          <w:tcPr>
            <w:tcW w:w="0" w:type="auto"/>
            <w:gridSpan w:val="3"/>
            <w:shd w:val="clear" w:color="auto" w:fill="FFFFFF"/>
            <w:tcMar>
              <w:top w:w="30" w:type="dxa"/>
              <w:left w:w="20" w:type="dxa"/>
              <w:bottom w:w="30" w:type="dxa"/>
              <w:right w:w="20" w:type="dxa"/>
            </w:tcMar>
            <w:vAlign w:val="bottom"/>
            <w:hideMark/>
          </w:tcPr>
          <w:p w14:paraId="39B6143E" w14:textId="77777777" w:rsidR="00000000" w:rsidRDefault="000C49AD">
            <w:pPr>
              <w:spacing w:after="100"/>
              <w:rPr>
                <w:rFonts w:eastAsia="Times New Roman"/>
              </w:rPr>
            </w:pPr>
            <w:r>
              <w:rPr>
                <w:rFonts w:eastAsia="Times New Roman"/>
                <w:color w:val="000000"/>
                <w:sz w:val="16"/>
                <w:szCs w:val="16"/>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14:paraId="19336BF6"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C1833F" w14:textId="77777777" w:rsidR="00000000" w:rsidRDefault="000C49AD">
            <w:pPr>
              <w:spacing w:after="100"/>
              <w:jc w:val="right"/>
              <w:rPr>
                <w:rFonts w:eastAsia="Times New Roman"/>
              </w:rPr>
            </w:pPr>
            <w:r>
              <w:rPr>
                <w:rFonts w:eastAsia="Times New Roman"/>
                <w:color w:val="000000"/>
                <w:sz w:val="16"/>
                <w:szCs w:val="16"/>
              </w:rPr>
              <w:t>56,929 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D501A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ACF725"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2924F57" w14:textId="77777777" w:rsidR="00000000" w:rsidRDefault="000C49AD">
            <w:pPr>
              <w:spacing w:after="100"/>
              <w:jc w:val="right"/>
              <w:rPr>
                <w:rFonts w:eastAsia="Times New Roman"/>
              </w:rPr>
            </w:pPr>
            <w:r>
              <w:rPr>
                <w:rFonts w:eastAsia="Times New Roman"/>
                <w:color w:val="000000"/>
                <w:sz w:val="16"/>
                <w:szCs w:val="16"/>
              </w:rPr>
              <w:t>(69,721)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FA6AB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DBB09D"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D13463C" w14:textId="77777777" w:rsidR="00000000" w:rsidRDefault="000C49AD">
            <w:pPr>
              <w:spacing w:after="100"/>
              <w:jc w:val="right"/>
              <w:rPr>
                <w:rFonts w:eastAsia="Times New Roman"/>
              </w:rPr>
            </w:pPr>
            <w:r>
              <w:rPr>
                <w:rFonts w:eastAsia="Times New Roman"/>
                <w:color w:val="000000"/>
                <w:sz w:val="16"/>
                <w:szCs w:val="16"/>
              </w:rPr>
              <w:t>38,723 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77A4569" w14:textId="77777777" w:rsidR="00000000" w:rsidRDefault="000C49AD">
            <w:pPr>
              <w:spacing w:after="100"/>
              <w:jc w:val="right"/>
              <w:rPr>
                <w:rFonts w:eastAsia="Times New Roman"/>
              </w:rPr>
            </w:pPr>
          </w:p>
        </w:tc>
      </w:tr>
      <w:tr w:rsidR="00000000" w14:paraId="45D8B7D7" w14:textId="77777777">
        <w:trPr>
          <w:trHeight w:val="120"/>
        </w:trPr>
        <w:tc>
          <w:tcPr>
            <w:tcW w:w="0" w:type="auto"/>
            <w:gridSpan w:val="3"/>
            <w:shd w:val="clear" w:color="auto" w:fill="CCEEFF"/>
            <w:tcMar>
              <w:top w:w="0" w:type="dxa"/>
              <w:left w:w="20" w:type="dxa"/>
              <w:bottom w:w="0" w:type="dxa"/>
              <w:right w:w="20" w:type="dxa"/>
            </w:tcMar>
            <w:vAlign w:val="center"/>
            <w:hideMark/>
          </w:tcPr>
          <w:p w14:paraId="1308532F" w14:textId="77777777" w:rsidR="00000000" w:rsidRDefault="000C49A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6BFF2D"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72937AA"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495830"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FC904B4"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C62A01"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46668B" w14:textId="77777777" w:rsidR="00000000" w:rsidRDefault="000C49AD">
            <w:pPr>
              <w:spacing w:after="100"/>
              <w:rPr>
                <w:rFonts w:eastAsia="Times New Roman"/>
                <w:sz w:val="20"/>
                <w:szCs w:val="20"/>
              </w:rPr>
            </w:pPr>
          </w:p>
        </w:tc>
      </w:tr>
      <w:tr w:rsidR="00000000" w14:paraId="6861EAA3" w14:textId="77777777">
        <w:tc>
          <w:tcPr>
            <w:tcW w:w="0" w:type="auto"/>
            <w:gridSpan w:val="3"/>
            <w:shd w:val="clear" w:color="auto" w:fill="FFFFFF"/>
            <w:tcMar>
              <w:top w:w="30" w:type="dxa"/>
              <w:left w:w="20" w:type="dxa"/>
              <w:bottom w:w="30" w:type="dxa"/>
              <w:right w:w="20" w:type="dxa"/>
            </w:tcMar>
            <w:vAlign w:val="bottom"/>
            <w:hideMark/>
          </w:tcPr>
          <w:p w14:paraId="261188AD" w14:textId="77777777" w:rsidR="00000000" w:rsidRDefault="000C49AD">
            <w:pPr>
              <w:spacing w:after="100"/>
              <w:rPr>
                <w:rFonts w:eastAsia="Times New Roman"/>
              </w:rPr>
            </w:pPr>
            <w:r>
              <w:rPr>
                <w:rFonts w:eastAsia="Times New Roman"/>
                <w:b/>
                <w:bCs/>
                <w:color w:val="000000"/>
                <w:sz w:val="16"/>
                <w:szCs w:val="16"/>
              </w:rPr>
              <w:t>Cash flows from financing activities:</w:t>
            </w:r>
          </w:p>
        </w:tc>
        <w:tc>
          <w:tcPr>
            <w:tcW w:w="0" w:type="auto"/>
            <w:gridSpan w:val="3"/>
            <w:shd w:val="clear" w:color="auto" w:fill="FFFFFF"/>
            <w:tcMar>
              <w:top w:w="0" w:type="dxa"/>
              <w:left w:w="20" w:type="dxa"/>
              <w:bottom w:w="0" w:type="dxa"/>
              <w:right w:w="20" w:type="dxa"/>
            </w:tcMar>
            <w:vAlign w:val="center"/>
            <w:hideMark/>
          </w:tcPr>
          <w:p w14:paraId="09B518F6" w14:textId="77777777" w:rsidR="00000000" w:rsidRDefault="000C49A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38B4D1E"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21A30C6"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1CDCA3D"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FFFFFF"/>
            <w:tcMar>
              <w:top w:w="0" w:type="dxa"/>
              <w:left w:w="20" w:type="dxa"/>
              <w:bottom w:w="0" w:type="dxa"/>
              <w:right w:w="20" w:type="dxa"/>
            </w:tcMar>
            <w:vAlign w:val="center"/>
            <w:hideMark/>
          </w:tcPr>
          <w:p w14:paraId="1ED44361"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029A313" w14:textId="77777777" w:rsidR="00000000" w:rsidRDefault="000C49AD">
            <w:pPr>
              <w:spacing w:after="100"/>
              <w:jc w:val="right"/>
              <w:rPr>
                <w:rFonts w:eastAsia="Times New Roman"/>
              </w:rPr>
            </w:pPr>
            <w:r>
              <w:rPr>
                <w:rFonts w:eastAsia="Times New Roman"/>
                <w:color w:val="000000"/>
                <w:sz w:val="16"/>
                <w:szCs w:val="16"/>
              </w:rPr>
              <w:t> </w:t>
            </w:r>
          </w:p>
        </w:tc>
      </w:tr>
      <w:tr w:rsidR="00000000" w14:paraId="4EF37531" w14:textId="77777777">
        <w:tc>
          <w:tcPr>
            <w:tcW w:w="0" w:type="auto"/>
            <w:gridSpan w:val="3"/>
            <w:shd w:val="clear" w:color="auto" w:fill="CCEEFF"/>
            <w:tcMar>
              <w:top w:w="30" w:type="dxa"/>
              <w:left w:w="155" w:type="dxa"/>
              <w:bottom w:w="30" w:type="dxa"/>
              <w:right w:w="20" w:type="dxa"/>
            </w:tcMar>
            <w:vAlign w:val="bottom"/>
            <w:hideMark/>
          </w:tcPr>
          <w:p w14:paraId="0F736E26" w14:textId="77777777" w:rsidR="00000000" w:rsidRDefault="000C49AD">
            <w:pPr>
              <w:spacing w:after="100"/>
              <w:rPr>
                <w:rFonts w:eastAsia="Times New Roman"/>
              </w:rPr>
            </w:pPr>
            <w:r>
              <w:rPr>
                <w:rFonts w:eastAsia="Times New Roman"/>
                <w:color w:val="000000"/>
                <w:sz w:val="16"/>
                <w:szCs w:val="16"/>
              </w:rPr>
              <w:t>Proceeds from the February 2020 private placement</w:t>
            </w:r>
          </w:p>
        </w:tc>
        <w:tc>
          <w:tcPr>
            <w:tcW w:w="0" w:type="auto"/>
            <w:gridSpan w:val="3"/>
            <w:shd w:val="clear" w:color="auto" w:fill="CCEEFF"/>
            <w:tcMar>
              <w:top w:w="0" w:type="dxa"/>
              <w:left w:w="20" w:type="dxa"/>
              <w:bottom w:w="0" w:type="dxa"/>
              <w:right w:w="20" w:type="dxa"/>
            </w:tcMar>
            <w:vAlign w:val="center"/>
            <w:hideMark/>
          </w:tcPr>
          <w:p w14:paraId="5A554FBD"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5E0FEBF"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399AD3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9804C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FC3DCF" w14:textId="77777777" w:rsidR="00000000" w:rsidRDefault="000C49AD">
            <w:pPr>
              <w:spacing w:after="100"/>
              <w:jc w:val="right"/>
              <w:rPr>
                <w:rFonts w:eastAsia="Times New Roman"/>
              </w:rPr>
            </w:pPr>
            <w:r>
              <w:rPr>
                <w:rFonts w:eastAsia="Times New Roman"/>
                <w:color w:val="000000"/>
                <w:sz w:val="16"/>
                <w:szCs w:val="16"/>
              </w:rPr>
              <w:t>60,570 </w:t>
            </w:r>
          </w:p>
        </w:tc>
        <w:tc>
          <w:tcPr>
            <w:tcW w:w="0" w:type="auto"/>
            <w:shd w:val="clear" w:color="auto" w:fill="CCEEFF"/>
            <w:tcMar>
              <w:top w:w="30" w:type="dxa"/>
              <w:left w:w="0" w:type="dxa"/>
              <w:bottom w:w="30" w:type="dxa"/>
              <w:right w:w="20" w:type="dxa"/>
            </w:tcMar>
            <w:vAlign w:val="bottom"/>
            <w:hideMark/>
          </w:tcPr>
          <w:p w14:paraId="72DBD6C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CCAE4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467CA3"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283E87" w14:textId="77777777" w:rsidR="00000000" w:rsidRDefault="000C49AD">
            <w:pPr>
              <w:spacing w:after="100"/>
              <w:jc w:val="right"/>
              <w:rPr>
                <w:rFonts w:eastAsia="Times New Roman"/>
              </w:rPr>
            </w:pPr>
          </w:p>
        </w:tc>
      </w:tr>
      <w:tr w:rsidR="00000000" w14:paraId="0376DE4F" w14:textId="77777777">
        <w:tc>
          <w:tcPr>
            <w:tcW w:w="0" w:type="auto"/>
            <w:gridSpan w:val="3"/>
            <w:shd w:val="clear" w:color="auto" w:fill="FFFFFF"/>
            <w:tcMar>
              <w:top w:w="30" w:type="dxa"/>
              <w:left w:w="155" w:type="dxa"/>
              <w:bottom w:w="30" w:type="dxa"/>
              <w:right w:w="20" w:type="dxa"/>
            </w:tcMar>
            <w:vAlign w:val="bottom"/>
            <w:hideMark/>
          </w:tcPr>
          <w:p w14:paraId="6CE3C2D2" w14:textId="77777777" w:rsidR="00000000" w:rsidRDefault="000C49AD">
            <w:pPr>
              <w:spacing w:after="100"/>
              <w:rPr>
                <w:rFonts w:eastAsia="Times New Roman"/>
              </w:rPr>
            </w:pPr>
            <w:r>
              <w:rPr>
                <w:rFonts w:eastAsia="Times New Roman"/>
                <w:color w:val="000000"/>
                <w:sz w:val="16"/>
                <w:szCs w:val="16"/>
              </w:rPr>
              <w:t>Proceeds from the May 2020 public offering</w:t>
            </w:r>
          </w:p>
        </w:tc>
        <w:tc>
          <w:tcPr>
            <w:tcW w:w="0" w:type="auto"/>
            <w:gridSpan w:val="3"/>
            <w:shd w:val="clear" w:color="auto" w:fill="FFFFFF"/>
            <w:tcMar>
              <w:top w:w="0" w:type="dxa"/>
              <w:left w:w="20" w:type="dxa"/>
              <w:bottom w:w="0" w:type="dxa"/>
              <w:right w:w="20" w:type="dxa"/>
            </w:tcMar>
            <w:vAlign w:val="center"/>
            <w:hideMark/>
          </w:tcPr>
          <w:p w14:paraId="78B5F350"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7443C2B"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FC5446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DE8E0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FB24CA" w14:textId="77777777" w:rsidR="00000000" w:rsidRDefault="000C49AD">
            <w:pPr>
              <w:spacing w:after="100"/>
              <w:jc w:val="right"/>
              <w:rPr>
                <w:rFonts w:eastAsia="Times New Roman"/>
              </w:rPr>
            </w:pPr>
            <w:r>
              <w:rPr>
                <w:rFonts w:eastAsia="Times New Roman"/>
                <w:color w:val="000000"/>
                <w:sz w:val="16"/>
                <w:szCs w:val="16"/>
              </w:rPr>
              <w:t>116,924 </w:t>
            </w:r>
          </w:p>
        </w:tc>
        <w:tc>
          <w:tcPr>
            <w:tcW w:w="0" w:type="auto"/>
            <w:shd w:val="clear" w:color="auto" w:fill="FFFFFF"/>
            <w:tcMar>
              <w:top w:w="30" w:type="dxa"/>
              <w:left w:w="0" w:type="dxa"/>
              <w:bottom w:w="30" w:type="dxa"/>
              <w:right w:w="20" w:type="dxa"/>
            </w:tcMar>
            <w:vAlign w:val="bottom"/>
            <w:hideMark/>
          </w:tcPr>
          <w:p w14:paraId="26BF447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B205B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91DC5A"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0BF3C3E" w14:textId="77777777" w:rsidR="00000000" w:rsidRDefault="000C49AD">
            <w:pPr>
              <w:spacing w:after="100"/>
              <w:jc w:val="right"/>
              <w:rPr>
                <w:rFonts w:eastAsia="Times New Roman"/>
              </w:rPr>
            </w:pPr>
          </w:p>
        </w:tc>
      </w:tr>
      <w:tr w:rsidR="00000000" w14:paraId="68CE3628" w14:textId="77777777">
        <w:tc>
          <w:tcPr>
            <w:tcW w:w="0" w:type="auto"/>
            <w:gridSpan w:val="3"/>
            <w:shd w:val="clear" w:color="auto" w:fill="CCEEFF"/>
            <w:tcMar>
              <w:top w:w="30" w:type="dxa"/>
              <w:left w:w="155" w:type="dxa"/>
              <w:bottom w:w="30" w:type="dxa"/>
              <w:right w:w="20" w:type="dxa"/>
            </w:tcMar>
            <w:vAlign w:val="bottom"/>
            <w:hideMark/>
          </w:tcPr>
          <w:p w14:paraId="023B30A1" w14:textId="77777777" w:rsidR="00000000" w:rsidRDefault="000C49AD">
            <w:pPr>
              <w:spacing w:after="100"/>
              <w:rPr>
                <w:rFonts w:eastAsia="Times New Roman"/>
              </w:rPr>
            </w:pPr>
            <w:r>
              <w:rPr>
                <w:rFonts w:eastAsia="Times New Roman"/>
                <w:color w:val="000000"/>
                <w:sz w:val="16"/>
                <w:szCs w:val="16"/>
              </w:rPr>
              <w:t>Proceeds from issuance of ordinary shares</w:t>
            </w:r>
          </w:p>
        </w:tc>
        <w:tc>
          <w:tcPr>
            <w:tcW w:w="0" w:type="auto"/>
            <w:gridSpan w:val="3"/>
            <w:shd w:val="clear" w:color="auto" w:fill="CCEEFF"/>
            <w:tcMar>
              <w:top w:w="0" w:type="dxa"/>
              <w:left w:w="20" w:type="dxa"/>
              <w:bottom w:w="0" w:type="dxa"/>
              <w:right w:w="20" w:type="dxa"/>
            </w:tcMar>
            <w:vAlign w:val="center"/>
            <w:hideMark/>
          </w:tcPr>
          <w:p w14:paraId="33C53F3F"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18148E" w14:textId="77777777" w:rsidR="00000000" w:rsidRDefault="000C49AD">
            <w:pPr>
              <w:spacing w:after="100"/>
              <w:jc w:val="right"/>
              <w:rPr>
                <w:rFonts w:eastAsia="Times New Roman"/>
              </w:rPr>
            </w:pPr>
            <w:r>
              <w:rPr>
                <w:rFonts w:eastAsia="Times New Roman"/>
                <w:color w:val="000000"/>
                <w:sz w:val="16"/>
                <w:szCs w:val="16"/>
              </w:rPr>
              <w:t>263 </w:t>
            </w:r>
          </w:p>
        </w:tc>
        <w:tc>
          <w:tcPr>
            <w:tcW w:w="0" w:type="auto"/>
            <w:shd w:val="clear" w:color="auto" w:fill="CCEEFF"/>
            <w:tcMar>
              <w:top w:w="30" w:type="dxa"/>
              <w:left w:w="0" w:type="dxa"/>
              <w:bottom w:w="30" w:type="dxa"/>
              <w:right w:w="20" w:type="dxa"/>
            </w:tcMar>
            <w:vAlign w:val="bottom"/>
            <w:hideMark/>
          </w:tcPr>
          <w:p w14:paraId="03D94CB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042F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F5288B" w14:textId="77777777" w:rsidR="00000000" w:rsidRDefault="000C49AD">
            <w:pPr>
              <w:spacing w:after="100"/>
              <w:jc w:val="right"/>
              <w:rPr>
                <w:rFonts w:eastAsia="Times New Roman"/>
              </w:rPr>
            </w:pPr>
            <w:r>
              <w:rPr>
                <w:rFonts w:eastAsia="Times New Roman"/>
                <w:color w:val="000000"/>
                <w:sz w:val="16"/>
                <w:szCs w:val="16"/>
              </w:rPr>
              <w:t>2,189 </w:t>
            </w:r>
          </w:p>
        </w:tc>
        <w:tc>
          <w:tcPr>
            <w:tcW w:w="0" w:type="auto"/>
            <w:shd w:val="clear" w:color="auto" w:fill="CCEEFF"/>
            <w:tcMar>
              <w:top w:w="30" w:type="dxa"/>
              <w:left w:w="0" w:type="dxa"/>
              <w:bottom w:w="30" w:type="dxa"/>
              <w:right w:w="20" w:type="dxa"/>
            </w:tcMar>
            <w:vAlign w:val="bottom"/>
            <w:hideMark/>
          </w:tcPr>
          <w:p w14:paraId="3520FBD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957E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5EBECA" w14:textId="77777777" w:rsidR="00000000" w:rsidRDefault="000C49AD">
            <w:pPr>
              <w:spacing w:after="100"/>
              <w:jc w:val="right"/>
              <w:rPr>
                <w:rFonts w:eastAsia="Times New Roman"/>
              </w:rPr>
            </w:pPr>
            <w:r>
              <w:rPr>
                <w:rFonts w:eastAsia="Times New Roman"/>
                <w:color w:val="000000"/>
                <w:sz w:val="16"/>
                <w:szCs w:val="16"/>
              </w:rPr>
              <w:t>118 </w:t>
            </w:r>
          </w:p>
        </w:tc>
        <w:tc>
          <w:tcPr>
            <w:tcW w:w="0" w:type="auto"/>
            <w:shd w:val="clear" w:color="auto" w:fill="CCEEFF"/>
            <w:tcMar>
              <w:top w:w="30" w:type="dxa"/>
              <w:left w:w="0" w:type="dxa"/>
              <w:bottom w:w="30" w:type="dxa"/>
              <w:right w:w="20" w:type="dxa"/>
            </w:tcMar>
            <w:vAlign w:val="bottom"/>
            <w:hideMark/>
          </w:tcPr>
          <w:p w14:paraId="16CA4538" w14:textId="77777777" w:rsidR="00000000" w:rsidRDefault="000C49AD">
            <w:pPr>
              <w:spacing w:after="100"/>
              <w:jc w:val="right"/>
              <w:rPr>
                <w:rFonts w:eastAsia="Times New Roman"/>
              </w:rPr>
            </w:pPr>
          </w:p>
        </w:tc>
      </w:tr>
      <w:tr w:rsidR="00000000" w14:paraId="2FD43A2D" w14:textId="77777777">
        <w:tc>
          <w:tcPr>
            <w:tcW w:w="0" w:type="auto"/>
            <w:gridSpan w:val="3"/>
            <w:shd w:val="clear" w:color="auto" w:fill="FFFFFF"/>
            <w:tcMar>
              <w:top w:w="30" w:type="dxa"/>
              <w:left w:w="155" w:type="dxa"/>
              <w:bottom w:w="30" w:type="dxa"/>
              <w:right w:w="20" w:type="dxa"/>
            </w:tcMar>
            <w:vAlign w:val="bottom"/>
            <w:hideMark/>
          </w:tcPr>
          <w:p w14:paraId="4A007AF1" w14:textId="77777777" w:rsidR="00000000" w:rsidRDefault="000C49AD">
            <w:pPr>
              <w:spacing w:after="100"/>
              <w:rPr>
                <w:rFonts w:eastAsia="Times New Roman"/>
              </w:rPr>
            </w:pPr>
            <w:r>
              <w:rPr>
                <w:rFonts w:eastAsia="Times New Roman"/>
                <w:color w:val="000000"/>
                <w:sz w:val="16"/>
                <w:szCs w:val="16"/>
              </w:rPr>
              <w:t>Other financing activities, net</w:t>
            </w:r>
          </w:p>
        </w:tc>
        <w:tc>
          <w:tcPr>
            <w:tcW w:w="0" w:type="auto"/>
            <w:gridSpan w:val="3"/>
            <w:shd w:val="clear" w:color="auto" w:fill="FFFFFF"/>
            <w:tcMar>
              <w:top w:w="0" w:type="dxa"/>
              <w:left w:w="20" w:type="dxa"/>
              <w:bottom w:w="0" w:type="dxa"/>
              <w:right w:w="20" w:type="dxa"/>
            </w:tcMar>
            <w:vAlign w:val="center"/>
            <w:hideMark/>
          </w:tcPr>
          <w:p w14:paraId="0F79444C"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3DDBCB"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7225DFD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87CC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A74040" w14:textId="77777777" w:rsidR="00000000" w:rsidRDefault="000C49AD">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D5890F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BD688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5F1FD6" w14:textId="77777777" w:rsidR="00000000" w:rsidRDefault="000C49AD">
            <w:pPr>
              <w:spacing w:after="100"/>
              <w:jc w:val="right"/>
              <w:rPr>
                <w:rFonts w:eastAsia="Times New Roman"/>
              </w:rPr>
            </w:pPr>
            <w:r>
              <w:rPr>
                <w:rFonts w:eastAsia="Times New Roman"/>
                <w:color w:val="000000"/>
                <w:sz w:val="16"/>
                <w:szCs w:val="16"/>
              </w:rPr>
              <w:t>(145)</w:t>
            </w:r>
          </w:p>
        </w:tc>
        <w:tc>
          <w:tcPr>
            <w:tcW w:w="0" w:type="auto"/>
            <w:shd w:val="clear" w:color="auto" w:fill="FFFFFF"/>
            <w:tcMar>
              <w:top w:w="30" w:type="dxa"/>
              <w:left w:w="0" w:type="dxa"/>
              <w:bottom w:w="30" w:type="dxa"/>
              <w:right w:w="20" w:type="dxa"/>
            </w:tcMar>
            <w:vAlign w:val="bottom"/>
            <w:hideMark/>
          </w:tcPr>
          <w:p w14:paraId="26554211" w14:textId="77777777" w:rsidR="00000000" w:rsidRDefault="000C49AD">
            <w:pPr>
              <w:spacing w:after="100"/>
              <w:jc w:val="right"/>
              <w:rPr>
                <w:rFonts w:eastAsia="Times New Roman"/>
              </w:rPr>
            </w:pPr>
          </w:p>
        </w:tc>
      </w:tr>
      <w:tr w:rsidR="00000000" w14:paraId="62A352FC" w14:textId="77777777">
        <w:tc>
          <w:tcPr>
            <w:tcW w:w="0" w:type="auto"/>
            <w:gridSpan w:val="3"/>
            <w:shd w:val="clear" w:color="auto" w:fill="CCEEFF"/>
            <w:tcMar>
              <w:top w:w="30" w:type="dxa"/>
              <w:left w:w="20" w:type="dxa"/>
              <w:bottom w:w="30" w:type="dxa"/>
              <w:right w:w="20" w:type="dxa"/>
            </w:tcMar>
            <w:vAlign w:val="bottom"/>
            <w:hideMark/>
          </w:tcPr>
          <w:p w14:paraId="7BC8AC6E" w14:textId="77777777" w:rsidR="00000000" w:rsidRDefault="000C49AD">
            <w:pPr>
              <w:spacing w:after="100"/>
              <w:rPr>
                <w:rFonts w:eastAsia="Times New Roman"/>
              </w:rPr>
            </w:pPr>
            <w:r>
              <w:rPr>
                <w:rFonts w:eastAsia="Times New Roman"/>
                <w:color w:val="000000"/>
                <w:sz w:val="16"/>
                <w:szCs w:val="16"/>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14:paraId="5C8C013A"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180549" w14:textId="77777777" w:rsidR="00000000" w:rsidRDefault="000C49AD">
            <w:pPr>
              <w:spacing w:after="100"/>
              <w:jc w:val="right"/>
              <w:rPr>
                <w:rFonts w:eastAsia="Times New Roman"/>
              </w:rPr>
            </w:pPr>
            <w:r>
              <w:rPr>
                <w:rFonts w:eastAsia="Times New Roman"/>
                <w:color w:val="000000"/>
                <w:sz w:val="16"/>
                <w:szCs w:val="16"/>
              </w:rPr>
              <w:t>263 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E8F749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79CCF6"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B8B1A4" w14:textId="77777777" w:rsidR="00000000" w:rsidRDefault="000C49AD">
            <w:pPr>
              <w:spacing w:after="100"/>
              <w:jc w:val="right"/>
              <w:rPr>
                <w:rFonts w:eastAsia="Times New Roman"/>
              </w:rPr>
            </w:pPr>
            <w:r>
              <w:rPr>
                <w:rFonts w:eastAsia="Times New Roman"/>
                <w:color w:val="000000"/>
                <w:sz w:val="16"/>
                <w:szCs w:val="16"/>
              </w:rPr>
              <w:t>179,683 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83A3D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323378"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0ED68CB" w14:textId="77777777" w:rsidR="00000000" w:rsidRDefault="000C49AD">
            <w:pPr>
              <w:spacing w:after="100"/>
              <w:jc w:val="right"/>
              <w:rPr>
                <w:rFonts w:eastAsia="Times New Roman"/>
              </w:rPr>
            </w:pPr>
            <w:r>
              <w:rPr>
                <w:rFonts w:eastAsia="Times New Roman"/>
                <w:color w:val="000000"/>
                <w:sz w:val="16"/>
                <w:szCs w:val="16"/>
              </w:rPr>
              <w:t>(27)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DA2AA9" w14:textId="77777777" w:rsidR="00000000" w:rsidRDefault="000C49AD">
            <w:pPr>
              <w:spacing w:after="100"/>
              <w:jc w:val="right"/>
              <w:rPr>
                <w:rFonts w:eastAsia="Times New Roman"/>
              </w:rPr>
            </w:pPr>
          </w:p>
        </w:tc>
      </w:tr>
      <w:tr w:rsidR="00000000" w14:paraId="2C26AA5C" w14:textId="77777777">
        <w:tc>
          <w:tcPr>
            <w:tcW w:w="0" w:type="auto"/>
            <w:gridSpan w:val="3"/>
            <w:shd w:val="clear" w:color="auto" w:fill="FFFFFF"/>
            <w:tcMar>
              <w:top w:w="30" w:type="dxa"/>
              <w:left w:w="155" w:type="dxa"/>
              <w:bottom w:w="30" w:type="dxa"/>
              <w:right w:w="20" w:type="dxa"/>
            </w:tcMar>
            <w:vAlign w:val="bottom"/>
            <w:hideMark/>
          </w:tcPr>
          <w:p w14:paraId="2EB3733A" w14:textId="77777777" w:rsidR="00000000" w:rsidRDefault="000C49AD">
            <w:pPr>
              <w:spacing w:after="100"/>
              <w:rPr>
                <w:rFonts w:eastAsia="Times New Roman"/>
              </w:rPr>
            </w:pPr>
            <w:r>
              <w:rPr>
                <w:rFonts w:eastAsia="Times New Roman"/>
                <w:color w:val="000000"/>
                <w:sz w:val="16"/>
                <w:szCs w:val="16"/>
              </w:rPr>
              <w:t>Effect of foreign currency exchange rate changes on cash and cash equivalents</w:t>
            </w:r>
          </w:p>
        </w:tc>
        <w:tc>
          <w:tcPr>
            <w:tcW w:w="0" w:type="auto"/>
            <w:gridSpan w:val="3"/>
            <w:shd w:val="clear" w:color="auto" w:fill="FFFFFF"/>
            <w:tcMar>
              <w:top w:w="0" w:type="dxa"/>
              <w:left w:w="20" w:type="dxa"/>
              <w:bottom w:w="0" w:type="dxa"/>
              <w:right w:w="20" w:type="dxa"/>
            </w:tcMar>
            <w:vAlign w:val="center"/>
            <w:hideMark/>
          </w:tcPr>
          <w:p w14:paraId="35583E34"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572B55" w14:textId="77777777" w:rsidR="00000000" w:rsidRDefault="000C49AD">
            <w:pPr>
              <w:spacing w:after="100"/>
              <w:jc w:val="right"/>
              <w:rPr>
                <w:rFonts w:eastAsia="Times New Roman"/>
              </w:rPr>
            </w:pPr>
            <w:r>
              <w:rPr>
                <w:rFonts w:eastAsia="Times New Roman"/>
                <w:color w:val="000000"/>
                <w:sz w:val="16"/>
                <w:szCs w:val="16"/>
              </w:rPr>
              <w:t>(896)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26189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977D2"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0C6AADF" w14:textId="77777777" w:rsidR="00000000" w:rsidRDefault="000C49AD">
            <w:pPr>
              <w:spacing w:after="100"/>
              <w:jc w:val="right"/>
              <w:rPr>
                <w:rFonts w:eastAsia="Times New Roman"/>
              </w:rPr>
            </w:pPr>
            <w:r>
              <w:rPr>
                <w:rFonts w:eastAsia="Times New Roman"/>
                <w:color w:val="000000"/>
                <w:sz w:val="16"/>
                <w:szCs w:val="16"/>
              </w:rPr>
              <w:t>720 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96295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BEF73"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3DE059E" w14:textId="77777777" w:rsidR="00000000" w:rsidRDefault="000C49AD">
            <w:pPr>
              <w:spacing w:after="100"/>
              <w:jc w:val="right"/>
              <w:rPr>
                <w:rFonts w:eastAsia="Times New Roman"/>
              </w:rPr>
            </w:pPr>
            <w:r>
              <w:rPr>
                <w:rFonts w:eastAsia="Times New Roman"/>
                <w:color w:val="000000"/>
                <w:sz w:val="16"/>
                <w:szCs w:val="16"/>
              </w:rPr>
              <w:t>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78A352C" w14:textId="77777777" w:rsidR="00000000" w:rsidRDefault="000C49AD">
            <w:pPr>
              <w:spacing w:after="100"/>
              <w:jc w:val="right"/>
              <w:rPr>
                <w:rFonts w:eastAsia="Times New Roman"/>
              </w:rPr>
            </w:pPr>
          </w:p>
        </w:tc>
      </w:tr>
      <w:tr w:rsidR="00000000" w14:paraId="0D4B942B" w14:textId="77777777">
        <w:tc>
          <w:tcPr>
            <w:tcW w:w="0" w:type="auto"/>
            <w:gridSpan w:val="3"/>
            <w:shd w:val="clear" w:color="auto" w:fill="CCEEFF"/>
            <w:tcMar>
              <w:top w:w="30" w:type="dxa"/>
              <w:left w:w="20" w:type="dxa"/>
              <w:bottom w:w="30" w:type="dxa"/>
              <w:right w:w="20" w:type="dxa"/>
            </w:tcMar>
            <w:vAlign w:val="bottom"/>
            <w:hideMark/>
          </w:tcPr>
          <w:p w14:paraId="626248F0" w14:textId="77777777" w:rsidR="00000000" w:rsidRDefault="000C49AD">
            <w:pPr>
              <w:spacing w:after="100"/>
              <w:rPr>
                <w:rFonts w:eastAsia="Times New Roman"/>
              </w:rPr>
            </w:pPr>
            <w:r>
              <w:rPr>
                <w:rFonts w:eastAsia="Times New Roman"/>
                <w:color w:val="000000"/>
                <w:sz w:val="16"/>
                <w:szCs w:val="16"/>
              </w:rPr>
              <w:t>Net change in cash and cash equivalents</w:t>
            </w:r>
          </w:p>
        </w:tc>
        <w:tc>
          <w:tcPr>
            <w:tcW w:w="0" w:type="auto"/>
            <w:gridSpan w:val="3"/>
            <w:shd w:val="clear" w:color="auto" w:fill="CCEEFF"/>
            <w:tcMar>
              <w:top w:w="0" w:type="dxa"/>
              <w:left w:w="20" w:type="dxa"/>
              <w:bottom w:w="0" w:type="dxa"/>
              <w:right w:w="20" w:type="dxa"/>
            </w:tcMar>
            <w:vAlign w:val="center"/>
            <w:hideMark/>
          </w:tcPr>
          <w:p w14:paraId="6F94FDE5"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DD2ACF" w14:textId="77777777" w:rsidR="00000000" w:rsidRDefault="000C49AD">
            <w:pPr>
              <w:spacing w:after="100"/>
              <w:jc w:val="right"/>
              <w:rPr>
                <w:rFonts w:eastAsia="Times New Roman"/>
              </w:rPr>
            </w:pPr>
            <w:r>
              <w:rPr>
                <w:rFonts w:eastAsia="Times New Roman"/>
                <w:color w:val="000000"/>
                <w:sz w:val="16"/>
                <w:szCs w:val="16"/>
              </w:rPr>
              <w:t>(21,014)</w:t>
            </w:r>
          </w:p>
        </w:tc>
        <w:tc>
          <w:tcPr>
            <w:tcW w:w="0" w:type="auto"/>
            <w:shd w:val="clear" w:color="auto" w:fill="CCEEFF"/>
            <w:tcMar>
              <w:top w:w="30" w:type="dxa"/>
              <w:left w:w="0" w:type="dxa"/>
              <w:bottom w:w="30" w:type="dxa"/>
              <w:right w:w="20" w:type="dxa"/>
            </w:tcMar>
            <w:vAlign w:val="bottom"/>
            <w:hideMark/>
          </w:tcPr>
          <w:p w14:paraId="5CC0215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BCDC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A2874B" w14:textId="77777777" w:rsidR="00000000" w:rsidRDefault="000C49AD">
            <w:pPr>
              <w:spacing w:after="100"/>
              <w:jc w:val="right"/>
              <w:rPr>
                <w:rFonts w:eastAsia="Times New Roman"/>
              </w:rPr>
            </w:pPr>
            <w:r>
              <w:rPr>
                <w:rFonts w:eastAsia="Times New Roman"/>
                <w:color w:val="000000"/>
                <w:sz w:val="16"/>
                <w:szCs w:val="16"/>
              </w:rPr>
              <w:t>61,948 </w:t>
            </w:r>
          </w:p>
        </w:tc>
        <w:tc>
          <w:tcPr>
            <w:tcW w:w="0" w:type="auto"/>
            <w:shd w:val="clear" w:color="auto" w:fill="CCEEFF"/>
            <w:tcMar>
              <w:top w:w="30" w:type="dxa"/>
              <w:left w:w="0" w:type="dxa"/>
              <w:bottom w:w="30" w:type="dxa"/>
              <w:right w:w="20" w:type="dxa"/>
            </w:tcMar>
            <w:vAlign w:val="bottom"/>
            <w:hideMark/>
          </w:tcPr>
          <w:p w14:paraId="002CF19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3DAB5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E2EEE3" w14:textId="77777777" w:rsidR="00000000" w:rsidRDefault="000C49AD">
            <w:pPr>
              <w:spacing w:after="100"/>
              <w:jc w:val="right"/>
              <w:rPr>
                <w:rFonts w:eastAsia="Times New Roman"/>
              </w:rPr>
            </w:pPr>
            <w:r>
              <w:rPr>
                <w:rFonts w:eastAsia="Times New Roman"/>
                <w:color w:val="000000"/>
                <w:sz w:val="16"/>
                <w:szCs w:val="16"/>
              </w:rPr>
              <w:t>449 </w:t>
            </w:r>
          </w:p>
        </w:tc>
        <w:tc>
          <w:tcPr>
            <w:tcW w:w="0" w:type="auto"/>
            <w:shd w:val="clear" w:color="auto" w:fill="CCEEFF"/>
            <w:tcMar>
              <w:top w:w="30" w:type="dxa"/>
              <w:left w:w="0" w:type="dxa"/>
              <w:bottom w:w="30" w:type="dxa"/>
              <w:right w:w="20" w:type="dxa"/>
            </w:tcMar>
            <w:vAlign w:val="bottom"/>
            <w:hideMark/>
          </w:tcPr>
          <w:p w14:paraId="63F37139" w14:textId="77777777" w:rsidR="00000000" w:rsidRDefault="000C49AD">
            <w:pPr>
              <w:spacing w:after="100"/>
              <w:jc w:val="right"/>
              <w:rPr>
                <w:rFonts w:eastAsia="Times New Roman"/>
              </w:rPr>
            </w:pPr>
          </w:p>
        </w:tc>
      </w:tr>
      <w:tr w:rsidR="00000000" w14:paraId="3DAB5261" w14:textId="77777777">
        <w:tc>
          <w:tcPr>
            <w:tcW w:w="0" w:type="auto"/>
            <w:gridSpan w:val="3"/>
            <w:shd w:val="clear" w:color="auto" w:fill="FFFFFF"/>
            <w:tcMar>
              <w:top w:w="30" w:type="dxa"/>
              <w:left w:w="20" w:type="dxa"/>
              <w:bottom w:w="30" w:type="dxa"/>
              <w:right w:w="20" w:type="dxa"/>
            </w:tcMar>
            <w:vAlign w:val="bottom"/>
            <w:hideMark/>
          </w:tcPr>
          <w:p w14:paraId="277FDDC9" w14:textId="77777777" w:rsidR="00000000" w:rsidRDefault="000C49AD">
            <w:pPr>
              <w:spacing w:after="100"/>
              <w:rPr>
                <w:rFonts w:eastAsia="Times New Roman"/>
              </w:rPr>
            </w:pPr>
            <w:r>
              <w:rPr>
                <w:rFonts w:eastAsia="Times New Roman"/>
                <w:color w:val="000000"/>
                <w:sz w:val="16"/>
                <w:szCs w:val="16"/>
              </w:rPr>
              <w:t>Cash and cash equivalents at January 1</w:t>
            </w:r>
          </w:p>
        </w:tc>
        <w:tc>
          <w:tcPr>
            <w:tcW w:w="0" w:type="auto"/>
            <w:gridSpan w:val="3"/>
            <w:shd w:val="clear" w:color="auto" w:fill="FFFFFF"/>
            <w:tcMar>
              <w:top w:w="0" w:type="dxa"/>
              <w:left w:w="20" w:type="dxa"/>
              <w:bottom w:w="0" w:type="dxa"/>
              <w:right w:w="20" w:type="dxa"/>
            </w:tcMar>
            <w:vAlign w:val="center"/>
            <w:hideMark/>
          </w:tcPr>
          <w:p w14:paraId="6F6C2948"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789104" w14:textId="77777777" w:rsidR="00000000" w:rsidRDefault="000C49AD">
            <w:pPr>
              <w:spacing w:after="100"/>
              <w:jc w:val="right"/>
              <w:rPr>
                <w:rFonts w:eastAsia="Times New Roman"/>
              </w:rPr>
            </w:pPr>
            <w:r>
              <w:rPr>
                <w:rFonts w:eastAsia="Times New Roman"/>
                <w:color w:val="000000"/>
                <w:sz w:val="16"/>
                <w:szCs w:val="16"/>
              </w:rPr>
              <w:t>71,722 </w:t>
            </w:r>
          </w:p>
        </w:tc>
        <w:tc>
          <w:tcPr>
            <w:tcW w:w="0" w:type="auto"/>
            <w:shd w:val="clear" w:color="auto" w:fill="FFFFFF"/>
            <w:tcMar>
              <w:top w:w="30" w:type="dxa"/>
              <w:left w:w="0" w:type="dxa"/>
              <w:bottom w:w="30" w:type="dxa"/>
              <w:right w:w="20" w:type="dxa"/>
            </w:tcMar>
            <w:vAlign w:val="bottom"/>
            <w:hideMark/>
          </w:tcPr>
          <w:p w14:paraId="6360029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51622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E7A0F" w14:textId="77777777" w:rsidR="00000000" w:rsidRDefault="000C49AD">
            <w:pPr>
              <w:spacing w:after="100"/>
              <w:jc w:val="right"/>
              <w:rPr>
                <w:rFonts w:eastAsia="Times New Roman"/>
              </w:rPr>
            </w:pPr>
            <w:r>
              <w:rPr>
                <w:rFonts w:eastAsia="Times New Roman"/>
                <w:color w:val="000000"/>
                <w:sz w:val="16"/>
                <w:szCs w:val="16"/>
              </w:rPr>
              <w:t>9,774 </w:t>
            </w:r>
          </w:p>
        </w:tc>
        <w:tc>
          <w:tcPr>
            <w:tcW w:w="0" w:type="auto"/>
            <w:shd w:val="clear" w:color="auto" w:fill="FFFFFF"/>
            <w:tcMar>
              <w:top w:w="30" w:type="dxa"/>
              <w:left w:w="0" w:type="dxa"/>
              <w:bottom w:w="30" w:type="dxa"/>
              <w:right w:w="20" w:type="dxa"/>
            </w:tcMar>
            <w:vAlign w:val="bottom"/>
            <w:hideMark/>
          </w:tcPr>
          <w:p w14:paraId="680D64D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292A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21D960" w14:textId="77777777" w:rsidR="00000000" w:rsidRDefault="000C49AD">
            <w:pPr>
              <w:spacing w:after="100"/>
              <w:jc w:val="right"/>
              <w:rPr>
                <w:rFonts w:eastAsia="Times New Roman"/>
              </w:rPr>
            </w:pPr>
            <w:r>
              <w:rPr>
                <w:rFonts w:eastAsia="Times New Roman"/>
                <w:color w:val="000000"/>
                <w:sz w:val="16"/>
                <w:szCs w:val="16"/>
              </w:rPr>
              <w:t>9,325 </w:t>
            </w:r>
          </w:p>
        </w:tc>
        <w:tc>
          <w:tcPr>
            <w:tcW w:w="0" w:type="auto"/>
            <w:shd w:val="clear" w:color="auto" w:fill="FFFFFF"/>
            <w:tcMar>
              <w:top w:w="30" w:type="dxa"/>
              <w:left w:w="0" w:type="dxa"/>
              <w:bottom w:w="30" w:type="dxa"/>
              <w:right w:w="20" w:type="dxa"/>
            </w:tcMar>
            <w:vAlign w:val="bottom"/>
            <w:hideMark/>
          </w:tcPr>
          <w:p w14:paraId="249D329C" w14:textId="77777777" w:rsidR="00000000" w:rsidRDefault="000C49AD">
            <w:pPr>
              <w:spacing w:after="100"/>
              <w:jc w:val="right"/>
              <w:rPr>
                <w:rFonts w:eastAsia="Times New Roman"/>
              </w:rPr>
            </w:pPr>
          </w:p>
        </w:tc>
      </w:tr>
      <w:tr w:rsidR="00000000" w14:paraId="41CA2D9E" w14:textId="77777777">
        <w:tc>
          <w:tcPr>
            <w:tcW w:w="0" w:type="auto"/>
            <w:gridSpan w:val="3"/>
            <w:shd w:val="clear" w:color="auto" w:fill="CCEEFF"/>
            <w:tcMar>
              <w:top w:w="30" w:type="dxa"/>
              <w:left w:w="20" w:type="dxa"/>
              <w:bottom w:w="30" w:type="dxa"/>
              <w:right w:w="20" w:type="dxa"/>
            </w:tcMar>
            <w:vAlign w:val="bottom"/>
            <w:hideMark/>
          </w:tcPr>
          <w:p w14:paraId="7084268E" w14:textId="77777777" w:rsidR="00000000" w:rsidRDefault="000C49AD">
            <w:pPr>
              <w:spacing w:after="100"/>
              <w:rPr>
                <w:rFonts w:eastAsia="Times New Roman"/>
              </w:rPr>
            </w:pPr>
            <w:r>
              <w:rPr>
                <w:rFonts w:eastAsia="Times New Roman"/>
                <w:color w:val="000000"/>
                <w:sz w:val="16"/>
                <w:szCs w:val="16"/>
              </w:rPr>
              <w:t>Cash and cash equivalents at December 31</w:t>
            </w:r>
          </w:p>
        </w:tc>
        <w:tc>
          <w:tcPr>
            <w:tcW w:w="0" w:type="auto"/>
            <w:gridSpan w:val="3"/>
            <w:shd w:val="clear" w:color="auto" w:fill="CCEEFF"/>
            <w:tcMar>
              <w:top w:w="0" w:type="dxa"/>
              <w:left w:w="20" w:type="dxa"/>
              <w:bottom w:w="0" w:type="dxa"/>
              <w:right w:w="20" w:type="dxa"/>
            </w:tcMar>
            <w:vAlign w:val="center"/>
            <w:hideMark/>
          </w:tcPr>
          <w:p w14:paraId="18C81531" w14:textId="77777777" w:rsidR="00000000" w:rsidRDefault="000C49A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EE1B92A"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4895B39" w14:textId="77777777" w:rsidR="00000000" w:rsidRDefault="000C49AD">
            <w:pPr>
              <w:spacing w:after="100"/>
              <w:jc w:val="right"/>
              <w:rPr>
                <w:rFonts w:eastAsia="Times New Roman"/>
              </w:rPr>
            </w:pPr>
            <w:r>
              <w:rPr>
                <w:rFonts w:eastAsia="Times New Roman"/>
                <w:color w:val="000000"/>
                <w:sz w:val="16"/>
                <w:szCs w:val="16"/>
              </w:rPr>
              <w:t>50,708 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7D60D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7F3DD"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B533922"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C38AA4" w14:textId="77777777" w:rsidR="00000000" w:rsidRDefault="000C49AD">
            <w:pPr>
              <w:spacing w:after="100"/>
              <w:jc w:val="right"/>
              <w:rPr>
                <w:rFonts w:eastAsia="Times New Roman"/>
              </w:rPr>
            </w:pPr>
            <w:r>
              <w:rPr>
                <w:rFonts w:eastAsia="Times New Roman"/>
                <w:color w:val="000000"/>
                <w:sz w:val="16"/>
                <w:szCs w:val="16"/>
              </w:rPr>
              <w:t>71,722 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AAA5C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56700"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F6D6A4E" w14:textId="77777777" w:rsidR="00000000" w:rsidRDefault="000C49AD">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394141E" w14:textId="77777777" w:rsidR="00000000" w:rsidRDefault="000C49AD">
            <w:pPr>
              <w:spacing w:after="100"/>
              <w:jc w:val="right"/>
              <w:rPr>
                <w:rFonts w:eastAsia="Times New Roman"/>
              </w:rPr>
            </w:pPr>
            <w:r>
              <w:rPr>
                <w:rFonts w:eastAsia="Times New Roman"/>
                <w:color w:val="000000"/>
                <w:sz w:val="16"/>
                <w:szCs w:val="16"/>
              </w:rPr>
              <w:t>9,774 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D49E4F" w14:textId="77777777" w:rsidR="00000000" w:rsidRDefault="000C49AD">
            <w:pPr>
              <w:spacing w:after="100"/>
              <w:jc w:val="right"/>
              <w:rPr>
                <w:rFonts w:eastAsia="Times New Roman"/>
              </w:rPr>
            </w:pPr>
          </w:p>
        </w:tc>
      </w:tr>
      <w:tr w:rsidR="00000000" w14:paraId="2CE5DAF2" w14:textId="77777777">
        <w:trPr>
          <w:trHeight w:val="100"/>
        </w:trPr>
        <w:tc>
          <w:tcPr>
            <w:tcW w:w="0" w:type="auto"/>
            <w:gridSpan w:val="3"/>
            <w:shd w:val="clear" w:color="auto" w:fill="FFFFFF"/>
            <w:tcMar>
              <w:top w:w="0" w:type="dxa"/>
              <w:left w:w="20" w:type="dxa"/>
              <w:bottom w:w="0" w:type="dxa"/>
              <w:right w:w="20" w:type="dxa"/>
            </w:tcMar>
            <w:vAlign w:val="center"/>
            <w:hideMark/>
          </w:tcPr>
          <w:p w14:paraId="0444D5FA"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D1878C"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449FAC0"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255904"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D4A9F3"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888B4C"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A54A90B" w14:textId="77777777" w:rsidR="00000000" w:rsidRDefault="000C49AD">
            <w:pPr>
              <w:spacing w:after="100"/>
              <w:rPr>
                <w:rFonts w:eastAsia="Times New Roman"/>
                <w:sz w:val="20"/>
                <w:szCs w:val="20"/>
              </w:rPr>
            </w:pPr>
          </w:p>
        </w:tc>
      </w:tr>
      <w:tr w:rsidR="00000000" w14:paraId="68C0957A" w14:textId="77777777">
        <w:tc>
          <w:tcPr>
            <w:tcW w:w="0" w:type="auto"/>
            <w:gridSpan w:val="3"/>
            <w:shd w:val="clear" w:color="auto" w:fill="CCEEFF"/>
            <w:tcMar>
              <w:top w:w="30" w:type="dxa"/>
              <w:left w:w="20" w:type="dxa"/>
              <w:bottom w:w="30" w:type="dxa"/>
              <w:right w:w="20" w:type="dxa"/>
            </w:tcMar>
            <w:vAlign w:val="bottom"/>
            <w:hideMark/>
          </w:tcPr>
          <w:p w14:paraId="090D487D" w14:textId="77777777" w:rsidR="00000000" w:rsidRDefault="000C49AD">
            <w:pPr>
              <w:spacing w:after="100"/>
              <w:rPr>
                <w:rFonts w:eastAsia="Times New Roman"/>
              </w:rPr>
            </w:pPr>
            <w:r>
              <w:rPr>
                <w:rFonts w:eastAsia="Times New Roman"/>
                <w:color w:val="000000"/>
                <w:sz w:val="16"/>
                <w:szCs w:val="16"/>
              </w:rPr>
              <w:t>Supplemental disclosures of cash flow information:</w:t>
            </w:r>
          </w:p>
        </w:tc>
        <w:tc>
          <w:tcPr>
            <w:tcW w:w="0" w:type="auto"/>
            <w:gridSpan w:val="3"/>
            <w:shd w:val="clear" w:color="auto" w:fill="CCEEFF"/>
            <w:tcMar>
              <w:top w:w="0" w:type="dxa"/>
              <w:left w:w="20" w:type="dxa"/>
              <w:bottom w:w="0" w:type="dxa"/>
              <w:right w:w="20" w:type="dxa"/>
            </w:tcMar>
            <w:vAlign w:val="center"/>
            <w:hideMark/>
          </w:tcPr>
          <w:p w14:paraId="5DA29D54"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27A8904"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71E72EB3"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CF77779" w14:textId="77777777" w:rsidR="00000000" w:rsidRDefault="000C49AD">
            <w:pPr>
              <w:spacing w:after="100"/>
              <w:jc w:val="right"/>
              <w:rPr>
                <w:rFonts w:eastAsia="Times New Roman"/>
              </w:rPr>
            </w:pPr>
            <w:r>
              <w:rPr>
                <w:rFonts w:eastAsia="Times New Roman"/>
                <w:color w:val="000000"/>
                <w:sz w:val="16"/>
                <w:szCs w:val="16"/>
              </w:rPr>
              <w:t> </w:t>
            </w:r>
          </w:p>
        </w:tc>
        <w:tc>
          <w:tcPr>
            <w:tcW w:w="0" w:type="auto"/>
            <w:gridSpan w:val="3"/>
            <w:shd w:val="clear" w:color="auto" w:fill="CCEEFF"/>
            <w:tcMar>
              <w:top w:w="0" w:type="dxa"/>
              <w:left w:w="20" w:type="dxa"/>
              <w:bottom w:w="0" w:type="dxa"/>
              <w:right w:w="20" w:type="dxa"/>
            </w:tcMar>
            <w:vAlign w:val="center"/>
            <w:hideMark/>
          </w:tcPr>
          <w:p w14:paraId="4CAF2CE8"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75A92D9" w14:textId="77777777" w:rsidR="00000000" w:rsidRDefault="000C49AD">
            <w:pPr>
              <w:spacing w:after="100"/>
              <w:jc w:val="right"/>
              <w:rPr>
                <w:rFonts w:eastAsia="Times New Roman"/>
              </w:rPr>
            </w:pPr>
            <w:r>
              <w:rPr>
                <w:rFonts w:eastAsia="Times New Roman"/>
                <w:color w:val="000000"/>
                <w:sz w:val="16"/>
                <w:szCs w:val="16"/>
              </w:rPr>
              <w:t> </w:t>
            </w:r>
          </w:p>
        </w:tc>
      </w:tr>
      <w:tr w:rsidR="00000000" w14:paraId="5A0F466F" w14:textId="77777777">
        <w:tc>
          <w:tcPr>
            <w:tcW w:w="0" w:type="auto"/>
            <w:gridSpan w:val="3"/>
            <w:shd w:val="clear" w:color="auto" w:fill="FFFFFF"/>
            <w:tcMar>
              <w:top w:w="30" w:type="dxa"/>
              <w:left w:w="155" w:type="dxa"/>
              <w:bottom w:w="30" w:type="dxa"/>
              <w:right w:w="20" w:type="dxa"/>
            </w:tcMar>
            <w:vAlign w:val="bottom"/>
            <w:hideMark/>
          </w:tcPr>
          <w:p w14:paraId="3F3352E5" w14:textId="77777777" w:rsidR="00000000" w:rsidRDefault="000C49AD">
            <w:pPr>
              <w:spacing w:after="100"/>
              <w:rPr>
                <w:rFonts w:eastAsia="Times New Roman"/>
              </w:rPr>
            </w:pPr>
            <w:r>
              <w:rPr>
                <w:rFonts w:eastAsia="Times New Roman"/>
                <w:color w:val="000000"/>
                <w:sz w:val="16"/>
                <w:szCs w:val="16"/>
              </w:rPr>
              <w:t>Income taxes paid (refund), net</w:t>
            </w:r>
          </w:p>
        </w:tc>
        <w:tc>
          <w:tcPr>
            <w:tcW w:w="0" w:type="auto"/>
            <w:gridSpan w:val="3"/>
            <w:shd w:val="clear" w:color="auto" w:fill="FFFFFF"/>
            <w:tcMar>
              <w:top w:w="0" w:type="dxa"/>
              <w:left w:w="20" w:type="dxa"/>
              <w:bottom w:w="0" w:type="dxa"/>
              <w:right w:w="20" w:type="dxa"/>
            </w:tcMar>
            <w:vAlign w:val="center"/>
            <w:hideMark/>
          </w:tcPr>
          <w:p w14:paraId="2EFFF269" w14:textId="77777777" w:rsidR="00000000" w:rsidRDefault="000C49A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C036A1B" w14:textId="77777777" w:rsidR="00000000" w:rsidRDefault="000C49A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A0A5DFC" w14:textId="77777777" w:rsidR="00000000" w:rsidRDefault="000C49AD">
            <w:pPr>
              <w:spacing w:after="100"/>
              <w:jc w:val="right"/>
              <w:rPr>
                <w:rFonts w:eastAsia="Times New Roman"/>
              </w:rPr>
            </w:pPr>
            <w:r>
              <w:rPr>
                <w:rFonts w:eastAsia="Times New Roman"/>
                <w:color w:val="000000"/>
                <w:sz w:val="16"/>
                <w:szCs w:val="16"/>
              </w:rPr>
              <w:t>76 </w:t>
            </w:r>
          </w:p>
        </w:tc>
        <w:tc>
          <w:tcPr>
            <w:tcW w:w="0" w:type="auto"/>
            <w:shd w:val="clear" w:color="auto" w:fill="FFFFFF"/>
            <w:tcMar>
              <w:top w:w="30" w:type="dxa"/>
              <w:left w:w="0" w:type="dxa"/>
              <w:bottom w:w="30" w:type="dxa"/>
              <w:right w:w="20" w:type="dxa"/>
            </w:tcMar>
            <w:vAlign w:val="bottom"/>
            <w:hideMark/>
          </w:tcPr>
          <w:p w14:paraId="1AC44DA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E42050"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5B887B0" w14:textId="77777777" w:rsidR="00000000" w:rsidRDefault="000C49A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33A30B3" w14:textId="77777777" w:rsidR="00000000" w:rsidRDefault="000C49AD">
            <w:pPr>
              <w:spacing w:after="100"/>
              <w:jc w:val="right"/>
              <w:rPr>
                <w:rFonts w:eastAsia="Times New Roman"/>
              </w:rPr>
            </w:pPr>
            <w:r>
              <w:rPr>
                <w:rFonts w:eastAsia="Times New Roman"/>
                <w:color w:val="000000"/>
                <w:sz w:val="16"/>
                <w:szCs w:val="16"/>
              </w:rPr>
              <w:t>(1,701)</w:t>
            </w:r>
          </w:p>
        </w:tc>
        <w:tc>
          <w:tcPr>
            <w:tcW w:w="0" w:type="auto"/>
            <w:shd w:val="clear" w:color="auto" w:fill="FFFFFF"/>
            <w:tcMar>
              <w:top w:w="30" w:type="dxa"/>
              <w:left w:w="0" w:type="dxa"/>
              <w:bottom w:w="30" w:type="dxa"/>
              <w:right w:w="20" w:type="dxa"/>
            </w:tcMar>
            <w:vAlign w:val="bottom"/>
            <w:hideMark/>
          </w:tcPr>
          <w:p w14:paraId="3A6AFAA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1D9D6C"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C2D1525" w14:textId="77777777" w:rsidR="00000000" w:rsidRDefault="000C49AD">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78910F45" w14:textId="77777777" w:rsidR="00000000" w:rsidRDefault="000C49AD">
            <w:pPr>
              <w:spacing w:after="100"/>
              <w:jc w:val="right"/>
              <w:rPr>
                <w:rFonts w:eastAsia="Times New Roman"/>
              </w:rPr>
            </w:pPr>
            <w:r>
              <w:rPr>
                <w:rFonts w:eastAsia="Times New Roman"/>
                <w:color w:val="000000"/>
                <w:sz w:val="16"/>
                <w:szCs w:val="16"/>
              </w:rPr>
              <w:t>140 </w:t>
            </w:r>
          </w:p>
        </w:tc>
        <w:tc>
          <w:tcPr>
            <w:tcW w:w="0" w:type="auto"/>
            <w:shd w:val="clear" w:color="auto" w:fill="FFFFFF"/>
            <w:tcMar>
              <w:top w:w="30" w:type="dxa"/>
              <w:left w:w="0" w:type="dxa"/>
              <w:bottom w:w="30" w:type="dxa"/>
              <w:right w:w="20" w:type="dxa"/>
            </w:tcMar>
            <w:vAlign w:val="bottom"/>
            <w:hideMark/>
          </w:tcPr>
          <w:p w14:paraId="7003BA4E" w14:textId="77777777" w:rsidR="00000000" w:rsidRDefault="000C49AD">
            <w:pPr>
              <w:spacing w:after="100"/>
              <w:jc w:val="right"/>
              <w:rPr>
                <w:rFonts w:eastAsia="Times New Roman"/>
              </w:rPr>
            </w:pPr>
          </w:p>
        </w:tc>
      </w:tr>
      <w:tr w:rsidR="00000000" w14:paraId="02E19B8B" w14:textId="77777777">
        <w:tc>
          <w:tcPr>
            <w:tcW w:w="0" w:type="auto"/>
            <w:gridSpan w:val="3"/>
            <w:shd w:val="clear" w:color="auto" w:fill="CCEEFF"/>
            <w:tcMar>
              <w:top w:w="30" w:type="dxa"/>
              <w:left w:w="155" w:type="dxa"/>
              <w:bottom w:w="30" w:type="dxa"/>
              <w:right w:w="20" w:type="dxa"/>
            </w:tcMar>
            <w:vAlign w:val="bottom"/>
            <w:hideMark/>
          </w:tcPr>
          <w:p w14:paraId="170DF328" w14:textId="77777777" w:rsidR="00000000" w:rsidRDefault="000C49AD">
            <w:pPr>
              <w:spacing w:after="100"/>
              <w:rPr>
                <w:rFonts w:eastAsia="Times New Roman"/>
              </w:rPr>
            </w:pPr>
            <w:r>
              <w:rPr>
                <w:rFonts w:eastAsia="Times New Roman"/>
                <w:color w:val="000000"/>
                <w:sz w:val="16"/>
                <w:szCs w:val="16"/>
              </w:rPr>
              <w:t>Interest paid</w:t>
            </w:r>
          </w:p>
        </w:tc>
        <w:tc>
          <w:tcPr>
            <w:tcW w:w="0" w:type="auto"/>
            <w:gridSpan w:val="3"/>
            <w:shd w:val="clear" w:color="auto" w:fill="CCEEFF"/>
            <w:tcMar>
              <w:top w:w="0" w:type="dxa"/>
              <w:left w:w="20" w:type="dxa"/>
              <w:bottom w:w="0" w:type="dxa"/>
              <w:right w:w="20" w:type="dxa"/>
            </w:tcMar>
            <w:vAlign w:val="center"/>
            <w:hideMark/>
          </w:tcPr>
          <w:p w14:paraId="0D360F6A"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FA0CBA" w14:textId="77777777" w:rsidR="00000000" w:rsidRDefault="000C49AD">
            <w:pPr>
              <w:spacing w:after="100"/>
              <w:jc w:val="right"/>
              <w:rPr>
                <w:rFonts w:eastAsia="Times New Roman"/>
              </w:rPr>
            </w:pPr>
            <w:r>
              <w:rPr>
                <w:rFonts w:eastAsia="Times New Roman"/>
                <w:color w:val="000000"/>
                <w:sz w:val="16"/>
                <w:szCs w:val="16"/>
              </w:rPr>
              <w:t>6,469 </w:t>
            </w:r>
          </w:p>
        </w:tc>
        <w:tc>
          <w:tcPr>
            <w:tcW w:w="0" w:type="auto"/>
            <w:shd w:val="clear" w:color="auto" w:fill="CCEEFF"/>
            <w:tcMar>
              <w:top w:w="30" w:type="dxa"/>
              <w:left w:w="0" w:type="dxa"/>
              <w:bottom w:w="30" w:type="dxa"/>
              <w:right w:w="20" w:type="dxa"/>
            </w:tcMar>
            <w:vAlign w:val="bottom"/>
            <w:hideMark/>
          </w:tcPr>
          <w:p w14:paraId="2CC736C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8C554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AFF2A9" w14:textId="77777777" w:rsidR="00000000" w:rsidRDefault="000C49AD">
            <w:pPr>
              <w:spacing w:after="100"/>
              <w:jc w:val="right"/>
              <w:rPr>
                <w:rFonts w:eastAsia="Times New Roman"/>
              </w:rPr>
            </w:pPr>
            <w:r>
              <w:rPr>
                <w:rFonts w:eastAsia="Times New Roman"/>
                <w:color w:val="000000"/>
                <w:sz w:val="16"/>
                <w:szCs w:val="16"/>
              </w:rPr>
              <w:t>6,469 </w:t>
            </w:r>
          </w:p>
        </w:tc>
        <w:tc>
          <w:tcPr>
            <w:tcW w:w="0" w:type="auto"/>
            <w:shd w:val="clear" w:color="auto" w:fill="CCEEFF"/>
            <w:tcMar>
              <w:top w:w="30" w:type="dxa"/>
              <w:left w:w="0" w:type="dxa"/>
              <w:bottom w:w="30" w:type="dxa"/>
              <w:right w:w="20" w:type="dxa"/>
            </w:tcMar>
            <w:vAlign w:val="bottom"/>
            <w:hideMark/>
          </w:tcPr>
          <w:p w14:paraId="0BFD190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B6275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11045B" w14:textId="77777777" w:rsidR="00000000" w:rsidRDefault="000C49AD">
            <w:pPr>
              <w:spacing w:after="100"/>
              <w:jc w:val="right"/>
              <w:rPr>
                <w:rFonts w:eastAsia="Times New Roman"/>
              </w:rPr>
            </w:pPr>
            <w:r>
              <w:rPr>
                <w:rFonts w:eastAsia="Times New Roman"/>
                <w:color w:val="000000"/>
                <w:sz w:val="16"/>
                <w:szCs w:val="16"/>
              </w:rPr>
              <w:t>6,469 </w:t>
            </w:r>
          </w:p>
        </w:tc>
        <w:tc>
          <w:tcPr>
            <w:tcW w:w="0" w:type="auto"/>
            <w:shd w:val="clear" w:color="auto" w:fill="CCEEFF"/>
            <w:tcMar>
              <w:top w:w="30" w:type="dxa"/>
              <w:left w:w="0" w:type="dxa"/>
              <w:bottom w:w="30" w:type="dxa"/>
              <w:right w:w="20" w:type="dxa"/>
            </w:tcMar>
            <w:vAlign w:val="bottom"/>
            <w:hideMark/>
          </w:tcPr>
          <w:p w14:paraId="11E114A4" w14:textId="77777777" w:rsidR="00000000" w:rsidRDefault="000C49AD">
            <w:pPr>
              <w:spacing w:after="100"/>
              <w:jc w:val="right"/>
              <w:rPr>
                <w:rFonts w:eastAsia="Times New Roman"/>
              </w:rPr>
            </w:pPr>
          </w:p>
        </w:tc>
      </w:tr>
    </w:tbl>
    <w:p w14:paraId="2418CD4F" w14:textId="77777777" w:rsidR="00000000" w:rsidRDefault="000C49AD">
      <w:pPr>
        <w:jc w:val="both"/>
        <w:rPr>
          <w:rFonts w:eastAsia="Times New Roman"/>
        </w:rPr>
      </w:pPr>
      <w:r>
        <w:rPr>
          <w:rFonts w:eastAsia="Times New Roman"/>
          <w:color w:val="000000"/>
          <w:sz w:val="20"/>
          <w:szCs w:val="20"/>
        </w:rPr>
        <w:t> </w:t>
      </w:r>
    </w:p>
    <w:p w14:paraId="668910D0" w14:textId="77777777" w:rsidR="00000000" w:rsidRDefault="000C49AD">
      <w:pPr>
        <w:jc w:val="center"/>
        <w:rPr>
          <w:rFonts w:eastAsia="Times New Roman"/>
        </w:rPr>
      </w:pPr>
      <w:r>
        <w:rPr>
          <w:rFonts w:eastAsia="Times New Roman"/>
          <w:i/>
          <w:iCs/>
          <w:color w:val="000000"/>
          <w:sz w:val="20"/>
          <w:szCs w:val="20"/>
        </w:rPr>
        <w:t>See accompanying notes to consolidated financial statements.</w:t>
      </w:r>
    </w:p>
    <w:p w14:paraId="3356E67C" w14:textId="77777777" w:rsidR="00000000" w:rsidRDefault="000C49AD">
      <w:pPr>
        <w:jc w:val="center"/>
        <w:divId w:val="171532490"/>
        <w:rPr>
          <w:rFonts w:eastAsia="Times New Roman"/>
        </w:rPr>
      </w:pPr>
      <w:r>
        <w:rPr>
          <w:rFonts w:eastAsia="Times New Roman"/>
          <w:color w:val="000000"/>
          <w:sz w:val="20"/>
          <w:szCs w:val="20"/>
        </w:rPr>
        <w:t>-78-</w:t>
      </w:r>
    </w:p>
    <w:p w14:paraId="27D5049B" w14:textId="77777777" w:rsidR="00000000" w:rsidRDefault="000C49AD">
      <w:pPr>
        <w:rPr>
          <w:rFonts w:eastAsia="Times New Roman"/>
        </w:rPr>
      </w:pPr>
      <w:r>
        <w:rPr>
          <w:rFonts w:eastAsia="Times New Roman"/>
        </w:rPr>
        <w:pict w14:anchorId="5A58671D">
          <v:rect id="_x0000_i1103" style="width:0;height:1.5pt" o:hralign="center" o:hrstd="t" o:hr="t" fillcolor="#a0a0a0" stroked="f"/>
        </w:pict>
      </w:r>
    </w:p>
    <w:p w14:paraId="321E74D1" w14:textId="77777777" w:rsidR="00000000" w:rsidRDefault="000C49AD">
      <w:pPr>
        <w:divId w:val="1940211459"/>
        <w:rPr>
          <w:rFonts w:eastAsia="Times New Roman"/>
        </w:rPr>
      </w:pPr>
    </w:p>
    <w:p w14:paraId="55744CD7" w14:textId="77777777" w:rsidR="00000000" w:rsidRDefault="000C49AD">
      <w:pPr>
        <w:jc w:val="center"/>
        <w:rPr>
          <w:rFonts w:eastAsia="Times New Roman"/>
        </w:rPr>
      </w:pPr>
      <w:r>
        <w:rPr>
          <w:rFonts w:eastAsia="Times New Roman"/>
          <w:b/>
          <w:bCs/>
          <w:color w:val="000000"/>
          <w:sz w:val="20"/>
          <w:szCs w:val="20"/>
        </w:rPr>
        <w:t>AVADEL PHARMACEUTICALS PLC</w:t>
      </w:r>
    </w:p>
    <w:p w14:paraId="69B4C8EB" w14:textId="77777777" w:rsidR="00000000" w:rsidRDefault="000C49AD">
      <w:pPr>
        <w:jc w:val="center"/>
        <w:rPr>
          <w:rFonts w:eastAsia="Times New Roman"/>
        </w:rPr>
      </w:pPr>
      <w:r>
        <w:rPr>
          <w:rFonts w:eastAsia="Times New Roman"/>
          <w:b/>
          <w:bCs/>
          <w:color w:val="000000"/>
          <w:sz w:val="20"/>
          <w:szCs w:val="20"/>
        </w:rPr>
        <w:t>NOTES TO THE CONSOLIDATED FINANCIAL STATEMENTS</w:t>
      </w:r>
    </w:p>
    <w:p w14:paraId="578CC007" w14:textId="77777777" w:rsidR="00000000" w:rsidRDefault="000C49AD">
      <w:pPr>
        <w:jc w:val="center"/>
        <w:rPr>
          <w:rFonts w:eastAsia="Times New Roman"/>
        </w:rPr>
      </w:pPr>
      <w:r>
        <w:rPr>
          <w:rFonts w:eastAsia="Times New Roman"/>
          <w:i/>
          <w:iCs/>
          <w:color w:val="000000"/>
          <w:sz w:val="20"/>
          <w:szCs w:val="20"/>
        </w:rPr>
        <w:t>(In thousands, except per share data)</w:t>
      </w:r>
    </w:p>
    <w:p w14:paraId="4DAFB285" w14:textId="77777777" w:rsidR="00000000" w:rsidRDefault="000C49AD">
      <w:pPr>
        <w:divId w:val="1162543595"/>
        <w:rPr>
          <w:rFonts w:eastAsia="Times New Roman"/>
        </w:rPr>
      </w:pPr>
    </w:p>
    <w:p w14:paraId="68607A52" w14:textId="77777777" w:rsidR="00000000" w:rsidRDefault="000C49AD">
      <w:pPr>
        <w:divId w:val="620722480"/>
        <w:rPr>
          <w:rFonts w:eastAsia="Times New Roman"/>
        </w:rPr>
      </w:pPr>
      <w:r>
        <w:rPr>
          <w:rFonts w:eastAsia="Times New Roman"/>
          <w:b/>
          <w:bCs/>
          <w:color w:val="000000"/>
          <w:sz w:val="20"/>
          <w:szCs w:val="20"/>
        </w:rPr>
        <w:t>NOTE 1:</w:t>
      </w:r>
      <w:r>
        <w:rPr>
          <w:rFonts w:eastAsia="Times New Roman"/>
          <w:color w:val="000000"/>
          <w:sz w:val="20"/>
          <w:szCs w:val="20"/>
        </w:rPr>
        <w:t xml:space="preserve"> </w:t>
      </w:r>
      <w:r>
        <w:rPr>
          <w:rFonts w:eastAsia="Times New Roman"/>
          <w:b/>
          <w:bCs/>
          <w:color w:val="000000"/>
          <w:sz w:val="20"/>
          <w:szCs w:val="20"/>
        </w:rPr>
        <w:t>Summary of Significant Accounting Policies</w:t>
      </w:r>
    </w:p>
    <w:p w14:paraId="58418C1B" w14:textId="77777777" w:rsidR="00000000" w:rsidRDefault="000C49AD">
      <w:pPr>
        <w:divId w:val="1688824766"/>
        <w:rPr>
          <w:rFonts w:eastAsia="Times New Roman"/>
        </w:rPr>
      </w:pPr>
    </w:p>
    <w:p w14:paraId="65A8CC5C" w14:textId="77777777" w:rsidR="00000000" w:rsidRDefault="000C49AD">
      <w:pPr>
        <w:jc w:val="both"/>
        <w:rPr>
          <w:rFonts w:eastAsia="Times New Roman"/>
        </w:rPr>
      </w:pPr>
      <w:r>
        <w:rPr>
          <w:rFonts w:eastAsia="Times New Roman"/>
          <w:b/>
          <w:bCs/>
          <w:i/>
          <w:iCs/>
          <w:color w:val="000000"/>
          <w:sz w:val="20"/>
          <w:szCs w:val="20"/>
        </w:rPr>
        <w:t>Nature of Operations.</w:t>
      </w:r>
      <w:r>
        <w:rPr>
          <w:rFonts w:eastAsia="Times New Roman"/>
          <w:color w:val="000000"/>
          <w:sz w:val="20"/>
          <w:szCs w:val="20"/>
        </w:rPr>
        <w:t xml:space="preserve"> Avadel Pharmaceuticals plc (Nasdaq: AVDL) (“Avadel,” the “Company,” “we,” “our,” or “us”) is a</w:t>
      </w:r>
      <w:r>
        <w:rPr>
          <w:rFonts w:eastAsia="Times New Roman"/>
          <w:color w:val="000000"/>
          <w:sz w:val="20"/>
          <w:szCs w:val="20"/>
        </w:rPr>
        <w:t xml:space="preserve"> biopharmaceutical company. The Company is registered as an Irish public limited company. The Company’s headquarters are in Dublin, Ireland with operations in St. Louis, Missouri, United States (“U.S”).</w:t>
      </w:r>
    </w:p>
    <w:p w14:paraId="17B4DC7C" w14:textId="77777777" w:rsidR="00000000" w:rsidRDefault="000C49AD">
      <w:pPr>
        <w:jc w:val="both"/>
        <w:rPr>
          <w:rFonts w:eastAsia="Times New Roman"/>
        </w:rPr>
      </w:pPr>
    </w:p>
    <w:p w14:paraId="107B4C94" w14:textId="77777777" w:rsidR="00000000" w:rsidRDefault="000C49AD">
      <w:pPr>
        <w:jc w:val="both"/>
        <w:rPr>
          <w:rFonts w:eastAsia="Times New Roman"/>
        </w:rPr>
      </w:pPr>
      <w:r>
        <w:rPr>
          <w:rFonts w:eastAsia="Times New Roman"/>
          <w:color w:val="000000"/>
          <w:sz w:val="20"/>
          <w:szCs w:val="20"/>
        </w:rPr>
        <w:t xml:space="preserve">The Company’s lead product candidate, FT218, is an </w:t>
      </w:r>
      <w:r>
        <w:rPr>
          <w:rFonts w:eastAsia="Times New Roman"/>
          <w:color w:val="000000"/>
          <w:sz w:val="20"/>
          <w:szCs w:val="20"/>
        </w:rPr>
        <w:t>investigational once-nightly, extended-release formulation of sodium oxybate for the treatment of excessive daytime sleepiness (“EDS”) or cataplexy in adults with narcolepsy. The Company is primarily focused on the development and potential United States (</w:t>
      </w:r>
      <w:r>
        <w:rPr>
          <w:rFonts w:eastAsia="Times New Roman"/>
          <w:color w:val="000000"/>
          <w:sz w:val="20"/>
          <w:szCs w:val="20"/>
        </w:rPr>
        <w:t xml:space="preserve">“U.S.”) Food and Drug Administration (“FDA”) approval of FT218. In December 2020, the Company submitted a New Drug Application (“NDA”) to the FDA for FT218 to treat excessive daytime sleepiness or cataplexy in adults with narcolepsy. In February 2021, the </w:t>
      </w:r>
      <w:r>
        <w:rPr>
          <w:rFonts w:eastAsia="Times New Roman"/>
          <w:color w:val="000000"/>
          <w:sz w:val="20"/>
          <w:szCs w:val="20"/>
        </w:rPr>
        <w:t>NDA for FT218 was accepted by the FDA and was assigned a Prescription Drug User Fee Act (“PDUFA”) target action date of October 15, 2021. On October 15, 2021, the Company announced that the FDA informed us that the review of the Company’s NDA for FT218 was</w:t>
      </w:r>
      <w:r>
        <w:rPr>
          <w:rFonts w:eastAsia="Times New Roman"/>
          <w:color w:val="000000"/>
          <w:sz w:val="20"/>
          <w:szCs w:val="20"/>
        </w:rPr>
        <w:t xml:space="preserve"> ongoing beyond its previously assigned target action date. As of the date of this Annual Report, the FDA’s review of the Company’s NDA for FT218 remains ongoing. </w:t>
      </w:r>
    </w:p>
    <w:p w14:paraId="653580D6" w14:textId="77777777" w:rsidR="00000000" w:rsidRDefault="000C49AD">
      <w:pPr>
        <w:jc w:val="both"/>
        <w:rPr>
          <w:rFonts w:eastAsia="Times New Roman"/>
        </w:rPr>
      </w:pPr>
    </w:p>
    <w:p w14:paraId="509C7EFD" w14:textId="77777777" w:rsidR="00000000" w:rsidRDefault="000C49AD">
      <w:pPr>
        <w:jc w:val="both"/>
        <w:rPr>
          <w:rFonts w:eastAsia="Times New Roman"/>
        </w:rPr>
      </w:pPr>
      <w:r>
        <w:rPr>
          <w:rFonts w:eastAsia="Times New Roman"/>
          <w:color w:val="000000"/>
          <w:sz w:val="20"/>
          <w:szCs w:val="20"/>
        </w:rPr>
        <w:t>Outside of the Company’s lead product candidate, the Company continues to evaluate opportu</w:t>
      </w:r>
      <w:r>
        <w:rPr>
          <w:rFonts w:eastAsia="Times New Roman"/>
          <w:color w:val="000000"/>
          <w:sz w:val="20"/>
          <w:szCs w:val="20"/>
        </w:rPr>
        <w:t xml:space="preserve">nities to expand its product portfolio. As of the date of this Annual Report, the Company does not have any approved or commercialized products in its portfolio. </w:t>
      </w:r>
    </w:p>
    <w:p w14:paraId="1EC0834F" w14:textId="77777777" w:rsidR="00000000" w:rsidRDefault="000C49AD">
      <w:pPr>
        <w:jc w:val="both"/>
        <w:rPr>
          <w:rFonts w:eastAsia="Times New Roman"/>
        </w:rPr>
      </w:pPr>
      <w:r>
        <w:rPr>
          <w:rFonts w:eastAsia="Times New Roman"/>
          <w:b/>
          <w:bCs/>
          <w:i/>
          <w:iCs/>
          <w:color w:val="000000"/>
          <w:sz w:val="20"/>
          <w:szCs w:val="20"/>
        </w:rPr>
        <w:t>Basis of Presentation.</w:t>
      </w:r>
      <w:r>
        <w:rPr>
          <w:rFonts w:eastAsia="Times New Roman"/>
          <w:color w:val="000000"/>
          <w:sz w:val="20"/>
          <w:szCs w:val="20"/>
        </w:rPr>
        <w:t xml:space="preserve"> These consolidated financial statements have been prepared in accordan</w:t>
      </w:r>
      <w:r>
        <w:rPr>
          <w:rFonts w:eastAsia="Times New Roman"/>
          <w:color w:val="000000"/>
          <w:sz w:val="20"/>
          <w:szCs w:val="20"/>
        </w:rPr>
        <w:t>ce with accounting principles generally accepted in the U.S. (“U.S. GAAP”). The consolidated financial statements include the accounts of the Company and all subsidiaries. All intercompany accounts and transactions have been eliminated.</w:t>
      </w:r>
      <w:r>
        <w:rPr>
          <w:rFonts w:eastAsia="Times New Roman"/>
          <w:b/>
          <w:bCs/>
          <w:i/>
          <w:iCs/>
          <w:color w:val="000000"/>
          <w:sz w:val="20"/>
          <w:szCs w:val="20"/>
        </w:rPr>
        <w:t> </w:t>
      </w:r>
    </w:p>
    <w:p w14:paraId="5A7A278B" w14:textId="77777777" w:rsidR="00000000" w:rsidRDefault="000C49AD">
      <w:pPr>
        <w:jc w:val="both"/>
        <w:rPr>
          <w:rFonts w:eastAsia="Times New Roman"/>
        </w:rPr>
      </w:pPr>
    </w:p>
    <w:p w14:paraId="1B4BE208" w14:textId="77777777" w:rsidR="00000000" w:rsidRDefault="000C49AD">
      <w:pPr>
        <w:jc w:val="both"/>
        <w:rPr>
          <w:rFonts w:eastAsia="Times New Roman"/>
        </w:rPr>
      </w:pPr>
      <w:r>
        <w:rPr>
          <w:rFonts w:eastAsia="Times New Roman"/>
          <w:color w:val="000000"/>
          <w:sz w:val="20"/>
          <w:szCs w:val="20"/>
        </w:rPr>
        <w:t>The Company’s re</w:t>
      </w:r>
      <w:r>
        <w:rPr>
          <w:rFonts w:eastAsia="Times New Roman"/>
          <w:color w:val="000000"/>
          <w:sz w:val="20"/>
          <w:szCs w:val="20"/>
        </w:rPr>
        <w:t>sults of operations for the period January 1, 2019 through February 6, 2019 include the results of Avadel Specialty Pharmaceuticals, LLC (“Specialty Pharma”) prior to its February 6, 2019 voluntary petition for reorganization under Chapter 11 of the U.S. B</w:t>
      </w:r>
      <w:r>
        <w:rPr>
          <w:rFonts w:eastAsia="Times New Roman"/>
          <w:color w:val="000000"/>
          <w:sz w:val="20"/>
          <w:szCs w:val="20"/>
        </w:rPr>
        <w:t>ankruptcy Code. See </w:t>
      </w:r>
      <w:r>
        <w:rPr>
          <w:rFonts w:eastAsia="Times New Roman"/>
          <w:i/>
          <w:iCs/>
          <w:color w:val="000000"/>
          <w:sz w:val="20"/>
          <w:szCs w:val="20"/>
        </w:rPr>
        <w:t>Note 3: Subsidiary Bankruptcy and Deconsolidation.</w:t>
      </w:r>
    </w:p>
    <w:p w14:paraId="492AFAE9" w14:textId="77777777" w:rsidR="00000000" w:rsidRDefault="000C49AD">
      <w:pPr>
        <w:jc w:val="both"/>
        <w:rPr>
          <w:rFonts w:eastAsia="Times New Roman"/>
        </w:rPr>
      </w:pPr>
    </w:p>
    <w:p w14:paraId="10E8AAB8" w14:textId="77777777" w:rsidR="00000000" w:rsidRDefault="000C49AD">
      <w:pPr>
        <w:jc w:val="both"/>
        <w:rPr>
          <w:rFonts w:eastAsia="Times New Roman"/>
        </w:rPr>
      </w:pPr>
      <w:r>
        <w:rPr>
          <w:rFonts w:eastAsia="Times New Roman"/>
          <w:i/>
          <w:iCs/>
          <w:color w:val="000000"/>
          <w:sz w:val="20"/>
          <w:szCs w:val="20"/>
        </w:rPr>
        <w:t>Reclassifications</w:t>
      </w:r>
    </w:p>
    <w:p w14:paraId="48EA01CD" w14:textId="77777777" w:rsidR="00000000" w:rsidRDefault="000C49AD">
      <w:pPr>
        <w:divId w:val="277378383"/>
        <w:rPr>
          <w:rFonts w:eastAsia="Times New Roman"/>
        </w:rPr>
      </w:pPr>
    </w:p>
    <w:p w14:paraId="5453EEB6" w14:textId="77777777" w:rsidR="00000000" w:rsidRDefault="000C49AD">
      <w:pPr>
        <w:jc w:val="both"/>
        <w:rPr>
          <w:rFonts w:eastAsia="Times New Roman"/>
        </w:rPr>
      </w:pPr>
      <w:r>
        <w:rPr>
          <w:rFonts w:eastAsia="Times New Roman"/>
          <w:color w:val="000000"/>
          <w:sz w:val="20"/>
          <w:szCs w:val="20"/>
        </w:rPr>
        <w:t>Certain reclassifications are made to prior year amounts whenever necessary to conform with the current year presentation. Certain reclassifications have been made to the Consolidated Statements of Cash Flows for the fiscal year ended December 31, 2019 and</w:t>
      </w:r>
      <w:r>
        <w:rPr>
          <w:rFonts w:eastAsia="Times New Roman"/>
          <w:color w:val="000000"/>
          <w:sz w:val="20"/>
          <w:szCs w:val="20"/>
        </w:rPr>
        <w:t xml:space="preserve"> balances within </w:t>
      </w:r>
      <w:r>
        <w:rPr>
          <w:rFonts w:eastAsia="Times New Roman"/>
          <w:i/>
          <w:iCs/>
          <w:color w:val="000000"/>
          <w:sz w:val="20"/>
          <w:szCs w:val="20"/>
        </w:rPr>
        <w:t xml:space="preserve">Note 14: Other Assets and Liabilities </w:t>
      </w:r>
      <w:r>
        <w:rPr>
          <w:rFonts w:eastAsia="Times New Roman"/>
          <w:color w:val="000000"/>
          <w:sz w:val="20"/>
          <w:szCs w:val="20"/>
        </w:rPr>
        <w:t>for the year ended December 31, 2020 to condense line items of the same nature into a single line. This change does not affect previously reported net cash flows used in operating activities in the Con</w:t>
      </w:r>
      <w:r>
        <w:rPr>
          <w:rFonts w:eastAsia="Times New Roman"/>
          <w:color w:val="000000"/>
          <w:sz w:val="20"/>
          <w:szCs w:val="20"/>
        </w:rPr>
        <w:t xml:space="preserve">solidated Statements of Cash Flows. </w:t>
      </w:r>
    </w:p>
    <w:p w14:paraId="32F9A2C5" w14:textId="77777777" w:rsidR="00000000" w:rsidRDefault="000C49AD">
      <w:pPr>
        <w:jc w:val="both"/>
        <w:rPr>
          <w:rFonts w:eastAsia="Times New Roman"/>
        </w:rPr>
      </w:pPr>
    </w:p>
    <w:p w14:paraId="2DE63390" w14:textId="77777777" w:rsidR="00000000" w:rsidRDefault="000C49AD">
      <w:pPr>
        <w:jc w:val="both"/>
        <w:rPr>
          <w:rFonts w:eastAsia="Times New Roman"/>
        </w:rPr>
      </w:pPr>
      <w:r>
        <w:rPr>
          <w:rFonts w:eastAsia="Times New Roman"/>
          <w:i/>
          <w:iCs/>
          <w:color w:val="000000"/>
          <w:sz w:val="20"/>
          <w:szCs w:val="20"/>
        </w:rPr>
        <w:t xml:space="preserve">Out of Period Adjustments </w:t>
      </w:r>
    </w:p>
    <w:p w14:paraId="7354E68A" w14:textId="77777777" w:rsidR="00000000" w:rsidRDefault="000C49AD">
      <w:pPr>
        <w:divId w:val="208763188"/>
        <w:rPr>
          <w:rFonts w:eastAsia="Times New Roman"/>
        </w:rPr>
      </w:pPr>
    </w:p>
    <w:p w14:paraId="1B1D2410" w14:textId="77777777" w:rsidR="00000000" w:rsidRDefault="000C49AD">
      <w:pPr>
        <w:jc w:val="both"/>
        <w:rPr>
          <w:rFonts w:eastAsia="Times New Roman"/>
        </w:rPr>
      </w:pPr>
      <w:r>
        <w:rPr>
          <w:rFonts w:eastAsia="Times New Roman"/>
          <w:color w:val="000000"/>
          <w:sz w:val="20"/>
          <w:szCs w:val="20"/>
        </w:rPr>
        <w:t>In 2021, the Company determined that 0.50% of additional interest expense (the “Additional Interest”), as defined in the indenture dated as of February 16, 2018 among Avadel Finance Cayman</w:t>
      </w:r>
      <w:r>
        <w:rPr>
          <w:rFonts w:eastAsia="Times New Roman"/>
          <w:color w:val="000000"/>
          <w:sz w:val="20"/>
          <w:szCs w:val="20"/>
        </w:rPr>
        <w:t xml:space="preserve"> Ltd, Avadel Pharmaceuticals PLC, and The Bank of New York Mellon as trustee (the “Indenture”), was owed on its long term 4.50% exchangeable unsecured senior notes due 2023 (the “2023 Notes”) from a period of February 17, 2019 through December 31, 2021, to</w:t>
      </w:r>
      <w:r>
        <w:rPr>
          <w:rFonts w:eastAsia="Times New Roman"/>
          <w:color w:val="000000"/>
          <w:sz w:val="20"/>
          <w:szCs w:val="20"/>
        </w:rPr>
        <w:t>taling $817, $773, and $635 for the years ended December 31, 2021, 2020 and 2019, respectively. At December 31, 2020, the Company’s accrued interest was understated by $1,408. The Additional Interest resulted from not removing a restrictive legend from the</w:t>
      </w:r>
      <w:r>
        <w:rPr>
          <w:rFonts w:eastAsia="Times New Roman"/>
          <w:color w:val="000000"/>
          <w:sz w:val="20"/>
          <w:szCs w:val="20"/>
        </w:rPr>
        <w:t xml:space="preserve"> 2023 Notes 365 days following their original issuance on February 16, 2018. The restrictive legend was removed in March 2022 and the Additional Interest is no longer applicable following the date of removal of the restrictive legend. The Company identifie</w:t>
      </w:r>
      <w:r>
        <w:rPr>
          <w:rFonts w:eastAsia="Times New Roman"/>
          <w:color w:val="000000"/>
          <w:sz w:val="20"/>
          <w:szCs w:val="20"/>
        </w:rPr>
        <w:t>d and recorded an out of period adjustment for cumulative amount of the Additional Interest in 2021 of $1,408. Management assessed the materiality of the impact of the out of period adjustment on its financial statements, both quantitatively and qualitativ</w:t>
      </w:r>
      <w:r>
        <w:rPr>
          <w:rFonts w:eastAsia="Times New Roman"/>
          <w:color w:val="000000"/>
          <w:sz w:val="20"/>
          <w:szCs w:val="20"/>
        </w:rPr>
        <w:t>ely, and determined that it was not material for any quarterly or annual period.</w:t>
      </w:r>
    </w:p>
    <w:p w14:paraId="47FD2AE4" w14:textId="77777777" w:rsidR="00000000" w:rsidRDefault="000C49AD">
      <w:pPr>
        <w:divId w:val="1530726163"/>
        <w:rPr>
          <w:rFonts w:eastAsia="Times New Roman"/>
        </w:rPr>
      </w:pPr>
    </w:p>
    <w:p w14:paraId="566345B1" w14:textId="77777777" w:rsidR="00000000" w:rsidRDefault="000C49AD">
      <w:pPr>
        <w:jc w:val="both"/>
        <w:rPr>
          <w:rFonts w:eastAsia="Times New Roman"/>
        </w:rPr>
      </w:pPr>
      <w:r>
        <w:rPr>
          <w:rFonts w:eastAsia="Times New Roman"/>
          <w:color w:val="000000"/>
          <w:sz w:val="20"/>
          <w:szCs w:val="20"/>
        </w:rPr>
        <w:t>The 2023 Notes were issued on February 16, 2018 (the “Original Issuance”) with a restrictive legend which remained in place until March 14, 2022. Per the terms of the Indent</w:t>
      </w:r>
      <w:r>
        <w:rPr>
          <w:rFonts w:eastAsia="Times New Roman"/>
          <w:color w:val="000000"/>
          <w:sz w:val="20"/>
          <w:szCs w:val="20"/>
        </w:rPr>
        <w:t xml:space="preserve">ure, if the restrictive legend on the 2023 Notes was not removed on the 365th day following the original issuance of the 2023 Notes, the Company owed Additional Interest, payable on each of the semi-annual interest payment dates of February 1 and August 1 </w:t>
      </w:r>
      <w:r>
        <w:rPr>
          <w:rFonts w:eastAsia="Times New Roman"/>
          <w:color w:val="000000"/>
          <w:sz w:val="20"/>
          <w:szCs w:val="20"/>
        </w:rPr>
        <w:t xml:space="preserve">beginning August 1, 2019 and each of the semi-annual payment dates thereafter until the restrictive legend was removed. The non-payment of the Additional Interest expense on the semi-annual </w:t>
      </w:r>
    </w:p>
    <w:p w14:paraId="3975817A" w14:textId="77777777" w:rsidR="00000000" w:rsidRDefault="000C49AD">
      <w:pPr>
        <w:jc w:val="center"/>
        <w:divId w:val="1810978575"/>
        <w:rPr>
          <w:rFonts w:eastAsia="Times New Roman"/>
        </w:rPr>
      </w:pPr>
      <w:r>
        <w:rPr>
          <w:rFonts w:eastAsia="Times New Roman"/>
          <w:color w:val="000000"/>
          <w:sz w:val="20"/>
          <w:szCs w:val="20"/>
        </w:rPr>
        <w:t>-79-</w:t>
      </w:r>
    </w:p>
    <w:p w14:paraId="6BF4E78E" w14:textId="77777777" w:rsidR="00000000" w:rsidRDefault="000C49AD">
      <w:pPr>
        <w:rPr>
          <w:rFonts w:eastAsia="Times New Roman"/>
        </w:rPr>
      </w:pPr>
      <w:r>
        <w:rPr>
          <w:rFonts w:eastAsia="Times New Roman"/>
        </w:rPr>
        <w:pict w14:anchorId="0C78B5E1">
          <v:rect id="_x0000_i1104" style="width:0;height:1.5pt" o:hralign="center" o:hrstd="t" o:hr="t" fillcolor="#a0a0a0" stroked="f"/>
        </w:pict>
      </w:r>
    </w:p>
    <w:p w14:paraId="2D64224E" w14:textId="77777777" w:rsidR="00000000" w:rsidRDefault="000C49AD">
      <w:pPr>
        <w:divId w:val="1514567895"/>
        <w:rPr>
          <w:rFonts w:eastAsia="Times New Roman"/>
        </w:rPr>
      </w:pPr>
    </w:p>
    <w:p w14:paraId="7584DD94" w14:textId="77777777" w:rsidR="00000000" w:rsidRDefault="000C49AD">
      <w:pPr>
        <w:jc w:val="both"/>
        <w:rPr>
          <w:rFonts w:eastAsia="Times New Roman"/>
        </w:rPr>
      </w:pPr>
      <w:r>
        <w:rPr>
          <w:rFonts w:eastAsia="Times New Roman"/>
          <w:color w:val="000000"/>
          <w:sz w:val="20"/>
          <w:szCs w:val="20"/>
        </w:rPr>
        <w:t>payment dates, which was first due beginning August 1, 2019, is defined as an “Event of Default” in the Indenture, causing the Company to be in technical default of its 2023 Notes until the default was cured. The Additional Interest was paid to the trustee</w:t>
      </w:r>
      <w:r>
        <w:rPr>
          <w:rFonts w:eastAsia="Times New Roman"/>
          <w:color w:val="000000"/>
          <w:sz w:val="20"/>
          <w:szCs w:val="20"/>
        </w:rPr>
        <w:t xml:space="preserve"> on March 10, 2022, which under the terms of the indenture, management believes cured the Event of Default for all periods. Additionally, on March 14, 2022, the restrictive legend on the 2023 Notes was removed and the Company is not subject to the Addition</w:t>
      </w:r>
      <w:r>
        <w:rPr>
          <w:rFonts w:eastAsia="Times New Roman"/>
          <w:color w:val="000000"/>
          <w:sz w:val="20"/>
          <w:szCs w:val="20"/>
        </w:rPr>
        <w:t>al Interest after that date. Had the Company identified and been unable to cure the technical default prior to the issuance of its financial statements for fiscal years 2020 and 2019, it could have resulted in the reclassification of the long-term principa</w:t>
      </w:r>
      <w:r>
        <w:rPr>
          <w:rFonts w:eastAsia="Times New Roman"/>
          <w:color w:val="000000"/>
          <w:sz w:val="20"/>
          <w:szCs w:val="20"/>
        </w:rPr>
        <w:t>l balance of 2023 Notes reported in those periods. As a result of curing the technical default, the Company classified the 2023 Notes as long-term at December 31, 2021 and 2020. The Indenture is included as Exhibit 4.2 to this Annual Report on Form 10-K.</w:t>
      </w:r>
    </w:p>
    <w:p w14:paraId="05356F67" w14:textId="77777777" w:rsidR="00000000" w:rsidRDefault="000C49AD">
      <w:pPr>
        <w:jc w:val="both"/>
        <w:rPr>
          <w:rFonts w:eastAsia="Times New Roman"/>
        </w:rPr>
      </w:pPr>
    </w:p>
    <w:p w14:paraId="6DFF86FA" w14:textId="77777777" w:rsidR="00000000" w:rsidRDefault="000C49AD">
      <w:pPr>
        <w:jc w:val="both"/>
        <w:divId w:val="1095438595"/>
        <w:rPr>
          <w:rFonts w:eastAsia="Times New Roman"/>
        </w:rPr>
      </w:pPr>
      <w:r>
        <w:rPr>
          <w:rFonts w:eastAsia="Times New Roman"/>
          <w:b/>
          <w:bCs/>
          <w:i/>
          <w:iCs/>
          <w:color w:val="000000"/>
          <w:sz w:val="20"/>
          <w:szCs w:val="20"/>
        </w:rPr>
        <w:t xml:space="preserve">Revenue. </w:t>
      </w:r>
      <w:r>
        <w:rPr>
          <w:rFonts w:eastAsia="Times New Roman"/>
          <w:color w:val="000000"/>
          <w:sz w:val="20"/>
          <w:szCs w:val="20"/>
        </w:rPr>
        <w:t xml:space="preserve">Prior to June 30, 2020, revenue included sales of pharmaceutical products, licensing fees, and, if any, milestone payments for research and development (“R&amp;D”) achievements. </w:t>
      </w:r>
    </w:p>
    <w:p w14:paraId="7EEA0660" w14:textId="77777777" w:rsidR="00000000" w:rsidRDefault="000C49AD">
      <w:pPr>
        <w:jc w:val="both"/>
        <w:rPr>
          <w:rFonts w:eastAsia="Times New Roman"/>
        </w:rPr>
      </w:pPr>
      <w:r>
        <w:rPr>
          <w:rFonts w:eastAsia="Times New Roman"/>
          <w:color w:val="000000"/>
          <w:sz w:val="20"/>
          <w:szCs w:val="20"/>
        </w:rPr>
        <w:t xml:space="preserve">To determine the appropriate revenue recognition, the Company performs </w:t>
      </w:r>
      <w:r>
        <w:rPr>
          <w:rFonts w:eastAsia="Times New Roman"/>
          <w:color w:val="000000"/>
          <w:sz w:val="20"/>
          <w:szCs w:val="20"/>
        </w:rPr>
        <w:t>the following five steps: (i) Identify the contract(s) with a customer</w:t>
      </w:r>
      <w:r>
        <w:rPr>
          <w:rFonts w:eastAsia="Times New Roman"/>
          <w:color w:val="000000"/>
          <w:sz w:val="20"/>
          <w:szCs w:val="20"/>
        </w:rPr>
        <w:t>;</w:t>
      </w:r>
      <w:r>
        <w:rPr>
          <w:rFonts w:eastAsia="Times New Roman"/>
          <w:color w:val="000000"/>
          <w:sz w:val="20"/>
          <w:szCs w:val="20"/>
        </w:rPr>
        <w:t xml:space="preserve"> (ii) Identify the performance obligations in the contract; (iii) Determine the transaction price</w:t>
      </w:r>
      <w:r>
        <w:rPr>
          <w:rFonts w:eastAsia="Times New Roman"/>
          <w:color w:val="000000"/>
          <w:sz w:val="20"/>
          <w:szCs w:val="20"/>
        </w:rPr>
        <w:t>;</w:t>
      </w:r>
      <w:r>
        <w:rPr>
          <w:rFonts w:eastAsia="Times New Roman"/>
          <w:color w:val="000000"/>
          <w:sz w:val="20"/>
          <w:szCs w:val="20"/>
        </w:rPr>
        <w:t xml:space="preserve"> (iv) Allocate the transaction price to the performance obligations in the contract</w:t>
      </w:r>
      <w:r>
        <w:rPr>
          <w:rFonts w:eastAsia="Times New Roman"/>
          <w:color w:val="000000"/>
          <w:sz w:val="20"/>
          <w:szCs w:val="20"/>
        </w:rPr>
        <w:t>;</w:t>
      </w:r>
      <w:r>
        <w:rPr>
          <w:rFonts w:eastAsia="Times New Roman"/>
          <w:color w:val="000000"/>
          <w:sz w:val="20"/>
          <w:szCs w:val="20"/>
        </w:rPr>
        <w:t xml:space="preserve"> an</w:t>
      </w:r>
      <w:r>
        <w:rPr>
          <w:rFonts w:eastAsia="Times New Roman"/>
          <w:color w:val="000000"/>
          <w:sz w:val="20"/>
          <w:szCs w:val="20"/>
        </w:rPr>
        <w:t xml:space="preserve">d (v) Recognize revenue when (or as) the entity satisfies a performance obligation. The Company applies the five-step model to contracts only when the Company and its customer’s rights and obligations under the contract can be determined, the contract has </w:t>
      </w:r>
      <w:r>
        <w:rPr>
          <w:rFonts w:eastAsia="Times New Roman"/>
          <w:color w:val="000000"/>
          <w:sz w:val="20"/>
          <w:szCs w:val="20"/>
        </w:rPr>
        <w:t>commercial substance, and it is probable that the Company will collect the consideration it is entitled to in exchange for the goods or services it transfers to the customer. The Company identifies the promised goods or services in the contract to determin</w:t>
      </w:r>
      <w:r>
        <w:rPr>
          <w:rFonts w:eastAsia="Times New Roman"/>
          <w:color w:val="000000"/>
          <w:sz w:val="20"/>
          <w:szCs w:val="20"/>
        </w:rPr>
        <w:t>e if they are separate performance obligations or if they should be bundled with other goods and services into a single performance obligation. The Company then recognizes as revenue the amount of the transaction price that is allocated to the respective p</w:t>
      </w:r>
      <w:r>
        <w:rPr>
          <w:rFonts w:eastAsia="Times New Roman"/>
          <w:color w:val="000000"/>
          <w:sz w:val="20"/>
          <w:szCs w:val="20"/>
        </w:rPr>
        <w:t>erformance obligation when (or as) the performance obligation is satisfied.</w:t>
      </w:r>
    </w:p>
    <w:p w14:paraId="73037DE5" w14:textId="77777777" w:rsidR="00000000" w:rsidRDefault="000C49AD">
      <w:pPr>
        <w:jc w:val="both"/>
        <w:rPr>
          <w:rFonts w:eastAsia="Times New Roman"/>
        </w:rPr>
      </w:pPr>
    </w:p>
    <w:p w14:paraId="68019F1E" w14:textId="77777777" w:rsidR="00000000" w:rsidRDefault="000C49AD">
      <w:pPr>
        <w:jc w:val="both"/>
        <w:divId w:val="1052850390"/>
        <w:rPr>
          <w:rFonts w:eastAsia="Times New Roman"/>
        </w:rPr>
      </w:pPr>
      <w:r>
        <w:rPr>
          <w:rFonts w:eastAsia="Times New Roman"/>
          <w:i/>
          <w:iCs/>
          <w:color w:val="000000"/>
          <w:sz w:val="20"/>
          <w:szCs w:val="20"/>
        </w:rPr>
        <w:t>Product Sales  </w:t>
      </w:r>
    </w:p>
    <w:p w14:paraId="21423584" w14:textId="77777777" w:rsidR="00000000" w:rsidRDefault="000C49AD">
      <w:pPr>
        <w:jc w:val="both"/>
        <w:rPr>
          <w:rFonts w:eastAsia="Times New Roman"/>
        </w:rPr>
      </w:pPr>
      <w:r>
        <w:rPr>
          <w:rFonts w:eastAsia="Times New Roman"/>
          <w:color w:val="000000"/>
          <w:sz w:val="20"/>
          <w:szCs w:val="20"/>
        </w:rPr>
        <w:t>Prior to June 30, 2020, the Company sold products primarily through wholesalers and considered these wholesalers to be the Company’s customers. Revenue from produ</w:t>
      </w:r>
      <w:r>
        <w:rPr>
          <w:rFonts w:eastAsia="Times New Roman"/>
          <w:color w:val="000000"/>
          <w:sz w:val="20"/>
          <w:szCs w:val="20"/>
        </w:rPr>
        <w:t>ct sales is recognized when the customer obtains control of the Company’s product, which occurs typically upon receipt by the customer. The Company’s gross product sales were subject to a variety of price adjustments in arriving at reported net product sal</w:t>
      </w:r>
      <w:r>
        <w:rPr>
          <w:rFonts w:eastAsia="Times New Roman"/>
          <w:color w:val="000000"/>
          <w:sz w:val="20"/>
          <w:szCs w:val="20"/>
        </w:rPr>
        <w:t>es. These adjustments included estimates of product returns, chargebacks, payment discounts, rebates, and other sales allowances and are estimated based on analysis of historical data for the product or comparable products, future expectations for such pro</w:t>
      </w:r>
      <w:r>
        <w:rPr>
          <w:rFonts w:eastAsia="Times New Roman"/>
          <w:color w:val="000000"/>
          <w:sz w:val="20"/>
          <w:szCs w:val="20"/>
        </w:rPr>
        <w:t>ducts and other judgments and analysis.  </w:t>
      </w:r>
    </w:p>
    <w:p w14:paraId="040BC6D9" w14:textId="77777777" w:rsidR="00000000" w:rsidRDefault="000C49AD">
      <w:pPr>
        <w:jc w:val="both"/>
        <w:rPr>
          <w:rFonts w:eastAsia="Times New Roman"/>
        </w:rPr>
      </w:pPr>
    </w:p>
    <w:p w14:paraId="52D827A8" w14:textId="77777777" w:rsidR="00000000" w:rsidRDefault="000C49AD">
      <w:pPr>
        <w:jc w:val="both"/>
        <w:rPr>
          <w:rFonts w:eastAsia="Times New Roman"/>
        </w:rPr>
      </w:pPr>
      <w:r>
        <w:rPr>
          <w:rFonts w:eastAsia="Times New Roman"/>
          <w:b/>
          <w:bCs/>
          <w:i/>
          <w:iCs/>
          <w:color w:val="000000"/>
          <w:sz w:val="20"/>
          <w:szCs w:val="20"/>
        </w:rPr>
        <w:t xml:space="preserve">Research and Development (“R&amp;D”). </w:t>
      </w:r>
      <w:r>
        <w:rPr>
          <w:rFonts w:eastAsia="Times New Roman"/>
          <w:color w:val="000000"/>
          <w:sz w:val="20"/>
          <w:szCs w:val="20"/>
        </w:rPr>
        <w:t>R&amp;D expenses consist primarily of costs related to outside services, personnel expenses, clinical studies and other R&amp;D expenses. Outside services and clinical studies costs rela</w:t>
      </w:r>
      <w:r>
        <w:rPr>
          <w:rFonts w:eastAsia="Times New Roman"/>
          <w:color w:val="000000"/>
          <w:sz w:val="20"/>
          <w:szCs w:val="20"/>
        </w:rPr>
        <w:t>te primarily to services performed by clinical research organizations and related clinical or development manufacturing costs, materials and supplies, filing fees, regulatory support, and other third-party fees. Personnel expenses relate primarily to salar</w:t>
      </w:r>
      <w:r>
        <w:rPr>
          <w:rFonts w:eastAsia="Times New Roman"/>
          <w:color w:val="000000"/>
          <w:sz w:val="20"/>
          <w:szCs w:val="20"/>
        </w:rPr>
        <w:t>ies, benefits and share-based compensation. Other R&amp;D expenses primarily include overhead allocations consisting of various support and facilities-related costs. R&amp;D expenditures are charged to operations as incurred. Raw materials used in the production o</w:t>
      </w:r>
      <w:r>
        <w:rPr>
          <w:rFonts w:eastAsia="Times New Roman"/>
          <w:color w:val="000000"/>
          <w:sz w:val="20"/>
          <w:szCs w:val="20"/>
        </w:rPr>
        <w:t>f pre-clinical and clinical products are expensed as R&amp;D costs.  </w:t>
      </w:r>
    </w:p>
    <w:p w14:paraId="4976340B" w14:textId="77777777" w:rsidR="00000000" w:rsidRDefault="000C49AD">
      <w:pPr>
        <w:jc w:val="both"/>
        <w:rPr>
          <w:rFonts w:eastAsia="Times New Roman"/>
        </w:rPr>
      </w:pPr>
    </w:p>
    <w:p w14:paraId="56B765EF" w14:textId="77777777" w:rsidR="00000000" w:rsidRDefault="000C49AD">
      <w:pPr>
        <w:jc w:val="both"/>
        <w:rPr>
          <w:rFonts w:eastAsia="Times New Roman"/>
        </w:rPr>
      </w:pPr>
      <w:r>
        <w:rPr>
          <w:rFonts w:eastAsia="Times New Roman"/>
          <w:color w:val="000000"/>
          <w:sz w:val="20"/>
          <w:szCs w:val="20"/>
        </w:rPr>
        <w:t xml:space="preserve">The Company recognizes refundable R&amp;D tax credits received for spending on innovative R&amp;D as an offset of R&amp;D expenses. </w:t>
      </w:r>
      <w:r>
        <w:rPr>
          <w:rFonts w:eastAsia="Times New Roman"/>
          <w:b/>
          <w:bCs/>
          <w:i/>
          <w:iCs/>
          <w:color w:val="000000"/>
          <w:sz w:val="20"/>
          <w:szCs w:val="20"/>
        </w:rPr>
        <w:t> </w:t>
      </w:r>
    </w:p>
    <w:p w14:paraId="54CE56CB" w14:textId="77777777" w:rsidR="00000000" w:rsidRDefault="000C49AD">
      <w:pPr>
        <w:jc w:val="both"/>
        <w:rPr>
          <w:rFonts w:eastAsia="Times New Roman"/>
        </w:rPr>
      </w:pPr>
      <w:r>
        <w:rPr>
          <w:rFonts w:eastAsia="Times New Roman"/>
          <w:b/>
          <w:bCs/>
          <w:i/>
          <w:iCs/>
          <w:color w:val="000000"/>
          <w:sz w:val="20"/>
          <w:szCs w:val="20"/>
        </w:rPr>
        <w:t xml:space="preserve">Advertising Expenses. </w:t>
      </w:r>
      <w:r>
        <w:rPr>
          <w:rFonts w:eastAsia="Times New Roman"/>
          <w:color w:val="000000"/>
          <w:sz w:val="20"/>
          <w:szCs w:val="20"/>
        </w:rPr>
        <w:t>The Company expenses the costs of advertisin</w:t>
      </w:r>
      <w:r>
        <w:rPr>
          <w:rFonts w:eastAsia="Times New Roman"/>
          <w:color w:val="000000"/>
          <w:sz w:val="20"/>
          <w:szCs w:val="20"/>
        </w:rPr>
        <w:t xml:space="preserve">g as incurred. Branded advertising expenses were $0, $312 and $372 for the years ended December 31, 2021, 2020 and 2019, respectively. </w:t>
      </w:r>
    </w:p>
    <w:p w14:paraId="0AE482D7" w14:textId="77777777" w:rsidR="00000000" w:rsidRDefault="000C49AD">
      <w:pPr>
        <w:jc w:val="both"/>
        <w:rPr>
          <w:rFonts w:eastAsia="Times New Roman"/>
        </w:rPr>
      </w:pPr>
    </w:p>
    <w:p w14:paraId="7B7C2474" w14:textId="77777777" w:rsidR="00000000" w:rsidRDefault="000C49AD">
      <w:pPr>
        <w:jc w:val="both"/>
        <w:rPr>
          <w:rFonts w:eastAsia="Times New Roman"/>
        </w:rPr>
      </w:pPr>
      <w:r>
        <w:rPr>
          <w:rFonts w:eastAsia="Times New Roman"/>
          <w:b/>
          <w:bCs/>
          <w:i/>
          <w:iCs/>
          <w:color w:val="000000"/>
          <w:sz w:val="20"/>
          <w:szCs w:val="20"/>
        </w:rPr>
        <w:t xml:space="preserve">Share-based Compensation. </w:t>
      </w:r>
      <w:r>
        <w:rPr>
          <w:rFonts w:eastAsia="Times New Roman"/>
          <w:color w:val="000000"/>
          <w:sz w:val="20"/>
          <w:szCs w:val="20"/>
        </w:rPr>
        <w:t>The Company accounts for share-based compensation based on the estimated grant-date fair val</w:t>
      </w:r>
      <w:r>
        <w:rPr>
          <w:rFonts w:eastAsia="Times New Roman"/>
          <w:color w:val="000000"/>
          <w:sz w:val="20"/>
          <w:szCs w:val="20"/>
        </w:rPr>
        <w:t>ue. The fair value of stock options is estimated using Black-Scholes option-pricing valuation models (“Black-Scholes model”). As required by the Black-Scholes model, estimates are made of the underlying volatility of Avadel stock, a risk-free rate and an e</w:t>
      </w:r>
      <w:r>
        <w:rPr>
          <w:rFonts w:eastAsia="Times New Roman"/>
          <w:color w:val="000000"/>
          <w:sz w:val="20"/>
          <w:szCs w:val="20"/>
        </w:rPr>
        <w:t>xpected term of the option or warrant. The Company estimates the expected term using a simplified method, as the Company does not have enough historical exercise data for a majority of such options upon which to estimate an expected term. The Company recog</w:t>
      </w:r>
      <w:r>
        <w:rPr>
          <w:rFonts w:eastAsia="Times New Roman"/>
          <w:color w:val="000000"/>
          <w:sz w:val="20"/>
          <w:szCs w:val="20"/>
        </w:rPr>
        <w:t xml:space="preserve">nizes compensation cost, net of an estimated forfeiture rate, using the accelerated method over the requisite service period of the award. </w:t>
      </w:r>
    </w:p>
    <w:p w14:paraId="648F78BD" w14:textId="77777777" w:rsidR="00000000" w:rsidRDefault="000C49AD">
      <w:pPr>
        <w:jc w:val="both"/>
        <w:rPr>
          <w:rFonts w:eastAsia="Times New Roman"/>
        </w:rPr>
      </w:pPr>
    </w:p>
    <w:p w14:paraId="6F17DB93" w14:textId="77777777" w:rsidR="00000000" w:rsidRDefault="000C49AD">
      <w:pPr>
        <w:jc w:val="both"/>
        <w:divId w:val="2132821922"/>
        <w:rPr>
          <w:rFonts w:eastAsia="Times New Roman"/>
        </w:rPr>
      </w:pPr>
      <w:r>
        <w:rPr>
          <w:rFonts w:eastAsia="Times New Roman"/>
          <w:b/>
          <w:bCs/>
          <w:i/>
          <w:iCs/>
          <w:color w:val="000000"/>
          <w:sz w:val="20"/>
          <w:szCs w:val="20"/>
        </w:rPr>
        <w:t>Income Taxes.</w:t>
      </w:r>
      <w:r>
        <w:rPr>
          <w:rFonts w:eastAsia="Times New Roman"/>
          <w:color w:val="000000"/>
          <w:sz w:val="20"/>
          <w:szCs w:val="20"/>
        </w:rPr>
        <w:t xml:space="preserve"> The Company accounts for income taxes under the asset and liability method, which requires the recog</w:t>
      </w:r>
      <w:r>
        <w:rPr>
          <w:rFonts w:eastAsia="Times New Roman"/>
          <w:color w:val="000000"/>
          <w:sz w:val="20"/>
          <w:szCs w:val="20"/>
        </w:rPr>
        <w:t>nition of deferred tax assets and liabilities for the expected future tax consequences of events that have been included in the financial statements. Under this method, the Company determines deferred tax assets and liabilities on the basis of the differen</w:t>
      </w:r>
      <w:r>
        <w:rPr>
          <w:rFonts w:eastAsia="Times New Roman"/>
          <w:color w:val="000000"/>
          <w:sz w:val="20"/>
          <w:szCs w:val="20"/>
        </w:rPr>
        <w:t xml:space="preserve">ces between the financial statement and tax bases of assets and liabilities by using enacted tax rates in effect for the year in which </w:t>
      </w:r>
    </w:p>
    <w:p w14:paraId="014F8C58" w14:textId="77777777" w:rsidR="00000000" w:rsidRDefault="000C49AD">
      <w:pPr>
        <w:jc w:val="center"/>
        <w:divId w:val="588932169"/>
        <w:rPr>
          <w:rFonts w:eastAsia="Times New Roman"/>
        </w:rPr>
      </w:pPr>
      <w:r>
        <w:rPr>
          <w:rFonts w:eastAsia="Times New Roman"/>
          <w:color w:val="000000"/>
          <w:sz w:val="20"/>
          <w:szCs w:val="20"/>
        </w:rPr>
        <w:t>-80-</w:t>
      </w:r>
    </w:p>
    <w:p w14:paraId="63C7BBD9" w14:textId="77777777" w:rsidR="00000000" w:rsidRDefault="000C49AD">
      <w:pPr>
        <w:rPr>
          <w:rFonts w:eastAsia="Times New Roman"/>
        </w:rPr>
      </w:pPr>
      <w:r>
        <w:rPr>
          <w:rFonts w:eastAsia="Times New Roman"/>
        </w:rPr>
        <w:pict w14:anchorId="0DE63343">
          <v:rect id="_x0000_i1105" style="width:0;height:1.5pt" o:hralign="center" o:hrstd="t" o:hr="t" fillcolor="#a0a0a0" stroked="f"/>
        </w:pict>
      </w:r>
    </w:p>
    <w:p w14:paraId="007E504D" w14:textId="77777777" w:rsidR="00000000" w:rsidRDefault="000C49AD">
      <w:pPr>
        <w:divId w:val="1876844949"/>
        <w:rPr>
          <w:rFonts w:eastAsia="Times New Roman"/>
        </w:rPr>
      </w:pPr>
    </w:p>
    <w:p w14:paraId="08DB3819" w14:textId="77777777" w:rsidR="00000000" w:rsidRDefault="000C49AD">
      <w:pPr>
        <w:jc w:val="both"/>
        <w:divId w:val="2116708193"/>
        <w:rPr>
          <w:rFonts w:eastAsia="Times New Roman"/>
        </w:rPr>
      </w:pPr>
      <w:r>
        <w:rPr>
          <w:rFonts w:eastAsia="Times New Roman"/>
          <w:color w:val="000000"/>
          <w:sz w:val="20"/>
          <w:szCs w:val="20"/>
        </w:rPr>
        <w:t>the differences are expected to reverse. The effect of a change in tax rates</w:t>
      </w:r>
      <w:r>
        <w:rPr>
          <w:rFonts w:eastAsia="Times New Roman"/>
          <w:color w:val="000000"/>
          <w:sz w:val="20"/>
          <w:szCs w:val="20"/>
        </w:rPr>
        <w:t xml:space="preserve"> on deferred tax assets and liabilities is recognized in income in the period that includes the enactment date.</w:t>
      </w:r>
    </w:p>
    <w:p w14:paraId="5D03CB4F" w14:textId="77777777" w:rsidR="00000000" w:rsidRDefault="000C49AD">
      <w:pPr>
        <w:jc w:val="both"/>
        <w:divId w:val="689254962"/>
        <w:rPr>
          <w:rFonts w:eastAsia="Times New Roman"/>
        </w:rPr>
      </w:pPr>
      <w:r>
        <w:rPr>
          <w:rFonts w:eastAsia="Times New Roman"/>
          <w:color w:val="000000"/>
          <w:sz w:val="20"/>
          <w:szCs w:val="20"/>
        </w:rPr>
        <w:t>The Company recognizes deferred tax assets to the extent that the Company believes that these assets are more likely than not to be realized. In</w:t>
      </w:r>
      <w:r>
        <w:rPr>
          <w:rFonts w:eastAsia="Times New Roman"/>
          <w:color w:val="000000"/>
          <w:sz w:val="20"/>
          <w:szCs w:val="20"/>
        </w:rPr>
        <w:t xml:space="preserve"> making such a determination, the Company considers all available positive and negative evidence, including future reversals of existing taxable temporary differences, projected future taxable income, tax-planning strategies, and results of recent operatio</w:t>
      </w:r>
      <w:r>
        <w:rPr>
          <w:rFonts w:eastAsia="Times New Roman"/>
          <w:color w:val="000000"/>
          <w:sz w:val="20"/>
          <w:szCs w:val="20"/>
        </w:rPr>
        <w:t>ns. If the Company determines that it would be able to realize its deferred tax assets in the future in excess of their net recorded amount, the Company would make an adjustment to the deferred tax asset valuation allowance, which would reduce the provisio</w:t>
      </w:r>
      <w:r>
        <w:rPr>
          <w:rFonts w:eastAsia="Times New Roman"/>
          <w:color w:val="000000"/>
          <w:sz w:val="20"/>
          <w:szCs w:val="20"/>
        </w:rPr>
        <w:t>n for income taxes.</w:t>
      </w:r>
    </w:p>
    <w:p w14:paraId="759B6BD4" w14:textId="77777777" w:rsidR="00000000" w:rsidRDefault="000C49AD">
      <w:pPr>
        <w:jc w:val="both"/>
        <w:divId w:val="1000696306"/>
        <w:rPr>
          <w:rFonts w:eastAsia="Times New Roman"/>
        </w:rPr>
      </w:pPr>
      <w:r>
        <w:rPr>
          <w:rFonts w:eastAsia="Times New Roman"/>
          <w:color w:val="000000"/>
          <w:sz w:val="20"/>
          <w:szCs w:val="20"/>
        </w:rPr>
        <w:t>The Company records uncertain tax positions on the basis of a two-step process in which (1) the Company determines whether it is more likely than not that the tax positions will be sustained on the basis of the technical merits of the p</w:t>
      </w:r>
      <w:r>
        <w:rPr>
          <w:rFonts w:eastAsia="Times New Roman"/>
          <w:color w:val="000000"/>
          <w:sz w:val="20"/>
          <w:szCs w:val="20"/>
        </w:rPr>
        <w:t>osition and (2) for those tax positions that meet the more-likely-than-not recognition threshold, the Company recognizes the largest amount of tax benefit that is more than 50 percent likely to be realized upon ultimate settlement with the related tax auth</w:t>
      </w:r>
      <w:r>
        <w:rPr>
          <w:rFonts w:eastAsia="Times New Roman"/>
          <w:color w:val="000000"/>
          <w:sz w:val="20"/>
          <w:szCs w:val="20"/>
        </w:rPr>
        <w:t>ority.</w:t>
      </w:r>
    </w:p>
    <w:p w14:paraId="6684892B" w14:textId="77777777" w:rsidR="00000000" w:rsidRDefault="000C49AD">
      <w:pPr>
        <w:jc w:val="both"/>
        <w:rPr>
          <w:rFonts w:eastAsia="Times New Roman"/>
        </w:rPr>
      </w:pPr>
      <w:r>
        <w:rPr>
          <w:rFonts w:eastAsia="Times New Roman"/>
          <w:color w:val="000000"/>
          <w:sz w:val="20"/>
          <w:szCs w:val="20"/>
        </w:rPr>
        <w:t>The Company recognizes interest and penalties related to unrecognized tax benefits in the income tax expense line in the consolidated statements of (loss) income. Accrued interest and penalties are included on the related tax liability line in the c</w:t>
      </w:r>
      <w:r>
        <w:rPr>
          <w:rFonts w:eastAsia="Times New Roman"/>
          <w:color w:val="000000"/>
          <w:sz w:val="20"/>
          <w:szCs w:val="20"/>
        </w:rPr>
        <w:t>onsolidated balance sheets.</w:t>
      </w:r>
    </w:p>
    <w:p w14:paraId="058F18DB" w14:textId="77777777" w:rsidR="00000000" w:rsidRDefault="000C49AD">
      <w:pPr>
        <w:jc w:val="both"/>
        <w:rPr>
          <w:rFonts w:eastAsia="Times New Roman"/>
        </w:rPr>
      </w:pPr>
    </w:p>
    <w:p w14:paraId="5DB9420E" w14:textId="77777777" w:rsidR="00000000" w:rsidRDefault="000C49AD">
      <w:pPr>
        <w:jc w:val="both"/>
        <w:rPr>
          <w:rFonts w:eastAsia="Times New Roman"/>
        </w:rPr>
      </w:pPr>
      <w:r>
        <w:rPr>
          <w:rFonts w:eastAsia="Times New Roman"/>
          <w:b/>
          <w:bCs/>
          <w:i/>
          <w:iCs/>
          <w:color w:val="000000"/>
          <w:sz w:val="20"/>
          <w:szCs w:val="20"/>
        </w:rPr>
        <w:t>Cash and Cash Equivalents.</w:t>
      </w:r>
      <w:r>
        <w:rPr>
          <w:rFonts w:eastAsia="Times New Roman"/>
          <w:color w:val="000000"/>
          <w:sz w:val="20"/>
          <w:szCs w:val="20"/>
        </w:rPr>
        <w:t xml:space="preserve"> Cash and cash equivalents consist of cash on hand, cash on deposit and fixed term deposits which are highly liquid investments with original maturities of less than three months. </w:t>
      </w:r>
      <w:r>
        <w:rPr>
          <w:rFonts w:eastAsia="Times New Roman"/>
          <w:b/>
          <w:bCs/>
          <w:i/>
          <w:iCs/>
          <w:color w:val="000000"/>
          <w:sz w:val="20"/>
          <w:szCs w:val="20"/>
        </w:rPr>
        <w:t> </w:t>
      </w:r>
    </w:p>
    <w:p w14:paraId="2727EB47" w14:textId="77777777" w:rsidR="00000000" w:rsidRDefault="000C49AD">
      <w:pPr>
        <w:jc w:val="both"/>
        <w:rPr>
          <w:rFonts w:eastAsia="Times New Roman"/>
        </w:rPr>
      </w:pPr>
    </w:p>
    <w:p w14:paraId="4179D49D" w14:textId="77777777" w:rsidR="00000000" w:rsidRDefault="000C49AD">
      <w:pPr>
        <w:jc w:val="both"/>
        <w:rPr>
          <w:rFonts w:eastAsia="Times New Roman"/>
        </w:rPr>
      </w:pPr>
      <w:r>
        <w:rPr>
          <w:rFonts w:eastAsia="Times New Roman"/>
          <w:b/>
          <w:bCs/>
          <w:i/>
          <w:iCs/>
          <w:color w:val="000000"/>
          <w:sz w:val="20"/>
          <w:szCs w:val="20"/>
        </w:rPr>
        <w:t>Marketable Secur</w:t>
      </w:r>
      <w:r>
        <w:rPr>
          <w:rFonts w:eastAsia="Times New Roman"/>
          <w:b/>
          <w:bCs/>
          <w:i/>
          <w:iCs/>
          <w:color w:val="000000"/>
          <w:sz w:val="20"/>
          <w:szCs w:val="20"/>
        </w:rPr>
        <w:t xml:space="preserve">ities. </w:t>
      </w:r>
      <w:r>
        <w:rPr>
          <w:rFonts w:eastAsia="Times New Roman"/>
          <w:color w:val="000000"/>
          <w:sz w:val="20"/>
          <w:szCs w:val="20"/>
        </w:rPr>
        <w:t>The Company’s marketable securities are considered to be available for sale and are carried at fair value, with unrealized gains and losses, net of taxes, reported as a component of accumulated other comprehensive (loss) income (“AOCI”) in sharehold</w:t>
      </w:r>
      <w:r>
        <w:rPr>
          <w:rFonts w:eastAsia="Times New Roman"/>
          <w:color w:val="000000"/>
          <w:sz w:val="20"/>
          <w:szCs w:val="20"/>
        </w:rPr>
        <w:t>ers’ equity, with the exception of unrealized gains and losses on equity instruments and allowances for expected credit losses, if any, which are reported in earnings in the current period. The cost of securities sold is based upon the specific identificat</w:t>
      </w:r>
      <w:r>
        <w:rPr>
          <w:rFonts w:eastAsia="Times New Roman"/>
          <w:color w:val="000000"/>
          <w:sz w:val="20"/>
          <w:szCs w:val="20"/>
        </w:rPr>
        <w:t xml:space="preserve">ion method. </w:t>
      </w:r>
      <w:r>
        <w:rPr>
          <w:rFonts w:eastAsia="Times New Roman"/>
          <w:b/>
          <w:bCs/>
          <w:i/>
          <w:iCs/>
          <w:color w:val="000000"/>
          <w:sz w:val="20"/>
          <w:szCs w:val="20"/>
        </w:rPr>
        <w:t> </w:t>
      </w:r>
    </w:p>
    <w:p w14:paraId="79DE725C" w14:textId="77777777" w:rsidR="00000000" w:rsidRDefault="000C49AD">
      <w:pPr>
        <w:jc w:val="both"/>
        <w:rPr>
          <w:rFonts w:eastAsia="Times New Roman"/>
        </w:rPr>
      </w:pPr>
    </w:p>
    <w:p w14:paraId="65D61FC4" w14:textId="77777777" w:rsidR="00000000" w:rsidRDefault="000C49AD">
      <w:pPr>
        <w:jc w:val="both"/>
        <w:rPr>
          <w:rFonts w:eastAsia="Times New Roman"/>
        </w:rPr>
      </w:pPr>
      <w:r>
        <w:rPr>
          <w:rFonts w:eastAsia="Times New Roman"/>
          <w:color w:val="000000"/>
          <w:sz w:val="20"/>
          <w:szCs w:val="20"/>
        </w:rPr>
        <w:t>For available-for-sale debt securities in an unrealized loss position, the Company assesses whether it intends to sell or if it is more likely than not that the Company will be required to sell the security before recovery of its amortized cost basis. If e</w:t>
      </w:r>
      <w:r>
        <w:rPr>
          <w:rFonts w:eastAsia="Times New Roman"/>
          <w:color w:val="000000"/>
          <w:sz w:val="20"/>
          <w:szCs w:val="20"/>
        </w:rPr>
        <w:t>ither of the criteria regarding intent or requirement to sell is met, the security’s amortized cost basis is written down to fair value. If the criteria are not met, the Company evaluates whether the decline in fair value has resulted from a credit loss or</w:t>
      </w:r>
      <w:r>
        <w:rPr>
          <w:rFonts w:eastAsia="Times New Roman"/>
          <w:color w:val="000000"/>
          <w:sz w:val="20"/>
          <w:szCs w:val="20"/>
        </w:rPr>
        <w:t xml:space="preserve"> other factors. In making this assessment, management considers, among other factors, the extent to which fair value is less than amortized cost, any changes to the rating of the security by a rating agency, and adverse conditions specifically related to t</w:t>
      </w:r>
      <w:r>
        <w:rPr>
          <w:rFonts w:eastAsia="Times New Roman"/>
          <w:color w:val="000000"/>
          <w:sz w:val="20"/>
          <w:szCs w:val="20"/>
        </w:rPr>
        <w:t xml:space="preserve">he security. If this assessment indicates that a credit loss exists, the present value of cash flows expected to be collected from the security are compared to the amortized cost basis of the security. If the present value of the cash flows expected to be </w:t>
      </w:r>
      <w:r>
        <w:rPr>
          <w:rFonts w:eastAsia="Times New Roman"/>
          <w:color w:val="000000"/>
          <w:sz w:val="20"/>
          <w:szCs w:val="20"/>
        </w:rPr>
        <w:t xml:space="preserve">collected is less than the amortized cost basis, a credit loss exists and an allowance for credit losses is recorded for the credit loss, limited by the amount that the fair value is less than the amortized costs basis. </w:t>
      </w:r>
    </w:p>
    <w:p w14:paraId="628D9537" w14:textId="77777777" w:rsidR="00000000" w:rsidRDefault="000C49AD">
      <w:pPr>
        <w:jc w:val="both"/>
        <w:rPr>
          <w:rFonts w:eastAsia="Times New Roman"/>
        </w:rPr>
      </w:pPr>
    </w:p>
    <w:p w14:paraId="6CA25836" w14:textId="77777777" w:rsidR="00000000" w:rsidRDefault="000C49AD">
      <w:pPr>
        <w:jc w:val="both"/>
        <w:rPr>
          <w:rFonts w:eastAsia="Times New Roman"/>
        </w:rPr>
      </w:pPr>
      <w:r>
        <w:rPr>
          <w:rFonts w:eastAsia="Times New Roman"/>
          <w:b/>
          <w:bCs/>
          <w:i/>
          <w:iCs/>
          <w:color w:val="000000"/>
          <w:sz w:val="20"/>
          <w:szCs w:val="20"/>
        </w:rPr>
        <w:t xml:space="preserve">Allowance for Credit Losses. </w:t>
      </w:r>
      <w:r>
        <w:rPr>
          <w:rFonts w:eastAsia="Times New Roman"/>
          <w:color w:val="000000"/>
          <w:sz w:val="20"/>
          <w:szCs w:val="20"/>
        </w:rPr>
        <w:t>Amou</w:t>
      </w:r>
      <w:r>
        <w:rPr>
          <w:rFonts w:eastAsia="Times New Roman"/>
          <w:color w:val="000000"/>
          <w:sz w:val="20"/>
          <w:szCs w:val="20"/>
        </w:rPr>
        <w:t>nts owed to the Company are presented net of an allowance that includes as assessment of expected credit losses. An allowance for credit losses is established based on expected losses. Expected losses are estimated by reviewing individual accounts, conside</w:t>
      </w:r>
      <w:r>
        <w:rPr>
          <w:rFonts w:eastAsia="Times New Roman"/>
          <w:color w:val="000000"/>
          <w:sz w:val="20"/>
          <w:szCs w:val="20"/>
        </w:rPr>
        <w:t>ring aging, financial condition of the debtor, payment history, current and forecast economic conditions and other relevant factors. To the extent that the Company identifies that any individual customer's credit quality has deteriorated, the Company estab</w:t>
      </w:r>
      <w:r>
        <w:rPr>
          <w:rFonts w:eastAsia="Times New Roman"/>
          <w:color w:val="000000"/>
          <w:sz w:val="20"/>
          <w:szCs w:val="20"/>
        </w:rPr>
        <w:t>lishes allowances based on the individual risk characteristics of that customer. The Company makes concerted efforts to collect all outstanding balances due from customers; however, amounts are written off against the allowance when the related balances ar</w:t>
      </w:r>
      <w:r>
        <w:rPr>
          <w:rFonts w:eastAsia="Times New Roman"/>
          <w:color w:val="000000"/>
          <w:sz w:val="20"/>
          <w:szCs w:val="20"/>
        </w:rPr>
        <w:t xml:space="preserve">e no longer deemed collectible </w:t>
      </w:r>
    </w:p>
    <w:p w14:paraId="2B1F0BC6" w14:textId="77777777" w:rsidR="00000000" w:rsidRDefault="000C49AD">
      <w:pPr>
        <w:jc w:val="both"/>
        <w:rPr>
          <w:rFonts w:eastAsia="Times New Roman"/>
        </w:rPr>
      </w:pPr>
    </w:p>
    <w:p w14:paraId="61138405" w14:textId="77777777" w:rsidR="00000000" w:rsidRDefault="000C49AD">
      <w:pPr>
        <w:jc w:val="both"/>
        <w:rPr>
          <w:rFonts w:eastAsia="Times New Roman"/>
        </w:rPr>
      </w:pPr>
      <w:r>
        <w:rPr>
          <w:rFonts w:eastAsia="Times New Roman"/>
          <w:b/>
          <w:bCs/>
          <w:i/>
          <w:iCs/>
          <w:color w:val="000000"/>
          <w:sz w:val="20"/>
          <w:szCs w:val="20"/>
        </w:rPr>
        <w:t>Property and Equipment.</w:t>
      </w:r>
      <w:r>
        <w:rPr>
          <w:rFonts w:eastAsia="Times New Roman"/>
          <w:color w:val="000000"/>
          <w:sz w:val="20"/>
          <w:szCs w:val="20"/>
        </w:rPr>
        <w:t xml:space="preserve"> Property and equipment is stated at historical cost less accumulated depreciation. Depreciation and amortization are computed using the straight-line method over the following estimated useful lives</w:t>
      </w:r>
      <w:r>
        <w:rPr>
          <w:rFonts w:eastAsia="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69"/>
        <w:gridCol w:w="6415"/>
        <w:gridCol w:w="37"/>
        <w:gridCol w:w="69"/>
        <w:gridCol w:w="1655"/>
        <w:gridCol w:w="36"/>
      </w:tblGrid>
      <w:tr w:rsidR="00000000" w14:paraId="57661B56" w14:textId="77777777">
        <w:tc>
          <w:tcPr>
            <w:tcW w:w="50" w:type="pct"/>
            <w:vAlign w:val="center"/>
            <w:hideMark/>
          </w:tcPr>
          <w:p w14:paraId="44BC8C88" w14:textId="77777777" w:rsidR="00000000" w:rsidRDefault="000C49AD">
            <w:pPr>
              <w:jc w:val="both"/>
              <w:rPr>
                <w:rFonts w:eastAsia="Times New Roman"/>
              </w:rPr>
            </w:pPr>
          </w:p>
        </w:tc>
        <w:tc>
          <w:tcPr>
            <w:tcW w:w="3881" w:type="pct"/>
            <w:vAlign w:val="center"/>
            <w:hideMark/>
          </w:tcPr>
          <w:p w14:paraId="106819A5" w14:textId="77777777" w:rsidR="00000000" w:rsidRDefault="000C49AD">
            <w:pPr>
              <w:spacing w:after="100"/>
              <w:rPr>
                <w:rFonts w:eastAsia="Times New Roman"/>
                <w:sz w:val="20"/>
                <w:szCs w:val="20"/>
              </w:rPr>
            </w:pPr>
          </w:p>
        </w:tc>
        <w:tc>
          <w:tcPr>
            <w:tcW w:w="5" w:type="pct"/>
            <w:vAlign w:val="center"/>
            <w:hideMark/>
          </w:tcPr>
          <w:p w14:paraId="04AC996D" w14:textId="77777777" w:rsidR="00000000" w:rsidRDefault="000C49AD">
            <w:pPr>
              <w:spacing w:after="100"/>
              <w:rPr>
                <w:rFonts w:eastAsia="Times New Roman"/>
                <w:sz w:val="20"/>
                <w:szCs w:val="20"/>
              </w:rPr>
            </w:pPr>
          </w:p>
        </w:tc>
        <w:tc>
          <w:tcPr>
            <w:tcW w:w="50" w:type="pct"/>
            <w:vAlign w:val="center"/>
            <w:hideMark/>
          </w:tcPr>
          <w:p w14:paraId="6C868CD6" w14:textId="77777777" w:rsidR="00000000" w:rsidRDefault="000C49AD">
            <w:pPr>
              <w:spacing w:after="100"/>
              <w:rPr>
                <w:rFonts w:eastAsia="Times New Roman"/>
                <w:sz w:val="20"/>
                <w:szCs w:val="20"/>
              </w:rPr>
            </w:pPr>
          </w:p>
        </w:tc>
        <w:tc>
          <w:tcPr>
            <w:tcW w:w="1008" w:type="pct"/>
            <w:vAlign w:val="center"/>
            <w:hideMark/>
          </w:tcPr>
          <w:p w14:paraId="00D5EE53" w14:textId="77777777" w:rsidR="00000000" w:rsidRDefault="000C49AD">
            <w:pPr>
              <w:spacing w:after="100"/>
              <w:rPr>
                <w:rFonts w:eastAsia="Times New Roman"/>
                <w:sz w:val="20"/>
                <w:szCs w:val="20"/>
              </w:rPr>
            </w:pPr>
          </w:p>
        </w:tc>
        <w:tc>
          <w:tcPr>
            <w:tcW w:w="5" w:type="pct"/>
            <w:vAlign w:val="center"/>
            <w:hideMark/>
          </w:tcPr>
          <w:p w14:paraId="2A248DF1" w14:textId="77777777" w:rsidR="00000000" w:rsidRDefault="000C49AD">
            <w:pPr>
              <w:spacing w:after="100"/>
              <w:rPr>
                <w:rFonts w:eastAsia="Times New Roman"/>
                <w:sz w:val="20"/>
                <w:szCs w:val="20"/>
              </w:rPr>
            </w:pPr>
          </w:p>
        </w:tc>
      </w:tr>
      <w:tr w:rsidR="00000000" w14:paraId="73DC32BA" w14:textId="77777777">
        <w:tc>
          <w:tcPr>
            <w:tcW w:w="0" w:type="auto"/>
            <w:gridSpan w:val="3"/>
            <w:vAlign w:val="center"/>
            <w:hideMark/>
          </w:tcPr>
          <w:p w14:paraId="03338DD9" w14:textId="77777777" w:rsidR="00000000" w:rsidRDefault="000C49AD">
            <w:pPr>
              <w:spacing w:after="100"/>
              <w:rPr>
                <w:rFonts w:eastAsia="Times New Roman"/>
                <w:sz w:val="20"/>
                <w:szCs w:val="20"/>
              </w:rPr>
            </w:pPr>
          </w:p>
        </w:tc>
        <w:tc>
          <w:tcPr>
            <w:tcW w:w="0" w:type="auto"/>
            <w:gridSpan w:val="3"/>
            <w:vAlign w:val="center"/>
            <w:hideMark/>
          </w:tcPr>
          <w:p w14:paraId="6BD5604C" w14:textId="77777777" w:rsidR="00000000" w:rsidRDefault="000C49AD">
            <w:pPr>
              <w:spacing w:after="100"/>
              <w:rPr>
                <w:rFonts w:eastAsia="Times New Roman"/>
                <w:sz w:val="20"/>
                <w:szCs w:val="20"/>
              </w:rPr>
            </w:pPr>
          </w:p>
        </w:tc>
      </w:tr>
      <w:tr w:rsidR="00000000" w14:paraId="21617CBD" w14:textId="77777777">
        <w:tc>
          <w:tcPr>
            <w:tcW w:w="0" w:type="auto"/>
            <w:gridSpan w:val="3"/>
            <w:shd w:val="clear" w:color="auto" w:fill="CCEEFF"/>
            <w:tcMar>
              <w:top w:w="30" w:type="dxa"/>
              <w:left w:w="20" w:type="dxa"/>
              <w:bottom w:w="30" w:type="dxa"/>
              <w:right w:w="20" w:type="dxa"/>
            </w:tcMar>
            <w:vAlign w:val="bottom"/>
            <w:hideMark/>
          </w:tcPr>
          <w:p w14:paraId="619308B9" w14:textId="77777777" w:rsidR="00000000" w:rsidRDefault="000C49AD">
            <w:pPr>
              <w:spacing w:after="100"/>
              <w:rPr>
                <w:rFonts w:eastAsia="Times New Roman"/>
              </w:rPr>
            </w:pPr>
            <w:r>
              <w:rPr>
                <w:rFonts w:eastAsia="Times New Roman"/>
                <w:color w:val="000000"/>
                <w:sz w:val="20"/>
                <w:szCs w:val="20"/>
              </w:rPr>
              <w:t>Software, office and computer equipment</w:t>
            </w:r>
          </w:p>
        </w:tc>
        <w:tc>
          <w:tcPr>
            <w:tcW w:w="0" w:type="auto"/>
            <w:gridSpan w:val="3"/>
            <w:shd w:val="clear" w:color="auto" w:fill="CCEEFF"/>
            <w:tcMar>
              <w:top w:w="30" w:type="dxa"/>
              <w:left w:w="20" w:type="dxa"/>
              <w:bottom w:w="30" w:type="dxa"/>
              <w:right w:w="20" w:type="dxa"/>
            </w:tcMar>
            <w:vAlign w:val="bottom"/>
            <w:hideMark/>
          </w:tcPr>
          <w:p w14:paraId="60C2847C" w14:textId="77777777" w:rsidR="00000000" w:rsidRDefault="000C49AD">
            <w:pPr>
              <w:spacing w:after="100"/>
              <w:rPr>
                <w:rFonts w:eastAsia="Times New Roman"/>
              </w:rPr>
            </w:pPr>
            <w:r>
              <w:rPr>
                <w:rFonts w:eastAsia="Times New Roman"/>
                <w:color w:val="000000"/>
                <w:sz w:val="20"/>
                <w:szCs w:val="20"/>
              </w:rPr>
              <w:t>3 years</w:t>
            </w:r>
          </w:p>
        </w:tc>
      </w:tr>
      <w:tr w:rsidR="00000000" w14:paraId="294697FD" w14:textId="77777777">
        <w:tc>
          <w:tcPr>
            <w:tcW w:w="0" w:type="auto"/>
            <w:gridSpan w:val="3"/>
            <w:shd w:val="clear" w:color="auto" w:fill="FFFFFF"/>
            <w:tcMar>
              <w:top w:w="30" w:type="dxa"/>
              <w:left w:w="20" w:type="dxa"/>
              <w:bottom w:w="30" w:type="dxa"/>
              <w:right w:w="20" w:type="dxa"/>
            </w:tcMar>
            <w:vAlign w:val="bottom"/>
            <w:hideMark/>
          </w:tcPr>
          <w:p w14:paraId="33FB2385" w14:textId="77777777" w:rsidR="00000000" w:rsidRDefault="000C49AD">
            <w:pPr>
              <w:spacing w:after="100"/>
              <w:rPr>
                <w:rFonts w:eastAsia="Times New Roman"/>
              </w:rPr>
            </w:pPr>
            <w:r>
              <w:rPr>
                <w:rFonts w:eastAsia="Times New Roman"/>
                <w:color w:val="000000"/>
                <w:sz w:val="20"/>
                <w:szCs w:val="20"/>
              </w:rPr>
              <w:t>Leasehold improvements, furniture, fixtures and fittings</w:t>
            </w:r>
          </w:p>
        </w:tc>
        <w:tc>
          <w:tcPr>
            <w:tcW w:w="0" w:type="auto"/>
            <w:gridSpan w:val="3"/>
            <w:shd w:val="clear" w:color="auto" w:fill="FFFFFF"/>
            <w:tcMar>
              <w:top w:w="30" w:type="dxa"/>
              <w:left w:w="20" w:type="dxa"/>
              <w:bottom w:w="30" w:type="dxa"/>
              <w:right w:w="20" w:type="dxa"/>
            </w:tcMar>
            <w:vAlign w:val="bottom"/>
            <w:hideMark/>
          </w:tcPr>
          <w:p w14:paraId="448E7C62" w14:textId="77777777" w:rsidR="00000000" w:rsidRDefault="000C49AD">
            <w:pPr>
              <w:spacing w:after="100"/>
              <w:jc w:val="both"/>
              <w:rPr>
                <w:rFonts w:eastAsia="Times New Roman"/>
              </w:rPr>
            </w:pPr>
            <w:r>
              <w:rPr>
                <w:rFonts w:eastAsia="Times New Roman"/>
                <w:color w:val="000000"/>
                <w:sz w:val="20"/>
                <w:szCs w:val="20"/>
              </w:rPr>
              <w:t>5-10 years</w:t>
            </w:r>
          </w:p>
        </w:tc>
      </w:tr>
    </w:tbl>
    <w:p w14:paraId="14419D54" w14:textId="77777777" w:rsidR="00000000" w:rsidRDefault="000C49AD">
      <w:pPr>
        <w:jc w:val="both"/>
        <w:rPr>
          <w:rFonts w:eastAsia="Times New Roman"/>
        </w:rPr>
      </w:pPr>
      <w:r>
        <w:rPr>
          <w:rFonts w:eastAsia="Times New Roman"/>
          <w:b/>
          <w:bCs/>
          <w:i/>
          <w:iCs/>
          <w:color w:val="000000"/>
          <w:sz w:val="20"/>
          <w:szCs w:val="20"/>
        </w:rPr>
        <w:t> </w:t>
      </w:r>
    </w:p>
    <w:p w14:paraId="343D5FE1" w14:textId="77777777" w:rsidR="00000000" w:rsidRDefault="000C49AD">
      <w:pPr>
        <w:jc w:val="both"/>
        <w:rPr>
          <w:rFonts w:eastAsia="Times New Roman"/>
        </w:rPr>
      </w:pPr>
      <w:r>
        <w:rPr>
          <w:rFonts w:eastAsia="Times New Roman"/>
          <w:b/>
          <w:bCs/>
          <w:i/>
          <w:iCs/>
          <w:color w:val="000000"/>
          <w:sz w:val="20"/>
          <w:szCs w:val="20"/>
        </w:rPr>
        <w:t>Goodwill.</w:t>
      </w:r>
      <w:r>
        <w:rPr>
          <w:rFonts w:eastAsia="Times New Roman"/>
          <w:color w:val="000000"/>
          <w:sz w:val="20"/>
          <w:szCs w:val="20"/>
        </w:rPr>
        <w:t xml:space="preserve"> </w:t>
      </w:r>
      <w:r>
        <w:rPr>
          <w:rFonts w:eastAsia="Times New Roman"/>
          <w:color w:val="000000"/>
          <w:sz w:val="20"/>
          <w:szCs w:val="20"/>
        </w:rPr>
        <w:t>Goodwill represents the excess of the acquisition consideration over the fair value of assets acquired and liabilities assumed. The Company has determined that it operates in a single segment and have a single reporting unit associated with the development</w:t>
      </w:r>
      <w:r>
        <w:rPr>
          <w:rFonts w:eastAsia="Times New Roman"/>
          <w:color w:val="000000"/>
          <w:sz w:val="20"/>
          <w:szCs w:val="20"/>
        </w:rPr>
        <w:t xml:space="preserve"> and commercialization of pharmaceutical products. The Company tests goodwill for impairment annually and when events or changes in circumstances indicate that the carrying value may not be recoverable. The Company determined that no impairment of goodwill</w:t>
      </w:r>
      <w:r>
        <w:rPr>
          <w:rFonts w:eastAsia="Times New Roman"/>
          <w:color w:val="000000"/>
          <w:sz w:val="20"/>
          <w:szCs w:val="20"/>
        </w:rPr>
        <w:t xml:space="preserve"> existed at December 31, 2021 and 2020. </w:t>
      </w:r>
    </w:p>
    <w:p w14:paraId="319415B4" w14:textId="77777777" w:rsidR="00000000" w:rsidRDefault="000C49AD">
      <w:pPr>
        <w:jc w:val="both"/>
        <w:rPr>
          <w:rFonts w:eastAsia="Times New Roman"/>
        </w:rPr>
      </w:pPr>
    </w:p>
    <w:p w14:paraId="19116180" w14:textId="77777777" w:rsidR="00000000" w:rsidRDefault="000C49AD">
      <w:pPr>
        <w:jc w:val="center"/>
        <w:divId w:val="802238388"/>
        <w:rPr>
          <w:rFonts w:eastAsia="Times New Roman"/>
        </w:rPr>
      </w:pPr>
      <w:r>
        <w:rPr>
          <w:rFonts w:eastAsia="Times New Roman"/>
          <w:color w:val="000000"/>
          <w:sz w:val="20"/>
          <w:szCs w:val="20"/>
        </w:rPr>
        <w:t>-81-</w:t>
      </w:r>
    </w:p>
    <w:p w14:paraId="4AD62D70" w14:textId="77777777" w:rsidR="00000000" w:rsidRDefault="000C49AD">
      <w:pPr>
        <w:rPr>
          <w:rFonts w:eastAsia="Times New Roman"/>
        </w:rPr>
      </w:pPr>
      <w:r>
        <w:rPr>
          <w:rFonts w:eastAsia="Times New Roman"/>
        </w:rPr>
        <w:pict w14:anchorId="53493F7F">
          <v:rect id="_x0000_i1106" style="width:0;height:1.5pt" o:hralign="center" o:hrstd="t" o:hr="t" fillcolor="#a0a0a0" stroked="f"/>
        </w:pict>
      </w:r>
    </w:p>
    <w:p w14:paraId="1599F589" w14:textId="77777777" w:rsidR="00000000" w:rsidRDefault="000C49AD">
      <w:pPr>
        <w:divId w:val="773521663"/>
        <w:rPr>
          <w:rFonts w:eastAsia="Times New Roman"/>
        </w:rPr>
      </w:pPr>
    </w:p>
    <w:p w14:paraId="4E6D460F" w14:textId="77777777" w:rsidR="00000000" w:rsidRDefault="000C49AD">
      <w:pPr>
        <w:jc w:val="both"/>
        <w:rPr>
          <w:rFonts w:eastAsia="Times New Roman"/>
        </w:rPr>
      </w:pPr>
      <w:r>
        <w:rPr>
          <w:rFonts w:eastAsia="Times New Roman"/>
          <w:b/>
          <w:bCs/>
          <w:i/>
          <w:iCs/>
          <w:color w:val="000000"/>
          <w:sz w:val="20"/>
          <w:szCs w:val="20"/>
        </w:rPr>
        <w:t xml:space="preserve">Long-Lived Assets. </w:t>
      </w:r>
      <w:r>
        <w:rPr>
          <w:rFonts w:eastAsia="Times New Roman"/>
          <w:color w:val="000000"/>
          <w:sz w:val="20"/>
          <w:szCs w:val="20"/>
        </w:rPr>
        <w:t>Long-lived assets include fixed assets and intangible assets. Prior to the sale of the Company’s portfolio of sterile injectable drugs used in the hosp</w:t>
      </w:r>
      <w:r>
        <w:rPr>
          <w:rFonts w:eastAsia="Times New Roman"/>
          <w:color w:val="000000"/>
          <w:sz w:val="20"/>
          <w:szCs w:val="20"/>
        </w:rPr>
        <w:t>ital setting (“Hospital Products”) on June 30, 2020, intangible assets consisted primarily of purchased licenses and intangible assets recognized as part of the Éclat Pharmaceuticals acquisition. Acquired in-process research and development (“IPR&amp;D”) had a</w:t>
      </w:r>
      <w:r>
        <w:rPr>
          <w:rFonts w:eastAsia="Times New Roman"/>
          <w:color w:val="000000"/>
          <w:sz w:val="20"/>
          <w:szCs w:val="20"/>
        </w:rPr>
        <w:t>n indefinite life and was not amortized until completion and development of the project, at which time the IPR&amp;D became an amortizable asset, for which amortization of such intangible assets was computed using the straight-line method over the estimated us</w:t>
      </w:r>
      <w:r>
        <w:rPr>
          <w:rFonts w:eastAsia="Times New Roman"/>
          <w:color w:val="000000"/>
          <w:sz w:val="20"/>
          <w:szCs w:val="20"/>
        </w:rPr>
        <w:t>eful life of the assets.  </w:t>
      </w:r>
    </w:p>
    <w:p w14:paraId="51259D9E" w14:textId="77777777" w:rsidR="00000000" w:rsidRDefault="000C49AD">
      <w:pPr>
        <w:jc w:val="both"/>
        <w:rPr>
          <w:rFonts w:eastAsia="Times New Roman"/>
        </w:rPr>
      </w:pPr>
    </w:p>
    <w:p w14:paraId="2B1C8D04" w14:textId="77777777" w:rsidR="00000000" w:rsidRDefault="000C49AD">
      <w:pPr>
        <w:jc w:val="both"/>
        <w:rPr>
          <w:rFonts w:eastAsia="Times New Roman"/>
        </w:rPr>
      </w:pPr>
      <w:r>
        <w:rPr>
          <w:rFonts w:eastAsia="Times New Roman"/>
          <w:color w:val="000000"/>
          <w:sz w:val="20"/>
          <w:szCs w:val="20"/>
        </w:rPr>
        <w:t>Long-lived assets are reviewed for impairment whenever conditions indicate that the carrying value of the assets may not be fully recoverable. Such impairment tests are based on a comparison of the pretax undiscounted cash flow</w:t>
      </w:r>
      <w:r>
        <w:rPr>
          <w:rFonts w:eastAsia="Times New Roman"/>
          <w:color w:val="000000"/>
          <w:sz w:val="20"/>
          <w:szCs w:val="20"/>
        </w:rPr>
        <w:t xml:space="preserve">s expected to be generated by the asset to the recorded value of the asset or other market-based value approaches. If impairment is indicated, the asset value is written down to its market value if readily determinable or its estimated fair value based on </w:t>
      </w:r>
      <w:r>
        <w:rPr>
          <w:rFonts w:eastAsia="Times New Roman"/>
          <w:color w:val="000000"/>
          <w:sz w:val="20"/>
          <w:szCs w:val="20"/>
        </w:rPr>
        <w:t>discounted cash flows. Any significant changes in business or market conditions that vary from current expectations could have an impact on the fair value of these assets and any potential associated impairment. On June 30, 2020, the Company transferred it</w:t>
      </w:r>
      <w:r>
        <w:rPr>
          <w:rFonts w:eastAsia="Times New Roman"/>
          <w:color w:val="000000"/>
          <w:sz w:val="20"/>
          <w:szCs w:val="20"/>
        </w:rPr>
        <w:t>s remaining intangible asset to Exela Sterile Medicines LLC (“Exela Buyer”) as part of the disposition of the Hospital Products.</w:t>
      </w:r>
    </w:p>
    <w:p w14:paraId="015AAB66" w14:textId="77777777" w:rsidR="00000000" w:rsidRDefault="000C49AD">
      <w:pPr>
        <w:jc w:val="both"/>
        <w:rPr>
          <w:rFonts w:eastAsia="Times New Roman"/>
        </w:rPr>
      </w:pPr>
    </w:p>
    <w:p w14:paraId="0E6E0C79" w14:textId="77777777" w:rsidR="00000000" w:rsidRDefault="000C49AD">
      <w:pPr>
        <w:jc w:val="both"/>
        <w:rPr>
          <w:rFonts w:eastAsia="Times New Roman"/>
        </w:rPr>
      </w:pPr>
      <w:r>
        <w:rPr>
          <w:rFonts w:eastAsia="Times New Roman"/>
          <w:b/>
          <w:bCs/>
          <w:i/>
          <w:iCs/>
          <w:color w:val="000000"/>
          <w:sz w:val="20"/>
          <w:szCs w:val="20"/>
        </w:rPr>
        <w:t xml:space="preserve">Lease Obligations. </w:t>
      </w:r>
      <w:r>
        <w:rPr>
          <w:rFonts w:eastAsia="Times New Roman"/>
          <w:color w:val="000000"/>
          <w:sz w:val="20"/>
          <w:szCs w:val="20"/>
        </w:rPr>
        <w:t>The Company determines if a contract is a lease at the inception of the arrangement. Right-of-use assets a</w:t>
      </w:r>
      <w:r>
        <w:rPr>
          <w:rFonts w:eastAsia="Times New Roman"/>
          <w:color w:val="000000"/>
          <w:sz w:val="20"/>
          <w:szCs w:val="20"/>
        </w:rPr>
        <w:t>nd operating lease liabilities are recognized at commencement date based on the present value of remaining lease payments over the lease term. For this purpose, the Company considers only payments that are fixed and determinable at the time of commencement</w:t>
      </w:r>
      <w:r>
        <w:rPr>
          <w:rFonts w:eastAsia="Times New Roman"/>
          <w:color w:val="000000"/>
          <w:sz w:val="20"/>
          <w:szCs w:val="20"/>
        </w:rPr>
        <w:t>. The Company reviews all options to extend, terminate, or purchase its right-of-use assets at the inception of the lease and will include these options in the lease term when they are reasonably certain of being exercised. Short term leases with an initia</w:t>
      </w:r>
      <w:r>
        <w:rPr>
          <w:rFonts w:eastAsia="Times New Roman"/>
          <w:color w:val="000000"/>
          <w:sz w:val="20"/>
          <w:szCs w:val="20"/>
        </w:rPr>
        <w:t xml:space="preserve">l term of 12 months or less are not recorded on the balance sheet and the associated lease payments are recognized in the consolidated statements of (loss) income on a straight-line basis over the lease term. The Company’s lease contracts do not provide a </w:t>
      </w:r>
      <w:r>
        <w:rPr>
          <w:rFonts w:eastAsia="Times New Roman"/>
          <w:color w:val="000000"/>
          <w:sz w:val="20"/>
          <w:szCs w:val="20"/>
        </w:rPr>
        <w:t>readily determinable implicit rate. The Company’s estimated incremental borrowing rate is based on information available at the inception of the lease. The Company’s lease agreements may contain variable costs such as common area maintenance, insurance, re</w:t>
      </w:r>
      <w:r>
        <w:rPr>
          <w:rFonts w:eastAsia="Times New Roman"/>
          <w:color w:val="000000"/>
          <w:sz w:val="20"/>
          <w:szCs w:val="20"/>
        </w:rPr>
        <w:t>al estate taxes or other costs. Variable lease costs are expensed as incurred on the consolidated statements of (loss) income.</w:t>
      </w:r>
    </w:p>
    <w:p w14:paraId="2EE13C13" w14:textId="77777777" w:rsidR="00000000" w:rsidRDefault="000C49AD">
      <w:pPr>
        <w:jc w:val="both"/>
        <w:rPr>
          <w:rFonts w:eastAsia="Times New Roman"/>
        </w:rPr>
      </w:pPr>
    </w:p>
    <w:p w14:paraId="11CA7A23" w14:textId="77777777" w:rsidR="00000000" w:rsidRDefault="000C49AD">
      <w:pPr>
        <w:jc w:val="both"/>
        <w:rPr>
          <w:rFonts w:eastAsia="Times New Roman"/>
        </w:rPr>
      </w:pPr>
      <w:r>
        <w:rPr>
          <w:rFonts w:eastAsia="Times New Roman"/>
          <w:b/>
          <w:bCs/>
          <w:i/>
          <w:iCs/>
          <w:color w:val="000000"/>
          <w:sz w:val="20"/>
          <w:szCs w:val="20"/>
        </w:rPr>
        <w:t xml:space="preserve">Use of Estimates. </w:t>
      </w:r>
      <w:r>
        <w:rPr>
          <w:rFonts w:eastAsia="Times New Roman"/>
          <w:color w:val="000000"/>
          <w:sz w:val="20"/>
          <w:szCs w:val="20"/>
        </w:rPr>
        <w:t>The preparation of consolidated financial statements in conformity with U.S. GAAP requires management to make estimates and assumptions that affect the reported amounts of assets and liabilities, including marketable securities and contingent liabilities a</w:t>
      </w:r>
      <w:r>
        <w:rPr>
          <w:rFonts w:eastAsia="Times New Roman"/>
          <w:color w:val="000000"/>
          <w:sz w:val="20"/>
          <w:szCs w:val="20"/>
        </w:rPr>
        <w:t>t the date of the consolidated financial statements and the reported amounts of sales and expenses during the periods presented. These estimates and assumptions are based on the best information available to management at the balance sheet dates and depend</w:t>
      </w:r>
      <w:r>
        <w:rPr>
          <w:rFonts w:eastAsia="Times New Roman"/>
          <w:color w:val="000000"/>
          <w:sz w:val="20"/>
          <w:szCs w:val="20"/>
        </w:rPr>
        <w:t xml:space="preserve">ing on the nature of the estimate can require significant judgments. Changes to these estimates and judgments can have and have had a material impact on the Company’s consolidated statements of (loss) income and balance sheets. Actual results could differ </w:t>
      </w:r>
      <w:r>
        <w:rPr>
          <w:rFonts w:eastAsia="Times New Roman"/>
          <w:color w:val="000000"/>
          <w:sz w:val="20"/>
          <w:szCs w:val="20"/>
        </w:rPr>
        <w:t xml:space="preserve">from those estimates under different assumptions or conditions. </w:t>
      </w:r>
      <w:r>
        <w:rPr>
          <w:rFonts w:eastAsia="Times New Roman"/>
          <w:b/>
          <w:bCs/>
          <w:color w:val="000000"/>
          <w:sz w:val="20"/>
          <w:szCs w:val="20"/>
        </w:rPr>
        <w:t> </w:t>
      </w:r>
    </w:p>
    <w:p w14:paraId="1FBC48A7" w14:textId="77777777" w:rsidR="00000000" w:rsidRDefault="000C49AD">
      <w:pPr>
        <w:jc w:val="both"/>
        <w:rPr>
          <w:rFonts w:eastAsia="Times New Roman"/>
        </w:rPr>
      </w:pPr>
    </w:p>
    <w:p w14:paraId="153BE5C8" w14:textId="77777777" w:rsidR="00000000" w:rsidRDefault="000C49AD">
      <w:pPr>
        <w:divId w:val="388189241"/>
        <w:rPr>
          <w:rFonts w:eastAsia="Times New Roman"/>
        </w:rPr>
      </w:pPr>
      <w:r>
        <w:rPr>
          <w:rFonts w:eastAsia="Times New Roman"/>
          <w:b/>
          <w:bCs/>
          <w:color w:val="000000"/>
          <w:sz w:val="20"/>
          <w:szCs w:val="20"/>
        </w:rPr>
        <w:t>NOTE 2: Newly Issued Accounting Standards</w:t>
      </w:r>
      <w:r>
        <w:rPr>
          <w:rFonts w:eastAsia="Times New Roman"/>
          <w:color w:val="000000"/>
          <w:sz w:val="20"/>
          <w:szCs w:val="20"/>
        </w:rPr>
        <w:t> </w:t>
      </w:r>
    </w:p>
    <w:p w14:paraId="35EAE0D8" w14:textId="77777777" w:rsidR="00000000" w:rsidRDefault="000C49AD">
      <w:pPr>
        <w:jc w:val="both"/>
        <w:rPr>
          <w:rFonts w:eastAsia="Times New Roman"/>
        </w:rPr>
      </w:pPr>
      <w:r>
        <w:rPr>
          <w:rFonts w:eastAsia="Times New Roman"/>
          <w:b/>
          <w:bCs/>
          <w:i/>
          <w:iCs/>
          <w:color w:val="000000"/>
          <w:sz w:val="20"/>
          <w:szCs w:val="20"/>
        </w:rPr>
        <w:t>Recently Adopted Accounting Guidance</w:t>
      </w:r>
    </w:p>
    <w:p w14:paraId="0EC07CA0" w14:textId="77777777" w:rsidR="00000000" w:rsidRDefault="000C49AD">
      <w:pPr>
        <w:jc w:val="both"/>
        <w:rPr>
          <w:rFonts w:eastAsia="Times New Roman"/>
        </w:rPr>
      </w:pPr>
    </w:p>
    <w:p w14:paraId="0979C020" w14:textId="77777777" w:rsidR="00000000" w:rsidRDefault="000C49AD">
      <w:pPr>
        <w:jc w:val="both"/>
        <w:rPr>
          <w:rFonts w:eastAsia="Times New Roman"/>
        </w:rPr>
      </w:pPr>
      <w:r>
        <w:rPr>
          <w:rFonts w:eastAsia="Times New Roman"/>
          <w:color w:val="000000"/>
          <w:sz w:val="20"/>
          <w:szCs w:val="20"/>
        </w:rPr>
        <w:t>In December 2019, the Financial Accounting Standards Board (“FASB”) issued Accounting Standards Update (“A</w:t>
      </w:r>
      <w:r>
        <w:rPr>
          <w:rFonts w:eastAsia="Times New Roman"/>
          <w:color w:val="000000"/>
          <w:sz w:val="20"/>
          <w:szCs w:val="20"/>
        </w:rPr>
        <w:t xml:space="preserve">SU”) 2019-12, </w:t>
      </w:r>
      <w:r>
        <w:rPr>
          <w:rFonts w:eastAsia="Times New Roman"/>
          <w:i/>
          <w:iCs/>
          <w:color w:val="000000"/>
          <w:sz w:val="20"/>
          <w:szCs w:val="20"/>
        </w:rPr>
        <w:t>Income Taxes (Topic 740): Simplifying the Accounting for Income Taxes</w:t>
      </w:r>
      <w:r>
        <w:rPr>
          <w:rFonts w:eastAsia="Times New Roman"/>
          <w:color w:val="000000"/>
          <w:sz w:val="20"/>
          <w:szCs w:val="20"/>
        </w:rPr>
        <w:t>, as part of its overall simplification initiative to reduce costs and complexity of applying accounting standards while maintaining or improving the usefulness of the infor</w:t>
      </w:r>
      <w:r>
        <w:rPr>
          <w:rFonts w:eastAsia="Times New Roman"/>
          <w:color w:val="000000"/>
          <w:sz w:val="20"/>
          <w:szCs w:val="20"/>
        </w:rPr>
        <w:t>mation provided to users of financial statements. The FASB’s amendments primarily impact ASC 740, Income Taxes, and may impact both interim and annual reporting periods. ASU 2019-12 is effective for fiscal years beginning after December 15, 2020, and inter</w:t>
      </w:r>
      <w:r>
        <w:rPr>
          <w:rFonts w:eastAsia="Times New Roman"/>
          <w:color w:val="000000"/>
          <w:sz w:val="20"/>
          <w:szCs w:val="20"/>
        </w:rPr>
        <w:t>im periods within those fiscal years and early adoption is permitted. The Company adopted the provisions of ASU 2019-12 on January 1, 2021. Adoption of ASU 2019-12 did not have any impact on the Company’s consolidated financial statements.</w:t>
      </w:r>
    </w:p>
    <w:p w14:paraId="1ECC2F5E" w14:textId="77777777" w:rsidR="00000000" w:rsidRDefault="000C49AD">
      <w:pPr>
        <w:jc w:val="both"/>
        <w:rPr>
          <w:rFonts w:eastAsia="Times New Roman"/>
        </w:rPr>
      </w:pPr>
    </w:p>
    <w:p w14:paraId="1A41F547" w14:textId="77777777" w:rsidR="00000000" w:rsidRDefault="000C49AD">
      <w:pPr>
        <w:jc w:val="both"/>
        <w:rPr>
          <w:rFonts w:eastAsia="Times New Roman"/>
        </w:rPr>
      </w:pPr>
      <w:r>
        <w:rPr>
          <w:rFonts w:eastAsia="Times New Roman"/>
          <w:color w:val="000000"/>
          <w:sz w:val="20"/>
          <w:szCs w:val="20"/>
        </w:rPr>
        <w:t>In August 2020</w:t>
      </w:r>
      <w:r>
        <w:rPr>
          <w:rFonts w:eastAsia="Times New Roman"/>
          <w:color w:val="000000"/>
          <w:sz w:val="20"/>
          <w:szCs w:val="20"/>
        </w:rPr>
        <w:t xml:space="preserve">, the FASB issued ASU 2020-06, </w:t>
      </w:r>
      <w:r>
        <w:rPr>
          <w:rFonts w:eastAsia="Times New Roman"/>
          <w:i/>
          <w:iCs/>
          <w:color w:val="000000"/>
          <w:sz w:val="20"/>
          <w:szCs w:val="20"/>
        </w:rPr>
        <w:t>Debt with Conversion and Other Options (Subtopic 470-20) and Derivatives and Hedging- Contracts in Entity’s Own Equity (Subtopic 815-40)</w:t>
      </w:r>
      <w:r>
        <w:rPr>
          <w:rFonts w:eastAsia="Times New Roman"/>
          <w:color w:val="000000"/>
          <w:sz w:val="20"/>
          <w:szCs w:val="20"/>
        </w:rPr>
        <w:t>, to reduce the complexity associated with applying U.S. GAAP principles for certain fina</w:t>
      </w:r>
      <w:r>
        <w:rPr>
          <w:rFonts w:eastAsia="Times New Roman"/>
          <w:color w:val="000000"/>
          <w:sz w:val="20"/>
          <w:szCs w:val="20"/>
        </w:rPr>
        <w:t>ncial instruments with characteristics of liabilities and equity. The amendments in this ASU reduce the number of accounting models for convertible instruments and expand the existing disclosure requirements over earnings per share as it relates to convert</w:t>
      </w:r>
      <w:r>
        <w:rPr>
          <w:rFonts w:eastAsia="Times New Roman"/>
          <w:color w:val="000000"/>
          <w:sz w:val="20"/>
          <w:szCs w:val="20"/>
        </w:rPr>
        <w:t xml:space="preserve">ible instruments. Convertible debt will be accounted for as a single liability measured at its amortized cost, as long as no other features require bifurcation and recognition as derivatives. The update also requires the if-converted method to be used for </w:t>
      </w:r>
      <w:r>
        <w:rPr>
          <w:rFonts w:eastAsia="Times New Roman"/>
          <w:color w:val="000000"/>
          <w:sz w:val="20"/>
          <w:szCs w:val="20"/>
        </w:rPr>
        <w:t>convertible instruments and the effect of potential share settlement be included in the diluted earnings per share calculation when an instrument may be settled in cash or shares. This ASU will be effective for the Company’s fiscal year beginning January 1</w:t>
      </w:r>
      <w:r>
        <w:rPr>
          <w:rFonts w:eastAsia="Times New Roman"/>
          <w:color w:val="000000"/>
          <w:sz w:val="20"/>
          <w:szCs w:val="20"/>
        </w:rPr>
        <w:t>, 2022 and interim periods therein. Early adoption is permitted, but no earlier than fiscal years beginning after December 15, 2020. The amendments may be adopted through either a modified retrospective method, or a fully retrospective method.</w:t>
      </w:r>
    </w:p>
    <w:p w14:paraId="6F6B6D3F" w14:textId="77777777" w:rsidR="00000000" w:rsidRDefault="000C49AD">
      <w:pPr>
        <w:jc w:val="center"/>
        <w:divId w:val="1038553549"/>
        <w:rPr>
          <w:rFonts w:eastAsia="Times New Roman"/>
        </w:rPr>
      </w:pPr>
      <w:r>
        <w:rPr>
          <w:rFonts w:eastAsia="Times New Roman"/>
          <w:color w:val="000000"/>
          <w:sz w:val="20"/>
          <w:szCs w:val="20"/>
        </w:rPr>
        <w:t>-82-</w:t>
      </w:r>
    </w:p>
    <w:p w14:paraId="074AFC88" w14:textId="77777777" w:rsidR="00000000" w:rsidRDefault="000C49AD">
      <w:pPr>
        <w:rPr>
          <w:rFonts w:eastAsia="Times New Roman"/>
        </w:rPr>
      </w:pPr>
      <w:r>
        <w:rPr>
          <w:rFonts w:eastAsia="Times New Roman"/>
        </w:rPr>
        <w:pict w14:anchorId="3C15C0C8">
          <v:rect id="_x0000_i1107" style="width:0;height:1.5pt" o:hralign="center" o:hrstd="t" o:hr="t" fillcolor="#a0a0a0" stroked="f"/>
        </w:pict>
      </w:r>
    </w:p>
    <w:p w14:paraId="62C69D95" w14:textId="77777777" w:rsidR="00000000" w:rsidRDefault="000C49AD">
      <w:pPr>
        <w:divId w:val="420031282"/>
        <w:rPr>
          <w:rFonts w:eastAsia="Times New Roman"/>
        </w:rPr>
      </w:pPr>
    </w:p>
    <w:p w14:paraId="78985576" w14:textId="77777777" w:rsidR="00000000" w:rsidRDefault="000C49AD">
      <w:pPr>
        <w:jc w:val="both"/>
        <w:rPr>
          <w:rFonts w:eastAsia="Times New Roman"/>
        </w:rPr>
      </w:pPr>
    </w:p>
    <w:p w14:paraId="07138522" w14:textId="77777777" w:rsidR="00000000" w:rsidRDefault="000C49AD">
      <w:pPr>
        <w:jc w:val="both"/>
        <w:rPr>
          <w:rFonts w:eastAsia="Times New Roman"/>
        </w:rPr>
      </w:pPr>
      <w:r>
        <w:rPr>
          <w:rFonts w:eastAsia="Times New Roman"/>
          <w:color w:val="000000"/>
          <w:sz w:val="20"/>
          <w:szCs w:val="20"/>
        </w:rPr>
        <w:t>The Company elected to early adopt ASU 2020-06 as of January 1, 2021 using a modified retrospective method. The Company’s 4.50% exchangeable senior notes due 2023 (the “2023 Notes”) are a convertible instrument with a cash</w:t>
      </w:r>
      <w:r>
        <w:rPr>
          <w:rFonts w:eastAsia="Times New Roman"/>
          <w:color w:val="000000"/>
          <w:sz w:val="20"/>
          <w:szCs w:val="20"/>
        </w:rPr>
        <w:t xml:space="preserve">-conversion feature that is accounted for within the scope of Subtopic 470-20. The Company calculated the cumulative-effect adjustment as of January 1, 2021 by comparing (i) the historical amortization schedule for the 2023 Notes through December 31, 2020 </w:t>
      </w:r>
      <w:r>
        <w:rPr>
          <w:rFonts w:eastAsia="Times New Roman"/>
          <w:color w:val="000000"/>
          <w:sz w:val="20"/>
          <w:szCs w:val="20"/>
        </w:rPr>
        <w:t>and (ii) an updated amortization schedule wherein the conversion feature within the 2023 Notes would not be separated as an equity component and subsequently recognized as non-cash interest expense under ASC 835-30. The adoption resulted in a $26,699 decre</w:t>
      </w:r>
      <w:r>
        <w:rPr>
          <w:rFonts w:eastAsia="Times New Roman"/>
          <w:color w:val="000000"/>
          <w:sz w:val="20"/>
          <w:szCs w:val="20"/>
        </w:rPr>
        <w:t>ase in additional paid-in capital, a $12,939 increase in long-term debt, and a $13,760 increase to the opening balance of retained earnings.</w:t>
      </w:r>
    </w:p>
    <w:p w14:paraId="12E7272C" w14:textId="77777777" w:rsidR="00000000" w:rsidRDefault="000C49AD">
      <w:pPr>
        <w:jc w:val="both"/>
        <w:rPr>
          <w:rFonts w:eastAsia="Times New Roman"/>
        </w:rPr>
      </w:pPr>
    </w:p>
    <w:p w14:paraId="48D670D7" w14:textId="77777777" w:rsidR="00000000" w:rsidRDefault="000C49AD">
      <w:pPr>
        <w:jc w:val="both"/>
        <w:divId w:val="1017582720"/>
        <w:rPr>
          <w:rFonts w:eastAsia="Times New Roman"/>
        </w:rPr>
      </w:pPr>
      <w:r>
        <w:rPr>
          <w:rFonts w:eastAsia="Times New Roman"/>
          <w:b/>
          <w:bCs/>
          <w:color w:val="000000"/>
          <w:sz w:val="20"/>
          <w:szCs w:val="20"/>
        </w:rPr>
        <w:t>NOTE 3: Subsidiary Bankruptcy and Deconsolidation</w:t>
      </w:r>
    </w:p>
    <w:p w14:paraId="65B3C83D" w14:textId="77777777" w:rsidR="00000000" w:rsidRDefault="000C49AD">
      <w:pPr>
        <w:jc w:val="both"/>
        <w:rPr>
          <w:rFonts w:eastAsia="Times New Roman"/>
        </w:rPr>
      </w:pPr>
      <w:r>
        <w:rPr>
          <w:rFonts w:eastAsia="Times New Roman"/>
          <w:color w:val="000000"/>
          <w:sz w:val="20"/>
          <w:szCs w:val="20"/>
        </w:rPr>
        <w:t>On February 6, 2019, the Company deconsolidated Specialty Pharm</w:t>
      </w:r>
      <w:r>
        <w:rPr>
          <w:rFonts w:eastAsia="Times New Roman"/>
          <w:color w:val="000000"/>
          <w:sz w:val="20"/>
          <w:szCs w:val="20"/>
        </w:rPr>
        <w:t xml:space="preserve">a effective with the filing of the Chapter 11 bankruptcy and recorded a non-cash charge of approximately $2,678 for the year ended December 31, 2019. </w:t>
      </w:r>
    </w:p>
    <w:p w14:paraId="3D15A7B9" w14:textId="77777777" w:rsidR="00000000" w:rsidRDefault="000C49AD">
      <w:pPr>
        <w:jc w:val="both"/>
        <w:rPr>
          <w:rFonts w:eastAsia="Times New Roman"/>
        </w:rPr>
      </w:pPr>
    </w:p>
    <w:p w14:paraId="02D03CB4" w14:textId="77777777" w:rsidR="00000000" w:rsidRDefault="000C49AD">
      <w:pPr>
        <w:jc w:val="both"/>
        <w:rPr>
          <w:rFonts w:eastAsia="Times New Roman"/>
        </w:rPr>
      </w:pPr>
      <w:r>
        <w:rPr>
          <w:rFonts w:eastAsia="Times New Roman"/>
          <w:color w:val="000000"/>
          <w:sz w:val="20"/>
          <w:szCs w:val="20"/>
        </w:rPr>
        <w:t xml:space="preserve">The Company recognized a non-cash gain of $217 and $3,364 from the release of certain liabilities that </w:t>
      </w:r>
      <w:r>
        <w:rPr>
          <w:rFonts w:eastAsia="Times New Roman"/>
          <w:color w:val="000000"/>
          <w:sz w:val="20"/>
          <w:szCs w:val="20"/>
        </w:rPr>
        <w:t>had been retained following the deconsolidation of Specialty Pharma. These gains are included in "Gain from release of certain liabilities" within non-operating (loss) income for the years ended December 31, 2021 and 2020.</w:t>
      </w:r>
    </w:p>
    <w:p w14:paraId="09B5665D" w14:textId="77777777" w:rsidR="00000000" w:rsidRDefault="000C49AD">
      <w:pPr>
        <w:jc w:val="both"/>
        <w:rPr>
          <w:rFonts w:eastAsia="Times New Roman"/>
        </w:rPr>
      </w:pPr>
    </w:p>
    <w:p w14:paraId="0F24AE45" w14:textId="77777777" w:rsidR="00000000" w:rsidRDefault="000C49AD">
      <w:pPr>
        <w:jc w:val="both"/>
        <w:rPr>
          <w:rFonts w:eastAsia="Times New Roman"/>
        </w:rPr>
      </w:pPr>
      <w:r>
        <w:rPr>
          <w:rFonts w:eastAsia="Times New Roman"/>
          <w:color w:val="000000"/>
          <w:sz w:val="20"/>
          <w:szCs w:val="20"/>
        </w:rPr>
        <w:t>On October 26, 2021, the U.S. B</w:t>
      </w:r>
      <w:r>
        <w:rPr>
          <w:rFonts w:eastAsia="Times New Roman"/>
          <w:color w:val="000000"/>
          <w:sz w:val="20"/>
          <w:szCs w:val="20"/>
        </w:rPr>
        <w:t xml:space="preserve">ankruptcy Court for the District of Delaware issued the Final Decree and Order, dismissing the bankruptcy case and dissolving Specialty Pharma. </w:t>
      </w:r>
    </w:p>
    <w:p w14:paraId="0D3E452F" w14:textId="77777777" w:rsidR="00000000" w:rsidRDefault="000C49AD">
      <w:pPr>
        <w:jc w:val="both"/>
        <w:rPr>
          <w:rFonts w:eastAsia="Times New Roman"/>
        </w:rPr>
      </w:pPr>
    </w:p>
    <w:p w14:paraId="28F0C22D" w14:textId="77777777" w:rsidR="00000000" w:rsidRDefault="000C49AD">
      <w:pPr>
        <w:divId w:val="1839491299"/>
        <w:rPr>
          <w:rFonts w:eastAsia="Times New Roman"/>
        </w:rPr>
      </w:pPr>
      <w:r>
        <w:rPr>
          <w:rFonts w:eastAsia="Times New Roman"/>
          <w:b/>
          <w:bCs/>
          <w:color w:val="000000"/>
          <w:sz w:val="20"/>
          <w:szCs w:val="20"/>
        </w:rPr>
        <w:t>NOTE 4: Disposition of the Hospital Products</w:t>
      </w:r>
    </w:p>
    <w:p w14:paraId="37560CFB" w14:textId="77777777" w:rsidR="00000000" w:rsidRDefault="000C49AD">
      <w:pPr>
        <w:divId w:val="1670593690"/>
        <w:rPr>
          <w:rFonts w:eastAsia="Times New Roman"/>
        </w:rPr>
      </w:pPr>
    </w:p>
    <w:p w14:paraId="7B3CC618" w14:textId="77777777" w:rsidR="00000000" w:rsidRDefault="000C49AD">
      <w:pPr>
        <w:jc w:val="both"/>
        <w:rPr>
          <w:rFonts w:eastAsia="Times New Roman"/>
        </w:rPr>
      </w:pPr>
      <w:r>
        <w:rPr>
          <w:rFonts w:eastAsia="Times New Roman"/>
          <w:color w:val="000000"/>
          <w:sz w:val="20"/>
          <w:szCs w:val="20"/>
        </w:rPr>
        <w:t>On June 30, 2020 (the “Closing Date”), the Company announced t</w:t>
      </w:r>
      <w:r>
        <w:rPr>
          <w:rFonts w:eastAsia="Times New Roman"/>
          <w:color w:val="000000"/>
          <w:sz w:val="20"/>
          <w:szCs w:val="20"/>
        </w:rPr>
        <w:t>he sale of its Hospital Products, which included its three FDA-approved commercial products, Akovaz, Bloxiverz and Vazculep, as well as Nouress, to the Exela Buyer pursuant to an Asset Purchase Agreement (the “Transaction”).</w:t>
      </w:r>
    </w:p>
    <w:p w14:paraId="65888532" w14:textId="77777777" w:rsidR="00000000" w:rsidRDefault="000C49AD">
      <w:pPr>
        <w:jc w:val="both"/>
        <w:rPr>
          <w:rFonts w:eastAsia="Times New Roman"/>
        </w:rPr>
      </w:pPr>
    </w:p>
    <w:p w14:paraId="416AC062" w14:textId="77777777" w:rsidR="00000000" w:rsidRDefault="000C49AD">
      <w:pPr>
        <w:jc w:val="both"/>
        <w:rPr>
          <w:rFonts w:eastAsia="Times New Roman"/>
        </w:rPr>
      </w:pPr>
      <w:r>
        <w:rPr>
          <w:rFonts w:eastAsia="Times New Roman"/>
          <w:color w:val="000000"/>
          <w:sz w:val="20"/>
          <w:szCs w:val="20"/>
        </w:rPr>
        <w:t xml:space="preserve">Pursuant to the Transaction, </w:t>
      </w:r>
      <w:r>
        <w:rPr>
          <w:rFonts w:eastAsia="Times New Roman"/>
          <w:color w:val="000000"/>
          <w:sz w:val="20"/>
          <w:szCs w:val="20"/>
        </w:rPr>
        <w:t>the Exela Buyer agreed to pay a total aggregate consideration amount of $42,000, of which $14,500 was paid on the Closing Date and an additional $27,500 was paid in</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equal monthly installments following the Closing Date. During the year ended December 3</w:t>
      </w:r>
      <w:r>
        <w:rPr>
          <w:rFonts w:eastAsia="Times New Roman"/>
          <w:color w:val="000000"/>
          <w:sz w:val="20"/>
          <w:szCs w:val="20"/>
        </w:rPr>
        <w:t>1, 2020, the Company collected four installment payments, totaling $11,000. The Company collected the remaining six installment payments, totaling $16,500 during 2021. In connection with the sale of the Hospital Products, the parties also agreed to cause t</w:t>
      </w:r>
      <w:r>
        <w:rPr>
          <w:rFonts w:eastAsia="Times New Roman"/>
          <w:color w:val="000000"/>
          <w:sz w:val="20"/>
          <w:szCs w:val="20"/>
        </w:rPr>
        <w:t>he dismissal of the pending civil litigation related to Nouress in the District Court for the District of Delaware.</w:t>
      </w:r>
    </w:p>
    <w:p w14:paraId="376334B0" w14:textId="77777777" w:rsidR="00000000" w:rsidRDefault="000C49AD">
      <w:pPr>
        <w:jc w:val="both"/>
        <w:rPr>
          <w:rFonts w:eastAsia="Times New Roman"/>
        </w:rPr>
      </w:pPr>
      <w:r>
        <w:rPr>
          <w:rFonts w:eastAsia="Times New Roman"/>
          <w:color w:val="000000"/>
          <w:sz w:val="20"/>
          <w:szCs w:val="20"/>
        </w:rPr>
        <w:t>The Company was party to a Membership Interest Purchase Agreement, dated March 13, 2012, by and among the Company, Avadel Legacy, Breaking S</w:t>
      </w:r>
      <w:r>
        <w:rPr>
          <w:rFonts w:eastAsia="Times New Roman"/>
          <w:color w:val="000000"/>
          <w:sz w:val="20"/>
          <w:szCs w:val="20"/>
        </w:rPr>
        <w:t>tick Holdings, LLC, Deerfield Private Design International II, L.P. (“Deerfield International”), Deerfield Private Design Fund II, L.P. (“Deerfield Fund”) and Horizon Santé FLML, Sarl (“Horizon”) (the “Deerfield MIPA”) and a Royalty Agreement, dated Februa</w:t>
      </w:r>
      <w:r>
        <w:rPr>
          <w:rFonts w:eastAsia="Times New Roman"/>
          <w:color w:val="000000"/>
          <w:sz w:val="20"/>
          <w:szCs w:val="20"/>
        </w:rPr>
        <w:t xml:space="preserve">ry 4, 2013, by and among the Company, Avadel Legacy, the Deerfield Fund and Horizon (the “Deerfield Royalty Agreement”). In connection with the closing of the sale of the Hospital Products, the Deerfield MIPA (with respect to certain sections thereof) and </w:t>
      </w:r>
      <w:r>
        <w:rPr>
          <w:rFonts w:eastAsia="Times New Roman"/>
          <w:color w:val="000000"/>
          <w:sz w:val="20"/>
          <w:szCs w:val="20"/>
        </w:rPr>
        <w:t>the Royalty Agreement were assigned to the Exela Buyer. Pursuant to the Purchase Agreement, the Exela Buyer assumed and will pay, perform, satisfy and discharge the liabilities and obligations of Avadel Legacy under the Deerfield Royalty Agreement for obli</w:t>
      </w:r>
      <w:r>
        <w:rPr>
          <w:rFonts w:eastAsia="Times New Roman"/>
          <w:color w:val="000000"/>
          <w:sz w:val="20"/>
          <w:szCs w:val="20"/>
        </w:rPr>
        <w:t>gations that arise after the Closing Date.</w:t>
      </w:r>
    </w:p>
    <w:p w14:paraId="73E9098B" w14:textId="77777777" w:rsidR="00000000" w:rsidRDefault="000C49AD">
      <w:pPr>
        <w:jc w:val="both"/>
        <w:rPr>
          <w:rFonts w:eastAsia="Times New Roman"/>
        </w:rPr>
      </w:pPr>
      <w:r>
        <w:rPr>
          <w:rFonts w:eastAsia="Times New Roman"/>
          <w:color w:val="000000"/>
          <w:sz w:val="20"/>
          <w:szCs w:val="20"/>
        </w:rPr>
        <w:t>The Company was also party to a Royalty Agreement, dated December 3, 2013, by and between the Company, Avadel Legacy and Broadfin Healthcare Master Fund, Ltd. (the “Broadfin Royalty Agreement”). In connection with the closing of the sale of the Hospital Pr</w:t>
      </w:r>
      <w:r>
        <w:rPr>
          <w:rFonts w:eastAsia="Times New Roman"/>
          <w:color w:val="000000"/>
          <w:sz w:val="20"/>
          <w:szCs w:val="20"/>
        </w:rPr>
        <w:t>oducts, the Broadfin Royalty Agreement was assigned to the Exela Buyer and the Exela Buyer assumed and shall pay, perform, satisfy and discharge the liabilities and obligations of Avadel Legacy under the Broadfin Royalty Agreement for obligations that aris</w:t>
      </w:r>
      <w:r>
        <w:rPr>
          <w:rFonts w:eastAsia="Times New Roman"/>
          <w:color w:val="000000"/>
          <w:sz w:val="20"/>
          <w:szCs w:val="20"/>
        </w:rPr>
        <w:t>e after the Closing Date.</w:t>
      </w:r>
    </w:p>
    <w:p w14:paraId="4E200FE2" w14:textId="77777777" w:rsidR="00000000" w:rsidRDefault="000C49AD">
      <w:pPr>
        <w:divId w:val="116031062"/>
        <w:rPr>
          <w:rFonts w:eastAsia="Times New Roman"/>
        </w:rPr>
      </w:pPr>
    </w:p>
    <w:p w14:paraId="3F0E2AA4" w14:textId="77777777" w:rsidR="00000000" w:rsidRDefault="000C49AD">
      <w:pPr>
        <w:jc w:val="both"/>
        <w:rPr>
          <w:rFonts w:eastAsia="Times New Roman"/>
        </w:rPr>
      </w:pPr>
      <w:r>
        <w:rPr>
          <w:rFonts w:eastAsia="Times New Roman"/>
          <w:color w:val="000000"/>
          <w:sz w:val="20"/>
          <w:szCs w:val="20"/>
        </w:rPr>
        <w:t>The Company recorded a net gain on the sale of the Hospital Products of $45,760 during the year ended December 31, 2020 which has been recorded on the consolidated statements of (loss) income. The $45,760 gain represents the agg</w:t>
      </w:r>
      <w:r>
        <w:rPr>
          <w:rFonts w:eastAsia="Times New Roman"/>
          <w:color w:val="000000"/>
          <w:sz w:val="20"/>
          <w:szCs w:val="20"/>
        </w:rPr>
        <w:t>regate consideration of $42,000, less transaction fees of $2,928, plus the assets and liabilities either transferred to the Exela Buyer or eliminated by the Company due to the sale of the Hospital Products, which are listed below.</w:t>
      </w:r>
    </w:p>
    <w:p w14:paraId="1D86B1BE" w14:textId="77777777" w:rsidR="00000000" w:rsidRDefault="000C49AD">
      <w:pPr>
        <w:jc w:val="both"/>
        <w:rPr>
          <w:rFonts w:eastAsia="Times New Roman"/>
        </w:rPr>
      </w:pPr>
    </w:p>
    <w:p w14:paraId="535D8988" w14:textId="77777777" w:rsidR="00000000" w:rsidRDefault="000C49AD">
      <w:pPr>
        <w:jc w:val="center"/>
        <w:divId w:val="1447508636"/>
        <w:rPr>
          <w:rFonts w:eastAsia="Times New Roman"/>
        </w:rPr>
      </w:pPr>
      <w:r>
        <w:rPr>
          <w:rFonts w:eastAsia="Times New Roman"/>
          <w:color w:val="000000"/>
          <w:sz w:val="20"/>
          <w:szCs w:val="20"/>
        </w:rPr>
        <w:t>-83-</w:t>
      </w:r>
    </w:p>
    <w:p w14:paraId="4672197F" w14:textId="77777777" w:rsidR="00000000" w:rsidRDefault="000C49AD">
      <w:pPr>
        <w:rPr>
          <w:rFonts w:eastAsia="Times New Roman"/>
        </w:rPr>
      </w:pPr>
      <w:r>
        <w:rPr>
          <w:rFonts w:eastAsia="Times New Roman"/>
        </w:rPr>
        <w:pict w14:anchorId="299183BC">
          <v:rect id="_x0000_i1108" style="width:0;height:1.5pt" o:hralign="center" o:hrstd="t" o:hr="t" fillcolor="#a0a0a0" stroked="f"/>
        </w:pict>
      </w:r>
    </w:p>
    <w:p w14:paraId="2248F6FA" w14:textId="77777777" w:rsidR="00000000" w:rsidRDefault="000C49AD">
      <w:pPr>
        <w:divId w:val="116393194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6463"/>
        <w:gridCol w:w="38"/>
        <w:gridCol w:w="36"/>
        <w:gridCol w:w="36"/>
        <w:gridCol w:w="36"/>
        <w:gridCol w:w="110"/>
        <w:gridCol w:w="1512"/>
        <w:gridCol w:w="36"/>
      </w:tblGrid>
      <w:tr w:rsidR="00000000" w14:paraId="096FE561" w14:textId="77777777">
        <w:tc>
          <w:tcPr>
            <w:tcW w:w="50" w:type="pct"/>
            <w:vAlign w:val="center"/>
            <w:hideMark/>
          </w:tcPr>
          <w:p w14:paraId="6437A67E" w14:textId="77777777" w:rsidR="00000000" w:rsidRDefault="000C49AD">
            <w:pPr>
              <w:rPr>
                <w:rFonts w:eastAsia="Times New Roman"/>
              </w:rPr>
            </w:pPr>
          </w:p>
        </w:tc>
        <w:tc>
          <w:tcPr>
            <w:tcW w:w="3921" w:type="pct"/>
            <w:vAlign w:val="center"/>
            <w:hideMark/>
          </w:tcPr>
          <w:p w14:paraId="45FB092A" w14:textId="77777777" w:rsidR="00000000" w:rsidRDefault="000C49AD">
            <w:pPr>
              <w:spacing w:after="100"/>
              <w:rPr>
                <w:rFonts w:eastAsia="Times New Roman"/>
                <w:sz w:val="20"/>
                <w:szCs w:val="20"/>
              </w:rPr>
            </w:pPr>
          </w:p>
        </w:tc>
        <w:tc>
          <w:tcPr>
            <w:tcW w:w="5" w:type="pct"/>
            <w:vAlign w:val="center"/>
            <w:hideMark/>
          </w:tcPr>
          <w:p w14:paraId="4A9B5E7C" w14:textId="77777777" w:rsidR="00000000" w:rsidRDefault="000C49AD">
            <w:pPr>
              <w:spacing w:after="100"/>
              <w:rPr>
                <w:rFonts w:eastAsia="Times New Roman"/>
                <w:sz w:val="20"/>
                <w:szCs w:val="20"/>
              </w:rPr>
            </w:pPr>
          </w:p>
        </w:tc>
        <w:tc>
          <w:tcPr>
            <w:tcW w:w="5" w:type="pct"/>
            <w:vAlign w:val="center"/>
            <w:hideMark/>
          </w:tcPr>
          <w:p w14:paraId="458486CD" w14:textId="77777777" w:rsidR="00000000" w:rsidRDefault="000C49AD">
            <w:pPr>
              <w:spacing w:after="100"/>
              <w:rPr>
                <w:rFonts w:eastAsia="Times New Roman"/>
                <w:sz w:val="20"/>
                <w:szCs w:val="20"/>
              </w:rPr>
            </w:pPr>
          </w:p>
        </w:tc>
        <w:tc>
          <w:tcPr>
            <w:tcW w:w="19" w:type="pct"/>
            <w:vAlign w:val="center"/>
            <w:hideMark/>
          </w:tcPr>
          <w:p w14:paraId="08343274" w14:textId="77777777" w:rsidR="00000000" w:rsidRDefault="000C49AD">
            <w:pPr>
              <w:spacing w:after="100"/>
              <w:rPr>
                <w:rFonts w:eastAsia="Times New Roman"/>
                <w:sz w:val="20"/>
                <w:szCs w:val="20"/>
              </w:rPr>
            </w:pPr>
          </w:p>
        </w:tc>
        <w:tc>
          <w:tcPr>
            <w:tcW w:w="5" w:type="pct"/>
            <w:vAlign w:val="center"/>
            <w:hideMark/>
          </w:tcPr>
          <w:p w14:paraId="558046A9" w14:textId="77777777" w:rsidR="00000000" w:rsidRDefault="000C49AD">
            <w:pPr>
              <w:spacing w:after="100"/>
              <w:rPr>
                <w:rFonts w:eastAsia="Times New Roman"/>
                <w:sz w:val="20"/>
                <w:szCs w:val="20"/>
              </w:rPr>
            </w:pPr>
          </w:p>
        </w:tc>
        <w:tc>
          <w:tcPr>
            <w:tcW w:w="50" w:type="pct"/>
            <w:vAlign w:val="center"/>
            <w:hideMark/>
          </w:tcPr>
          <w:p w14:paraId="352395EA" w14:textId="77777777" w:rsidR="00000000" w:rsidRDefault="000C49AD">
            <w:pPr>
              <w:spacing w:after="100"/>
              <w:rPr>
                <w:rFonts w:eastAsia="Times New Roman"/>
                <w:sz w:val="20"/>
                <w:szCs w:val="20"/>
              </w:rPr>
            </w:pPr>
          </w:p>
        </w:tc>
        <w:tc>
          <w:tcPr>
            <w:tcW w:w="939" w:type="pct"/>
            <w:vAlign w:val="center"/>
            <w:hideMark/>
          </w:tcPr>
          <w:p w14:paraId="313B07A7" w14:textId="77777777" w:rsidR="00000000" w:rsidRDefault="000C49AD">
            <w:pPr>
              <w:spacing w:after="100"/>
              <w:rPr>
                <w:rFonts w:eastAsia="Times New Roman"/>
                <w:sz w:val="20"/>
                <w:szCs w:val="20"/>
              </w:rPr>
            </w:pPr>
          </w:p>
        </w:tc>
        <w:tc>
          <w:tcPr>
            <w:tcW w:w="5" w:type="pct"/>
            <w:vAlign w:val="center"/>
            <w:hideMark/>
          </w:tcPr>
          <w:p w14:paraId="40A15CBF" w14:textId="77777777" w:rsidR="00000000" w:rsidRDefault="000C49AD">
            <w:pPr>
              <w:spacing w:after="100"/>
              <w:rPr>
                <w:rFonts w:eastAsia="Times New Roman"/>
                <w:sz w:val="20"/>
                <w:szCs w:val="20"/>
              </w:rPr>
            </w:pPr>
          </w:p>
        </w:tc>
      </w:tr>
      <w:tr w:rsidR="00000000" w14:paraId="1B6A77CA" w14:textId="77777777">
        <w:tc>
          <w:tcPr>
            <w:tcW w:w="0" w:type="auto"/>
            <w:gridSpan w:val="3"/>
            <w:tcMar>
              <w:top w:w="0" w:type="dxa"/>
              <w:left w:w="20" w:type="dxa"/>
              <w:bottom w:w="0" w:type="dxa"/>
              <w:right w:w="20" w:type="dxa"/>
            </w:tcMar>
            <w:vAlign w:val="center"/>
            <w:hideMark/>
          </w:tcPr>
          <w:p w14:paraId="24BF737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BE2D31" w14:textId="77777777" w:rsidR="00000000" w:rsidRDefault="000C49A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DD8A624" w14:textId="77777777" w:rsidR="00000000" w:rsidRDefault="000C49AD">
            <w:pPr>
              <w:spacing w:after="100"/>
              <w:jc w:val="center"/>
              <w:rPr>
                <w:rFonts w:eastAsia="Times New Roman"/>
              </w:rPr>
            </w:pPr>
            <w:r>
              <w:rPr>
                <w:rFonts w:eastAsia="Times New Roman"/>
                <w:b/>
                <w:bCs/>
                <w:color w:val="000000"/>
                <w:sz w:val="18"/>
                <w:szCs w:val="18"/>
              </w:rPr>
              <w:t>June 30, 2020</w:t>
            </w:r>
          </w:p>
        </w:tc>
      </w:tr>
      <w:tr w:rsidR="00000000" w14:paraId="50F50FA3" w14:textId="77777777">
        <w:tc>
          <w:tcPr>
            <w:tcW w:w="0" w:type="auto"/>
            <w:gridSpan w:val="3"/>
            <w:shd w:val="clear" w:color="auto" w:fill="CCEEFF"/>
            <w:tcMar>
              <w:top w:w="30" w:type="dxa"/>
              <w:left w:w="20" w:type="dxa"/>
              <w:bottom w:w="30" w:type="dxa"/>
              <w:right w:w="20" w:type="dxa"/>
            </w:tcMar>
            <w:vAlign w:val="bottom"/>
            <w:hideMark/>
          </w:tcPr>
          <w:p w14:paraId="5E824983" w14:textId="77777777" w:rsidR="00000000" w:rsidRDefault="000C49AD">
            <w:pPr>
              <w:spacing w:after="100"/>
              <w:rPr>
                <w:rFonts w:eastAsia="Times New Roman"/>
              </w:rPr>
            </w:pPr>
            <w:r>
              <w:rPr>
                <w:rFonts w:eastAsia="Times New Roman"/>
                <w:color w:val="000000"/>
                <w:sz w:val="18"/>
                <w:szCs w:val="18"/>
              </w:rPr>
              <w:t>Prepaid expenses and other current assets</w:t>
            </w:r>
          </w:p>
        </w:tc>
        <w:tc>
          <w:tcPr>
            <w:tcW w:w="0" w:type="auto"/>
            <w:gridSpan w:val="3"/>
            <w:shd w:val="clear" w:color="auto" w:fill="CCEEFF"/>
            <w:tcMar>
              <w:top w:w="0" w:type="dxa"/>
              <w:left w:w="20" w:type="dxa"/>
              <w:bottom w:w="0" w:type="dxa"/>
              <w:right w:w="20" w:type="dxa"/>
            </w:tcMar>
            <w:vAlign w:val="center"/>
            <w:hideMark/>
          </w:tcPr>
          <w:p w14:paraId="474B0B38" w14:textId="77777777" w:rsidR="00000000" w:rsidRDefault="000C49A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FA3B03"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B6A97F" w14:textId="77777777" w:rsidR="00000000" w:rsidRDefault="000C49AD">
            <w:pPr>
              <w:spacing w:after="100"/>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914AF3" w14:textId="77777777" w:rsidR="00000000" w:rsidRDefault="000C49AD">
            <w:pPr>
              <w:spacing w:after="100"/>
              <w:jc w:val="right"/>
              <w:rPr>
                <w:rFonts w:eastAsia="Times New Roman"/>
              </w:rPr>
            </w:pPr>
          </w:p>
        </w:tc>
      </w:tr>
      <w:tr w:rsidR="00000000" w14:paraId="06DBDEDA" w14:textId="77777777">
        <w:tc>
          <w:tcPr>
            <w:tcW w:w="0" w:type="auto"/>
            <w:gridSpan w:val="3"/>
            <w:shd w:val="clear" w:color="auto" w:fill="FFFFFF"/>
            <w:tcMar>
              <w:top w:w="30" w:type="dxa"/>
              <w:left w:w="20" w:type="dxa"/>
              <w:bottom w:w="30" w:type="dxa"/>
              <w:right w:w="20" w:type="dxa"/>
            </w:tcMar>
            <w:vAlign w:val="bottom"/>
            <w:hideMark/>
          </w:tcPr>
          <w:p w14:paraId="6465C55E" w14:textId="77777777" w:rsidR="00000000" w:rsidRDefault="000C49AD">
            <w:pPr>
              <w:spacing w:after="100"/>
              <w:rPr>
                <w:rFonts w:eastAsia="Times New Roman"/>
              </w:rPr>
            </w:pPr>
            <w:r>
              <w:rPr>
                <w:rFonts w:eastAsia="Times New Roman"/>
                <w:color w:val="000000"/>
                <w:sz w:val="18"/>
                <w:szCs w:val="18"/>
              </w:rPr>
              <w:t>Inventories</w:t>
            </w:r>
          </w:p>
        </w:tc>
        <w:tc>
          <w:tcPr>
            <w:tcW w:w="0" w:type="auto"/>
            <w:gridSpan w:val="3"/>
            <w:shd w:val="clear" w:color="auto" w:fill="FFFFFF"/>
            <w:tcMar>
              <w:top w:w="0" w:type="dxa"/>
              <w:left w:w="20" w:type="dxa"/>
              <w:bottom w:w="0" w:type="dxa"/>
              <w:right w:w="20" w:type="dxa"/>
            </w:tcMar>
            <w:vAlign w:val="center"/>
            <w:hideMark/>
          </w:tcPr>
          <w:p w14:paraId="2F51893B"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0A6D5B" w14:textId="77777777" w:rsidR="00000000" w:rsidRDefault="000C49AD">
            <w:pPr>
              <w:spacing w:after="100"/>
              <w:jc w:val="right"/>
              <w:rPr>
                <w:rFonts w:eastAsia="Times New Roman"/>
              </w:rPr>
            </w:pPr>
            <w:r>
              <w:rPr>
                <w:rFonts w:eastAsia="Times New Roman"/>
                <w:color w:val="000000"/>
                <w:sz w:val="18"/>
                <w:szCs w:val="18"/>
              </w:rPr>
              <w:t>(4,922)</w:t>
            </w:r>
          </w:p>
        </w:tc>
        <w:tc>
          <w:tcPr>
            <w:tcW w:w="0" w:type="auto"/>
            <w:shd w:val="clear" w:color="auto" w:fill="FFFFFF"/>
            <w:tcMar>
              <w:top w:w="30" w:type="dxa"/>
              <w:left w:w="0" w:type="dxa"/>
              <w:bottom w:w="30" w:type="dxa"/>
              <w:right w:w="20" w:type="dxa"/>
            </w:tcMar>
            <w:vAlign w:val="bottom"/>
            <w:hideMark/>
          </w:tcPr>
          <w:p w14:paraId="39121C7E" w14:textId="77777777" w:rsidR="00000000" w:rsidRDefault="000C49AD">
            <w:pPr>
              <w:spacing w:after="100"/>
              <w:jc w:val="right"/>
              <w:rPr>
                <w:rFonts w:eastAsia="Times New Roman"/>
              </w:rPr>
            </w:pPr>
          </w:p>
        </w:tc>
      </w:tr>
      <w:tr w:rsidR="00000000" w14:paraId="6802194C" w14:textId="77777777">
        <w:tc>
          <w:tcPr>
            <w:tcW w:w="0" w:type="auto"/>
            <w:gridSpan w:val="3"/>
            <w:shd w:val="clear" w:color="auto" w:fill="CCEEFF"/>
            <w:tcMar>
              <w:top w:w="30" w:type="dxa"/>
              <w:left w:w="20" w:type="dxa"/>
              <w:bottom w:w="30" w:type="dxa"/>
              <w:right w:w="20" w:type="dxa"/>
            </w:tcMar>
            <w:vAlign w:val="bottom"/>
            <w:hideMark/>
          </w:tcPr>
          <w:p w14:paraId="3C00F2D7" w14:textId="77777777" w:rsidR="00000000" w:rsidRDefault="000C49AD">
            <w:pPr>
              <w:spacing w:after="100"/>
              <w:rPr>
                <w:rFonts w:eastAsia="Times New Roman"/>
              </w:rPr>
            </w:pPr>
            <w:r>
              <w:rPr>
                <w:rFonts w:eastAsia="Times New Roman"/>
                <w:color w:val="000000"/>
                <w:sz w:val="18"/>
                <w:szCs w:val="18"/>
              </w:rPr>
              <w:t>Goodwill</w:t>
            </w:r>
          </w:p>
        </w:tc>
        <w:tc>
          <w:tcPr>
            <w:tcW w:w="0" w:type="auto"/>
            <w:gridSpan w:val="3"/>
            <w:shd w:val="clear" w:color="auto" w:fill="CCEEFF"/>
            <w:tcMar>
              <w:top w:w="0" w:type="dxa"/>
              <w:left w:w="20" w:type="dxa"/>
              <w:bottom w:w="0" w:type="dxa"/>
              <w:right w:w="20" w:type="dxa"/>
            </w:tcMar>
            <w:vAlign w:val="center"/>
            <w:hideMark/>
          </w:tcPr>
          <w:p w14:paraId="0B70EAF0"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5F1C1F2" w14:textId="77777777" w:rsidR="00000000" w:rsidRDefault="000C49AD">
            <w:pPr>
              <w:spacing w:after="100"/>
              <w:jc w:val="right"/>
              <w:rPr>
                <w:rFonts w:eastAsia="Times New Roman"/>
              </w:rPr>
            </w:pPr>
            <w:r>
              <w:rPr>
                <w:rFonts w:eastAsia="Times New Roman"/>
                <w:color w:val="000000"/>
                <w:sz w:val="18"/>
                <w:szCs w:val="18"/>
              </w:rPr>
              <w:t>(1,654)</w:t>
            </w:r>
          </w:p>
        </w:tc>
        <w:tc>
          <w:tcPr>
            <w:tcW w:w="0" w:type="auto"/>
            <w:shd w:val="clear" w:color="auto" w:fill="CCEEFF"/>
            <w:tcMar>
              <w:top w:w="30" w:type="dxa"/>
              <w:left w:w="0" w:type="dxa"/>
              <w:bottom w:w="30" w:type="dxa"/>
              <w:right w:w="20" w:type="dxa"/>
            </w:tcMar>
            <w:vAlign w:val="bottom"/>
            <w:hideMark/>
          </w:tcPr>
          <w:p w14:paraId="26AA22B4" w14:textId="77777777" w:rsidR="00000000" w:rsidRDefault="000C49AD">
            <w:pPr>
              <w:spacing w:after="100"/>
              <w:jc w:val="right"/>
              <w:rPr>
                <w:rFonts w:eastAsia="Times New Roman"/>
              </w:rPr>
            </w:pPr>
          </w:p>
        </w:tc>
      </w:tr>
      <w:tr w:rsidR="00000000" w14:paraId="3F756341" w14:textId="77777777">
        <w:tc>
          <w:tcPr>
            <w:tcW w:w="0" w:type="auto"/>
            <w:gridSpan w:val="3"/>
            <w:shd w:val="clear" w:color="auto" w:fill="FFFFFF"/>
            <w:tcMar>
              <w:top w:w="30" w:type="dxa"/>
              <w:left w:w="20" w:type="dxa"/>
              <w:bottom w:w="30" w:type="dxa"/>
              <w:right w:w="20" w:type="dxa"/>
            </w:tcMar>
            <w:vAlign w:val="bottom"/>
            <w:hideMark/>
          </w:tcPr>
          <w:p w14:paraId="33916482" w14:textId="77777777" w:rsidR="00000000" w:rsidRDefault="000C49AD">
            <w:pPr>
              <w:spacing w:after="100"/>
              <w:rPr>
                <w:rFonts w:eastAsia="Times New Roman"/>
              </w:rPr>
            </w:pPr>
            <w:r>
              <w:rPr>
                <w:rFonts w:eastAsia="Times New Roman"/>
                <w:color w:val="000000"/>
                <w:sz w:val="18"/>
                <w:szCs w:val="18"/>
              </w:rPr>
              <w:t>Intangible assets, net</w:t>
            </w:r>
          </w:p>
        </w:tc>
        <w:tc>
          <w:tcPr>
            <w:tcW w:w="0" w:type="auto"/>
            <w:gridSpan w:val="3"/>
            <w:shd w:val="clear" w:color="auto" w:fill="FFFFFF"/>
            <w:tcMar>
              <w:top w:w="0" w:type="dxa"/>
              <w:left w:w="20" w:type="dxa"/>
              <w:bottom w:w="0" w:type="dxa"/>
              <w:right w:w="20" w:type="dxa"/>
            </w:tcMar>
            <w:vAlign w:val="center"/>
            <w:hideMark/>
          </w:tcPr>
          <w:p w14:paraId="6BC99848"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E3DFD1" w14:textId="77777777" w:rsidR="00000000" w:rsidRDefault="000C49AD">
            <w:pPr>
              <w:spacing w:after="100"/>
              <w:jc w:val="right"/>
              <w:rPr>
                <w:rFonts w:eastAsia="Times New Roman"/>
              </w:rPr>
            </w:pPr>
            <w:r>
              <w:rPr>
                <w:rFonts w:eastAsia="Times New Roman"/>
                <w:color w:val="000000"/>
                <w:sz w:val="18"/>
                <w:szCs w:val="18"/>
              </w:rPr>
              <w:t>(407)</w:t>
            </w:r>
          </w:p>
        </w:tc>
        <w:tc>
          <w:tcPr>
            <w:tcW w:w="0" w:type="auto"/>
            <w:shd w:val="clear" w:color="auto" w:fill="FFFFFF"/>
            <w:tcMar>
              <w:top w:w="30" w:type="dxa"/>
              <w:left w:w="0" w:type="dxa"/>
              <w:bottom w:w="30" w:type="dxa"/>
              <w:right w:w="20" w:type="dxa"/>
            </w:tcMar>
            <w:vAlign w:val="bottom"/>
            <w:hideMark/>
          </w:tcPr>
          <w:p w14:paraId="540E30DD" w14:textId="77777777" w:rsidR="00000000" w:rsidRDefault="000C49AD">
            <w:pPr>
              <w:spacing w:after="100"/>
              <w:jc w:val="right"/>
              <w:rPr>
                <w:rFonts w:eastAsia="Times New Roman"/>
              </w:rPr>
            </w:pPr>
          </w:p>
        </w:tc>
      </w:tr>
      <w:tr w:rsidR="00000000" w14:paraId="594DDDB6" w14:textId="77777777">
        <w:tc>
          <w:tcPr>
            <w:tcW w:w="0" w:type="auto"/>
            <w:gridSpan w:val="3"/>
            <w:shd w:val="clear" w:color="auto" w:fill="CCEEFF"/>
            <w:tcMar>
              <w:top w:w="30" w:type="dxa"/>
              <w:left w:w="20" w:type="dxa"/>
              <w:bottom w:w="30" w:type="dxa"/>
              <w:right w:w="20" w:type="dxa"/>
            </w:tcMar>
            <w:vAlign w:val="bottom"/>
            <w:hideMark/>
          </w:tcPr>
          <w:p w14:paraId="156D8DB5" w14:textId="77777777" w:rsidR="00000000" w:rsidRDefault="000C49AD">
            <w:pPr>
              <w:spacing w:after="100"/>
              <w:rPr>
                <w:rFonts w:eastAsia="Times New Roman"/>
              </w:rPr>
            </w:pPr>
            <w:r>
              <w:rPr>
                <w:rFonts w:eastAsia="Times New Roman"/>
                <w:color w:val="000000"/>
                <w:sz w:val="18"/>
                <w:szCs w:val="18"/>
              </w:rPr>
              <w:t>Other non-current assets</w:t>
            </w:r>
          </w:p>
        </w:tc>
        <w:tc>
          <w:tcPr>
            <w:tcW w:w="0" w:type="auto"/>
            <w:gridSpan w:val="3"/>
            <w:shd w:val="clear" w:color="auto" w:fill="CCEEFF"/>
            <w:tcMar>
              <w:top w:w="0" w:type="dxa"/>
              <w:left w:w="20" w:type="dxa"/>
              <w:bottom w:w="0" w:type="dxa"/>
              <w:right w:w="20" w:type="dxa"/>
            </w:tcMar>
            <w:vAlign w:val="center"/>
            <w:hideMark/>
          </w:tcPr>
          <w:p w14:paraId="26E20B1C"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D0E70C" w14:textId="77777777" w:rsidR="00000000" w:rsidRDefault="000C49AD">
            <w:pPr>
              <w:spacing w:after="100"/>
              <w:jc w:val="right"/>
              <w:rPr>
                <w:rFonts w:eastAsia="Times New Roman"/>
              </w:rPr>
            </w:pPr>
            <w:r>
              <w:rPr>
                <w:rFonts w:eastAsia="Times New Roman"/>
                <w:color w:val="000000"/>
                <w:sz w:val="18"/>
                <w:szCs w:val="18"/>
              </w:rPr>
              <w:t>(1,095)</w:t>
            </w:r>
          </w:p>
        </w:tc>
        <w:tc>
          <w:tcPr>
            <w:tcW w:w="0" w:type="auto"/>
            <w:shd w:val="clear" w:color="auto" w:fill="CCEEFF"/>
            <w:tcMar>
              <w:top w:w="30" w:type="dxa"/>
              <w:left w:w="0" w:type="dxa"/>
              <w:bottom w:w="30" w:type="dxa"/>
              <w:right w:w="20" w:type="dxa"/>
            </w:tcMar>
            <w:vAlign w:val="bottom"/>
            <w:hideMark/>
          </w:tcPr>
          <w:p w14:paraId="113C81D7" w14:textId="77777777" w:rsidR="00000000" w:rsidRDefault="000C49AD">
            <w:pPr>
              <w:spacing w:after="100"/>
              <w:jc w:val="right"/>
              <w:rPr>
                <w:rFonts w:eastAsia="Times New Roman"/>
              </w:rPr>
            </w:pPr>
          </w:p>
        </w:tc>
      </w:tr>
      <w:tr w:rsidR="00000000" w14:paraId="1497C691" w14:textId="77777777">
        <w:tc>
          <w:tcPr>
            <w:tcW w:w="0" w:type="auto"/>
            <w:gridSpan w:val="3"/>
            <w:shd w:val="clear" w:color="auto" w:fill="FFFFFF"/>
            <w:tcMar>
              <w:top w:w="30" w:type="dxa"/>
              <w:left w:w="20" w:type="dxa"/>
              <w:bottom w:w="30" w:type="dxa"/>
              <w:right w:w="20" w:type="dxa"/>
            </w:tcMar>
            <w:vAlign w:val="bottom"/>
            <w:hideMark/>
          </w:tcPr>
          <w:p w14:paraId="1B3F6955" w14:textId="77777777" w:rsidR="00000000" w:rsidRDefault="000C49AD">
            <w:pPr>
              <w:spacing w:after="100"/>
              <w:rPr>
                <w:rFonts w:eastAsia="Times New Roman"/>
              </w:rPr>
            </w:pPr>
            <w:r>
              <w:rPr>
                <w:rFonts w:eastAsia="Times New Roman"/>
                <w:color w:val="000000"/>
                <w:sz w:val="18"/>
                <w:szCs w:val="18"/>
              </w:rPr>
              <w:t>Total long-term contingent consideration payable</w:t>
            </w:r>
          </w:p>
        </w:tc>
        <w:tc>
          <w:tcPr>
            <w:tcW w:w="0" w:type="auto"/>
            <w:gridSpan w:val="3"/>
            <w:shd w:val="clear" w:color="auto" w:fill="FFFFFF"/>
            <w:tcMar>
              <w:top w:w="0" w:type="dxa"/>
              <w:left w:w="20" w:type="dxa"/>
              <w:bottom w:w="0" w:type="dxa"/>
              <w:right w:w="20" w:type="dxa"/>
            </w:tcMar>
            <w:vAlign w:val="center"/>
            <w:hideMark/>
          </w:tcPr>
          <w:p w14:paraId="6AB8B007"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45E7B1" w14:textId="77777777" w:rsidR="00000000" w:rsidRDefault="000C49AD">
            <w:pPr>
              <w:spacing w:after="100"/>
              <w:jc w:val="right"/>
              <w:rPr>
                <w:rFonts w:eastAsia="Times New Roman"/>
              </w:rPr>
            </w:pPr>
            <w:r>
              <w:rPr>
                <w:rFonts w:eastAsia="Times New Roman"/>
                <w:color w:val="000000"/>
                <w:sz w:val="18"/>
                <w:szCs w:val="18"/>
              </w:rPr>
              <w:t>14,900 </w:t>
            </w:r>
          </w:p>
        </w:tc>
        <w:tc>
          <w:tcPr>
            <w:tcW w:w="0" w:type="auto"/>
            <w:shd w:val="clear" w:color="auto" w:fill="FFFFFF"/>
            <w:tcMar>
              <w:top w:w="30" w:type="dxa"/>
              <w:left w:w="0" w:type="dxa"/>
              <w:bottom w:w="30" w:type="dxa"/>
              <w:right w:w="20" w:type="dxa"/>
            </w:tcMar>
            <w:vAlign w:val="bottom"/>
            <w:hideMark/>
          </w:tcPr>
          <w:p w14:paraId="76D64165" w14:textId="77777777" w:rsidR="00000000" w:rsidRDefault="000C49AD">
            <w:pPr>
              <w:spacing w:after="100"/>
              <w:jc w:val="right"/>
              <w:rPr>
                <w:rFonts w:eastAsia="Times New Roman"/>
              </w:rPr>
            </w:pPr>
          </w:p>
        </w:tc>
      </w:tr>
      <w:tr w:rsidR="00000000" w14:paraId="1CF80AAF" w14:textId="77777777">
        <w:tc>
          <w:tcPr>
            <w:tcW w:w="0" w:type="auto"/>
            <w:gridSpan w:val="3"/>
            <w:shd w:val="clear" w:color="auto" w:fill="CCEEFF"/>
            <w:tcMar>
              <w:top w:w="30" w:type="dxa"/>
              <w:left w:w="20" w:type="dxa"/>
              <w:bottom w:w="30" w:type="dxa"/>
              <w:right w:w="20" w:type="dxa"/>
            </w:tcMar>
            <w:vAlign w:val="bottom"/>
            <w:hideMark/>
          </w:tcPr>
          <w:p w14:paraId="1DA95A5B" w14:textId="77777777" w:rsidR="00000000" w:rsidRDefault="000C49AD">
            <w:pPr>
              <w:spacing w:after="100"/>
              <w:rPr>
                <w:rFonts w:eastAsia="Times New Roman"/>
              </w:rPr>
            </w:pPr>
            <w:r>
              <w:rPr>
                <w:rFonts w:eastAsia="Times New Roman"/>
                <w:b/>
                <w:bCs/>
                <w:color w:val="000000"/>
                <w:sz w:val="18"/>
                <w:szCs w:val="18"/>
              </w:rPr>
              <w:t>Net liabilities disposed of</w:t>
            </w:r>
          </w:p>
        </w:tc>
        <w:tc>
          <w:tcPr>
            <w:tcW w:w="0" w:type="auto"/>
            <w:gridSpan w:val="3"/>
            <w:shd w:val="clear" w:color="auto" w:fill="CCEEFF"/>
            <w:tcMar>
              <w:top w:w="0" w:type="dxa"/>
              <w:left w:w="20" w:type="dxa"/>
              <w:bottom w:w="0" w:type="dxa"/>
              <w:right w:w="20" w:type="dxa"/>
            </w:tcMar>
            <w:vAlign w:val="center"/>
            <w:hideMark/>
          </w:tcPr>
          <w:p w14:paraId="04FC18F3"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55C51E" w14:textId="77777777" w:rsidR="00000000" w:rsidRDefault="000C49AD">
            <w:pPr>
              <w:spacing w:after="100"/>
              <w:jc w:val="right"/>
              <w:rPr>
                <w:rFonts w:eastAsia="Times New Roman"/>
              </w:rPr>
            </w:pPr>
            <w:r>
              <w:rPr>
                <w:rFonts w:eastAsia="Times New Roman"/>
                <w:color w:val="000000"/>
                <w:sz w:val="18"/>
                <w:szCs w:val="18"/>
              </w:rPr>
              <w:t>6,688 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77FB7F" w14:textId="77777777" w:rsidR="00000000" w:rsidRDefault="000C49AD">
            <w:pPr>
              <w:spacing w:after="100"/>
              <w:jc w:val="right"/>
              <w:rPr>
                <w:rFonts w:eastAsia="Times New Roman"/>
              </w:rPr>
            </w:pPr>
          </w:p>
        </w:tc>
      </w:tr>
      <w:tr w:rsidR="00000000" w14:paraId="0C1FBA34" w14:textId="77777777">
        <w:tc>
          <w:tcPr>
            <w:tcW w:w="0" w:type="auto"/>
            <w:gridSpan w:val="3"/>
            <w:shd w:val="clear" w:color="auto" w:fill="FFFFFF"/>
            <w:tcMar>
              <w:top w:w="30" w:type="dxa"/>
              <w:left w:w="20" w:type="dxa"/>
              <w:bottom w:w="30" w:type="dxa"/>
              <w:right w:w="20" w:type="dxa"/>
            </w:tcMar>
            <w:vAlign w:val="bottom"/>
            <w:hideMark/>
          </w:tcPr>
          <w:p w14:paraId="72BEA35A" w14:textId="77777777" w:rsidR="00000000" w:rsidRDefault="000C49AD">
            <w:pPr>
              <w:spacing w:after="100"/>
              <w:rPr>
                <w:rFonts w:eastAsia="Times New Roman"/>
              </w:rPr>
            </w:pPr>
            <w:r>
              <w:rPr>
                <w:rFonts w:eastAsia="Times New Roman"/>
                <w:color w:val="000000"/>
                <w:sz w:val="18"/>
                <w:szCs w:val="18"/>
              </w:rPr>
              <w:t>Aggregate consideration</w:t>
            </w:r>
          </w:p>
        </w:tc>
        <w:tc>
          <w:tcPr>
            <w:tcW w:w="0" w:type="auto"/>
            <w:gridSpan w:val="3"/>
            <w:shd w:val="clear" w:color="auto" w:fill="FFFFFF"/>
            <w:tcMar>
              <w:top w:w="0" w:type="dxa"/>
              <w:left w:w="20" w:type="dxa"/>
              <w:bottom w:w="0" w:type="dxa"/>
              <w:right w:w="20" w:type="dxa"/>
            </w:tcMar>
            <w:vAlign w:val="center"/>
            <w:hideMark/>
          </w:tcPr>
          <w:p w14:paraId="168DB45A"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54C8F86" w14:textId="77777777" w:rsidR="00000000" w:rsidRDefault="000C49AD">
            <w:pPr>
              <w:spacing w:after="100"/>
              <w:jc w:val="right"/>
              <w:rPr>
                <w:rFonts w:eastAsia="Times New Roman"/>
              </w:rPr>
            </w:pPr>
            <w:r>
              <w:rPr>
                <w:rFonts w:eastAsia="Times New Roman"/>
                <w:color w:val="000000"/>
                <w:sz w:val="18"/>
                <w:szCs w:val="18"/>
              </w:rPr>
              <w:t>42,000 </w:t>
            </w:r>
          </w:p>
        </w:tc>
        <w:tc>
          <w:tcPr>
            <w:tcW w:w="0" w:type="auto"/>
            <w:shd w:val="clear" w:color="auto" w:fill="FFFFFF"/>
            <w:tcMar>
              <w:top w:w="30" w:type="dxa"/>
              <w:left w:w="0" w:type="dxa"/>
              <w:bottom w:w="30" w:type="dxa"/>
              <w:right w:w="20" w:type="dxa"/>
            </w:tcMar>
            <w:vAlign w:val="bottom"/>
            <w:hideMark/>
          </w:tcPr>
          <w:p w14:paraId="752AF5AC" w14:textId="77777777" w:rsidR="00000000" w:rsidRDefault="000C49AD">
            <w:pPr>
              <w:spacing w:after="100"/>
              <w:jc w:val="right"/>
              <w:rPr>
                <w:rFonts w:eastAsia="Times New Roman"/>
              </w:rPr>
            </w:pPr>
          </w:p>
        </w:tc>
      </w:tr>
      <w:tr w:rsidR="00000000" w14:paraId="75C6DF26" w14:textId="77777777">
        <w:tc>
          <w:tcPr>
            <w:tcW w:w="0" w:type="auto"/>
            <w:gridSpan w:val="3"/>
            <w:shd w:val="clear" w:color="auto" w:fill="CCEEFF"/>
            <w:tcMar>
              <w:top w:w="30" w:type="dxa"/>
              <w:left w:w="20" w:type="dxa"/>
              <w:bottom w:w="30" w:type="dxa"/>
              <w:right w:w="20" w:type="dxa"/>
            </w:tcMar>
            <w:vAlign w:val="bottom"/>
            <w:hideMark/>
          </w:tcPr>
          <w:p w14:paraId="383713F7" w14:textId="77777777" w:rsidR="00000000" w:rsidRDefault="000C49AD">
            <w:pPr>
              <w:spacing w:after="100"/>
              <w:rPr>
                <w:rFonts w:eastAsia="Times New Roman"/>
              </w:rPr>
            </w:pPr>
            <w:r>
              <w:rPr>
                <w:rFonts w:eastAsia="Times New Roman"/>
                <w:color w:val="000000"/>
                <w:sz w:val="18"/>
                <w:szCs w:val="18"/>
              </w:rPr>
              <w:t>Less transaction fees</w:t>
            </w:r>
          </w:p>
        </w:tc>
        <w:tc>
          <w:tcPr>
            <w:tcW w:w="0" w:type="auto"/>
            <w:gridSpan w:val="3"/>
            <w:shd w:val="clear" w:color="auto" w:fill="CCEEFF"/>
            <w:tcMar>
              <w:top w:w="0" w:type="dxa"/>
              <w:left w:w="20" w:type="dxa"/>
              <w:bottom w:w="0" w:type="dxa"/>
              <w:right w:w="20" w:type="dxa"/>
            </w:tcMar>
            <w:vAlign w:val="center"/>
            <w:hideMark/>
          </w:tcPr>
          <w:p w14:paraId="3405B19D"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7BA76E" w14:textId="77777777" w:rsidR="00000000" w:rsidRDefault="000C49AD">
            <w:pPr>
              <w:spacing w:after="100"/>
              <w:jc w:val="right"/>
              <w:rPr>
                <w:rFonts w:eastAsia="Times New Roman"/>
              </w:rPr>
            </w:pPr>
            <w:r>
              <w:rPr>
                <w:rFonts w:eastAsia="Times New Roman"/>
                <w:color w:val="000000"/>
                <w:sz w:val="18"/>
                <w:szCs w:val="18"/>
              </w:rPr>
              <w:t>(2,928)</w:t>
            </w:r>
          </w:p>
        </w:tc>
        <w:tc>
          <w:tcPr>
            <w:tcW w:w="0" w:type="auto"/>
            <w:shd w:val="clear" w:color="auto" w:fill="CCEEFF"/>
            <w:tcMar>
              <w:top w:w="30" w:type="dxa"/>
              <w:left w:w="0" w:type="dxa"/>
              <w:bottom w:w="30" w:type="dxa"/>
              <w:right w:w="20" w:type="dxa"/>
            </w:tcMar>
            <w:vAlign w:val="bottom"/>
            <w:hideMark/>
          </w:tcPr>
          <w:p w14:paraId="77D3072A" w14:textId="77777777" w:rsidR="00000000" w:rsidRDefault="000C49AD">
            <w:pPr>
              <w:spacing w:after="100"/>
              <w:jc w:val="right"/>
              <w:rPr>
                <w:rFonts w:eastAsia="Times New Roman"/>
              </w:rPr>
            </w:pPr>
          </w:p>
        </w:tc>
      </w:tr>
      <w:tr w:rsidR="00000000" w14:paraId="423A05F6" w14:textId="77777777">
        <w:tc>
          <w:tcPr>
            <w:tcW w:w="0" w:type="auto"/>
            <w:gridSpan w:val="3"/>
            <w:shd w:val="clear" w:color="auto" w:fill="FFFFFF"/>
            <w:tcMar>
              <w:top w:w="30" w:type="dxa"/>
              <w:left w:w="20" w:type="dxa"/>
              <w:bottom w:w="30" w:type="dxa"/>
              <w:right w:w="20" w:type="dxa"/>
            </w:tcMar>
            <w:vAlign w:val="bottom"/>
            <w:hideMark/>
          </w:tcPr>
          <w:p w14:paraId="696BAF9C" w14:textId="77777777" w:rsidR="00000000" w:rsidRDefault="000C49AD">
            <w:pPr>
              <w:spacing w:after="100"/>
              <w:rPr>
                <w:rFonts w:eastAsia="Times New Roman"/>
              </w:rPr>
            </w:pPr>
            <w:r>
              <w:rPr>
                <w:rFonts w:eastAsia="Times New Roman"/>
                <w:b/>
                <w:bCs/>
                <w:color w:val="000000"/>
                <w:sz w:val="18"/>
                <w:szCs w:val="18"/>
              </w:rPr>
              <w:t>Net gain on the sale of the Hospital Products</w:t>
            </w:r>
          </w:p>
        </w:tc>
        <w:tc>
          <w:tcPr>
            <w:tcW w:w="0" w:type="auto"/>
            <w:gridSpan w:val="3"/>
            <w:shd w:val="clear" w:color="auto" w:fill="FFFFFF"/>
            <w:tcMar>
              <w:top w:w="0" w:type="dxa"/>
              <w:left w:w="20" w:type="dxa"/>
              <w:bottom w:w="0" w:type="dxa"/>
              <w:right w:w="20" w:type="dxa"/>
            </w:tcMar>
            <w:vAlign w:val="center"/>
            <w:hideMark/>
          </w:tcPr>
          <w:p w14:paraId="633CE8C8"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2BB3D30"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4272FEE" w14:textId="77777777" w:rsidR="00000000" w:rsidRDefault="000C49AD">
            <w:pPr>
              <w:spacing w:after="100"/>
              <w:jc w:val="right"/>
              <w:rPr>
                <w:rFonts w:eastAsia="Times New Roman"/>
              </w:rPr>
            </w:pPr>
            <w:r>
              <w:rPr>
                <w:rFonts w:eastAsia="Times New Roman"/>
                <w:color w:val="000000"/>
                <w:sz w:val="18"/>
                <w:szCs w:val="18"/>
              </w:rPr>
              <w:t>45,760 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66A0F6" w14:textId="77777777" w:rsidR="00000000" w:rsidRDefault="000C49AD">
            <w:pPr>
              <w:spacing w:after="100"/>
              <w:jc w:val="right"/>
              <w:rPr>
                <w:rFonts w:eastAsia="Times New Roman"/>
              </w:rPr>
            </w:pPr>
          </w:p>
        </w:tc>
      </w:tr>
    </w:tbl>
    <w:p w14:paraId="47038D4D" w14:textId="77777777" w:rsidR="00000000" w:rsidRDefault="000C49AD">
      <w:pPr>
        <w:jc w:val="both"/>
        <w:rPr>
          <w:rFonts w:eastAsia="Times New Roman"/>
        </w:rPr>
      </w:pPr>
    </w:p>
    <w:p w14:paraId="6E50A221" w14:textId="77777777" w:rsidR="00000000" w:rsidRDefault="000C49AD">
      <w:pPr>
        <w:jc w:val="both"/>
        <w:rPr>
          <w:rFonts w:eastAsia="Times New Roman"/>
        </w:rPr>
      </w:pPr>
      <w:r>
        <w:rPr>
          <w:rFonts w:eastAsia="Times New Roman"/>
          <w:color w:val="000000"/>
          <w:sz w:val="20"/>
          <w:szCs w:val="20"/>
        </w:rPr>
        <w:t xml:space="preserve">Subsequent to the disposition of the Hospital Products, the Company entered into a separate and distinct agreement with the Exela Buyer, whereby the Exela Buyer assumed all future returns of the Hospital Products in exchange for cash consideration paid by </w:t>
      </w:r>
      <w:r>
        <w:rPr>
          <w:rFonts w:eastAsia="Times New Roman"/>
          <w:color w:val="000000"/>
          <w:sz w:val="20"/>
          <w:szCs w:val="20"/>
        </w:rPr>
        <w:t>the Company. The Company recorded a $518 gain from this transaction, which is recorded in “Selling, general and administrative expenses” for the year ended December 31, 2020.</w:t>
      </w:r>
    </w:p>
    <w:p w14:paraId="2668C00E" w14:textId="77777777" w:rsidR="00000000" w:rsidRDefault="000C49AD">
      <w:pPr>
        <w:jc w:val="both"/>
        <w:rPr>
          <w:rFonts w:eastAsia="Times New Roman"/>
        </w:rPr>
      </w:pPr>
    </w:p>
    <w:p w14:paraId="1B9C9A80" w14:textId="77777777" w:rsidR="00000000" w:rsidRDefault="000C49AD">
      <w:pPr>
        <w:jc w:val="both"/>
        <w:rPr>
          <w:rFonts w:eastAsia="Times New Roman"/>
        </w:rPr>
      </w:pPr>
      <w:r>
        <w:rPr>
          <w:rFonts w:eastAsia="Times New Roman"/>
          <w:color w:val="000000"/>
          <w:sz w:val="20"/>
          <w:szCs w:val="20"/>
        </w:rPr>
        <w:t>The Company evaluated various qualitative and quantitative factors related to t</w:t>
      </w:r>
      <w:r>
        <w:rPr>
          <w:rFonts w:eastAsia="Times New Roman"/>
          <w:color w:val="000000"/>
          <w:sz w:val="20"/>
          <w:szCs w:val="20"/>
        </w:rPr>
        <w:t>he disposition of the Hospital Products and determined that it did not meet the criteria for presentation as a discontinued operation.</w:t>
      </w:r>
    </w:p>
    <w:p w14:paraId="61DFE9EE" w14:textId="77777777" w:rsidR="00000000" w:rsidRDefault="000C49AD">
      <w:pPr>
        <w:jc w:val="both"/>
        <w:rPr>
          <w:rFonts w:eastAsia="Times New Roman"/>
        </w:rPr>
      </w:pPr>
    </w:p>
    <w:p w14:paraId="661E2999" w14:textId="77777777" w:rsidR="00000000" w:rsidRDefault="000C49AD">
      <w:pPr>
        <w:jc w:val="both"/>
        <w:rPr>
          <w:rFonts w:eastAsia="Times New Roman"/>
        </w:rPr>
      </w:pPr>
      <w:r>
        <w:rPr>
          <w:rFonts w:eastAsia="Times New Roman"/>
          <w:color w:val="000000"/>
          <w:sz w:val="20"/>
          <w:szCs w:val="20"/>
        </w:rPr>
        <w:t>The unaudited pro forma condensed combined statements of (loss) income for the years ended December 31, 2020 and 2019 i</w:t>
      </w:r>
      <w:r>
        <w:rPr>
          <w:rFonts w:eastAsia="Times New Roman"/>
          <w:color w:val="000000"/>
          <w:sz w:val="20"/>
          <w:szCs w:val="20"/>
        </w:rPr>
        <w:t>ncluded below is being provided for information purposes only and are not necessarily indicative of the results of operations that would have resulted if the Transaction had actually occurred on the date indicated. The pro forma adjustments are based on av</w:t>
      </w:r>
      <w:r>
        <w:rPr>
          <w:rFonts w:eastAsia="Times New Roman"/>
          <w:color w:val="000000"/>
          <w:sz w:val="20"/>
          <w:szCs w:val="20"/>
        </w:rPr>
        <w:t>ailable information and assumptions that the Company believes are attributable to the sale.</w:t>
      </w:r>
    </w:p>
    <w:p w14:paraId="2E2EC021" w14:textId="77777777" w:rsidR="00000000" w:rsidRDefault="000C49AD">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2"/>
        <w:gridCol w:w="3234"/>
        <w:gridCol w:w="37"/>
        <w:gridCol w:w="36"/>
        <w:gridCol w:w="36"/>
        <w:gridCol w:w="36"/>
        <w:gridCol w:w="111"/>
        <w:gridCol w:w="1000"/>
        <w:gridCol w:w="37"/>
        <w:gridCol w:w="36"/>
        <w:gridCol w:w="36"/>
        <w:gridCol w:w="36"/>
        <w:gridCol w:w="111"/>
        <w:gridCol w:w="1000"/>
        <w:gridCol w:w="37"/>
        <w:gridCol w:w="36"/>
        <w:gridCol w:w="36"/>
        <w:gridCol w:w="36"/>
        <w:gridCol w:w="37"/>
        <w:gridCol w:w="1005"/>
        <w:gridCol w:w="36"/>
        <w:gridCol w:w="36"/>
        <w:gridCol w:w="36"/>
        <w:gridCol w:w="36"/>
        <w:gridCol w:w="110"/>
        <w:gridCol w:w="1004"/>
        <w:gridCol w:w="36"/>
      </w:tblGrid>
      <w:tr w:rsidR="00000000" w14:paraId="7C3BA17F" w14:textId="77777777">
        <w:tc>
          <w:tcPr>
            <w:tcW w:w="50" w:type="pct"/>
            <w:vAlign w:val="center"/>
            <w:hideMark/>
          </w:tcPr>
          <w:p w14:paraId="528D7AE5" w14:textId="77777777" w:rsidR="00000000" w:rsidRDefault="000C49AD">
            <w:pPr>
              <w:jc w:val="both"/>
              <w:rPr>
                <w:rFonts w:eastAsia="Times New Roman"/>
              </w:rPr>
            </w:pPr>
          </w:p>
        </w:tc>
        <w:tc>
          <w:tcPr>
            <w:tcW w:w="1978" w:type="pct"/>
            <w:vAlign w:val="center"/>
            <w:hideMark/>
          </w:tcPr>
          <w:p w14:paraId="18B072EB" w14:textId="77777777" w:rsidR="00000000" w:rsidRDefault="000C49AD">
            <w:pPr>
              <w:spacing w:after="100"/>
              <w:rPr>
                <w:rFonts w:eastAsia="Times New Roman"/>
                <w:sz w:val="20"/>
                <w:szCs w:val="20"/>
              </w:rPr>
            </w:pPr>
          </w:p>
        </w:tc>
        <w:tc>
          <w:tcPr>
            <w:tcW w:w="5" w:type="pct"/>
            <w:vAlign w:val="center"/>
            <w:hideMark/>
          </w:tcPr>
          <w:p w14:paraId="44355F0A" w14:textId="77777777" w:rsidR="00000000" w:rsidRDefault="000C49AD">
            <w:pPr>
              <w:spacing w:after="100"/>
              <w:rPr>
                <w:rFonts w:eastAsia="Times New Roman"/>
                <w:sz w:val="20"/>
                <w:szCs w:val="20"/>
              </w:rPr>
            </w:pPr>
          </w:p>
        </w:tc>
        <w:tc>
          <w:tcPr>
            <w:tcW w:w="5" w:type="pct"/>
            <w:vAlign w:val="center"/>
            <w:hideMark/>
          </w:tcPr>
          <w:p w14:paraId="4E8BC8EA" w14:textId="77777777" w:rsidR="00000000" w:rsidRDefault="000C49AD">
            <w:pPr>
              <w:spacing w:after="100"/>
              <w:rPr>
                <w:rFonts w:eastAsia="Times New Roman"/>
                <w:sz w:val="20"/>
                <w:szCs w:val="20"/>
              </w:rPr>
            </w:pPr>
          </w:p>
        </w:tc>
        <w:tc>
          <w:tcPr>
            <w:tcW w:w="26" w:type="pct"/>
            <w:vAlign w:val="center"/>
            <w:hideMark/>
          </w:tcPr>
          <w:p w14:paraId="63A7A162" w14:textId="77777777" w:rsidR="00000000" w:rsidRDefault="000C49AD">
            <w:pPr>
              <w:spacing w:after="100"/>
              <w:rPr>
                <w:rFonts w:eastAsia="Times New Roman"/>
                <w:sz w:val="20"/>
                <w:szCs w:val="20"/>
              </w:rPr>
            </w:pPr>
          </w:p>
        </w:tc>
        <w:tc>
          <w:tcPr>
            <w:tcW w:w="5" w:type="pct"/>
            <w:vAlign w:val="center"/>
            <w:hideMark/>
          </w:tcPr>
          <w:p w14:paraId="30E7076A" w14:textId="77777777" w:rsidR="00000000" w:rsidRDefault="000C49AD">
            <w:pPr>
              <w:spacing w:after="100"/>
              <w:rPr>
                <w:rFonts w:eastAsia="Times New Roman"/>
                <w:sz w:val="20"/>
                <w:szCs w:val="20"/>
              </w:rPr>
            </w:pPr>
          </w:p>
        </w:tc>
        <w:tc>
          <w:tcPr>
            <w:tcW w:w="50" w:type="pct"/>
            <w:vAlign w:val="center"/>
            <w:hideMark/>
          </w:tcPr>
          <w:p w14:paraId="2A144D0B" w14:textId="77777777" w:rsidR="00000000" w:rsidRDefault="000C49AD">
            <w:pPr>
              <w:spacing w:after="100"/>
              <w:rPr>
                <w:rFonts w:eastAsia="Times New Roman"/>
                <w:sz w:val="20"/>
                <w:szCs w:val="20"/>
              </w:rPr>
            </w:pPr>
          </w:p>
        </w:tc>
        <w:tc>
          <w:tcPr>
            <w:tcW w:w="649" w:type="pct"/>
            <w:vAlign w:val="center"/>
            <w:hideMark/>
          </w:tcPr>
          <w:p w14:paraId="67DC692C" w14:textId="77777777" w:rsidR="00000000" w:rsidRDefault="000C49AD">
            <w:pPr>
              <w:spacing w:after="100"/>
              <w:rPr>
                <w:rFonts w:eastAsia="Times New Roman"/>
                <w:sz w:val="20"/>
                <w:szCs w:val="20"/>
              </w:rPr>
            </w:pPr>
          </w:p>
        </w:tc>
        <w:tc>
          <w:tcPr>
            <w:tcW w:w="5" w:type="pct"/>
            <w:vAlign w:val="center"/>
            <w:hideMark/>
          </w:tcPr>
          <w:p w14:paraId="0DBBB672" w14:textId="77777777" w:rsidR="00000000" w:rsidRDefault="000C49AD">
            <w:pPr>
              <w:spacing w:after="100"/>
              <w:rPr>
                <w:rFonts w:eastAsia="Times New Roman"/>
                <w:sz w:val="20"/>
                <w:szCs w:val="20"/>
              </w:rPr>
            </w:pPr>
          </w:p>
        </w:tc>
        <w:tc>
          <w:tcPr>
            <w:tcW w:w="5" w:type="pct"/>
            <w:vAlign w:val="center"/>
            <w:hideMark/>
          </w:tcPr>
          <w:p w14:paraId="7552F7BF" w14:textId="77777777" w:rsidR="00000000" w:rsidRDefault="000C49AD">
            <w:pPr>
              <w:spacing w:after="100"/>
              <w:rPr>
                <w:rFonts w:eastAsia="Times New Roman"/>
                <w:sz w:val="20"/>
                <w:szCs w:val="20"/>
              </w:rPr>
            </w:pPr>
          </w:p>
        </w:tc>
        <w:tc>
          <w:tcPr>
            <w:tcW w:w="26" w:type="pct"/>
            <w:vAlign w:val="center"/>
            <w:hideMark/>
          </w:tcPr>
          <w:p w14:paraId="0AF74D68" w14:textId="77777777" w:rsidR="00000000" w:rsidRDefault="000C49AD">
            <w:pPr>
              <w:spacing w:after="100"/>
              <w:rPr>
                <w:rFonts w:eastAsia="Times New Roman"/>
                <w:sz w:val="20"/>
                <w:szCs w:val="20"/>
              </w:rPr>
            </w:pPr>
          </w:p>
        </w:tc>
        <w:tc>
          <w:tcPr>
            <w:tcW w:w="5" w:type="pct"/>
            <w:vAlign w:val="center"/>
            <w:hideMark/>
          </w:tcPr>
          <w:p w14:paraId="4C613B5D" w14:textId="77777777" w:rsidR="00000000" w:rsidRDefault="000C49AD">
            <w:pPr>
              <w:spacing w:after="100"/>
              <w:rPr>
                <w:rFonts w:eastAsia="Times New Roman"/>
                <w:sz w:val="20"/>
                <w:szCs w:val="20"/>
              </w:rPr>
            </w:pPr>
          </w:p>
        </w:tc>
        <w:tc>
          <w:tcPr>
            <w:tcW w:w="50" w:type="pct"/>
            <w:vAlign w:val="center"/>
            <w:hideMark/>
          </w:tcPr>
          <w:p w14:paraId="492F3B8C" w14:textId="77777777" w:rsidR="00000000" w:rsidRDefault="000C49AD">
            <w:pPr>
              <w:spacing w:after="100"/>
              <w:rPr>
                <w:rFonts w:eastAsia="Times New Roman"/>
                <w:sz w:val="20"/>
                <w:szCs w:val="20"/>
              </w:rPr>
            </w:pPr>
          </w:p>
        </w:tc>
        <w:tc>
          <w:tcPr>
            <w:tcW w:w="649" w:type="pct"/>
            <w:vAlign w:val="center"/>
            <w:hideMark/>
          </w:tcPr>
          <w:p w14:paraId="340C3EC1" w14:textId="77777777" w:rsidR="00000000" w:rsidRDefault="000C49AD">
            <w:pPr>
              <w:spacing w:after="100"/>
              <w:rPr>
                <w:rFonts w:eastAsia="Times New Roman"/>
                <w:sz w:val="20"/>
                <w:szCs w:val="20"/>
              </w:rPr>
            </w:pPr>
          </w:p>
        </w:tc>
        <w:tc>
          <w:tcPr>
            <w:tcW w:w="5" w:type="pct"/>
            <w:vAlign w:val="center"/>
            <w:hideMark/>
          </w:tcPr>
          <w:p w14:paraId="54D0443C" w14:textId="77777777" w:rsidR="00000000" w:rsidRDefault="000C49AD">
            <w:pPr>
              <w:spacing w:after="100"/>
              <w:rPr>
                <w:rFonts w:eastAsia="Times New Roman"/>
                <w:sz w:val="20"/>
                <w:szCs w:val="20"/>
              </w:rPr>
            </w:pPr>
          </w:p>
        </w:tc>
        <w:tc>
          <w:tcPr>
            <w:tcW w:w="5" w:type="pct"/>
            <w:vAlign w:val="center"/>
            <w:hideMark/>
          </w:tcPr>
          <w:p w14:paraId="54D68EA2" w14:textId="77777777" w:rsidR="00000000" w:rsidRDefault="000C49AD">
            <w:pPr>
              <w:spacing w:after="100"/>
              <w:rPr>
                <w:rFonts w:eastAsia="Times New Roman"/>
                <w:sz w:val="20"/>
                <w:szCs w:val="20"/>
              </w:rPr>
            </w:pPr>
          </w:p>
        </w:tc>
        <w:tc>
          <w:tcPr>
            <w:tcW w:w="26" w:type="pct"/>
            <w:vAlign w:val="center"/>
            <w:hideMark/>
          </w:tcPr>
          <w:p w14:paraId="462AB8B7" w14:textId="77777777" w:rsidR="00000000" w:rsidRDefault="000C49AD">
            <w:pPr>
              <w:spacing w:after="100"/>
              <w:rPr>
                <w:rFonts w:eastAsia="Times New Roman"/>
                <w:sz w:val="20"/>
                <w:szCs w:val="20"/>
              </w:rPr>
            </w:pPr>
          </w:p>
        </w:tc>
        <w:tc>
          <w:tcPr>
            <w:tcW w:w="5" w:type="pct"/>
            <w:vAlign w:val="center"/>
            <w:hideMark/>
          </w:tcPr>
          <w:p w14:paraId="6FFD127A" w14:textId="77777777" w:rsidR="00000000" w:rsidRDefault="000C49AD">
            <w:pPr>
              <w:spacing w:after="100"/>
              <w:rPr>
                <w:rFonts w:eastAsia="Times New Roman"/>
                <w:sz w:val="20"/>
                <w:szCs w:val="20"/>
              </w:rPr>
            </w:pPr>
          </w:p>
        </w:tc>
        <w:tc>
          <w:tcPr>
            <w:tcW w:w="50" w:type="pct"/>
            <w:vAlign w:val="center"/>
            <w:hideMark/>
          </w:tcPr>
          <w:p w14:paraId="5ABAD5E5" w14:textId="77777777" w:rsidR="00000000" w:rsidRDefault="000C49AD">
            <w:pPr>
              <w:spacing w:after="100"/>
              <w:rPr>
                <w:rFonts w:eastAsia="Times New Roman"/>
                <w:sz w:val="20"/>
                <w:szCs w:val="20"/>
              </w:rPr>
            </w:pPr>
          </w:p>
        </w:tc>
        <w:tc>
          <w:tcPr>
            <w:tcW w:w="649" w:type="pct"/>
            <w:vAlign w:val="center"/>
            <w:hideMark/>
          </w:tcPr>
          <w:p w14:paraId="4CAC8A88" w14:textId="77777777" w:rsidR="00000000" w:rsidRDefault="000C49AD">
            <w:pPr>
              <w:spacing w:after="100"/>
              <w:rPr>
                <w:rFonts w:eastAsia="Times New Roman"/>
                <w:sz w:val="20"/>
                <w:szCs w:val="20"/>
              </w:rPr>
            </w:pPr>
          </w:p>
        </w:tc>
        <w:tc>
          <w:tcPr>
            <w:tcW w:w="5" w:type="pct"/>
            <w:vAlign w:val="center"/>
            <w:hideMark/>
          </w:tcPr>
          <w:p w14:paraId="124B632B" w14:textId="77777777" w:rsidR="00000000" w:rsidRDefault="000C49AD">
            <w:pPr>
              <w:spacing w:after="100"/>
              <w:rPr>
                <w:rFonts w:eastAsia="Times New Roman"/>
                <w:sz w:val="20"/>
                <w:szCs w:val="20"/>
              </w:rPr>
            </w:pPr>
          </w:p>
        </w:tc>
        <w:tc>
          <w:tcPr>
            <w:tcW w:w="5" w:type="pct"/>
            <w:vAlign w:val="center"/>
            <w:hideMark/>
          </w:tcPr>
          <w:p w14:paraId="71282157" w14:textId="77777777" w:rsidR="00000000" w:rsidRDefault="000C49AD">
            <w:pPr>
              <w:spacing w:after="100"/>
              <w:rPr>
                <w:rFonts w:eastAsia="Times New Roman"/>
                <w:sz w:val="20"/>
                <w:szCs w:val="20"/>
              </w:rPr>
            </w:pPr>
          </w:p>
        </w:tc>
        <w:tc>
          <w:tcPr>
            <w:tcW w:w="26" w:type="pct"/>
            <w:vAlign w:val="center"/>
            <w:hideMark/>
          </w:tcPr>
          <w:p w14:paraId="2B93F3B4" w14:textId="77777777" w:rsidR="00000000" w:rsidRDefault="000C49AD">
            <w:pPr>
              <w:spacing w:after="100"/>
              <w:rPr>
                <w:rFonts w:eastAsia="Times New Roman"/>
                <w:sz w:val="20"/>
                <w:szCs w:val="20"/>
              </w:rPr>
            </w:pPr>
          </w:p>
        </w:tc>
        <w:tc>
          <w:tcPr>
            <w:tcW w:w="5" w:type="pct"/>
            <w:vAlign w:val="center"/>
            <w:hideMark/>
          </w:tcPr>
          <w:p w14:paraId="65F905D9" w14:textId="77777777" w:rsidR="00000000" w:rsidRDefault="000C49AD">
            <w:pPr>
              <w:spacing w:after="100"/>
              <w:rPr>
                <w:rFonts w:eastAsia="Times New Roman"/>
                <w:sz w:val="20"/>
                <w:szCs w:val="20"/>
              </w:rPr>
            </w:pPr>
          </w:p>
        </w:tc>
        <w:tc>
          <w:tcPr>
            <w:tcW w:w="50" w:type="pct"/>
            <w:vAlign w:val="center"/>
            <w:hideMark/>
          </w:tcPr>
          <w:p w14:paraId="1D623E49" w14:textId="77777777" w:rsidR="00000000" w:rsidRDefault="000C49AD">
            <w:pPr>
              <w:spacing w:after="100"/>
              <w:rPr>
                <w:rFonts w:eastAsia="Times New Roman"/>
                <w:sz w:val="20"/>
                <w:szCs w:val="20"/>
              </w:rPr>
            </w:pPr>
          </w:p>
        </w:tc>
        <w:tc>
          <w:tcPr>
            <w:tcW w:w="650" w:type="pct"/>
            <w:vAlign w:val="center"/>
            <w:hideMark/>
          </w:tcPr>
          <w:p w14:paraId="5CFC31F0" w14:textId="77777777" w:rsidR="00000000" w:rsidRDefault="000C49AD">
            <w:pPr>
              <w:spacing w:after="100"/>
              <w:rPr>
                <w:rFonts w:eastAsia="Times New Roman"/>
                <w:sz w:val="20"/>
                <w:szCs w:val="20"/>
              </w:rPr>
            </w:pPr>
          </w:p>
        </w:tc>
        <w:tc>
          <w:tcPr>
            <w:tcW w:w="5" w:type="pct"/>
            <w:vAlign w:val="center"/>
            <w:hideMark/>
          </w:tcPr>
          <w:p w14:paraId="52149F99" w14:textId="77777777" w:rsidR="00000000" w:rsidRDefault="000C49AD">
            <w:pPr>
              <w:spacing w:after="100"/>
              <w:rPr>
                <w:rFonts w:eastAsia="Times New Roman"/>
                <w:sz w:val="20"/>
                <w:szCs w:val="20"/>
              </w:rPr>
            </w:pPr>
          </w:p>
        </w:tc>
      </w:tr>
      <w:tr w:rsidR="00000000" w14:paraId="7B31B64C" w14:textId="77777777">
        <w:tc>
          <w:tcPr>
            <w:tcW w:w="0" w:type="auto"/>
            <w:gridSpan w:val="3"/>
            <w:tcMar>
              <w:top w:w="0" w:type="dxa"/>
              <w:left w:w="20" w:type="dxa"/>
              <w:bottom w:w="0" w:type="dxa"/>
              <w:right w:w="20" w:type="dxa"/>
            </w:tcMar>
            <w:vAlign w:val="center"/>
            <w:hideMark/>
          </w:tcPr>
          <w:p w14:paraId="16AF7B1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115E25" w14:textId="77777777" w:rsidR="00000000" w:rsidRDefault="000C49AD">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66558DE7" w14:textId="77777777" w:rsidR="00000000" w:rsidRDefault="000C49AD">
            <w:pPr>
              <w:spacing w:after="100"/>
              <w:jc w:val="center"/>
              <w:rPr>
                <w:rFonts w:eastAsia="Times New Roman"/>
              </w:rPr>
            </w:pPr>
            <w:r>
              <w:rPr>
                <w:rFonts w:eastAsia="Times New Roman"/>
                <w:b/>
                <w:bCs/>
                <w:color w:val="000000"/>
                <w:sz w:val="18"/>
                <w:szCs w:val="18"/>
              </w:rPr>
              <w:t>Unaudited Pro Forma Condensed Combined Statement of (Loss) Income</w:t>
            </w:r>
          </w:p>
        </w:tc>
      </w:tr>
      <w:tr w:rsidR="00000000" w14:paraId="45C1EC63" w14:textId="77777777">
        <w:tc>
          <w:tcPr>
            <w:tcW w:w="0" w:type="auto"/>
            <w:gridSpan w:val="3"/>
            <w:tcMar>
              <w:top w:w="0" w:type="dxa"/>
              <w:left w:w="20" w:type="dxa"/>
              <w:bottom w:w="0" w:type="dxa"/>
              <w:right w:w="20" w:type="dxa"/>
            </w:tcMar>
            <w:vAlign w:val="center"/>
            <w:hideMark/>
          </w:tcPr>
          <w:p w14:paraId="3D2B8A94"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A702B1A" w14:textId="77777777" w:rsidR="00000000" w:rsidRDefault="000C49AD">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4C326E65" w14:textId="77777777" w:rsidR="00000000" w:rsidRDefault="000C49AD">
            <w:pPr>
              <w:spacing w:after="100"/>
              <w:jc w:val="center"/>
              <w:rPr>
                <w:rFonts w:eastAsia="Times New Roman"/>
              </w:rPr>
            </w:pPr>
            <w:r>
              <w:rPr>
                <w:rFonts w:eastAsia="Times New Roman"/>
                <w:b/>
                <w:bCs/>
                <w:color w:val="000000"/>
                <w:sz w:val="18"/>
                <w:szCs w:val="18"/>
              </w:rPr>
              <w:t>Year Ended December 31, 2020</w:t>
            </w:r>
          </w:p>
        </w:tc>
      </w:tr>
      <w:tr w:rsidR="00000000" w14:paraId="051A9D19" w14:textId="77777777">
        <w:tc>
          <w:tcPr>
            <w:tcW w:w="0" w:type="auto"/>
            <w:gridSpan w:val="3"/>
            <w:tcMar>
              <w:top w:w="30" w:type="dxa"/>
              <w:left w:w="20" w:type="dxa"/>
              <w:bottom w:w="30" w:type="dxa"/>
              <w:right w:w="20" w:type="dxa"/>
            </w:tcMar>
            <w:vAlign w:val="bottom"/>
            <w:hideMark/>
          </w:tcPr>
          <w:p w14:paraId="3B9667AF"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141476A0"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01787A0" w14:textId="77777777" w:rsidR="00000000" w:rsidRDefault="000C49AD">
            <w:pPr>
              <w:spacing w:after="100"/>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14:paraId="51BB0B78"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B3EEA9" w14:textId="77777777" w:rsidR="00000000" w:rsidRDefault="000C49AD">
            <w:pPr>
              <w:spacing w:after="100"/>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14:paraId="04D78ABC"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F210C2" w14:textId="77777777" w:rsidR="00000000" w:rsidRDefault="000C49AD">
            <w:pPr>
              <w:spacing w:after="100"/>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14:paraId="7079C0BC"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9E3D979" w14:textId="77777777" w:rsidR="00000000" w:rsidRDefault="000C49AD">
            <w:pPr>
              <w:spacing w:after="100"/>
              <w:jc w:val="center"/>
              <w:rPr>
                <w:rFonts w:eastAsia="Times New Roman"/>
              </w:rPr>
            </w:pPr>
            <w:r>
              <w:rPr>
                <w:rFonts w:eastAsia="Times New Roman"/>
                <w:b/>
                <w:bCs/>
                <w:color w:val="000000"/>
                <w:sz w:val="18"/>
                <w:szCs w:val="18"/>
              </w:rPr>
              <w:t>Pro Forma</w:t>
            </w:r>
          </w:p>
        </w:tc>
      </w:tr>
      <w:tr w:rsidR="00000000" w14:paraId="0D8EAC46" w14:textId="77777777">
        <w:trPr>
          <w:trHeight w:val="60"/>
        </w:trPr>
        <w:tc>
          <w:tcPr>
            <w:tcW w:w="0" w:type="auto"/>
            <w:gridSpan w:val="3"/>
            <w:tcMar>
              <w:top w:w="0" w:type="dxa"/>
              <w:left w:w="20" w:type="dxa"/>
              <w:bottom w:w="0" w:type="dxa"/>
              <w:right w:w="20" w:type="dxa"/>
            </w:tcMar>
            <w:vAlign w:val="center"/>
            <w:hideMark/>
          </w:tcPr>
          <w:p w14:paraId="69098D04"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E73B07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4683AD"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365CA3"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B8CBC6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25419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D522D33"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9CD43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F864840" w14:textId="77777777" w:rsidR="00000000" w:rsidRDefault="000C49AD">
            <w:pPr>
              <w:spacing w:after="100"/>
              <w:rPr>
                <w:rFonts w:eastAsia="Times New Roman"/>
                <w:sz w:val="20"/>
                <w:szCs w:val="20"/>
              </w:rPr>
            </w:pPr>
          </w:p>
        </w:tc>
      </w:tr>
      <w:tr w:rsidR="00000000" w14:paraId="7BE658CC" w14:textId="77777777">
        <w:tc>
          <w:tcPr>
            <w:tcW w:w="0" w:type="auto"/>
            <w:gridSpan w:val="3"/>
            <w:vAlign w:val="center"/>
            <w:hideMark/>
          </w:tcPr>
          <w:p w14:paraId="3573B7FF" w14:textId="77777777" w:rsidR="00000000" w:rsidRDefault="000C49AD">
            <w:pPr>
              <w:spacing w:after="100"/>
              <w:rPr>
                <w:rFonts w:eastAsia="Times New Roman"/>
                <w:sz w:val="20"/>
                <w:szCs w:val="20"/>
              </w:rPr>
            </w:pPr>
          </w:p>
        </w:tc>
        <w:tc>
          <w:tcPr>
            <w:tcW w:w="0" w:type="auto"/>
            <w:gridSpan w:val="3"/>
            <w:vAlign w:val="center"/>
            <w:hideMark/>
          </w:tcPr>
          <w:p w14:paraId="33667ED0" w14:textId="77777777" w:rsidR="00000000" w:rsidRDefault="000C49AD">
            <w:pPr>
              <w:spacing w:after="100"/>
              <w:rPr>
                <w:rFonts w:eastAsia="Times New Roman"/>
                <w:sz w:val="20"/>
                <w:szCs w:val="20"/>
              </w:rPr>
            </w:pPr>
          </w:p>
        </w:tc>
        <w:tc>
          <w:tcPr>
            <w:tcW w:w="0" w:type="auto"/>
            <w:gridSpan w:val="3"/>
            <w:vAlign w:val="center"/>
            <w:hideMark/>
          </w:tcPr>
          <w:p w14:paraId="7E1BCED8" w14:textId="77777777" w:rsidR="00000000" w:rsidRDefault="000C49AD">
            <w:pPr>
              <w:spacing w:after="100"/>
              <w:rPr>
                <w:rFonts w:eastAsia="Times New Roman"/>
                <w:sz w:val="20"/>
                <w:szCs w:val="20"/>
              </w:rPr>
            </w:pPr>
          </w:p>
        </w:tc>
        <w:tc>
          <w:tcPr>
            <w:tcW w:w="0" w:type="auto"/>
            <w:gridSpan w:val="3"/>
            <w:vAlign w:val="center"/>
            <w:hideMark/>
          </w:tcPr>
          <w:p w14:paraId="0BDB3A25" w14:textId="77777777" w:rsidR="00000000" w:rsidRDefault="000C49AD">
            <w:pPr>
              <w:spacing w:after="100"/>
              <w:rPr>
                <w:rFonts w:eastAsia="Times New Roman"/>
                <w:sz w:val="20"/>
                <w:szCs w:val="20"/>
              </w:rPr>
            </w:pPr>
          </w:p>
        </w:tc>
        <w:tc>
          <w:tcPr>
            <w:tcW w:w="0" w:type="auto"/>
            <w:gridSpan w:val="3"/>
            <w:vAlign w:val="center"/>
            <w:hideMark/>
          </w:tcPr>
          <w:p w14:paraId="745252B6" w14:textId="77777777" w:rsidR="00000000" w:rsidRDefault="000C49AD">
            <w:pPr>
              <w:spacing w:after="100"/>
              <w:rPr>
                <w:rFonts w:eastAsia="Times New Roman"/>
                <w:sz w:val="20"/>
                <w:szCs w:val="20"/>
              </w:rPr>
            </w:pPr>
          </w:p>
        </w:tc>
        <w:tc>
          <w:tcPr>
            <w:tcW w:w="0" w:type="auto"/>
            <w:gridSpan w:val="3"/>
            <w:vAlign w:val="center"/>
            <w:hideMark/>
          </w:tcPr>
          <w:p w14:paraId="153C15F1" w14:textId="77777777" w:rsidR="00000000" w:rsidRDefault="000C49AD">
            <w:pPr>
              <w:spacing w:after="100"/>
              <w:rPr>
                <w:rFonts w:eastAsia="Times New Roman"/>
                <w:sz w:val="20"/>
                <w:szCs w:val="20"/>
              </w:rPr>
            </w:pPr>
          </w:p>
        </w:tc>
        <w:tc>
          <w:tcPr>
            <w:tcW w:w="0" w:type="auto"/>
            <w:gridSpan w:val="3"/>
            <w:vAlign w:val="center"/>
            <w:hideMark/>
          </w:tcPr>
          <w:p w14:paraId="3D2281E9" w14:textId="77777777" w:rsidR="00000000" w:rsidRDefault="000C49AD">
            <w:pPr>
              <w:spacing w:after="100"/>
              <w:rPr>
                <w:rFonts w:eastAsia="Times New Roman"/>
                <w:sz w:val="20"/>
                <w:szCs w:val="20"/>
              </w:rPr>
            </w:pPr>
          </w:p>
        </w:tc>
        <w:tc>
          <w:tcPr>
            <w:tcW w:w="0" w:type="auto"/>
            <w:gridSpan w:val="3"/>
            <w:vAlign w:val="center"/>
            <w:hideMark/>
          </w:tcPr>
          <w:p w14:paraId="6FDEACCC" w14:textId="77777777" w:rsidR="00000000" w:rsidRDefault="000C49AD">
            <w:pPr>
              <w:spacing w:after="100"/>
              <w:rPr>
                <w:rFonts w:eastAsia="Times New Roman"/>
                <w:sz w:val="20"/>
                <w:szCs w:val="20"/>
              </w:rPr>
            </w:pPr>
          </w:p>
        </w:tc>
        <w:tc>
          <w:tcPr>
            <w:tcW w:w="0" w:type="auto"/>
            <w:gridSpan w:val="3"/>
            <w:vAlign w:val="center"/>
            <w:hideMark/>
          </w:tcPr>
          <w:p w14:paraId="4C97F031" w14:textId="77777777" w:rsidR="00000000" w:rsidRDefault="000C49AD">
            <w:pPr>
              <w:spacing w:after="100"/>
              <w:rPr>
                <w:rFonts w:eastAsia="Times New Roman"/>
                <w:sz w:val="20"/>
                <w:szCs w:val="20"/>
              </w:rPr>
            </w:pPr>
          </w:p>
        </w:tc>
      </w:tr>
      <w:tr w:rsidR="00000000" w14:paraId="7DDC55A2" w14:textId="77777777">
        <w:tc>
          <w:tcPr>
            <w:tcW w:w="0" w:type="auto"/>
            <w:gridSpan w:val="3"/>
            <w:shd w:val="clear" w:color="auto" w:fill="CCEEFF"/>
            <w:tcMar>
              <w:top w:w="30" w:type="dxa"/>
              <w:left w:w="155" w:type="dxa"/>
              <w:bottom w:w="30" w:type="dxa"/>
              <w:right w:w="20" w:type="dxa"/>
            </w:tcMar>
            <w:vAlign w:val="bottom"/>
            <w:hideMark/>
          </w:tcPr>
          <w:p w14:paraId="4EE97183" w14:textId="77777777" w:rsidR="00000000" w:rsidRDefault="000C49AD">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14:paraId="6CB47B8A"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2F44BE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10FBC32" w14:textId="77777777" w:rsidR="00000000" w:rsidRDefault="000C49AD">
            <w:pPr>
              <w:spacing w:after="100"/>
              <w:jc w:val="right"/>
              <w:rPr>
                <w:rFonts w:eastAsia="Times New Roman"/>
              </w:rPr>
            </w:pPr>
            <w:r>
              <w:rPr>
                <w:rFonts w:eastAsia="Times New Roman"/>
                <w:color w:val="000000"/>
                <w:sz w:val="18"/>
                <w:szCs w:val="18"/>
              </w:rPr>
              <w:t>22,334 </w:t>
            </w:r>
          </w:p>
        </w:tc>
        <w:tc>
          <w:tcPr>
            <w:tcW w:w="0" w:type="auto"/>
            <w:shd w:val="clear" w:color="auto" w:fill="CCEEFF"/>
            <w:tcMar>
              <w:top w:w="30" w:type="dxa"/>
              <w:left w:w="0" w:type="dxa"/>
              <w:bottom w:w="30" w:type="dxa"/>
              <w:right w:w="20" w:type="dxa"/>
            </w:tcMar>
            <w:vAlign w:val="bottom"/>
            <w:hideMark/>
          </w:tcPr>
          <w:p w14:paraId="63B3B29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812D0"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56B75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CC44F28" w14:textId="77777777" w:rsidR="00000000" w:rsidRDefault="000C49AD">
            <w:pPr>
              <w:spacing w:after="100"/>
              <w:jc w:val="right"/>
              <w:rPr>
                <w:rFonts w:eastAsia="Times New Roman"/>
              </w:rPr>
            </w:pPr>
            <w:r>
              <w:rPr>
                <w:rFonts w:eastAsia="Times New Roman"/>
                <w:color w:val="000000"/>
                <w:sz w:val="18"/>
                <w:szCs w:val="18"/>
              </w:rPr>
              <w:t>(22,175)</w:t>
            </w:r>
          </w:p>
        </w:tc>
        <w:tc>
          <w:tcPr>
            <w:tcW w:w="0" w:type="auto"/>
            <w:shd w:val="clear" w:color="auto" w:fill="CCEEFF"/>
            <w:tcMar>
              <w:top w:w="30" w:type="dxa"/>
              <w:left w:w="0" w:type="dxa"/>
              <w:bottom w:w="30" w:type="dxa"/>
              <w:right w:w="20" w:type="dxa"/>
            </w:tcMar>
            <w:vAlign w:val="bottom"/>
            <w:hideMark/>
          </w:tcPr>
          <w:p w14:paraId="721DA77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E7CAF" w14:textId="77777777" w:rsidR="00000000" w:rsidRDefault="000C49A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1EF23A8A" w14:textId="77777777" w:rsidR="00000000" w:rsidRDefault="000C49AD">
            <w:pPr>
              <w:spacing w:after="100"/>
              <w:jc w:val="center"/>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14:paraId="4DBC8870" w14:textId="77777777" w:rsidR="00000000" w:rsidRDefault="000C49A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54CB156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E007BF7" w14:textId="77777777" w:rsidR="00000000" w:rsidRDefault="000C49AD">
            <w:pPr>
              <w:spacing w:after="100"/>
              <w:jc w:val="right"/>
              <w:rPr>
                <w:rFonts w:eastAsia="Times New Roman"/>
              </w:rPr>
            </w:pPr>
            <w:r>
              <w:rPr>
                <w:rFonts w:eastAsia="Times New Roman"/>
                <w:color w:val="000000"/>
                <w:sz w:val="18"/>
                <w:szCs w:val="18"/>
              </w:rPr>
              <w:t>159 </w:t>
            </w:r>
          </w:p>
        </w:tc>
        <w:tc>
          <w:tcPr>
            <w:tcW w:w="0" w:type="auto"/>
            <w:shd w:val="clear" w:color="auto" w:fill="CCEEFF"/>
            <w:tcMar>
              <w:top w:w="30" w:type="dxa"/>
              <w:left w:w="0" w:type="dxa"/>
              <w:bottom w:w="30" w:type="dxa"/>
              <w:right w:w="20" w:type="dxa"/>
            </w:tcMar>
            <w:vAlign w:val="bottom"/>
            <w:hideMark/>
          </w:tcPr>
          <w:p w14:paraId="43A07604" w14:textId="77777777" w:rsidR="00000000" w:rsidRDefault="000C49AD">
            <w:pPr>
              <w:spacing w:after="100"/>
              <w:jc w:val="right"/>
              <w:rPr>
                <w:rFonts w:eastAsia="Times New Roman"/>
              </w:rPr>
            </w:pPr>
          </w:p>
        </w:tc>
      </w:tr>
      <w:tr w:rsidR="00000000" w14:paraId="34764A51" w14:textId="77777777">
        <w:tc>
          <w:tcPr>
            <w:tcW w:w="0" w:type="auto"/>
            <w:gridSpan w:val="3"/>
            <w:shd w:val="clear" w:color="auto" w:fill="FFFFFF"/>
            <w:tcMar>
              <w:top w:w="30" w:type="dxa"/>
              <w:left w:w="155" w:type="dxa"/>
              <w:bottom w:w="30" w:type="dxa"/>
              <w:right w:w="20" w:type="dxa"/>
            </w:tcMar>
            <w:vAlign w:val="bottom"/>
            <w:hideMark/>
          </w:tcPr>
          <w:p w14:paraId="08CE346C" w14:textId="77777777" w:rsidR="00000000" w:rsidRDefault="000C49AD">
            <w:pPr>
              <w:spacing w:after="100"/>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14:paraId="69BDBD6B"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F1895D4" w14:textId="77777777" w:rsidR="00000000" w:rsidRDefault="000C49AD">
            <w:pPr>
              <w:spacing w:after="100"/>
              <w:jc w:val="right"/>
              <w:rPr>
                <w:rFonts w:eastAsia="Times New Roman"/>
              </w:rPr>
            </w:pPr>
            <w:r>
              <w:rPr>
                <w:rFonts w:eastAsia="Times New Roman"/>
                <w:color w:val="000000"/>
                <w:sz w:val="18"/>
                <w:szCs w:val="18"/>
              </w:rPr>
              <w:t>16,519 </w:t>
            </w:r>
          </w:p>
        </w:tc>
        <w:tc>
          <w:tcPr>
            <w:tcW w:w="0" w:type="auto"/>
            <w:shd w:val="clear" w:color="auto" w:fill="FFFFFF"/>
            <w:tcMar>
              <w:top w:w="30" w:type="dxa"/>
              <w:left w:w="0" w:type="dxa"/>
              <w:bottom w:w="30" w:type="dxa"/>
              <w:right w:w="20" w:type="dxa"/>
            </w:tcMar>
            <w:vAlign w:val="bottom"/>
            <w:hideMark/>
          </w:tcPr>
          <w:p w14:paraId="5D38A55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2B740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0E7187" w14:textId="77777777" w:rsidR="00000000" w:rsidRDefault="000C49AD">
            <w:pPr>
              <w:spacing w:after="100"/>
              <w:jc w:val="right"/>
              <w:rPr>
                <w:rFonts w:eastAsia="Times New Roman"/>
              </w:rPr>
            </w:pPr>
            <w:r>
              <w:rPr>
                <w:rFonts w:eastAsia="Times New Roman"/>
                <w:color w:val="000000"/>
                <w:sz w:val="18"/>
                <w:szCs w:val="18"/>
              </w:rPr>
              <w:t>(8,392)</w:t>
            </w:r>
          </w:p>
        </w:tc>
        <w:tc>
          <w:tcPr>
            <w:tcW w:w="0" w:type="auto"/>
            <w:shd w:val="clear" w:color="auto" w:fill="FFFFFF"/>
            <w:tcMar>
              <w:top w:w="30" w:type="dxa"/>
              <w:left w:w="0" w:type="dxa"/>
              <w:bottom w:w="30" w:type="dxa"/>
              <w:right w:w="20" w:type="dxa"/>
            </w:tcMar>
            <w:vAlign w:val="bottom"/>
            <w:hideMark/>
          </w:tcPr>
          <w:p w14:paraId="54262B1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03CDD" w14:textId="77777777" w:rsidR="00000000" w:rsidRDefault="000C49A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3C3BE1DF" w14:textId="77777777" w:rsidR="00000000" w:rsidRDefault="000C49AD">
            <w:pPr>
              <w:spacing w:after="100"/>
              <w:jc w:val="center"/>
              <w:rPr>
                <w:rFonts w:eastAsia="Times New Roman"/>
              </w:rPr>
            </w:pPr>
            <w:r>
              <w:rPr>
                <w:rFonts w:eastAsia="Times New Roman"/>
                <w:color w:val="000000"/>
                <w:sz w:val="18"/>
                <w:szCs w:val="18"/>
              </w:rPr>
              <w:t>(b)</w:t>
            </w:r>
          </w:p>
        </w:tc>
        <w:tc>
          <w:tcPr>
            <w:tcW w:w="0" w:type="auto"/>
            <w:gridSpan w:val="3"/>
            <w:shd w:val="clear" w:color="auto" w:fill="FFFFFF"/>
            <w:tcMar>
              <w:top w:w="0" w:type="dxa"/>
              <w:left w:w="20" w:type="dxa"/>
              <w:bottom w:w="0" w:type="dxa"/>
              <w:right w:w="20" w:type="dxa"/>
            </w:tcMar>
            <w:vAlign w:val="center"/>
            <w:hideMark/>
          </w:tcPr>
          <w:p w14:paraId="6054FDF4" w14:textId="77777777" w:rsidR="00000000" w:rsidRDefault="000C49A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79F6098" w14:textId="77777777" w:rsidR="00000000" w:rsidRDefault="000C49AD">
            <w:pPr>
              <w:spacing w:after="100"/>
              <w:jc w:val="right"/>
              <w:rPr>
                <w:rFonts w:eastAsia="Times New Roman"/>
              </w:rPr>
            </w:pPr>
            <w:r>
              <w:rPr>
                <w:rFonts w:eastAsia="Times New Roman"/>
                <w:color w:val="000000"/>
                <w:sz w:val="18"/>
                <w:szCs w:val="18"/>
              </w:rPr>
              <w:t>8,127 </w:t>
            </w:r>
          </w:p>
        </w:tc>
        <w:tc>
          <w:tcPr>
            <w:tcW w:w="0" w:type="auto"/>
            <w:shd w:val="clear" w:color="auto" w:fill="FFFFFF"/>
            <w:tcMar>
              <w:top w:w="30" w:type="dxa"/>
              <w:left w:w="0" w:type="dxa"/>
              <w:bottom w:w="30" w:type="dxa"/>
              <w:right w:w="20" w:type="dxa"/>
            </w:tcMar>
            <w:vAlign w:val="bottom"/>
            <w:hideMark/>
          </w:tcPr>
          <w:p w14:paraId="784970B8" w14:textId="77777777" w:rsidR="00000000" w:rsidRDefault="000C49AD">
            <w:pPr>
              <w:spacing w:after="100"/>
              <w:jc w:val="right"/>
              <w:rPr>
                <w:rFonts w:eastAsia="Times New Roman"/>
              </w:rPr>
            </w:pPr>
          </w:p>
        </w:tc>
      </w:tr>
      <w:tr w:rsidR="00000000" w14:paraId="3936CE44" w14:textId="77777777">
        <w:tc>
          <w:tcPr>
            <w:tcW w:w="0" w:type="auto"/>
            <w:gridSpan w:val="3"/>
            <w:shd w:val="clear" w:color="auto" w:fill="CCEEFF"/>
            <w:tcMar>
              <w:top w:w="30" w:type="dxa"/>
              <w:left w:w="155" w:type="dxa"/>
              <w:bottom w:w="30" w:type="dxa"/>
              <w:right w:w="20" w:type="dxa"/>
            </w:tcMar>
            <w:vAlign w:val="bottom"/>
            <w:hideMark/>
          </w:tcPr>
          <w:p w14:paraId="390DC87D" w14:textId="77777777" w:rsidR="00000000" w:rsidRDefault="000C49AD">
            <w:pPr>
              <w:spacing w:after="100"/>
              <w:rPr>
                <w:rFonts w:eastAsia="Times New Roman"/>
              </w:rPr>
            </w:pPr>
            <w:r>
              <w:rPr>
                <w:rFonts w:eastAsia="Times New Roman"/>
                <w:color w:val="000000"/>
                <w:sz w:val="18"/>
                <w:szCs w:val="18"/>
              </w:rPr>
              <w:t>Operating income (loss)</w:t>
            </w:r>
          </w:p>
        </w:tc>
        <w:tc>
          <w:tcPr>
            <w:tcW w:w="0" w:type="auto"/>
            <w:gridSpan w:val="3"/>
            <w:shd w:val="clear" w:color="auto" w:fill="CCEEFF"/>
            <w:tcMar>
              <w:top w:w="0" w:type="dxa"/>
              <w:left w:w="20" w:type="dxa"/>
              <w:bottom w:w="0" w:type="dxa"/>
              <w:right w:w="20" w:type="dxa"/>
            </w:tcMar>
            <w:vAlign w:val="center"/>
            <w:hideMark/>
          </w:tcPr>
          <w:p w14:paraId="60D12CB0"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3AC4E81" w14:textId="77777777" w:rsidR="00000000" w:rsidRDefault="000C49AD">
            <w:pPr>
              <w:spacing w:after="100"/>
              <w:jc w:val="right"/>
              <w:rPr>
                <w:rFonts w:eastAsia="Times New Roman"/>
              </w:rPr>
            </w:pPr>
            <w:r>
              <w:rPr>
                <w:rFonts w:eastAsia="Times New Roman"/>
                <w:color w:val="000000"/>
                <w:sz w:val="18"/>
                <w:szCs w:val="18"/>
              </w:rPr>
              <w:t>5,815 </w:t>
            </w:r>
          </w:p>
        </w:tc>
        <w:tc>
          <w:tcPr>
            <w:tcW w:w="0" w:type="auto"/>
            <w:shd w:val="clear" w:color="auto" w:fill="CCEEFF"/>
            <w:tcMar>
              <w:top w:w="30" w:type="dxa"/>
              <w:left w:w="0" w:type="dxa"/>
              <w:bottom w:w="30" w:type="dxa"/>
              <w:right w:w="20" w:type="dxa"/>
            </w:tcMar>
            <w:vAlign w:val="bottom"/>
            <w:hideMark/>
          </w:tcPr>
          <w:p w14:paraId="144C7A4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C310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F22366" w14:textId="77777777" w:rsidR="00000000" w:rsidRDefault="000C49AD">
            <w:pPr>
              <w:spacing w:after="100"/>
              <w:jc w:val="right"/>
              <w:rPr>
                <w:rFonts w:eastAsia="Times New Roman"/>
              </w:rPr>
            </w:pPr>
            <w:r>
              <w:rPr>
                <w:rFonts w:eastAsia="Times New Roman"/>
                <w:color w:val="000000"/>
                <w:sz w:val="18"/>
                <w:szCs w:val="18"/>
              </w:rPr>
              <w:t>(13,783)</w:t>
            </w:r>
          </w:p>
        </w:tc>
        <w:tc>
          <w:tcPr>
            <w:tcW w:w="0" w:type="auto"/>
            <w:shd w:val="clear" w:color="auto" w:fill="CCEEFF"/>
            <w:tcMar>
              <w:top w:w="30" w:type="dxa"/>
              <w:left w:w="0" w:type="dxa"/>
              <w:bottom w:w="30" w:type="dxa"/>
              <w:right w:w="20" w:type="dxa"/>
            </w:tcMar>
            <w:vAlign w:val="bottom"/>
            <w:hideMark/>
          </w:tcPr>
          <w:p w14:paraId="0944E6E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5C215D" w14:textId="77777777" w:rsidR="00000000" w:rsidRDefault="000C49A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78ABA6"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5DE85A" w14:textId="77777777" w:rsidR="00000000" w:rsidRDefault="000C49A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A7B803" w14:textId="77777777" w:rsidR="00000000" w:rsidRDefault="000C49AD">
            <w:pPr>
              <w:spacing w:after="100"/>
              <w:jc w:val="right"/>
              <w:rPr>
                <w:rFonts w:eastAsia="Times New Roman"/>
              </w:rPr>
            </w:pPr>
            <w:r>
              <w:rPr>
                <w:rFonts w:eastAsia="Times New Roman"/>
                <w:color w:val="000000"/>
                <w:sz w:val="18"/>
                <w:szCs w:val="18"/>
              </w:rPr>
              <w:t>(7,968)</w:t>
            </w:r>
          </w:p>
        </w:tc>
        <w:tc>
          <w:tcPr>
            <w:tcW w:w="0" w:type="auto"/>
            <w:shd w:val="clear" w:color="auto" w:fill="CCEEFF"/>
            <w:tcMar>
              <w:top w:w="30" w:type="dxa"/>
              <w:left w:w="0" w:type="dxa"/>
              <w:bottom w:w="30" w:type="dxa"/>
              <w:right w:w="20" w:type="dxa"/>
            </w:tcMar>
            <w:vAlign w:val="bottom"/>
            <w:hideMark/>
          </w:tcPr>
          <w:p w14:paraId="764B1378" w14:textId="77777777" w:rsidR="00000000" w:rsidRDefault="000C49AD">
            <w:pPr>
              <w:spacing w:after="100"/>
              <w:jc w:val="right"/>
              <w:rPr>
                <w:rFonts w:eastAsia="Times New Roman"/>
              </w:rPr>
            </w:pPr>
          </w:p>
        </w:tc>
      </w:tr>
      <w:tr w:rsidR="00000000" w14:paraId="6A32BEBF" w14:textId="77777777">
        <w:tc>
          <w:tcPr>
            <w:tcW w:w="0" w:type="auto"/>
            <w:gridSpan w:val="3"/>
            <w:shd w:val="clear" w:color="auto" w:fill="FFFFFF"/>
            <w:tcMar>
              <w:top w:w="30" w:type="dxa"/>
              <w:left w:w="155" w:type="dxa"/>
              <w:bottom w:w="30" w:type="dxa"/>
              <w:right w:w="20" w:type="dxa"/>
            </w:tcMar>
            <w:vAlign w:val="bottom"/>
            <w:hideMark/>
          </w:tcPr>
          <w:p w14:paraId="0693E14C" w14:textId="77777777" w:rsidR="00000000" w:rsidRDefault="000C49AD">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7236C4DF" w14:textId="77777777" w:rsidR="00000000" w:rsidRDefault="000C49A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A2B9BE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609586B" w14:textId="77777777" w:rsidR="00000000" w:rsidRDefault="000C49AD">
            <w:pPr>
              <w:spacing w:after="100"/>
              <w:jc w:val="right"/>
              <w:rPr>
                <w:rFonts w:eastAsia="Times New Roman"/>
              </w:rPr>
            </w:pPr>
            <w:r>
              <w:rPr>
                <w:rFonts w:eastAsia="Times New Roman"/>
                <w:color w:val="000000"/>
                <w:sz w:val="18"/>
                <w:szCs w:val="18"/>
              </w:rPr>
              <w:t>(5,082)</w:t>
            </w:r>
          </w:p>
        </w:tc>
        <w:tc>
          <w:tcPr>
            <w:tcW w:w="0" w:type="auto"/>
            <w:shd w:val="clear" w:color="auto" w:fill="FFFFFF"/>
            <w:tcMar>
              <w:top w:w="30" w:type="dxa"/>
              <w:left w:w="0" w:type="dxa"/>
              <w:bottom w:w="30" w:type="dxa"/>
              <w:right w:w="20" w:type="dxa"/>
            </w:tcMar>
            <w:vAlign w:val="bottom"/>
            <w:hideMark/>
          </w:tcPr>
          <w:p w14:paraId="1F91D6B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7F0A5"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07B79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41A166A" w14:textId="77777777" w:rsidR="00000000" w:rsidRDefault="000C49AD">
            <w:pPr>
              <w:spacing w:after="100"/>
              <w:jc w:val="right"/>
              <w:rPr>
                <w:rFonts w:eastAsia="Times New Roman"/>
              </w:rPr>
            </w:pPr>
            <w:r>
              <w:rPr>
                <w:rFonts w:eastAsia="Times New Roman"/>
                <w:color w:val="000000"/>
                <w:sz w:val="18"/>
                <w:szCs w:val="18"/>
              </w:rPr>
              <w:t>(13,348)</w:t>
            </w:r>
          </w:p>
        </w:tc>
        <w:tc>
          <w:tcPr>
            <w:tcW w:w="0" w:type="auto"/>
            <w:shd w:val="clear" w:color="auto" w:fill="FFFFFF"/>
            <w:tcMar>
              <w:top w:w="30" w:type="dxa"/>
              <w:left w:w="0" w:type="dxa"/>
              <w:bottom w:w="30" w:type="dxa"/>
              <w:right w:w="20" w:type="dxa"/>
            </w:tcMar>
            <w:vAlign w:val="bottom"/>
            <w:hideMark/>
          </w:tcPr>
          <w:p w14:paraId="77DA80B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893D75" w14:textId="77777777" w:rsidR="00000000" w:rsidRDefault="000C49A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0077BE8" w14:textId="77777777" w:rsidR="00000000" w:rsidRDefault="000C49AD">
            <w:pPr>
              <w:spacing w:after="100"/>
              <w:jc w:val="center"/>
              <w:rPr>
                <w:rFonts w:eastAsia="Times New Roman"/>
              </w:rPr>
            </w:pPr>
            <w:r>
              <w:rPr>
                <w:rFonts w:eastAsia="Times New Roman"/>
                <w:color w:val="000000"/>
                <w:sz w:val="18"/>
                <w:szCs w:val="18"/>
              </w:rPr>
              <w:t>(c)</w:t>
            </w:r>
          </w:p>
        </w:tc>
        <w:tc>
          <w:tcPr>
            <w:tcW w:w="0" w:type="auto"/>
            <w:gridSpan w:val="3"/>
            <w:shd w:val="clear" w:color="auto" w:fill="FFFFFF"/>
            <w:tcMar>
              <w:top w:w="0" w:type="dxa"/>
              <w:left w:w="20" w:type="dxa"/>
              <w:bottom w:w="0" w:type="dxa"/>
              <w:right w:w="20" w:type="dxa"/>
            </w:tcMar>
            <w:vAlign w:val="center"/>
            <w:hideMark/>
          </w:tcPr>
          <w:p w14:paraId="6A295B48" w14:textId="77777777" w:rsidR="00000000" w:rsidRDefault="000C49A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4F9FB77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D4F2A8D" w14:textId="77777777" w:rsidR="00000000" w:rsidRDefault="000C49AD">
            <w:pPr>
              <w:spacing w:after="100"/>
              <w:jc w:val="right"/>
              <w:rPr>
                <w:rFonts w:eastAsia="Times New Roman"/>
              </w:rPr>
            </w:pPr>
            <w:r>
              <w:rPr>
                <w:rFonts w:eastAsia="Times New Roman"/>
                <w:color w:val="000000"/>
                <w:sz w:val="18"/>
                <w:szCs w:val="18"/>
              </w:rPr>
              <w:t>(18,430)</w:t>
            </w:r>
          </w:p>
        </w:tc>
        <w:tc>
          <w:tcPr>
            <w:tcW w:w="0" w:type="auto"/>
            <w:shd w:val="clear" w:color="auto" w:fill="FFFFFF"/>
            <w:tcMar>
              <w:top w:w="30" w:type="dxa"/>
              <w:left w:w="0" w:type="dxa"/>
              <w:bottom w:w="30" w:type="dxa"/>
              <w:right w:w="20" w:type="dxa"/>
            </w:tcMar>
            <w:vAlign w:val="bottom"/>
            <w:hideMark/>
          </w:tcPr>
          <w:p w14:paraId="21202B88" w14:textId="77777777" w:rsidR="00000000" w:rsidRDefault="000C49AD">
            <w:pPr>
              <w:spacing w:after="100"/>
              <w:jc w:val="right"/>
              <w:rPr>
                <w:rFonts w:eastAsia="Times New Roman"/>
              </w:rPr>
            </w:pPr>
          </w:p>
        </w:tc>
      </w:tr>
    </w:tbl>
    <w:p w14:paraId="37CC8406" w14:textId="77777777" w:rsidR="00000000" w:rsidRDefault="000C49AD">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2"/>
        <w:gridCol w:w="3234"/>
        <w:gridCol w:w="37"/>
        <w:gridCol w:w="36"/>
        <w:gridCol w:w="36"/>
        <w:gridCol w:w="36"/>
        <w:gridCol w:w="110"/>
        <w:gridCol w:w="1000"/>
        <w:gridCol w:w="36"/>
        <w:gridCol w:w="36"/>
        <w:gridCol w:w="36"/>
        <w:gridCol w:w="36"/>
        <w:gridCol w:w="111"/>
        <w:gridCol w:w="1000"/>
        <w:gridCol w:w="37"/>
        <w:gridCol w:w="36"/>
        <w:gridCol w:w="36"/>
        <w:gridCol w:w="36"/>
        <w:gridCol w:w="37"/>
        <w:gridCol w:w="1007"/>
        <w:gridCol w:w="36"/>
        <w:gridCol w:w="36"/>
        <w:gridCol w:w="36"/>
        <w:gridCol w:w="36"/>
        <w:gridCol w:w="110"/>
        <w:gridCol w:w="1004"/>
        <w:gridCol w:w="36"/>
      </w:tblGrid>
      <w:tr w:rsidR="00000000" w14:paraId="0104BFCE" w14:textId="77777777">
        <w:tc>
          <w:tcPr>
            <w:tcW w:w="50" w:type="pct"/>
            <w:vAlign w:val="center"/>
            <w:hideMark/>
          </w:tcPr>
          <w:p w14:paraId="3BF19D77" w14:textId="77777777" w:rsidR="00000000" w:rsidRDefault="000C49AD">
            <w:pPr>
              <w:jc w:val="both"/>
              <w:rPr>
                <w:rFonts w:eastAsia="Times New Roman"/>
              </w:rPr>
            </w:pPr>
          </w:p>
        </w:tc>
        <w:tc>
          <w:tcPr>
            <w:tcW w:w="1978" w:type="pct"/>
            <w:vAlign w:val="center"/>
            <w:hideMark/>
          </w:tcPr>
          <w:p w14:paraId="3F32BC6A" w14:textId="77777777" w:rsidR="00000000" w:rsidRDefault="000C49AD">
            <w:pPr>
              <w:spacing w:after="100"/>
              <w:rPr>
                <w:rFonts w:eastAsia="Times New Roman"/>
                <w:sz w:val="20"/>
                <w:szCs w:val="20"/>
              </w:rPr>
            </w:pPr>
          </w:p>
        </w:tc>
        <w:tc>
          <w:tcPr>
            <w:tcW w:w="5" w:type="pct"/>
            <w:vAlign w:val="center"/>
            <w:hideMark/>
          </w:tcPr>
          <w:p w14:paraId="187314B6" w14:textId="77777777" w:rsidR="00000000" w:rsidRDefault="000C49AD">
            <w:pPr>
              <w:spacing w:after="100"/>
              <w:rPr>
                <w:rFonts w:eastAsia="Times New Roman"/>
                <w:sz w:val="20"/>
                <w:szCs w:val="20"/>
              </w:rPr>
            </w:pPr>
          </w:p>
        </w:tc>
        <w:tc>
          <w:tcPr>
            <w:tcW w:w="5" w:type="pct"/>
            <w:vAlign w:val="center"/>
            <w:hideMark/>
          </w:tcPr>
          <w:p w14:paraId="11EE5AAB" w14:textId="77777777" w:rsidR="00000000" w:rsidRDefault="000C49AD">
            <w:pPr>
              <w:spacing w:after="100"/>
              <w:rPr>
                <w:rFonts w:eastAsia="Times New Roman"/>
                <w:sz w:val="20"/>
                <w:szCs w:val="20"/>
              </w:rPr>
            </w:pPr>
          </w:p>
        </w:tc>
        <w:tc>
          <w:tcPr>
            <w:tcW w:w="26" w:type="pct"/>
            <w:vAlign w:val="center"/>
            <w:hideMark/>
          </w:tcPr>
          <w:p w14:paraId="00190FB7" w14:textId="77777777" w:rsidR="00000000" w:rsidRDefault="000C49AD">
            <w:pPr>
              <w:spacing w:after="100"/>
              <w:rPr>
                <w:rFonts w:eastAsia="Times New Roman"/>
                <w:sz w:val="20"/>
                <w:szCs w:val="20"/>
              </w:rPr>
            </w:pPr>
          </w:p>
        </w:tc>
        <w:tc>
          <w:tcPr>
            <w:tcW w:w="5" w:type="pct"/>
            <w:vAlign w:val="center"/>
            <w:hideMark/>
          </w:tcPr>
          <w:p w14:paraId="5C7C9ECB" w14:textId="77777777" w:rsidR="00000000" w:rsidRDefault="000C49AD">
            <w:pPr>
              <w:spacing w:after="100"/>
              <w:rPr>
                <w:rFonts w:eastAsia="Times New Roman"/>
                <w:sz w:val="20"/>
                <w:szCs w:val="20"/>
              </w:rPr>
            </w:pPr>
          </w:p>
        </w:tc>
        <w:tc>
          <w:tcPr>
            <w:tcW w:w="50" w:type="pct"/>
            <w:vAlign w:val="center"/>
            <w:hideMark/>
          </w:tcPr>
          <w:p w14:paraId="33E4BE3F" w14:textId="77777777" w:rsidR="00000000" w:rsidRDefault="000C49AD">
            <w:pPr>
              <w:spacing w:after="100"/>
              <w:rPr>
                <w:rFonts w:eastAsia="Times New Roman"/>
                <w:sz w:val="20"/>
                <w:szCs w:val="20"/>
              </w:rPr>
            </w:pPr>
          </w:p>
        </w:tc>
        <w:tc>
          <w:tcPr>
            <w:tcW w:w="649" w:type="pct"/>
            <w:vAlign w:val="center"/>
            <w:hideMark/>
          </w:tcPr>
          <w:p w14:paraId="69633899" w14:textId="77777777" w:rsidR="00000000" w:rsidRDefault="000C49AD">
            <w:pPr>
              <w:spacing w:after="100"/>
              <w:rPr>
                <w:rFonts w:eastAsia="Times New Roman"/>
                <w:sz w:val="20"/>
                <w:szCs w:val="20"/>
              </w:rPr>
            </w:pPr>
          </w:p>
        </w:tc>
        <w:tc>
          <w:tcPr>
            <w:tcW w:w="5" w:type="pct"/>
            <w:vAlign w:val="center"/>
            <w:hideMark/>
          </w:tcPr>
          <w:p w14:paraId="1E7F2AE3" w14:textId="77777777" w:rsidR="00000000" w:rsidRDefault="000C49AD">
            <w:pPr>
              <w:spacing w:after="100"/>
              <w:rPr>
                <w:rFonts w:eastAsia="Times New Roman"/>
                <w:sz w:val="20"/>
                <w:szCs w:val="20"/>
              </w:rPr>
            </w:pPr>
          </w:p>
        </w:tc>
        <w:tc>
          <w:tcPr>
            <w:tcW w:w="5" w:type="pct"/>
            <w:vAlign w:val="center"/>
            <w:hideMark/>
          </w:tcPr>
          <w:p w14:paraId="0F9D101F" w14:textId="77777777" w:rsidR="00000000" w:rsidRDefault="000C49AD">
            <w:pPr>
              <w:spacing w:after="100"/>
              <w:rPr>
                <w:rFonts w:eastAsia="Times New Roman"/>
                <w:sz w:val="20"/>
                <w:szCs w:val="20"/>
              </w:rPr>
            </w:pPr>
          </w:p>
        </w:tc>
        <w:tc>
          <w:tcPr>
            <w:tcW w:w="26" w:type="pct"/>
            <w:vAlign w:val="center"/>
            <w:hideMark/>
          </w:tcPr>
          <w:p w14:paraId="17803DF2" w14:textId="77777777" w:rsidR="00000000" w:rsidRDefault="000C49AD">
            <w:pPr>
              <w:spacing w:after="100"/>
              <w:rPr>
                <w:rFonts w:eastAsia="Times New Roman"/>
                <w:sz w:val="20"/>
                <w:szCs w:val="20"/>
              </w:rPr>
            </w:pPr>
          </w:p>
        </w:tc>
        <w:tc>
          <w:tcPr>
            <w:tcW w:w="5" w:type="pct"/>
            <w:vAlign w:val="center"/>
            <w:hideMark/>
          </w:tcPr>
          <w:p w14:paraId="2DD527BC" w14:textId="77777777" w:rsidR="00000000" w:rsidRDefault="000C49AD">
            <w:pPr>
              <w:spacing w:after="100"/>
              <w:rPr>
                <w:rFonts w:eastAsia="Times New Roman"/>
                <w:sz w:val="20"/>
                <w:szCs w:val="20"/>
              </w:rPr>
            </w:pPr>
          </w:p>
        </w:tc>
        <w:tc>
          <w:tcPr>
            <w:tcW w:w="50" w:type="pct"/>
            <w:vAlign w:val="center"/>
            <w:hideMark/>
          </w:tcPr>
          <w:p w14:paraId="65622153" w14:textId="77777777" w:rsidR="00000000" w:rsidRDefault="000C49AD">
            <w:pPr>
              <w:spacing w:after="100"/>
              <w:rPr>
                <w:rFonts w:eastAsia="Times New Roman"/>
                <w:sz w:val="20"/>
                <w:szCs w:val="20"/>
              </w:rPr>
            </w:pPr>
          </w:p>
        </w:tc>
        <w:tc>
          <w:tcPr>
            <w:tcW w:w="649" w:type="pct"/>
            <w:vAlign w:val="center"/>
            <w:hideMark/>
          </w:tcPr>
          <w:p w14:paraId="00A558AE" w14:textId="77777777" w:rsidR="00000000" w:rsidRDefault="000C49AD">
            <w:pPr>
              <w:spacing w:after="100"/>
              <w:rPr>
                <w:rFonts w:eastAsia="Times New Roman"/>
                <w:sz w:val="20"/>
                <w:szCs w:val="20"/>
              </w:rPr>
            </w:pPr>
          </w:p>
        </w:tc>
        <w:tc>
          <w:tcPr>
            <w:tcW w:w="5" w:type="pct"/>
            <w:vAlign w:val="center"/>
            <w:hideMark/>
          </w:tcPr>
          <w:p w14:paraId="6247B16C" w14:textId="77777777" w:rsidR="00000000" w:rsidRDefault="000C49AD">
            <w:pPr>
              <w:spacing w:after="100"/>
              <w:rPr>
                <w:rFonts w:eastAsia="Times New Roman"/>
                <w:sz w:val="20"/>
                <w:szCs w:val="20"/>
              </w:rPr>
            </w:pPr>
          </w:p>
        </w:tc>
        <w:tc>
          <w:tcPr>
            <w:tcW w:w="5" w:type="pct"/>
            <w:vAlign w:val="center"/>
            <w:hideMark/>
          </w:tcPr>
          <w:p w14:paraId="736E6E80" w14:textId="77777777" w:rsidR="00000000" w:rsidRDefault="000C49AD">
            <w:pPr>
              <w:spacing w:after="100"/>
              <w:rPr>
                <w:rFonts w:eastAsia="Times New Roman"/>
                <w:sz w:val="20"/>
                <w:szCs w:val="20"/>
              </w:rPr>
            </w:pPr>
          </w:p>
        </w:tc>
        <w:tc>
          <w:tcPr>
            <w:tcW w:w="26" w:type="pct"/>
            <w:vAlign w:val="center"/>
            <w:hideMark/>
          </w:tcPr>
          <w:p w14:paraId="6E9209E0" w14:textId="77777777" w:rsidR="00000000" w:rsidRDefault="000C49AD">
            <w:pPr>
              <w:spacing w:after="100"/>
              <w:rPr>
                <w:rFonts w:eastAsia="Times New Roman"/>
                <w:sz w:val="20"/>
                <w:szCs w:val="20"/>
              </w:rPr>
            </w:pPr>
          </w:p>
        </w:tc>
        <w:tc>
          <w:tcPr>
            <w:tcW w:w="5" w:type="pct"/>
            <w:vAlign w:val="center"/>
            <w:hideMark/>
          </w:tcPr>
          <w:p w14:paraId="7391CD6F" w14:textId="77777777" w:rsidR="00000000" w:rsidRDefault="000C49AD">
            <w:pPr>
              <w:spacing w:after="100"/>
              <w:rPr>
                <w:rFonts w:eastAsia="Times New Roman"/>
                <w:sz w:val="20"/>
                <w:szCs w:val="20"/>
              </w:rPr>
            </w:pPr>
          </w:p>
        </w:tc>
        <w:tc>
          <w:tcPr>
            <w:tcW w:w="50" w:type="pct"/>
            <w:vAlign w:val="center"/>
            <w:hideMark/>
          </w:tcPr>
          <w:p w14:paraId="3B830D4A" w14:textId="77777777" w:rsidR="00000000" w:rsidRDefault="000C49AD">
            <w:pPr>
              <w:spacing w:after="100"/>
              <w:rPr>
                <w:rFonts w:eastAsia="Times New Roman"/>
                <w:sz w:val="20"/>
                <w:szCs w:val="20"/>
              </w:rPr>
            </w:pPr>
          </w:p>
        </w:tc>
        <w:tc>
          <w:tcPr>
            <w:tcW w:w="649" w:type="pct"/>
            <w:vAlign w:val="center"/>
            <w:hideMark/>
          </w:tcPr>
          <w:p w14:paraId="2DA1B45D" w14:textId="77777777" w:rsidR="00000000" w:rsidRDefault="000C49AD">
            <w:pPr>
              <w:spacing w:after="100"/>
              <w:rPr>
                <w:rFonts w:eastAsia="Times New Roman"/>
                <w:sz w:val="20"/>
                <w:szCs w:val="20"/>
              </w:rPr>
            </w:pPr>
          </w:p>
        </w:tc>
        <w:tc>
          <w:tcPr>
            <w:tcW w:w="5" w:type="pct"/>
            <w:vAlign w:val="center"/>
            <w:hideMark/>
          </w:tcPr>
          <w:p w14:paraId="2F911D84" w14:textId="77777777" w:rsidR="00000000" w:rsidRDefault="000C49AD">
            <w:pPr>
              <w:spacing w:after="100"/>
              <w:rPr>
                <w:rFonts w:eastAsia="Times New Roman"/>
                <w:sz w:val="20"/>
                <w:szCs w:val="20"/>
              </w:rPr>
            </w:pPr>
          </w:p>
        </w:tc>
        <w:tc>
          <w:tcPr>
            <w:tcW w:w="5" w:type="pct"/>
            <w:vAlign w:val="center"/>
            <w:hideMark/>
          </w:tcPr>
          <w:p w14:paraId="6D262099" w14:textId="77777777" w:rsidR="00000000" w:rsidRDefault="000C49AD">
            <w:pPr>
              <w:spacing w:after="100"/>
              <w:rPr>
                <w:rFonts w:eastAsia="Times New Roman"/>
                <w:sz w:val="20"/>
                <w:szCs w:val="20"/>
              </w:rPr>
            </w:pPr>
          </w:p>
        </w:tc>
        <w:tc>
          <w:tcPr>
            <w:tcW w:w="26" w:type="pct"/>
            <w:vAlign w:val="center"/>
            <w:hideMark/>
          </w:tcPr>
          <w:p w14:paraId="6ABD9101" w14:textId="77777777" w:rsidR="00000000" w:rsidRDefault="000C49AD">
            <w:pPr>
              <w:spacing w:after="100"/>
              <w:rPr>
                <w:rFonts w:eastAsia="Times New Roman"/>
                <w:sz w:val="20"/>
                <w:szCs w:val="20"/>
              </w:rPr>
            </w:pPr>
          </w:p>
        </w:tc>
        <w:tc>
          <w:tcPr>
            <w:tcW w:w="5" w:type="pct"/>
            <w:vAlign w:val="center"/>
            <w:hideMark/>
          </w:tcPr>
          <w:p w14:paraId="0570C449" w14:textId="77777777" w:rsidR="00000000" w:rsidRDefault="000C49AD">
            <w:pPr>
              <w:spacing w:after="100"/>
              <w:rPr>
                <w:rFonts w:eastAsia="Times New Roman"/>
                <w:sz w:val="20"/>
                <w:szCs w:val="20"/>
              </w:rPr>
            </w:pPr>
          </w:p>
        </w:tc>
        <w:tc>
          <w:tcPr>
            <w:tcW w:w="50" w:type="pct"/>
            <w:vAlign w:val="center"/>
            <w:hideMark/>
          </w:tcPr>
          <w:p w14:paraId="5226CDBB" w14:textId="77777777" w:rsidR="00000000" w:rsidRDefault="000C49AD">
            <w:pPr>
              <w:spacing w:after="100"/>
              <w:rPr>
                <w:rFonts w:eastAsia="Times New Roman"/>
                <w:sz w:val="20"/>
                <w:szCs w:val="20"/>
              </w:rPr>
            </w:pPr>
          </w:p>
        </w:tc>
        <w:tc>
          <w:tcPr>
            <w:tcW w:w="650" w:type="pct"/>
            <w:vAlign w:val="center"/>
            <w:hideMark/>
          </w:tcPr>
          <w:p w14:paraId="35AF5507" w14:textId="77777777" w:rsidR="00000000" w:rsidRDefault="000C49AD">
            <w:pPr>
              <w:spacing w:after="100"/>
              <w:rPr>
                <w:rFonts w:eastAsia="Times New Roman"/>
                <w:sz w:val="20"/>
                <w:szCs w:val="20"/>
              </w:rPr>
            </w:pPr>
          </w:p>
        </w:tc>
        <w:tc>
          <w:tcPr>
            <w:tcW w:w="5" w:type="pct"/>
            <w:vAlign w:val="center"/>
            <w:hideMark/>
          </w:tcPr>
          <w:p w14:paraId="225DBC12" w14:textId="77777777" w:rsidR="00000000" w:rsidRDefault="000C49AD">
            <w:pPr>
              <w:spacing w:after="100"/>
              <w:rPr>
                <w:rFonts w:eastAsia="Times New Roman"/>
                <w:sz w:val="20"/>
                <w:szCs w:val="20"/>
              </w:rPr>
            </w:pPr>
          </w:p>
        </w:tc>
      </w:tr>
      <w:tr w:rsidR="00000000" w14:paraId="409D47F8" w14:textId="77777777">
        <w:tc>
          <w:tcPr>
            <w:tcW w:w="0" w:type="auto"/>
            <w:gridSpan w:val="3"/>
            <w:tcMar>
              <w:top w:w="0" w:type="dxa"/>
              <w:left w:w="20" w:type="dxa"/>
              <w:bottom w:w="0" w:type="dxa"/>
              <w:right w:w="20" w:type="dxa"/>
            </w:tcMar>
            <w:vAlign w:val="center"/>
            <w:hideMark/>
          </w:tcPr>
          <w:p w14:paraId="2E3EFD5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8961E6" w14:textId="77777777" w:rsidR="00000000" w:rsidRDefault="000C49AD">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14:paraId="4E7D867D" w14:textId="77777777" w:rsidR="00000000" w:rsidRDefault="000C49AD">
            <w:pPr>
              <w:spacing w:after="100"/>
              <w:jc w:val="center"/>
              <w:rPr>
                <w:rFonts w:eastAsia="Times New Roman"/>
              </w:rPr>
            </w:pPr>
            <w:r>
              <w:rPr>
                <w:rFonts w:eastAsia="Times New Roman"/>
                <w:b/>
                <w:bCs/>
                <w:color w:val="000000"/>
                <w:sz w:val="18"/>
                <w:szCs w:val="18"/>
              </w:rPr>
              <w:t>Unaudited Pro Forma Condensed Combined Statement of (Loss) Income</w:t>
            </w:r>
          </w:p>
        </w:tc>
      </w:tr>
      <w:tr w:rsidR="00000000" w14:paraId="505BF632" w14:textId="77777777">
        <w:tc>
          <w:tcPr>
            <w:tcW w:w="0" w:type="auto"/>
            <w:gridSpan w:val="3"/>
            <w:tcMar>
              <w:top w:w="0" w:type="dxa"/>
              <w:left w:w="20" w:type="dxa"/>
              <w:bottom w:w="0" w:type="dxa"/>
              <w:right w:w="20" w:type="dxa"/>
            </w:tcMar>
            <w:vAlign w:val="center"/>
            <w:hideMark/>
          </w:tcPr>
          <w:p w14:paraId="6CDED7C6"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C08A93C" w14:textId="77777777" w:rsidR="00000000" w:rsidRDefault="000C49AD">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14:paraId="335148A0" w14:textId="77777777" w:rsidR="00000000" w:rsidRDefault="000C49AD">
            <w:pPr>
              <w:spacing w:after="100"/>
              <w:jc w:val="center"/>
              <w:rPr>
                <w:rFonts w:eastAsia="Times New Roman"/>
              </w:rPr>
            </w:pPr>
            <w:r>
              <w:rPr>
                <w:rFonts w:eastAsia="Times New Roman"/>
                <w:b/>
                <w:bCs/>
                <w:color w:val="000000"/>
                <w:sz w:val="18"/>
                <w:szCs w:val="18"/>
              </w:rPr>
              <w:t>Year Ended December 31, 2019</w:t>
            </w:r>
          </w:p>
        </w:tc>
      </w:tr>
      <w:tr w:rsidR="00000000" w14:paraId="3D450F43" w14:textId="77777777">
        <w:tc>
          <w:tcPr>
            <w:tcW w:w="0" w:type="auto"/>
            <w:gridSpan w:val="3"/>
            <w:tcMar>
              <w:top w:w="30" w:type="dxa"/>
              <w:left w:w="20" w:type="dxa"/>
              <w:bottom w:w="30" w:type="dxa"/>
              <w:right w:w="20" w:type="dxa"/>
            </w:tcMar>
            <w:vAlign w:val="bottom"/>
            <w:hideMark/>
          </w:tcPr>
          <w:p w14:paraId="7300AE5C" w14:textId="77777777" w:rsidR="00000000" w:rsidRDefault="000C49AD">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C2DE339"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72FFD1" w14:textId="77777777" w:rsidR="00000000" w:rsidRDefault="000C49AD">
            <w:pPr>
              <w:spacing w:after="100"/>
              <w:jc w:val="center"/>
              <w:rPr>
                <w:rFonts w:eastAsia="Times New Roman"/>
              </w:rPr>
            </w:pPr>
            <w:r>
              <w:rPr>
                <w:rFonts w:eastAsia="Times New Roman"/>
                <w:b/>
                <w:bCs/>
                <w:color w:val="000000"/>
                <w:sz w:val="18"/>
                <w:szCs w:val="18"/>
              </w:rPr>
              <w:t>As Reported</w:t>
            </w:r>
          </w:p>
        </w:tc>
        <w:tc>
          <w:tcPr>
            <w:tcW w:w="0" w:type="auto"/>
            <w:gridSpan w:val="3"/>
            <w:tcBorders>
              <w:top w:val="single" w:sz="8" w:space="0" w:color="000000"/>
            </w:tcBorders>
            <w:tcMar>
              <w:top w:w="0" w:type="dxa"/>
              <w:left w:w="20" w:type="dxa"/>
              <w:bottom w:w="0" w:type="dxa"/>
              <w:right w:w="20" w:type="dxa"/>
            </w:tcMar>
            <w:vAlign w:val="center"/>
            <w:hideMark/>
          </w:tcPr>
          <w:p w14:paraId="61CC9D03"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1B05CC0" w14:textId="77777777" w:rsidR="00000000" w:rsidRDefault="000C49AD">
            <w:pPr>
              <w:spacing w:after="100"/>
              <w:jc w:val="center"/>
              <w:rPr>
                <w:rFonts w:eastAsia="Times New Roman"/>
              </w:rPr>
            </w:pPr>
            <w:r>
              <w:rPr>
                <w:rFonts w:eastAsia="Times New Roman"/>
                <w:b/>
                <w:bCs/>
                <w:color w:val="000000"/>
                <w:sz w:val="18"/>
                <w:szCs w:val="18"/>
              </w:rPr>
              <w:t>Pro Forma Adjustments</w:t>
            </w:r>
          </w:p>
        </w:tc>
        <w:tc>
          <w:tcPr>
            <w:tcW w:w="0" w:type="auto"/>
            <w:gridSpan w:val="3"/>
            <w:tcBorders>
              <w:top w:val="single" w:sz="8" w:space="0" w:color="000000"/>
            </w:tcBorders>
            <w:tcMar>
              <w:top w:w="0" w:type="dxa"/>
              <w:left w:w="20" w:type="dxa"/>
              <w:bottom w:w="0" w:type="dxa"/>
              <w:right w:w="20" w:type="dxa"/>
            </w:tcMar>
            <w:vAlign w:val="center"/>
            <w:hideMark/>
          </w:tcPr>
          <w:p w14:paraId="65E2F15D"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525ECB" w14:textId="77777777" w:rsidR="00000000" w:rsidRDefault="000C49AD">
            <w:pPr>
              <w:spacing w:after="100"/>
              <w:jc w:val="center"/>
              <w:rPr>
                <w:rFonts w:eastAsia="Times New Roman"/>
              </w:rPr>
            </w:pPr>
            <w:r>
              <w:rPr>
                <w:rFonts w:eastAsia="Times New Roman"/>
                <w:b/>
                <w:bCs/>
                <w:color w:val="000000"/>
                <w:sz w:val="18"/>
                <w:szCs w:val="18"/>
              </w:rPr>
              <w:t>Notes</w:t>
            </w:r>
          </w:p>
        </w:tc>
        <w:tc>
          <w:tcPr>
            <w:tcW w:w="0" w:type="auto"/>
            <w:gridSpan w:val="3"/>
            <w:tcBorders>
              <w:top w:val="single" w:sz="8" w:space="0" w:color="000000"/>
            </w:tcBorders>
            <w:tcMar>
              <w:top w:w="0" w:type="dxa"/>
              <w:left w:w="20" w:type="dxa"/>
              <w:bottom w:w="0" w:type="dxa"/>
              <w:right w:w="20" w:type="dxa"/>
            </w:tcMar>
            <w:vAlign w:val="center"/>
            <w:hideMark/>
          </w:tcPr>
          <w:p w14:paraId="490B72B4"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73C3EE1" w14:textId="77777777" w:rsidR="00000000" w:rsidRDefault="000C49AD">
            <w:pPr>
              <w:spacing w:after="100"/>
              <w:jc w:val="center"/>
              <w:rPr>
                <w:rFonts w:eastAsia="Times New Roman"/>
              </w:rPr>
            </w:pPr>
            <w:r>
              <w:rPr>
                <w:rFonts w:eastAsia="Times New Roman"/>
                <w:b/>
                <w:bCs/>
                <w:color w:val="000000"/>
                <w:sz w:val="18"/>
                <w:szCs w:val="18"/>
              </w:rPr>
              <w:t>Pro Forma</w:t>
            </w:r>
          </w:p>
        </w:tc>
      </w:tr>
      <w:tr w:rsidR="00000000" w14:paraId="5FF7DADB" w14:textId="77777777">
        <w:trPr>
          <w:trHeight w:val="60"/>
        </w:trPr>
        <w:tc>
          <w:tcPr>
            <w:tcW w:w="0" w:type="auto"/>
            <w:gridSpan w:val="3"/>
            <w:tcMar>
              <w:top w:w="0" w:type="dxa"/>
              <w:left w:w="20" w:type="dxa"/>
              <w:bottom w:w="0" w:type="dxa"/>
              <w:right w:w="20" w:type="dxa"/>
            </w:tcMar>
            <w:vAlign w:val="center"/>
            <w:hideMark/>
          </w:tcPr>
          <w:p w14:paraId="1D6748CC"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E606A37"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3D78AF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FBB89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9E4766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9F448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15CE1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8FD4F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E90F2C" w14:textId="77777777" w:rsidR="00000000" w:rsidRDefault="000C49AD">
            <w:pPr>
              <w:spacing w:after="100"/>
              <w:rPr>
                <w:rFonts w:eastAsia="Times New Roman"/>
                <w:sz w:val="20"/>
                <w:szCs w:val="20"/>
              </w:rPr>
            </w:pPr>
          </w:p>
        </w:tc>
      </w:tr>
      <w:tr w:rsidR="00000000" w14:paraId="5C24F04D" w14:textId="77777777">
        <w:tc>
          <w:tcPr>
            <w:tcW w:w="0" w:type="auto"/>
            <w:gridSpan w:val="3"/>
            <w:vAlign w:val="center"/>
            <w:hideMark/>
          </w:tcPr>
          <w:p w14:paraId="4293F586" w14:textId="77777777" w:rsidR="00000000" w:rsidRDefault="000C49AD">
            <w:pPr>
              <w:spacing w:after="100"/>
              <w:rPr>
                <w:rFonts w:eastAsia="Times New Roman"/>
                <w:sz w:val="20"/>
                <w:szCs w:val="20"/>
              </w:rPr>
            </w:pPr>
          </w:p>
        </w:tc>
        <w:tc>
          <w:tcPr>
            <w:tcW w:w="0" w:type="auto"/>
            <w:gridSpan w:val="3"/>
            <w:vAlign w:val="center"/>
            <w:hideMark/>
          </w:tcPr>
          <w:p w14:paraId="413EFA15" w14:textId="77777777" w:rsidR="00000000" w:rsidRDefault="000C49AD">
            <w:pPr>
              <w:spacing w:after="100"/>
              <w:rPr>
                <w:rFonts w:eastAsia="Times New Roman"/>
                <w:sz w:val="20"/>
                <w:szCs w:val="20"/>
              </w:rPr>
            </w:pPr>
          </w:p>
        </w:tc>
        <w:tc>
          <w:tcPr>
            <w:tcW w:w="0" w:type="auto"/>
            <w:gridSpan w:val="3"/>
            <w:vAlign w:val="center"/>
            <w:hideMark/>
          </w:tcPr>
          <w:p w14:paraId="280CE0C1" w14:textId="77777777" w:rsidR="00000000" w:rsidRDefault="000C49AD">
            <w:pPr>
              <w:spacing w:after="100"/>
              <w:rPr>
                <w:rFonts w:eastAsia="Times New Roman"/>
                <w:sz w:val="20"/>
                <w:szCs w:val="20"/>
              </w:rPr>
            </w:pPr>
          </w:p>
        </w:tc>
        <w:tc>
          <w:tcPr>
            <w:tcW w:w="0" w:type="auto"/>
            <w:gridSpan w:val="3"/>
            <w:vAlign w:val="center"/>
            <w:hideMark/>
          </w:tcPr>
          <w:p w14:paraId="11171FE3" w14:textId="77777777" w:rsidR="00000000" w:rsidRDefault="000C49AD">
            <w:pPr>
              <w:spacing w:after="100"/>
              <w:rPr>
                <w:rFonts w:eastAsia="Times New Roman"/>
                <w:sz w:val="20"/>
                <w:szCs w:val="20"/>
              </w:rPr>
            </w:pPr>
          </w:p>
        </w:tc>
        <w:tc>
          <w:tcPr>
            <w:tcW w:w="0" w:type="auto"/>
            <w:gridSpan w:val="3"/>
            <w:vAlign w:val="center"/>
            <w:hideMark/>
          </w:tcPr>
          <w:p w14:paraId="3F2EFDCA" w14:textId="77777777" w:rsidR="00000000" w:rsidRDefault="000C49AD">
            <w:pPr>
              <w:spacing w:after="100"/>
              <w:rPr>
                <w:rFonts w:eastAsia="Times New Roman"/>
                <w:sz w:val="20"/>
                <w:szCs w:val="20"/>
              </w:rPr>
            </w:pPr>
          </w:p>
        </w:tc>
        <w:tc>
          <w:tcPr>
            <w:tcW w:w="0" w:type="auto"/>
            <w:gridSpan w:val="3"/>
            <w:vAlign w:val="center"/>
            <w:hideMark/>
          </w:tcPr>
          <w:p w14:paraId="08CAFC50" w14:textId="77777777" w:rsidR="00000000" w:rsidRDefault="000C49AD">
            <w:pPr>
              <w:spacing w:after="100"/>
              <w:rPr>
                <w:rFonts w:eastAsia="Times New Roman"/>
                <w:sz w:val="20"/>
                <w:szCs w:val="20"/>
              </w:rPr>
            </w:pPr>
          </w:p>
        </w:tc>
        <w:tc>
          <w:tcPr>
            <w:tcW w:w="0" w:type="auto"/>
            <w:gridSpan w:val="3"/>
            <w:vAlign w:val="center"/>
            <w:hideMark/>
          </w:tcPr>
          <w:p w14:paraId="6E3E38F0" w14:textId="77777777" w:rsidR="00000000" w:rsidRDefault="000C49AD">
            <w:pPr>
              <w:spacing w:after="100"/>
              <w:rPr>
                <w:rFonts w:eastAsia="Times New Roman"/>
                <w:sz w:val="20"/>
                <w:szCs w:val="20"/>
              </w:rPr>
            </w:pPr>
          </w:p>
        </w:tc>
        <w:tc>
          <w:tcPr>
            <w:tcW w:w="0" w:type="auto"/>
            <w:gridSpan w:val="3"/>
            <w:vAlign w:val="center"/>
            <w:hideMark/>
          </w:tcPr>
          <w:p w14:paraId="641B5203" w14:textId="77777777" w:rsidR="00000000" w:rsidRDefault="000C49AD">
            <w:pPr>
              <w:spacing w:after="100"/>
              <w:rPr>
                <w:rFonts w:eastAsia="Times New Roman"/>
                <w:sz w:val="20"/>
                <w:szCs w:val="20"/>
              </w:rPr>
            </w:pPr>
          </w:p>
        </w:tc>
        <w:tc>
          <w:tcPr>
            <w:tcW w:w="0" w:type="auto"/>
            <w:gridSpan w:val="3"/>
            <w:vAlign w:val="center"/>
            <w:hideMark/>
          </w:tcPr>
          <w:p w14:paraId="07261CA1" w14:textId="77777777" w:rsidR="00000000" w:rsidRDefault="000C49AD">
            <w:pPr>
              <w:spacing w:after="100"/>
              <w:rPr>
                <w:rFonts w:eastAsia="Times New Roman"/>
                <w:sz w:val="20"/>
                <w:szCs w:val="20"/>
              </w:rPr>
            </w:pPr>
          </w:p>
        </w:tc>
      </w:tr>
      <w:tr w:rsidR="00000000" w14:paraId="5600168F" w14:textId="77777777">
        <w:tc>
          <w:tcPr>
            <w:tcW w:w="0" w:type="auto"/>
            <w:gridSpan w:val="3"/>
            <w:shd w:val="clear" w:color="auto" w:fill="CCEEFF"/>
            <w:tcMar>
              <w:top w:w="30" w:type="dxa"/>
              <w:left w:w="155" w:type="dxa"/>
              <w:bottom w:w="30" w:type="dxa"/>
              <w:right w:w="20" w:type="dxa"/>
            </w:tcMar>
            <w:vAlign w:val="bottom"/>
            <w:hideMark/>
          </w:tcPr>
          <w:p w14:paraId="1023B36F" w14:textId="77777777" w:rsidR="00000000" w:rsidRDefault="000C49AD">
            <w:pPr>
              <w:spacing w:after="100"/>
              <w:rPr>
                <w:rFonts w:eastAsia="Times New Roman"/>
              </w:rPr>
            </w:pPr>
            <w:r>
              <w:rPr>
                <w:rFonts w:eastAsia="Times New Roman"/>
                <w:color w:val="000000"/>
                <w:sz w:val="18"/>
                <w:szCs w:val="18"/>
              </w:rPr>
              <w:t>Product sales</w:t>
            </w:r>
          </w:p>
        </w:tc>
        <w:tc>
          <w:tcPr>
            <w:tcW w:w="0" w:type="auto"/>
            <w:gridSpan w:val="3"/>
            <w:shd w:val="clear" w:color="auto" w:fill="CCEEFF"/>
            <w:tcMar>
              <w:top w:w="0" w:type="dxa"/>
              <w:left w:w="20" w:type="dxa"/>
              <w:bottom w:w="0" w:type="dxa"/>
              <w:right w:w="20" w:type="dxa"/>
            </w:tcMar>
            <w:vAlign w:val="center"/>
            <w:hideMark/>
          </w:tcPr>
          <w:p w14:paraId="44A76DA9"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626B90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695D43A" w14:textId="77777777" w:rsidR="00000000" w:rsidRDefault="000C49AD">
            <w:pPr>
              <w:spacing w:after="100"/>
              <w:jc w:val="right"/>
              <w:rPr>
                <w:rFonts w:eastAsia="Times New Roman"/>
              </w:rPr>
            </w:pPr>
            <w:r>
              <w:rPr>
                <w:rFonts w:eastAsia="Times New Roman"/>
                <w:color w:val="000000"/>
                <w:sz w:val="18"/>
                <w:szCs w:val="18"/>
              </w:rPr>
              <w:t>59,215 </w:t>
            </w:r>
          </w:p>
        </w:tc>
        <w:tc>
          <w:tcPr>
            <w:tcW w:w="0" w:type="auto"/>
            <w:shd w:val="clear" w:color="auto" w:fill="CCEEFF"/>
            <w:tcMar>
              <w:top w:w="30" w:type="dxa"/>
              <w:left w:w="0" w:type="dxa"/>
              <w:bottom w:w="30" w:type="dxa"/>
              <w:right w:w="20" w:type="dxa"/>
            </w:tcMar>
            <w:vAlign w:val="bottom"/>
            <w:hideMark/>
          </w:tcPr>
          <w:p w14:paraId="6CFBB13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AD72A"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AD18B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998D4C8" w14:textId="77777777" w:rsidR="00000000" w:rsidRDefault="000C49AD">
            <w:pPr>
              <w:spacing w:after="100"/>
              <w:jc w:val="right"/>
              <w:rPr>
                <w:rFonts w:eastAsia="Times New Roman"/>
              </w:rPr>
            </w:pPr>
            <w:r>
              <w:rPr>
                <w:rFonts w:eastAsia="Times New Roman"/>
                <w:color w:val="000000"/>
                <w:sz w:val="18"/>
                <w:szCs w:val="18"/>
              </w:rPr>
              <w:t>(59,273)</w:t>
            </w:r>
          </w:p>
        </w:tc>
        <w:tc>
          <w:tcPr>
            <w:tcW w:w="0" w:type="auto"/>
            <w:shd w:val="clear" w:color="auto" w:fill="CCEEFF"/>
            <w:tcMar>
              <w:top w:w="30" w:type="dxa"/>
              <w:left w:w="0" w:type="dxa"/>
              <w:bottom w:w="30" w:type="dxa"/>
              <w:right w:w="20" w:type="dxa"/>
            </w:tcMar>
            <w:vAlign w:val="bottom"/>
            <w:hideMark/>
          </w:tcPr>
          <w:p w14:paraId="4727C30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71396F" w14:textId="77777777" w:rsidR="00000000" w:rsidRDefault="000C49A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1B52E05" w14:textId="77777777" w:rsidR="00000000" w:rsidRDefault="000C49AD">
            <w:pPr>
              <w:spacing w:after="100"/>
              <w:jc w:val="center"/>
              <w:rPr>
                <w:rFonts w:eastAsia="Times New Roman"/>
              </w:rPr>
            </w:pPr>
            <w:r>
              <w:rPr>
                <w:rFonts w:eastAsia="Times New Roman"/>
                <w:color w:val="000000"/>
                <w:sz w:val="18"/>
                <w:szCs w:val="18"/>
              </w:rPr>
              <w:t>(a)</w:t>
            </w:r>
          </w:p>
        </w:tc>
        <w:tc>
          <w:tcPr>
            <w:tcW w:w="0" w:type="auto"/>
            <w:gridSpan w:val="3"/>
            <w:shd w:val="clear" w:color="auto" w:fill="CCEEFF"/>
            <w:tcMar>
              <w:top w:w="0" w:type="dxa"/>
              <w:left w:w="20" w:type="dxa"/>
              <w:bottom w:w="0" w:type="dxa"/>
              <w:right w:w="20" w:type="dxa"/>
            </w:tcMar>
            <w:vAlign w:val="center"/>
            <w:hideMark/>
          </w:tcPr>
          <w:p w14:paraId="3EB32F5D" w14:textId="77777777" w:rsidR="00000000" w:rsidRDefault="000C49A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7B2CC97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038D8E9" w14:textId="77777777" w:rsidR="00000000" w:rsidRDefault="000C49AD">
            <w:pPr>
              <w:spacing w:after="100"/>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bottom"/>
            <w:hideMark/>
          </w:tcPr>
          <w:p w14:paraId="1FE602A4" w14:textId="77777777" w:rsidR="00000000" w:rsidRDefault="000C49AD">
            <w:pPr>
              <w:spacing w:after="100"/>
              <w:jc w:val="right"/>
              <w:rPr>
                <w:rFonts w:eastAsia="Times New Roman"/>
              </w:rPr>
            </w:pPr>
          </w:p>
        </w:tc>
      </w:tr>
      <w:tr w:rsidR="00000000" w14:paraId="07B87882" w14:textId="77777777">
        <w:tc>
          <w:tcPr>
            <w:tcW w:w="0" w:type="auto"/>
            <w:gridSpan w:val="3"/>
            <w:shd w:val="clear" w:color="auto" w:fill="FFFFFF"/>
            <w:tcMar>
              <w:top w:w="30" w:type="dxa"/>
              <w:left w:w="155" w:type="dxa"/>
              <w:bottom w:w="30" w:type="dxa"/>
              <w:right w:w="20" w:type="dxa"/>
            </w:tcMar>
            <w:vAlign w:val="bottom"/>
            <w:hideMark/>
          </w:tcPr>
          <w:p w14:paraId="5C6E5107" w14:textId="77777777" w:rsidR="00000000" w:rsidRDefault="000C49AD">
            <w:pPr>
              <w:spacing w:after="100"/>
              <w:rPr>
                <w:rFonts w:eastAsia="Times New Roman"/>
              </w:rPr>
            </w:pPr>
            <w:r>
              <w:rPr>
                <w:rFonts w:eastAsia="Times New Roman"/>
                <w:color w:val="000000"/>
                <w:sz w:val="18"/>
                <w:szCs w:val="18"/>
              </w:rPr>
              <w:t>Total operating expense</w:t>
            </w:r>
          </w:p>
        </w:tc>
        <w:tc>
          <w:tcPr>
            <w:tcW w:w="0" w:type="auto"/>
            <w:gridSpan w:val="3"/>
            <w:shd w:val="clear" w:color="auto" w:fill="FFFFFF"/>
            <w:tcMar>
              <w:top w:w="0" w:type="dxa"/>
              <w:left w:w="20" w:type="dxa"/>
              <w:bottom w:w="0" w:type="dxa"/>
              <w:right w:w="20" w:type="dxa"/>
            </w:tcMar>
            <w:vAlign w:val="center"/>
            <w:hideMark/>
          </w:tcPr>
          <w:p w14:paraId="0F2754A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2E78612" w14:textId="77777777" w:rsidR="00000000" w:rsidRDefault="000C49AD">
            <w:pPr>
              <w:spacing w:after="100"/>
              <w:jc w:val="right"/>
              <w:rPr>
                <w:rFonts w:eastAsia="Times New Roman"/>
              </w:rPr>
            </w:pPr>
            <w:r>
              <w:rPr>
                <w:rFonts w:eastAsia="Times New Roman"/>
                <w:color w:val="000000"/>
                <w:sz w:val="18"/>
                <w:szCs w:val="18"/>
              </w:rPr>
              <w:t>83,327 </w:t>
            </w:r>
          </w:p>
        </w:tc>
        <w:tc>
          <w:tcPr>
            <w:tcW w:w="0" w:type="auto"/>
            <w:shd w:val="clear" w:color="auto" w:fill="FFFFFF"/>
            <w:tcMar>
              <w:top w:w="30" w:type="dxa"/>
              <w:left w:w="0" w:type="dxa"/>
              <w:bottom w:w="30" w:type="dxa"/>
              <w:right w:w="20" w:type="dxa"/>
            </w:tcMar>
            <w:vAlign w:val="bottom"/>
            <w:hideMark/>
          </w:tcPr>
          <w:p w14:paraId="370F66F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DC01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EFDCB9" w14:textId="77777777" w:rsidR="00000000" w:rsidRDefault="000C49AD">
            <w:pPr>
              <w:spacing w:after="100"/>
              <w:jc w:val="right"/>
              <w:rPr>
                <w:rFonts w:eastAsia="Times New Roman"/>
              </w:rPr>
            </w:pPr>
            <w:r>
              <w:rPr>
                <w:rFonts w:eastAsia="Times New Roman"/>
                <w:color w:val="000000"/>
                <w:sz w:val="18"/>
                <w:szCs w:val="18"/>
              </w:rPr>
              <w:t>(16,092)</w:t>
            </w:r>
          </w:p>
        </w:tc>
        <w:tc>
          <w:tcPr>
            <w:tcW w:w="0" w:type="auto"/>
            <w:shd w:val="clear" w:color="auto" w:fill="FFFFFF"/>
            <w:tcMar>
              <w:top w:w="30" w:type="dxa"/>
              <w:left w:w="0" w:type="dxa"/>
              <w:bottom w:w="30" w:type="dxa"/>
              <w:right w:w="20" w:type="dxa"/>
            </w:tcMar>
            <w:vAlign w:val="bottom"/>
            <w:hideMark/>
          </w:tcPr>
          <w:p w14:paraId="7FF363E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D2FD9" w14:textId="77777777" w:rsidR="00000000" w:rsidRDefault="000C49A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7316CE1" w14:textId="77777777" w:rsidR="00000000" w:rsidRDefault="000C49AD">
            <w:pPr>
              <w:spacing w:after="100"/>
              <w:jc w:val="center"/>
              <w:rPr>
                <w:rFonts w:eastAsia="Times New Roman"/>
              </w:rPr>
            </w:pPr>
            <w:r>
              <w:rPr>
                <w:rFonts w:eastAsia="Times New Roman"/>
                <w:color w:val="000000"/>
                <w:sz w:val="18"/>
                <w:szCs w:val="18"/>
              </w:rPr>
              <w:t>(d)</w:t>
            </w:r>
          </w:p>
        </w:tc>
        <w:tc>
          <w:tcPr>
            <w:tcW w:w="0" w:type="auto"/>
            <w:gridSpan w:val="3"/>
            <w:shd w:val="clear" w:color="auto" w:fill="FFFFFF"/>
            <w:tcMar>
              <w:top w:w="0" w:type="dxa"/>
              <w:left w:w="20" w:type="dxa"/>
              <w:bottom w:w="0" w:type="dxa"/>
              <w:right w:w="20" w:type="dxa"/>
            </w:tcMar>
            <w:vAlign w:val="center"/>
            <w:hideMark/>
          </w:tcPr>
          <w:p w14:paraId="2E2AAD6F" w14:textId="77777777" w:rsidR="00000000" w:rsidRDefault="000C49AD">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4C4FEB" w14:textId="77777777" w:rsidR="00000000" w:rsidRDefault="000C49AD">
            <w:pPr>
              <w:spacing w:after="100"/>
              <w:jc w:val="right"/>
              <w:rPr>
                <w:rFonts w:eastAsia="Times New Roman"/>
              </w:rPr>
            </w:pPr>
            <w:r>
              <w:rPr>
                <w:rFonts w:eastAsia="Times New Roman"/>
                <w:color w:val="000000"/>
                <w:sz w:val="18"/>
                <w:szCs w:val="18"/>
              </w:rPr>
              <w:t>67,235 </w:t>
            </w:r>
          </w:p>
        </w:tc>
        <w:tc>
          <w:tcPr>
            <w:tcW w:w="0" w:type="auto"/>
            <w:shd w:val="clear" w:color="auto" w:fill="FFFFFF"/>
            <w:tcMar>
              <w:top w:w="30" w:type="dxa"/>
              <w:left w:w="0" w:type="dxa"/>
              <w:bottom w:w="30" w:type="dxa"/>
              <w:right w:w="20" w:type="dxa"/>
            </w:tcMar>
            <w:vAlign w:val="bottom"/>
            <w:hideMark/>
          </w:tcPr>
          <w:p w14:paraId="28A2C6FC" w14:textId="77777777" w:rsidR="00000000" w:rsidRDefault="000C49AD">
            <w:pPr>
              <w:spacing w:after="100"/>
              <w:jc w:val="right"/>
              <w:rPr>
                <w:rFonts w:eastAsia="Times New Roman"/>
              </w:rPr>
            </w:pPr>
          </w:p>
        </w:tc>
      </w:tr>
      <w:tr w:rsidR="00000000" w14:paraId="5B697649" w14:textId="77777777">
        <w:tc>
          <w:tcPr>
            <w:tcW w:w="0" w:type="auto"/>
            <w:gridSpan w:val="3"/>
            <w:shd w:val="clear" w:color="auto" w:fill="CCEEFF"/>
            <w:tcMar>
              <w:top w:w="30" w:type="dxa"/>
              <w:left w:w="155" w:type="dxa"/>
              <w:bottom w:w="30" w:type="dxa"/>
              <w:right w:w="20" w:type="dxa"/>
            </w:tcMar>
            <w:vAlign w:val="bottom"/>
            <w:hideMark/>
          </w:tcPr>
          <w:p w14:paraId="4AF3C73A" w14:textId="77777777" w:rsidR="00000000" w:rsidRDefault="000C49AD">
            <w:pPr>
              <w:spacing w:after="100"/>
              <w:rPr>
                <w:rFonts w:eastAsia="Times New Roman"/>
              </w:rPr>
            </w:pPr>
            <w:r>
              <w:rPr>
                <w:rFonts w:eastAsia="Times New Roman"/>
                <w:color w:val="000000"/>
                <w:sz w:val="18"/>
                <w:szCs w:val="18"/>
              </w:rPr>
              <w:t>Operating loss</w:t>
            </w:r>
          </w:p>
        </w:tc>
        <w:tc>
          <w:tcPr>
            <w:tcW w:w="0" w:type="auto"/>
            <w:gridSpan w:val="3"/>
            <w:shd w:val="clear" w:color="auto" w:fill="CCEEFF"/>
            <w:tcMar>
              <w:top w:w="0" w:type="dxa"/>
              <w:left w:w="20" w:type="dxa"/>
              <w:bottom w:w="0" w:type="dxa"/>
              <w:right w:w="20" w:type="dxa"/>
            </w:tcMar>
            <w:vAlign w:val="center"/>
            <w:hideMark/>
          </w:tcPr>
          <w:p w14:paraId="052ED829"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127596F" w14:textId="77777777" w:rsidR="00000000" w:rsidRDefault="000C49AD">
            <w:pPr>
              <w:spacing w:after="100"/>
              <w:jc w:val="right"/>
              <w:rPr>
                <w:rFonts w:eastAsia="Times New Roman"/>
              </w:rPr>
            </w:pPr>
            <w:r>
              <w:rPr>
                <w:rFonts w:eastAsia="Times New Roman"/>
                <w:color w:val="000000"/>
                <w:sz w:val="18"/>
                <w:szCs w:val="18"/>
              </w:rPr>
              <w:t>(24,112)</w:t>
            </w:r>
          </w:p>
        </w:tc>
        <w:tc>
          <w:tcPr>
            <w:tcW w:w="0" w:type="auto"/>
            <w:shd w:val="clear" w:color="auto" w:fill="CCEEFF"/>
            <w:tcMar>
              <w:top w:w="30" w:type="dxa"/>
              <w:left w:w="0" w:type="dxa"/>
              <w:bottom w:w="30" w:type="dxa"/>
              <w:right w:w="20" w:type="dxa"/>
            </w:tcMar>
            <w:vAlign w:val="bottom"/>
            <w:hideMark/>
          </w:tcPr>
          <w:p w14:paraId="0D9EEE8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1D75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1DCDDD" w14:textId="77777777" w:rsidR="00000000" w:rsidRDefault="000C49AD">
            <w:pPr>
              <w:spacing w:after="100"/>
              <w:jc w:val="right"/>
              <w:rPr>
                <w:rFonts w:eastAsia="Times New Roman"/>
              </w:rPr>
            </w:pPr>
            <w:r>
              <w:rPr>
                <w:rFonts w:eastAsia="Times New Roman"/>
                <w:color w:val="000000"/>
                <w:sz w:val="18"/>
                <w:szCs w:val="18"/>
              </w:rPr>
              <w:t>(</w:t>
            </w:r>
            <w:r>
              <w:rPr>
                <w:rFonts w:eastAsia="Times New Roman"/>
                <w:color w:val="000000"/>
                <w:sz w:val="18"/>
                <w:szCs w:val="18"/>
              </w:rPr>
              <w:t>43,181)</w:t>
            </w:r>
          </w:p>
        </w:tc>
        <w:tc>
          <w:tcPr>
            <w:tcW w:w="0" w:type="auto"/>
            <w:shd w:val="clear" w:color="auto" w:fill="CCEEFF"/>
            <w:tcMar>
              <w:top w:w="30" w:type="dxa"/>
              <w:left w:w="0" w:type="dxa"/>
              <w:bottom w:w="30" w:type="dxa"/>
              <w:right w:w="20" w:type="dxa"/>
            </w:tcMar>
            <w:vAlign w:val="bottom"/>
            <w:hideMark/>
          </w:tcPr>
          <w:p w14:paraId="066F5AC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B10D5" w14:textId="77777777" w:rsidR="00000000" w:rsidRDefault="000C49A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C1BB95"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4614E0" w14:textId="77777777" w:rsidR="00000000" w:rsidRDefault="000C49A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9BB5BC" w14:textId="77777777" w:rsidR="00000000" w:rsidRDefault="000C49AD">
            <w:pPr>
              <w:spacing w:after="100"/>
              <w:jc w:val="right"/>
              <w:rPr>
                <w:rFonts w:eastAsia="Times New Roman"/>
              </w:rPr>
            </w:pPr>
            <w:r>
              <w:rPr>
                <w:rFonts w:eastAsia="Times New Roman"/>
                <w:color w:val="000000"/>
                <w:sz w:val="18"/>
                <w:szCs w:val="18"/>
              </w:rPr>
              <w:t>(67,293)</w:t>
            </w:r>
          </w:p>
        </w:tc>
        <w:tc>
          <w:tcPr>
            <w:tcW w:w="0" w:type="auto"/>
            <w:shd w:val="clear" w:color="auto" w:fill="CCEEFF"/>
            <w:tcMar>
              <w:top w:w="30" w:type="dxa"/>
              <w:left w:w="0" w:type="dxa"/>
              <w:bottom w:w="30" w:type="dxa"/>
              <w:right w:w="20" w:type="dxa"/>
            </w:tcMar>
            <w:vAlign w:val="bottom"/>
            <w:hideMark/>
          </w:tcPr>
          <w:p w14:paraId="5497B78D" w14:textId="77777777" w:rsidR="00000000" w:rsidRDefault="000C49AD">
            <w:pPr>
              <w:spacing w:after="100"/>
              <w:jc w:val="right"/>
              <w:rPr>
                <w:rFonts w:eastAsia="Times New Roman"/>
              </w:rPr>
            </w:pPr>
          </w:p>
        </w:tc>
      </w:tr>
      <w:tr w:rsidR="00000000" w14:paraId="5583ED52" w14:textId="77777777">
        <w:tc>
          <w:tcPr>
            <w:tcW w:w="0" w:type="auto"/>
            <w:gridSpan w:val="3"/>
            <w:shd w:val="clear" w:color="auto" w:fill="FFFFFF"/>
            <w:tcMar>
              <w:top w:w="30" w:type="dxa"/>
              <w:left w:w="155" w:type="dxa"/>
              <w:bottom w:w="30" w:type="dxa"/>
              <w:right w:w="20" w:type="dxa"/>
            </w:tcMar>
            <w:vAlign w:val="bottom"/>
            <w:hideMark/>
          </w:tcPr>
          <w:p w14:paraId="77EBB518" w14:textId="77777777" w:rsidR="00000000" w:rsidRDefault="000C49AD">
            <w:pPr>
              <w:spacing w:after="100"/>
              <w:rPr>
                <w:rFonts w:eastAsia="Times New Roman"/>
              </w:rPr>
            </w:pPr>
            <w:r>
              <w:rPr>
                <w:rFonts w:eastAsia="Times New Roman"/>
                <w:color w:val="000000"/>
                <w:sz w:val="18"/>
                <w:szCs w:val="18"/>
              </w:rPr>
              <w:t>Loss before income taxes</w:t>
            </w:r>
          </w:p>
        </w:tc>
        <w:tc>
          <w:tcPr>
            <w:tcW w:w="0" w:type="auto"/>
            <w:gridSpan w:val="3"/>
            <w:shd w:val="clear" w:color="auto" w:fill="FFFFFF"/>
            <w:tcMar>
              <w:top w:w="0" w:type="dxa"/>
              <w:left w:w="20" w:type="dxa"/>
              <w:bottom w:w="0" w:type="dxa"/>
              <w:right w:w="20" w:type="dxa"/>
            </w:tcMar>
            <w:vAlign w:val="center"/>
            <w:hideMark/>
          </w:tcPr>
          <w:p w14:paraId="288F4D1C" w14:textId="77777777" w:rsidR="00000000" w:rsidRDefault="000C49A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C8DFA8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DD0A7DF" w14:textId="77777777" w:rsidR="00000000" w:rsidRDefault="000C49AD">
            <w:pPr>
              <w:spacing w:after="100"/>
              <w:jc w:val="right"/>
              <w:rPr>
                <w:rFonts w:eastAsia="Times New Roman"/>
              </w:rPr>
            </w:pPr>
            <w:r>
              <w:rPr>
                <w:rFonts w:eastAsia="Times New Roman"/>
                <w:color w:val="000000"/>
                <w:sz w:val="18"/>
                <w:szCs w:val="18"/>
              </w:rPr>
              <w:t>(38,582)</w:t>
            </w:r>
          </w:p>
        </w:tc>
        <w:tc>
          <w:tcPr>
            <w:tcW w:w="0" w:type="auto"/>
            <w:shd w:val="clear" w:color="auto" w:fill="FFFFFF"/>
            <w:tcMar>
              <w:top w:w="30" w:type="dxa"/>
              <w:left w:w="0" w:type="dxa"/>
              <w:bottom w:w="30" w:type="dxa"/>
              <w:right w:w="20" w:type="dxa"/>
            </w:tcMar>
            <w:vAlign w:val="bottom"/>
            <w:hideMark/>
          </w:tcPr>
          <w:p w14:paraId="18C4CA8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9AD045"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E34D37C"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BA235E2" w14:textId="77777777" w:rsidR="00000000" w:rsidRDefault="000C49AD">
            <w:pPr>
              <w:spacing w:after="100"/>
              <w:jc w:val="right"/>
              <w:rPr>
                <w:rFonts w:eastAsia="Times New Roman"/>
              </w:rPr>
            </w:pPr>
            <w:r>
              <w:rPr>
                <w:rFonts w:eastAsia="Times New Roman"/>
                <w:color w:val="000000"/>
                <w:sz w:val="18"/>
                <w:szCs w:val="18"/>
              </w:rPr>
              <w:t>(42,803)</w:t>
            </w:r>
          </w:p>
        </w:tc>
        <w:tc>
          <w:tcPr>
            <w:tcW w:w="0" w:type="auto"/>
            <w:shd w:val="clear" w:color="auto" w:fill="FFFFFF"/>
            <w:tcMar>
              <w:top w:w="30" w:type="dxa"/>
              <w:left w:w="0" w:type="dxa"/>
              <w:bottom w:w="30" w:type="dxa"/>
              <w:right w:w="20" w:type="dxa"/>
            </w:tcMar>
            <w:vAlign w:val="bottom"/>
            <w:hideMark/>
          </w:tcPr>
          <w:p w14:paraId="08F9DFE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0FF26A" w14:textId="77777777" w:rsidR="00000000" w:rsidRDefault="000C49A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FD3C79D" w14:textId="77777777" w:rsidR="00000000" w:rsidRDefault="000C49AD">
            <w:pPr>
              <w:spacing w:after="100"/>
              <w:jc w:val="center"/>
              <w:rPr>
                <w:rFonts w:eastAsia="Times New Roman"/>
              </w:rPr>
            </w:pPr>
            <w:r>
              <w:rPr>
                <w:rFonts w:eastAsia="Times New Roman"/>
                <w:color w:val="000000"/>
                <w:sz w:val="18"/>
                <w:szCs w:val="18"/>
              </w:rPr>
              <w:t>(e)</w:t>
            </w:r>
          </w:p>
        </w:tc>
        <w:tc>
          <w:tcPr>
            <w:tcW w:w="0" w:type="auto"/>
            <w:gridSpan w:val="3"/>
            <w:shd w:val="clear" w:color="auto" w:fill="FFFFFF"/>
            <w:tcMar>
              <w:top w:w="0" w:type="dxa"/>
              <w:left w:w="20" w:type="dxa"/>
              <w:bottom w:w="0" w:type="dxa"/>
              <w:right w:w="20" w:type="dxa"/>
            </w:tcMar>
            <w:vAlign w:val="center"/>
            <w:hideMark/>
          </w:tcPr>
          <w:p w14:paraId="7A9DBCA8" w14:textId="77777777" w:rsidR="00000000" w:rsidRDefault="000C49AD">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14:paraId="105B652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D446735" w14:textId="77777777" w:rsidR="00000000" w:rsidRDefault="000C49AD">
            <w:pPr>
              <w:spacing w:after="100"/>
              <w:jc w:val="right"/>
              <w:rPr>
                <w:rFonts w:eastAsia="Times New Roman"/>
              </w:rPr>
            </w:pPr>
            <w:r>
              <w:rPr>
                <w:rFonts w:eastAsia="Times New Roman"/>
                <w:color w:val="000000"/>
                <w:sz w:val="18"/>
                <w:szCs w:val="18"/>
              </w:rPr>
              <w:t>(81,385)</w:t>
            </w:r>
          </w:p>
        </w:tc>
        <w:tc>
          <w:tcPr>
            <w:tcW w:w="0" w:type="auto"/>
            <w:shd w:val="clear" w:color="auto" w:fill="FFFFFF"/>
            <w:tcMar>
              <w:top w:w="30" w:type="dxa"/>
              <w:left w:w="0" w:type="dxa"/>
              <w:bottom w:w="30" w:type="dxa"/>
              <w:right w:w="20" w:type="dxa"/>
            </w:tcMar>
            <w:vAlign w:val="bottom"/>
            <w:hideMark/>
          </w:tcPr>
          <w:p w14:paraId="64380E27" w14:textId="77777777" w:rsidR="00000000" w:rsidRDefault="000C49AD">
            <w:pPr>
              <w:spacing w:after="100"/>
              <w:jc w:val="right"/>
              <w:rPr>
                <w:rFonts w:eastAsia="Times New Roman"/>
              </w:rPr>
            </w:pPr>
          </w:p>
        </w:tc>
      </w:tr>
    </w:tbl>
    <w:p w14:paraId="413445FF" w14:textId="77777777" w:rsidR="00000000" w:rsidRDefault="000C49AD">
      <w:pPr>
        <w:jc w:val="both"/>
        <w:rPr>
          <w:rFonts w:eastAsia="Times New Roman"/>
        </w:rPr>
      </w:pPr>
    </w:p>
    <w:p w14:paraId="0D6E0DFF" w14:textId="77777777" w:rsidR="00000000" w:rsidRDefault="000C49AD">
      <w:pPr>
        <w:jc w:val="both"/>
        <w:rPr>
          <w:rFonts w:eastAsia="Times New Roman"/>
        </w:rPr>
      </w:pPr>
      <w:r>
        <w:rPr>
          <w:rFonts w:eastAsia="Times New Roman"/>
          <w:b/>
          <w:bCs/>
          <w:i/>
          <w:iCs/>
          <w:color w:val="000000"/>
          <w:sz w:val="20"/>
          <w:szCs w:val="20"/>
        </w:rPr>
        <w:t>Adjustments to the pro forma unaudited condensed combined statements of (loss) income</w:t>
      </w:r>
    </w:p>
    <w:p w14:paraId="521BB89E" w14:textId="77777777" w:rsidR="00000000" w:rsidRDefault="000C49AD">
      <w:pPr>
        <w:divId w:val="716048700"/>
        <w:rPr>
          <w:rFonts w:eastAsia="Times New Roman"/>
        </w:rPr>
      </w:pPr>
    </w:p>
    <w:p w14:paraId="0C865C18" w14:textId="77777777" w:rsidR="00000000" w:rsidRDefault="000C49AD">
      <w:pPr>
        <w:jc w:val="both"/>
        <w:rPr>
          <w:rFonts w:eastAsia="Times New Roman"/>
        </w:rPr>
      </w:pPr>
      <w:r>
        <w:rPr>
          <w:rFonts w:eastAsia="Times New Roman"/>
          <w:color w:val="000000"/>
          <w:sz w:val="20"/>
          <w:szCs w:val="20"/>
        </w:rPr>
        <w:t>(a) This adjustment reflects Product sales attributable to the Hospital Products.</w:t>
      </w:r>
    </w:p>
    <w:p w14:paraId="1987BE44" w14:textId="77777777" w:rsidR="00000000" w:rsidRDefault="000C49AD">
      <w:pPr>
        <w:jc w:val="both"/>
        <w:rPr>
          <w:rFonts w:eastAsia="Times New Roman"/>
        </w:rPr>
      </w:pPr>
    </w:p>
    <w:p w14:paraId="079AFD5D" w14:textId="77777777" w:rsidR="00000000" w:rsidRDefault="000C49AD">
      <w:pPr>
        <w:jc w:val="both"/>
        <w:rPr>
          <w:rFonts w:eastAsia="Times New Roman"/>
        </w:rPr>
      </w:pPr>
      <w:r>
        <w:rPr>
          <w:rFonts w:eastAsia="Times New Roman"/>
          <w:color w:val="000000"/>
          <w:sz w:val="20"/>
          <w:szCs w:val="20"/>
        </w:rPr>
        <w:t>(b) This adjustment reflects the following estimated expenses attributable to the Hospital Products:</w:t>
      </w:r>
    </w:p>
    <w:p w14:paraId="5FF69746" w14:textId="77777777" w:rsidR="00000000" w:rsidRDefault="000C49AD">
      <w:pPr>
        <w:jc w:val="both"/>
        <w:rPr>
          <w:rFonts w:eastAsia="Times New Roman"/>
        </w:rPr>
      </w:pPr>
    </w:p>
    <w:p w14:paraId="12164501" w14:textId="77777777" w:rsidR="00000000" w:rsidRDefault="000C49AD">
      <w:pPr>
        <w:ind w:hanging="360"/>
        <w:jc w:val="both"/>
        <w:rPr>
          <w:rFonts w:eastAsia="Times New Roman"/>
        </w:rPr>
      </w:pPr>
      <w:r>
        <w:rPr>
          <w:rFonts w:eastAsia="Times New Roman"/>
          <w:color w:val="000000"/>
          <w:sz w:val="20"/>
          <w:szCs w:val="20"/>
        </w:rPr>
        <w:t>•Cost of products of $3,540.</w:t>
      </w:r>
    </w:p>
    <w:p w14:paraId="7B61F267" w14:textId="77777777" w:rsidR="00000000" w:rsidRDefault="000C49AD">
      <w:pPr>
        <w:ind w:hanging="360"/>
        <w:jc w:val="both"/>
        <w:rPr>
          <w:rFonts w:eastAsia="Times New Roman"/>
        </w:rPr>
      </w:pPr>
      <w:r>
        <w:rPr>
          <w:rFonts w:eastAsia="Times New Roman"/>
          <w:color w:val="000000"/>
          <w:sz w:val="20"/>
          <w:szCs w:val="20"/>
        </w:rPr>
        <w:t>•R&amp;D expenses of $322.</w:t>
      </w:r>
    </w:p>
    <w:p w14:paraId="779D5EB6" w14:textId="77777777" w:rsidR="00000000" w:rsidRDefault="000C49AD">
      <w:pPr>
        <w:ind w:hanging="360"/>
        <w:jc w:val="both"/>
        <w:rPr>
          <w:rFonts w:eastAsia="Times New Roman"/>
        </w:rPr>
      </w:pPr>
      <w:r>
        <w:rPr>
          <w:rFonts w:eastAsia="Times New Roman"/>
          <w:color w:val="000000"/>
          <w:sz w:val="20"/>
          <w:szCs w:val="20"/>
        </w:rPr>
        <w:t>•Selling, general</w:t>
      </w:r>
      <w:r>
        <w:rPr>
          <w:rFonts w:eastAsia="Times New Roman"/>
          <w:color w:val="000000"/>
          <w:sz w:val="20"/>
          <w:szCs w:val="20"/>
        </w:rPr>
        <w:t xml:space="preserve"> and administrative expenses of $797.</w:t>
      </w:r>
    </w:p>
    <w:p w14:paraId="6B4771B6" w14:textId="77777777" w:rsidR="00000000" w:rsidRDefault="000C49AD">
      <w:pPr>
        <w:ind w:hanging="360"/>
        <w:jc w:val="both"/>
        <w:rPr>
          <w:rFonts w:eastAsia="Times New Roman"/>
        </w:rPr>
      </w:pPr>
      <w:r>
        <w:rPr>
          <w:rFonts w:eastAsia="Times New Roman"/>
          <w:color w:val="000000"/>
          <w:sz w:val="20"/>
          <w:szCs w:val="20"/>
        </w:rPr>
        <w:t>•Intangible asset amortization on acquired development technology for Vazculep of $406.</w:t>
      </w:r>
    </w:p>
    <w:p w14:paraId="2EE24E3A" w14:textId="77777777" w:rsidR="00000000" w:rsidRDefault="000C49AD">
      <w:pPr>
        <w:jc w:val="center"/>
        <w:divId w:val="1369188114"/>
        <w:rPr>
          <w:rFonts w:eastAsia="Times New Roman"/>
        </w:rPr>
      </w:pPr>
      <w:r>
        <w:rPr>
          <w:rFonts w:eastAsia="Times New Roman"/>
          <w:color w:val="000000"/>
          <w:sz w:val="20"/>
          <w:szCs w:val="20"/>
        </w:rPr>
        <w:t>-84-</w:t>
      </w:r>
    </w:p>
    <w:p w14:paraId="3ADFCB55" w14:textId="77777777" w:rsidR="00000000" w:rsidRDefault="000C49AD">
      <w:pPr>
        <w:rPr>
          <w:rFonts w:eastAsia="Times New Roman"/>
        </w:rPr>
      </w:pPr>
      <w:r>
        <w:rPr>
          <w:rFonts w:eastAsia="Times New Roman"/>
        </w:rPr>
        <w:pict w14:anchorId="4E779D49">
          <v:rect id="_x0000_i1109" style="width:0;height:1.5pt" o:hralign="center" o:hrstd="t" o:hr="t" fillcolor="#a0a0a0" stroked="f"/>
        </w:pict>
      </w:r>
    </w:p>
    <w:p w14:paraId="36884190" w14:textId="77777777" w:rsidR="00000000" w:rsidRDefault="000C49AD">
      <w:pPr>
        <w:divId w:val="528684399"/>
        <w:rPr>
          <w:rFonts w:eastAsia="Times New Roman"/>
        </w:rPr>
      </w:pPr>
    </w:p>
    <w:p w14:paraId="2448084E" w14:textId="77777777" w:rsidR="00000000" w:rsidRDefault="000C49AD">
      <w:pPr>
        <w:ind w:hanging="360"/>
        <w:jc w:val="both"/>
        <w:rPr>
          <w:rFonts w:eastAsia="Times New Roman"/>
        </w:rPr>
      </w:pPr>
      <w:r>
        <w:rPr>
          <w:rFonts w:eastAsia="Times New Roman"/>
          <w:color w:val="000000"/>
          <w:sz w:val="20"/>
          <w:szCs w:val="20"/>
        </w:rPr>
        <w:t>•Changes in fair value of related party contingent consideration of $3,327. The Compan</w:t>
      </w:r>
      <w:r>
        <w:rPr>
          <w:rFonts w:eastAsia="Times New Roman"/>
          <w:color w:val="000000"/>
          <w:sz w:val="20"/>
          <w:szCs w:val="20"/>
        </w:rPr>
        <w:t>y will no longer be responsible for these payments.</w:t>
      </w:r>
    </w:p>
    <w:p w14:paraId="7A736DC0" w14:textId="77777777" w:rsidR="00000000" w:rsidRDefault="000C49AD">
      <w:pPr>
        <w:jc w:val="both"/>
        <w:rPr>
          <w:rFonts w:eastAsia="Times New Roman"/>
        </w:rPr>
      </w:pPr>
    </w:p>
    <w:p w14:paraId="394661A7" w14:textId="77777777" w:rsidR="00000000" w:rsidRDefault="000C49AD">
      <w:pPr>
        <w:jc w:val="both"/>
        <w:rPr>
          <w:rFonts w:eastAsia="Times New Roman"/>
        </w:rPr>
      </w:pPr>
      <w:r>
        <w:rPr>
          <w:rFonts w:eastAsia="Times New Roman"/>
          <w:color w:val="000000"/>
          <w:sz w:val="20"/>
          <w:szCs w:val="20"/>
        </w:rPr>
        <w:t>(c) This amount reflects the adjustments noted in (a) and (b) above, as well as estimated Changes in fair value of related party payable of $435 attributable to the Hospital Products. The Company will n</w:t>
      </w:r>
      <w:r>
        <w:rPr>
          <w:rFonts w:eastAsia="Times New Roman"/>
          <w:color w:val="000000"/>
          <w:sz w:val="20"/>
          <w:szCs w:val="20"/>
        </w:rPr>
        <w:t>o longer be responsible for these payments.</w:t>
      </w:r>
    </w:p>
    <w:p w14:paraId="5C1D03BB" w14:textId="77777777" w:rsidR="00000000" w:rsidRDefault="000C49AD">
      <w:pPr>
        <w:jc w:val="both"/>
        <w:rPr>
          <w:rFonts w:eastAsia="Times New Roman"/>
        </w:rPr>
      </w:pPr>
    </w:p>
    <w:p w14:paraId="60250263" w14:textId="77777777" w:rsidR="00000000" w:rsidRDefault="000C49AD">
      <w:pPr>
        <w:jc w:val="both"/>
        <w:rPr>
          <w:rFonts w:eastAsia="Times New Roman"/>
        </w:rPr>
      </w:pPr>
      <w:r>
        <w:rPr>
          <w:rFonts w:eastAsia="Times New Roman"/>
          <w:color w:val="000000"/>
          <w:sz w:val="20"/>
          <w:szCs w:val="20"/>
        </w:rPr>
        <w:t>(d) This adjustment reflects the following estimated expenses attributable to the Hospital Products:</w:t>
      </w:r>
    </w:p>
    <w:p w14:paraId="06D9678F" w14:textId="77777777" w:rsidR="00000000" w:rsidRDefault="000C49AD">
      <w:pPr>
        <w:jc w:val="both"/>
        <w:rPr>
          <w:rFonts w:eastAsia="Times New Roman"/>
        </w:rPr>
      </w:pPr>
    </w:p>
    <w:p w14:paraId="5D669963" w14:textId="77777777" w:rsidR="00000000" w:rsidRDefault="000C49AD">
      <w:pPr>
        <w:ind w:hanging="360"/>
        <w:jc w:val="both"/>
        <w:rPr>
          <w:rFonts w:eastAsia="Times New Roman"/>
        </w:rPr>
      </w:pPr>
      <w:r>
        <w:rPr>
          <w:rFonts w:eastAsia="Times New Roman"/>
          <w:color w:val="000000"/>
          <w:sz w:val="20"/>
          <w:szCs w:val="20"/>
        </w:rPr>
        <w:t>•Cost of products of $11,368.</w:t>
      </w:r>
    </w:p>
    <w:p w14:paraId="44174CE5" w14:textId="77777777" w:rsidR="00000000" w:rsidRDefault="000C49AD">
      <w:pPr>
        <w:ind w:hanging="360"/>
        <w:jc w:val="both"/>
        <w:rPr>
          <w:rFonts w:eastAsia="Times New Roman"/>
        </w:rPr>
      </w:pPr>
      <w:r>
        <w:rPr>
          <w:rFonts w:eastAsia="Times New Roman"/>
          <w:color w:val="000000"/>
          <w:sz w:val="20"/>
          <w:szCs w:val="20"/>
        </w:rPr>
        <w:t>•R&amp;D expenses of $1,960.</w:t>
      </w:r>
    </w:p>
    <w:p w14:paraId="4CEDD68A" w14:textId="77777777" w:rsidR="00000000" w:rsidRDefault="000C49AD">
      <w:pPr>
        <w:ind w:hanging="360"/>
        <w:jc w:val="both"/>
        <w:rPr>
          <w:rFonts w:eastAsia="Times New Roman"/>
        </w:rPr>
      </w:pPr>
      <w:r>
        <w:rPr>
          <w:rFonts w:eastAsia="Times New Roman"/>
          <w:color w:val="000000"/>
          <w:sz w:val="20"/>
          <w:szCs w:val="20"/>
        </w:rPr>
        <w:t>•Selling, general and administrative expenses of $1,</w:t>
      </w:r>
      <w:r>
        <w:rPr>
          <w:rFonts w:eastAsia="Times New Roman"/>
          <w:color w:val="000000"/>
          <w:sz w:val="20"/>
          <w:szCs w:val="20"/>
        </w:rPr>
        <w:t>102.</w:t>
      </w:r>
    </w:p>
    <w:p w14:paraId="5B4C54CE" w14:textId="77777777" w:rsidR="00000000" w:rsidRDefault="000C49AD">
      <w:pPr>
        <w:ind w:hanging="360"/>
        <w:jc w:val="both"/>
        <w:rPr>
          <w:rFonts w:eastAsia="Times New Roman"/>
        </w:rPr>
      </w:pPr>
      <w:r>
        <w:rPr>
          <w:rFonts w:eastAsia="Times New Roman"/>
          <w:color w:val="000000"/>
          <w:sz w:val="20"/>
          <w:szCs w:val="20"/>
        </w:rPr>
        <w:t>•Intangible asset amortization on acquired development technology for Vazculep of $816.</w:t>
      </w:r>
    </w:p>
    <w:p w14:paraId="1A5E5986" w14:textId="77777777" w:rsidR="00000000" w:rsidRDefault="000C49AD">
      <w:pPr>
        <w:ind w:hanging="360"/>
        <w:jc w:val="both"/>
        <w:rPr>
          <w:rFonts w:eastAsia="Times New Roman"/>
        </w:rPr>
      </w:pPr>
      <w:r>
        <w:rPr>
          <w:rFonts w:eastAsia="Times New Roman"/>
          <w:color w:val="000000"/>
          <w:sz w:val="20"/>
          <w:szCs w:val="20"/>
        </w:rPr>
        <w:t>•Changes in fair value of related party contingent consideration of $845. The Company will no longer be responsible for these payments.</w:t>
      </w:r>
    </w:p>
    <w:p w14:paraId="309D38BB" w14:textId="77777777" w:rsidR="00000000" w:rsidRDefault="000C49AD">
      <w:pPr>
        <w:jc w:val="both"/>
        <w:rPr>
          <w:rFonts w:eastAsia="Times New Roman"/>
        </w:rPr>
      </w:pPr>
    </w:p>
    <w:p w14:paraId="1A96299D" w14:textId="77777777" w:rsidR="00000000" w:rsidRDefault="000C49AD">
      <w:pPr>
        <w:jc w:val="both"/>
        <w:rPr>
          <w:rFonts w:eastAsia="Times New Roman"/>
        </w:rPr>
      </w:pPr>
      <w:r>
        <w:rPr>
          <w:rFonts w:eastAsia="Times New Roman"/>
          <w:color w:val="000000"/>
          <w:sz w:val="20"/>
          <w:szCs w:val="20"/>
        </w:rPr>
        <w:t xml:space="preserve">(e) This amount reflects </w:t>
      </w:r>
      <w:r>
        <w:rPr>
          <w:rFonts w:eastAsia="Times New Roman"/>
          <w:color w:val="000000"/>
          <w:sz w:val="20"/>
          <w:szCs w:val="20"/>
        </w:rPr>
        <w:t>the adjustments noted in (a) and (d) above, as well as the reversal of estimated Changes in fair value of related party payable of $378 attributable to the Hospital Products. The Company will no longer be responsible for these payments.</w:t>
      </w:r>
    </w:p>
    <w:p w14:paraId="0DC7310C" w14:textId="77777777" w:rsidR="00000000" w:rsidRDefault="000C49AD">
      <w:pPr>
        <w:jc w:val="both"/>
        <w:rPr>
          <w:rFonts w:eastAsia="Times New Roman"/>
        </w:rPr>
      </w:pPr>
    </w:p>
    <w:p w14:paraId="2DB15800" w14:textId="77777777" w:rsidR="00000000" w:rsidRDefault="000C49AD">
      <w:pPr>
        <w:jc w:val="both"/>
        <w:divId w:val="1067729169"/>
        <w:rPr>
          <w:rFonts w:eastAsia="Times New Roman"/>
        </w:rPr>
      </w:pPr>
      <w:r>
        <w:rPr>
          <w:rFonts w:eastAsia="Times New Roman"/>
          <w:b/>
          <w:bCs/>
          <w:color w:val="000000"/>
          <w:sz w:val="20"/>
          <w:szCs w:val="20"/>
        </w:rPr>
        <w:t xml:space="preserve">NOTE 5: </w:t>
      </w:r>
      <w:r>
        <w:rPr>
          <w:rFonts w:eastAsia="Times New Roman"/>
          <w:b/>
          <w:bCs/>
          <w:color w:val="000000"/>
          <w:sz w:val="20"/>
          <w:szCs w:val="20"/>
        </w:rPr>
        <w:t xml:space="preserve">Revenue Recognition </w:t>
      </w:r>
    </w:p>
    <w:p w14:paraId="0789CC26" w14:textId="77777777" w:rsidR="00000000" w:rsidRDefault="000C49AD">
      <w:pPr>
        <w:jc w:val="both"/>
        <w:rPr>
          <w:rFonts w:eastAsia="Times New Roman"/>
        </w:rPr>
      </w:pPr>
      <w:r>
        <w:rPr>
          <w:rFonts w:eastAsia="Times New Roman"/>
          <w:color w:val="000000"/>
          <w:sz w:val="20"/>
          <w:szCs w:val="20"/>
        </w:rPr>
        <w:t xml:space="preserve">Prior to June 30, 2020, the Company generated revenue primarily from the sale of pharmaceutical products to customers. On June 30, 2020, the Company sold the Hospital Products. See </w:t>
      </w:r>
      <w:r>
        <w:rPr>
          <w:rFonts w:eastAsia="Times New Roman"/>
          <w:i/>
          <w:iCs/>
          <w:color w:val="000000"/>
          <w:sz w:val="20"/>
          <w:szCs w:val="20"/>
        </w:rPr>
        <w:t>Note 4: Disposition of the Hospital Products</w:t>
      </w:r>
      <w:r>
        <w:rPr>
          <w:rFonts w:eastAsia="Times New Roman"/>
          <w:color w:val="000000"/>
          <w:sz w:val="20"/>
          <w:szCs w:val="20"/>
        </w:rPr>
        <w:t>.</w:t>
      </w:r>
    </w:p>
    <w:p w14:paraId="4C69809B" w14:textId="77777777" w:rsidR="00000000" w:rsidRDefault="000C49AD">
      <w:pPr>
        <w:jc w:val="both"/>
        <w:rPr>
          <w:rFonts w:eastAsia="Times New Roman"/>
        </w:rPr>
      </w:pPr>
    </w:p>
    <w:p w14:paraId="067799FF" w14:textId="77777777" w:rsidR="00000000" w:rsidRDefault="000C49AD">
      <w:pPr>
        <w:jc w:val="both"/>
        <w:rPr>
          <w:rFonts w:eastAsia="Times New Roman"/>
        </w:rPr>
      </w:pPr>
      <w:r>
        <w:rPr>
          <w:rFonts w:eastAsia="Times New Roman"/>
          <w:b/>
          <w:bCs/>
          <w:i/>
          <w:iCs/>
          <w:color w:val="000000"/>
          <w:sz w:val="20"/>
          <w:szCs w:val="20"/>
        </w:rPr>
        <w:t>Produc</w:t>
      </w:r>
      <w:r>
        <w:rPr>
          <w:rFonts w:eastAsia="Times New Roman"/>
          <w:b/>
          <w:bCs/>
          <w:i/>
          <w:iCs/>
          <w:color w:val="000000"/>
          <w:sz w:val="20"/>
          <w:szCs w:val="20"/>
        </w:rPr>
        <w:t>t Sales and Services</w:t>
      </w:r>
    </w:p>
    <w:p w14:paraId="355B7D64" w14:textId="77777777" w:rsidR="00000000" w:rsidRDefault="000C49AD">
      <w:pPr>
        <w:jc w:val="both"/>
        <w:rPr>
          <w:rFonts w:eastAsia="Times New Roman"/>
        </w:rPr>
      </w:pPr>
    </w:p>
    <w:p w14:paraId="11E6302F" w14:textId="77777777" w:rsidR="00000000" w:rsidRDefault="000C49AD">
      <w:pPr>
        <w:jc w:val="both"/>
        <w:rPr>
          <w:rFonts w:eastAsia="Times New Roman"/>
        </w:rPr>
      </w:pPr>
      <w:r>
        <w:rPr>
          <w:rFonts w:eastAsia="Times New Roman"/>
          <w:color w:val="000000"/>
          <w:sz w:val="20"/>
          <w:szCs w:val="20"/>
        </w:rPr>
        <w:t>Prior to June 30, 2020, the Company sold products primarily through wholesalers and considered these wholesalers to be its customers. Revenue from product sales was recognized when the customer obtained control of the Company’s produ</w:t>
      </w:r>
      <w:r>
        <w:rPr>
          <w:rFonts w:eastAsia="Times New Roman"/>
          <w:color w:val="000000"/>
          <w:sz w:val="20"/>
          <w:szCs w:val="20"/>
        </w:rPr>
        <w:t xml:space="preserve">ct and its performance obligations were met, which occurred typically upon receipt of delivery to the customer. As is customary in the pharmaceutical industry, the Company’s gross product sales were subject to a variety of price adjustments in arriving at </w:t>
      </w:r>
      <w:r>
        <w:rPr>
          <w:rFonts w:eastAsia="Times New Roman"/>
          <w:color w:val="000000"/>
          <w:sz w:val="20"/>
          <w:szCs w:val="20"/>
        </w:rPr>
        <w:t>reported net product sales. These adjustments included estimates for product returns, chargebacks, payment discounts, rebates, and other sales allowances and are estimated when the product is delivered based on analysis of historical data for the product o</w:t>
      </w:r>
      <w:r>
        <w:rPr>
          <w:rFonts w:eastAsia="Times New Roman"/>
          <w:color w:val="000000"/>
          <w:sz w:val="20"/>
          <w:szCs w:val="20"/>
        </w:rPr>
        <w:t>r comparable products, as well as future expectations for such products.</w:t>
      </w:r>
    </w:p>
    <w:p w14:paraId="46D34028" w14:textId="77777777" w:rsidR="00000000" w:rsidRDefault="000C49AD">
      <w:pPr>
        <w:jc w:val="both"/>
        <w:rPr>
          <w:rFonts w:eastAsia="Times New Roman"/>
        </w:rPr>
      </w:pPr>
    </w:p>
    <w:p w14:paraId="31512A81" w14:textId="77777777" w:rsidR="00000000" w:rsidRDefault="000C49AD">
      <w:pPr>
        <w:jc w:val="both"/>
        <w:rPr>
          <w:rFonts w:eastAsia="Times New Roman"/>
        </w:rPr>
      </w:pPr>
      <w:r>
        <w:rPr>
          <w:rFonts w:eastAsia="Times New Roman"/>
          <w:i/>
          <w:iCs/>
          <w:color w:val="000000"/>
          <w:sz w:val="20"/>
          <w:szCs w:val="20"/>
        </w:rPr>
        <w:t>Reserves to reduce Gross Revenues to Net Revenues</w:t>
      </w:r>
    </w:p>
    <w:p w14:paraId="11D866E4" w14:textId="77777777" w:rsidR="00000000" w:rsidRDefault="000C49AD">
      <w:pPr>
        <w:jc w:val="both"/>
        <w:rPr>
          <w:rFonts w:eastAsia="Times New Roman"/>
        </w:rPr>
      </w:pPr>
    </w:p>
    <w:p w14:paraId="35EFEC01" w14:textId="77777777" w:rsidR="00000000" w:rsidRDefault="000C49AD">
      <w:pPr>
        <w:jc w:val="both"/>
        <w:rPr>
          <w:rFonts w:eastAsia="Times New Roman"/>
        </w:rPr>
      </w:pPr>
      <w:r>
        <w:rPr>
          <w:rFonts w:eastAsia="Times New Roman"/>
          <w:color w:val="000000"/>
          <w:sz w:val="20"/>
          <w:szCs w:val="20"/>
        </w:rPr>
        <w:t>Revenues from product sales were recorded at the net selling price, which included estimated reserves to reduce gross product sal</w:t>
      </w:r>
      <w:r>
        <w:rPr>
          <w:rFonts w:eastAsia="Times New Roman"/>
          <w:color w:val="000000"/>
          <w:sz w:val="20"/>
          <w:szCs w:val="20"/>
        </w:rPr>
        <w:t>es to net product sales resulting from product returns, chargebacks, payment discounts, rebates, and other sales allowances that are offered within contracts between the Company and its customers and end users. These reserves were based on the amounts earn</w:t>
      </w:r>
      <w:r>
        <w:rPr>
          <w:rFonts w:eastAsia="Times New Roman"/>
          <w:color w:val="000000"/>
          <w:sz w:val="20"/>
          <w:szCs w:val="20"/>
        </w:rPr>
        <w:t>ed or to be claimed on the related sales and were classified as reductions of accounts receivable if the amount was payable to the customer, except in the case of the estimated reserve for future expired product returns, which were classified as a liabilit</w:t>
      </w:r>
      <w:r>
        <w:rPr>
          <w:rFonts w:eastAsia="Times New Roman"/>
          <w:color w:val="000000"/>
          <w:sz w:val="20"/>
          <w:szCs w:val="20"/>
        </w:rPr>
        <w:t xml:space="preserve">y. The reserves were classified as a liability if the amount is payable to a party other than a customer. Where appropriate, these estimated reserves took into consideration relevant factors such as the Company’s historical experience, current contractual </w:t>
      </w:r>
      <w:r>
        <w:rPr>
          <w:rFonts w:eastAsia="Times New Roman"/>
          <w:color w:val="000000"/>
          <w:sz w:val="20"/>
          <w:szCs w:val="20"/>
        </w:rPr>
        <w:t>and statutory requirements, specific known market events and trends, industry data and forecasted customer buying and payment patterns. Overall, these reserves reflected the Company’s best estimates to reduce gross selling price to net selling price to whi</w:t>
      </w:r>
      <w:r>
        <w:rPr>
          <w:rFonts w:eastAsia="Times New Roman"/>
          <w:color w:val="000000"/>
          <w:sz w:val="20"/>
          <w:szCs w:val="20"/>
        </w:rPr>
        <w:t>ch it expected to be entitled based on the terms of its contracts. The actual selling price ultimately received may differ from the Company’s estimates.</w:t>
      </w:r>
    </w:p>
    <w:p w14:paraId="503DBE86" w14:textId="77777777" w:rsidR="00000000" w:rsidRDefault="000C49AD">
      <w:pPr>
        <w:jc w:val="both"/>
        <w:rPr>
          <w:rFonts w:eastAsia="Times New Roman"/>
        </w:rPr>
      </w:pPr>
    </w:p>
    <w:p w14:paraId="6BC3048D" w14:textId="77777777" w:rsidR="00000000" w:rsidRDefault="000C49AD">
      <w:pPr>
        <w:jc w:val="both"/>
        <w:rPr>
          <w:rFonts w:eastAsia="Times New Roman"/>
        </w:rPr>
      </w:pPr>
      <w:r>
        <w:rPr>
          <w:rFonts w:eastAsia="Times New Roman"/>
          <w:i/>
          <w:iCs/>
          <w:color w:val="000000"/>
          <w:sz w:val="20"/>
          <w:szCs w:val="20"/>
        </w:rPr>
        <w:t>Product Returns</w:t>
      </w:r>
    </w:p>
    <w:p w14:paraId="33928850" w14:textId="77777777" w:rsidR="00000000" w:rsidRDefault="000C49AD">
      <w:pPr>
        <w:jc w:val="both"/>
        <w:rPr>
          <w:rFonts w:eastAsia="Times New Roman"/>
        </w:rPr>
      </w:pPr>
    </w:p>
    <w:p w14:paraId="17843EE8" w14:textId="77777777" w:rsidR="00000000" w:rsidRDefault="000C49AD">
      <w:pPr>
        <w:jc w:val="both"/>
        <w:rPr>
          <w:rFonts w:eastAsia="Times New Roman"/>
        </w:rPr>
      </w:pPr>
      <w:r>
        <w:rPr>
          <w:rFonts w:eastAsia="Times New Roman"/>
          <w:color w:val="000000"/>
          <w:sz w:val="20"/>
          <w:szCs w:val="20"/>
        </w:rPr>
        <w:t>Consistent with industry practice, the Company maintained a returns policy that gen</w:t>
      </w:r>
      <w:r>
        <w:rPr>
          <w:rFonts w:eastAsia="Times New Roman"/>
          <w:color w:val="000000"/>
          <w:sz w:val="20"/>
          <w:szCs w:val="20"/>
        </w:rPr>
        <w:t>erally offered customers a right of return for product that has been purchased from the Company. The Company estimated the amount of product returns and records this estimate as a reduction of revenue in the period the related product revenue was recognize</w:t>
      </w:r>
      <w:r>
        <w:rPr>
          <w:rFonts w:eastAsia="Times New Roman"/>
          <w:color w:val="000000"/>
          <w:sz w:val="20"/>
          <w:szCs w:val="20"/>
        </w:rPr>
        <w:t>d. The Company estimated product return liabilities based on analysis of historical data for the product or comparable products, as well as future expectations for such products and other judgments and analysis.</w:t>
      </w:r>
    </w:p>
    <w:p w14:paraId="476DF597" w14:textId="77777777" w:rsidR="00000000" w:rsidRDefault="000C49AD">
      <w:pPr>
        <w:jc w:val="both"/>
        <w:rPr>
          <w:rFonts w:eastAsia="Times New Roman"/>
        </w:rPr>
      </w:pPr>
    </w:p>
    <w:p w14:paraId="60737B3E" w14:textId="77777777" w:rsidR="00000000" w:rsidRDefault="000C49AD">
      <w:pPr>
        <w:jc w:val="center"/>
        <w:divId w:val="1462768515"/>
        <w:rPr>
          <w:rFonts w:eastAsia="Times New Roman"/>
        </w:rPr>
      </w:pPr>
      <w:r>
        <w:rPr>
          <w:rFonts w:eastAsia="Times New Roman"/>
          <w:color w:val="000000"/>
          <w:sz w:val="20"/>
          <w:szCs w:val="20"/>
        </w:rPr>
        <w:t>-85-</w:t>
      </w:r>
    </w:p>
    <w:p w14:paraId="494BEE1D" w14:textId="77777777" w:rsidR="00000000" w:rsidRDefault="000C49AD">
      <w:pPr>
        <w:rPr>
          <w:rFonts w:eastAsia="Times New Roman"/>
        </w:rPr>
      </w:pPr>
      <w:r>
        <w:rPr>
          <w:rFonts w:eastAsia="Times New Roman"/>
        </w:rPr>
        <w:pict w14:anchorId="5DD9D920">
          <v:rect id="_x0000_i1110" style="width:0;height:1.5pt" o:hralign="center" o:hrstd="t" o:hr="t" fillcolor="#a0a0a0" stroked="f"/>
        </w:pict>
      </w:r>
    </w:p>
    <w:p w14:paraId="00FA9A4B" w14:textId="77777777" w:rsidR="00000000" w:rsidRDefault="000C49AD">
      <w:pPr>
        <w:divId w:val="1664697606"/>
        <w:rPr>
          <w:rFonts w:eastAsia="Times New Roman"/>
        </w:rPr>
      </w:pPr>
    </w:p>
    <w:p w14:paraId="28FDD4DD" w14:textId="77777777" w:rsidR="00000000" w:rsidRDefault="000C49AD">
      <w:pPr>
        <w:jc w:val="both"/>
        <w:rPr>
          <w:rFonts w:eastAsia="Times New Roman"/>
        </w:rPr>
      </w:pPr>
      <w:r>
        <w:rPr>
          <w:rFonts w:eastAsia="Times New Roman"/>
          <w:i/>
          <w:iCs/>
          <w:color w:val="000000"/>
          <w:sz w:val="20"/>
          <w:szCs w:val="20"/>
        </w:rPr>
        <w:t>Chargebacks, Discounts and Rebates</w:t>
      </w:r>
    </w:p>
    <w:p w14:paraId="2CDBDCCF" w14:textId="77777777" w:rsidR="00000000" w:rsidRDefault="000C49AD">
      <w:pPr>
        <w:jc w:val="both"/>
        <w:rPr>
          <w:rFonts w:eastAsia="Times New Roman"/>
        </w:rPr>
      </w:pPr>
    </w:p>
    <w:p w14:paraId="09B2AADC" w14:textId="77777777" w:rsidR="00000000" w:rsidRDefault="000C49AD">
      <w:pPr>
        <w:jc w:val="both"/>
        <w:rPr>
          <w:rFonts w:eastAsia="Times New Roman"/>
        </w:rPr>
      </w:pPr>
      <w:r>
        <w:rPr>
          <w:rFonts w:eastAsia="Times New Roman"/>
          <w:color w:val="000000"/>
          <w:sz w:val="20"/>
          <w:szCs w:val="20"/>
        </w:rPr>
        <w:t>Chargebacks, discounts and rebates represent the estimated obligations resulting from contractual commitments to sell products to its customers or end users at prices lower than the list prices charged to the Company’s wholesale customers. Customers charge</w:t>
      </w:r>
      <w:r>
        <w:rPr>
          <w:rFonts w:eastAsia="Times New Roman"/>
          <w:color w:val="000000"/>
          <w:sz w:val="20"/>
          <w:szCs w:val="20"/>
        </w:rPr>
        <w:t xml:space="preserve">d the Company for the difference between the gross selling price they pay for the product and the ultimate contractual price agreed to between the Company and these end users. These reserves were established in the same period that the related revenue was </w:t>
      </w:r>
      <w:r>
        <w:rPr>
          <w:rFonts w:eastAsia="Times New Roman"/>
          <w:color w:val="000000"/>
          <w:sz w:val="20"/>
          <w:szCs w:val="20"/>
        </w:rPr>
        <w:t>recognized, resulting in a reduction of product revenue and accounts receivable. Chargebacks, discounts and rebates were estimated at the time of sale to the customer.</w:t>
      </w:r>
    </w:p>
    <w:p w14:paraId="265177DA" w14:textId="77777777" w:rsidR="00000000" w:rsidRDefault="000C49AD">
      <w:pPr>
        <w:jc w:val="both"/>
        <w:rPr>
          <w:rFonts w:eastAsia="Times New Roman"/>
        </w:rPr>
      </w:pPr>
    </w:p>
    <w:p w14:paraId="1E6FB1B0" w14:textId="77777777" w:rsidR="00000000" w:rsidRDefault="000C49AD">
      <w:pPr>
        <w:jc w:val="both"/>
        <w:rPr>
          <w:rFonts w:eastAsia="Times New Roman"/>
        </w:rPr>
      </w:pPr>
      <w:r>
        <w:rPr>
          <w:rFonts w:eastAsia="Times New Roman"/>
          <w:b/>
          <w:bCs/>
          <w:i/>
          <w:iCs/>
          <w:color w:val="000000"/>
          <w:sz w:val="20"/>
          <w:szCs w:val="20"/>
        </w:rPr>
        <w:t>Disaggregation of revenue</w:t>
      </w:r>
    </w:p>
    <w:p w14:paraId="3E0073B5" w14:textId="77777777" w:rsidR="00000000" w:rsidRDefault="000C49AD">
      <w:pPr>
        <w:jc w:val="both"/>
        <w:rPr>
          <w:rFonts w:eastAsia="Times New Roman"/>
        </w:rPr>
      </w:pPr>
    </w:p>
    <w:p w14:paraId="3263C2E1" w14:textId="77777777" w:rsidR="00000000" w:rsidRDefault="000C49AD">
      <w:pPr>
        <w:jc w:val="both"/>
        <w:rPr>
          <w:rFonts w:eastAsia="Times New Roman"/>
        </w:rPr>
      </w:pPr>
      <w:r>
        <w:rPr>
          <w:rFonts w:eastAsia="Times New Roman"/>
          <w:color w:val="000000"/>
          <w:sz w:val="20"/>
          <w:szCs w:val="20"/>
        </w:rPr>
        <w:t xml:space="preserve">The Company’s primary source of revenue was from the sale </w:t>
      </w:r>
      <w:r>
        <w:rPr>
          <w:rFonts w:eastAsia="Times New Roman"/>
          <w:color w:val="000000"/>
          <w:sz w:val="20"/>
          <w:szCs w:val="20"/>
        </w:rPr>
        <w:t>of pharmaceutical products, which are equally affected by the same economic factors as it relates to the nature, amount, timing, and uncertainty of revenue and cash flows. For further detail about the Company’s revenues by product, see </w:t>
      </w:r>
      <w:r>
        <w:rPr>
          <w:rFonts w:eastAsia="Times New Roman"/>
          <w:i/>
          <w:iCs/>
          <w:color w:val="000000"/>
          <w:sz w:val="20"/>
          <w:szCs w:val="20"/>
        </w:rPr>
        <w:t>Note 21: Company Ope</w:t>
      </w:r>
      <w:r>
        <w:rPr>
          <w:rFonts w:eastAsia="Times New Roman"/>
          <w:i/>
          <w:iCs/>
          <w:color w:val="000000"/>
          <w:sz w:val="20"/>
          <w:szCs w:val="20"/>
        </w:rPr>
        <w:t xml:space="preserve">rations by Product, Customer and Geography. </w:t>
      </w:r>
    </w:p>
    <w:p w14:paraId="383804E9" w14:textId="77777777" w:rsidR="00000000" w:rsidRDefault="000C49AD">
      <w:pPr>
        <w:jc w:val="both"/>
        <w:rPr>
          <w:rFonts w:eastAsia="Times New Roman"/>
        </w:rPr>
      </w:pPr>
    </w:p>
    <w:p w14:paraId="582129F2" w14:textId="77777777" w:rsidR="00000000" w:rsidRDefault="000C49AD">
      <w:pPr>
        <w:divId w:val="1558125872"/>
        <w:rPr>
          <w:rFonts w:eastAsia="Times New Roman"/>
        </w:rPr>
      </w:pPr>
      <w:r>
        <w:rPr>
          <w:rFonts w:eastAsia="Times New Roman"/>
          <w:b/>
          <w:bCs/>
          <w:i/>
          <w:iCs/>
          <w:color w:val="000000"/>
          <w:sz w:val="20"/>
          <w:szCs w:val="20"/>
        </w:rPr>
        <w:t>Contract Balances</w:t>
      </w:r>
    </w:p>
    <w:p w14:paraId="0B5317D0" w14:textId="77777777" w:rsidR="00000000" w:rsidRDefault="000C49AD">
      <w:pPr>
        <w:jc w:val="both"/>
        <w:rPr>
          <w:rFonts w:eastAsia="Times New Roman"/>
        </w:rPr>
      </w:pPr>
    </w:p>
    <w:p w14:paraId="0DC53373" w14:textId="77777777" w:rsidR="00000000" w:rsidRDefault="000C49AD">
      <w:pPr>
        <w:jc w:val="both"/>
        <w:rPr>
          <w:rFonts w:eastAsia="Times New Roman"/>
        </w:rPr>
      </w:pPr>
      <w:r>
        <w:rPr>
          <w:rFonts w:eastAsia="Times New Roman"/>
          <w:color w:val="000000"/>
          <w:sz w:val="20"/>
          <w:szCs w:val="20"/>
        </w:rPr>
        <w:t>The Company does not recognize revenue in advance of invoicing its customers and therefore has no related contract assets.</w:t>
      </w:r>
    </w:p>
    <w:p w14:paraId="61536EAF" w14:textId="77777777" w:rsidR="00000000" w:rsidRDefault="000C49AD">
      <w:pPr>
        <w:jc w:val="both"/>
        <w:rPr>
          <w:rFonts w:eastAsia="Times New Roman"/>
        </w:rPr>
      </w:pPr>
    </w:p>
    <w:p w14:paraId="58CA1A59" w14:textId="77777777" w:rsidR="00000000" w:rsidRDefault="000C49AD">
      <w:pPr>
        <w:jc w:val="both"/>
        <w:rPr>
          <w:rFonts w:eastAsia="Times New Roman"/>
        </w:rPr>
      </w:pPr>
      <w:r>
        <w:rPr>
          <w:rFonts w:eastAsia="Times New Roman"/>
          <w:color w:val="000000"/>
          <w:sz w:val="20"/>
          <w:szCs w:val="20"/>
        </w:rPr>
        <w:t>A receivable is recognized in the period the Company sells its products and when the Company’s right to consideration is unconditio</w:t>
      </w:r>
      <w:r>
        <w:rPr>
          <w:rFonts w:eastAsia="Times New Roman"/>
          <w:color w:val="000000"/>
          <w:sz w:val="20"/>
          <w:szCs w:val="20"/>
        </w:rPr>
        <w:t xml:space="preserve">nal. </w:t>
      </w:r>
    </w:p>
    <w:p w14:paraId="5C619BF3" w14:textId="77777777" w:rsidR="00000000" w:rsidRDefault="000C49AD">
      <w:pPr>
        <w:jc w:val="both"/>
        <w:rPr>
          <w:rFonts w:eastAsia="Times New Roman"/>
        </w:rPr>
      </w:pPr>
    </w:p>
    <w:p w14:paraId="27A8AE64" w14:textId="77777777" w:rsidR="00000000" w:rsidRDefault="000C49AD">
      <w:pPr>
        <w:jc w:val="both"/>
        <w:rPr>
          <w:rFonts w:eastAsia="Times New Roman"/>
        </w:rPr>
      </w:pPr>
      <w:r>
        <w:rPr>
          <w:rFonts w:eastAsia="Times New Roman"/>
          <w:color w:val="000000"/>
          <w:sz w:val="20"/>
          <w:szCs w:val="20"/>
        </w:rPr>
        <w:t>There were no material deferred contract costs at December 31, 2021 and 2020.</w:t>
      </w:r>
    </w:p>
    <w:p w14:paraId="0D370880" w14:textId="77777777" w:rsidR="00000000" w:rsidRDefault="000C49AD">
      <w:pPr>
        <w:jc w:val="both"/>
        <w:rPr>
          <w:rFonts w:eastAsia="Times New Roman"/>
        </w:rPr>
      </w:pPr>
    </w:p>
    <w:p w14:paraId="134DC5A2" w14:textId="77777777" w:rsidR="00000000" w:rsidRDefault="000C49AD">
      <w:pPr>
        <w:jc w:val="both"/>
        <w:rPr>
          <w:rFonts w:eastAsia="Times New Roman"/>
        </w:rPr>
      </w:pPr>
      <w:r>
        <w:rPr>
          <w:rFonts w:eastAsia="Times New Roman"/>
          <w:b/>
          <w:bCs/>
          <w:i/>
          <w:iCs/>
          <w:color w:val="000000"/>
          <w:sz w:val="20"/>
          <w:szCs w:val="20"/>
        </w:rPr>
        <w:t>Transaction Price Allocated to the Remaining Performance Obligation</w:t>
      </w:r>
    </w:p>
    <w:p w14:paraId="29A394FF" w14:textId="77777777" w:rsidR="00000000" w:rsidRDefault="000C49AD">
      <w:pPr>
        <w:jc w:val="both"/>
        <w:rPr>
          <w:rFonts w:eastAsia="Times New Roman"/>
        </w:rPr>
      </w:pPr>
    </w:p>
    <w:p w14:paraId="0397B682" w14:textId="77777777" w:rsidR="00000000" w:rsidRDefault="000C49AD">
      <w:pPr>
        <w:jc w:val="both"/>
        <w:rPr>
          <w:rFonts w:eastAsia="Times New Roman"/>
        </w:rPr>
      </w:pPr>
      <w:r>
        <w:rPr>
          <w:rFonts w:eastAsia="Times New Roman"/>
          <w:color w:val="000000"/>
          <w:sz w:val="20"/>
          <w:szCs w:val="20"/>
        </w:rPr>
        <w:t>For product sales, the Company generally satisfies its performance obligations within the same per</w:t>
      </w:r>
      <w:r>
        <w:rPr>
          <w:rFonts w:eastAsia="Times New Roman"/>
          <w:color w:val="000000"/>
          <w:sz w:val="20"/>
          <w:szCs w:val="20"/>
        </w:rPr>
        <w:t xml:space="preserve">iod the product is delivered. Product sales recognized in 2020 and 2019 from performance obligations satisfied (or partially satisfied) in previous periods were immaterial. No product sales were recognized in 2021. </w:t>
      </w:r>
    </w:p>
    <w:p w14:paraId="6E4151B8" w14:textId="77777777" w:rsidR="00000000" w:rsidRDefault="000C49AD">
      <w:pPr>
        <w:jc w:val="both"/>
        <w:rPr>
          <w:rFonts w:eastAsia="Times New Roman"/>
        </w:rPr>
      </w:pPr>
    </w:p>
    <w:p w14:paraId="5AE8FE65" w14:textId="77777777" w:rsidR="00000000" w:rsidRDefault="000C49AD">
      <w:pPr>
        <w:jc w:val="both"/>
        <w:rPr>
          <w:rFonts w:eastAsia="Times New Roman"/>
        </w:rPr>
      </w:pPr>
      <w:r>
        <w:rPr>
          <w:rFonts w:eastAsia="Times New Roman"/>
          <w:color w:val="000000"/>
          <w:sz w:val="20"/>
          <w:szCs w:val="20"/>
        </w:rPr>
        <w:t>The Company has elected certain of the</w:t>
      </w:r>
      <w:r>
        <w:rPr>
          <w:rFonts w:eastAsia="Times New Roman"/>
          <w:color w:val="000000"/>
          <w:sz w:val="20"/>
          <w:szCs w:val="20"/>
        </w:rPr>
        <w:t xml:space="preserve"> practical expedients from the disclosure requirement for remaining performance obligations for specific situations in which an entity need not estimate variable consideration to recognize revenue. Accordingly, the Company applies the practical expedient i</w:t>
      </w:r>
      <w:r>
        <w:rPr>
          <w:rFonts w:eastAsia="Times New Roman"/>
          <w:color w:val="000000"/>
          <w:sz w:val="20"/>
          <w:szCs w:val="20"/>
        </w:rPr>
        <w:t>n ASC 606 to its stand-alone contracts and does not disclose information about variable consideration from remaining performance obligations for which it recognizes revenue.</w:t>
      </w:r>
    </w:p>
    <w:p w14:paraId="377460F4" w14:textId="77777777" w:rsidR="00000000" w:rsidRDefault="000C49AD">
      <w:pPr>
        <w:jc w:val="both"/>
        <w:rPr>
          <w:rFonts w:eastAsia="Times New Roman"/>
        </w:rPr>
      </w:pPr>
    </w:p>
    <w:p w14:paraId="06B83893" w14:textId="77777777" w:rsidR="00000000" w:rsidRDefault="000C49AD">
      <w:pPr>
        <w:jc w:val="both"/>
        <w:divId w:val="1173836837"/>
        <w:rPr>
          <w:rFonts w:eastAsia="Times New Roman"/>
        </w:rPr>
      </w:pPr>
      <w:r>
        <w:rPr>
          <w:rFonts w:eastAsia="Times New Roman"/>
          <w:b/>
          <w:bCs/>
          <w:color w:val="000000"/>
          <w:sz w:val="20"/>
          <w:szCs w:val="20"/>
        </w:rPr>
        <w:t>NOTE 6: Fair Value Measurements</w:t>
      </w:r>
    </w:p>
    <w:p w14:paraId="645F2143" w14:textId="77777777" w:rsidR="00000000" w:rsidRDefault="000C49AD">
      <w:pPr>
        <w:jc w:val="both"/>
        <w:rPr>
          <w:rFonts w:eastAsia="Times New Roman"/>
        </w:rPr>
      </w:pPr>
      <w:r>
        <w:rPr>
          <w:rFonts w:eastAsia="Times New Roman"/>
          <w:color w:val="000000"/>
          <w:sz w:val="20"/>
          <w:szCs w:val="20"/>
        </w:rPr>
        <w:t>The Company is required to measure certain asset</w:t>
      </w:r>
      <w:r>
        <w:rPr>
          <w:rFonts w:eastAsia="Times New Roman"/>
          <w:color w:val="000000"/>
          <w:sz w:val="20"/>
          <w:szCs w:val="20"/>
        </w:rPr>
        <w:t>s and liabilities at fair value, either upon initial recognition or for subsequent accounting or reporting. For example, the Company uses fair value extensively when accounting for and reporting certain financial instruments, when measuring certain conting</w:t>
      </w:r>
      <w:r>
        <w:rPr>
          <w:rFonts w:eastAsia="Times New Roman"/>
          <w:color w:val="000000"/>
          <w:sz w:val="20"/>
          <w:szCs w:val="20"/>
        </w:rPr>
        <w:t xml:space="preserve">ent consideration liabilities and in the initial recognition of net assets acquired in a business combination. Fair value is estimated by applying the hierarchy described below, which prioritizes the inputs used to measure fair value into three levels and </w:t>
      </w:r>
      <w:r>
        <w:rPr>
          <w:rFonts w:eastAsia="Times New Roman"/>
          <w:color w:val="000000"/>
          <w:sz w:val="20"/>
          <w:szCs w:val="20"/>
        </w:rPr>
        <w:t xml:space="preserve">bases the categorization within the hierarchy upon the lowest level of input that is available and significant to the fair value measurement. </w:t>
      </w:r>
    </w:p>
    <w:p w14:paraId="308BFA95" w14:textId="77777777" w:rsidR="00000000" w:rsidRDefault="000C49AD">
      <w:pPr>
        <w:jc w:val="both"/>
        <w:rPr>
          <w:rFonts w:eastAsia="Times New Roman"/>
        </w:rPr>
      </w:pPr>
    </w:p>
    <w:p w14:paraId="0518E78C" w14:textId="77777777" w:rsidR="00000000" w:rsidRDefault="000C49AD">
      <w:pPr>
        <w:jc w:val="both"/>
        <w:rPr>
          <w:rFonts w:eastAsia="Times New Roman"/>
        </w:rPr>
      </w:pPr>
      <w:r>
        <w:rPr>
          <w:rFonts w:eastAsia="Times New Roman"/>
          <w:color w:val="000000"/>
          <w:sz w:val="20"/>
          <w:szCs w:val="20"/>
        </w:rPr>
        <w:t xml:space="preserve">ASC 820, </w:t>
      </w:r>
      <w:r>
        <w:rPr>
          <w:rFonts w:eastAsia="Times New Roman"/>
          <w:i/>
          <w:iCs/>
          <w:color w:val="000000"/>
          <w:sz w:val="20"/>
          <w:szCs w:val="20"/>
        </w:rPr>
        <w:t>Fair Value Measurements and Disclosures</w:t>
      </w:r>
      <w:r>
        <w:rPr>
          <w:rFonts w:eastAsia="Times New Roman"/>
          <w:color w:val="000000"/>
          <w:sz w:val="20"/>
          <w:szCs w:val="20"/>
        </w:rPr>
        <w:t xml:space="preserve">, defines fair value as a market-based measurement that should </w:t>
      </w:r>
      <w:r>
        <w:rPr>
          <w:rFonts w:eastAsia="Times New Roman"/>
          <w:color w:val="000000"/>
          <w:sz w:val="20"/>
          <w:szCs w:val="20"/>
        </w:rPr>
        <w:t xml:space="preserve">be determined based on the assumptions that marketplace participants would use in pricing an asset or liability. When estimating fair value, depending on the nature and complexity of the asset or liability, the Company may generally use one or each of the </w:t>
      </w:r>
      <w:r>
        <w:rPr>
          <w:rFonts w:eastAsia="Times New Roman"/>
          <w:color w:val="000000"/>
          <w:sz w:val="20"/>
          <w:szCs w:val="20"/>
        </w:rPr>
        <w:t>following techniques: </w:t>
      </w:r>
    </w:p>
    <w:p w14:paraId="277788ED" w14:textId="77777777" w:rsidR="00000000" w:rsidRDefault="000C49AD">
      <w:pPr>
        <w:jc w:val="both"/>
        <w:rPr>
          <w:rFonts w:eastAsia="Times New Roman"/>
        </w:rPr>
      </w:pPr>
    </w:p>
    <w:p w14:paraId="2FCCC63D" w14:textId="77777777" w:rsidR="00000000" w:rsidRDefault="000C49AD">
      <w:pPr>
        <w:ind w:hanging="360"/>
        <w:jc w:val="both"/>
        <w:divId w:val="604925439"/>
        <w:rPr>
          <w:rFonts w:eastAsia="Times New Roman"/>
        </w:rPr>
      </w:pPr>
      <w:r>
        <w:rPr>
          <w:rFonts w:eastAsia="Times New Roman"/>
          <w:color w:val="000000"/>
          <w:sz w:val="20"/>
          <w:szCs w:val="20"/>
        </w:rPr>
        <w:t xml:space="preserve">•Income approach, which is based on the present value of a future stream of net cash flows. </w:t>
      </w:r>
    </w:p>
    <w:p w14:paraId="5DDDD957" w14:textId="77777777" w:rsidR="00000000" w:rsidRDefault="000C49AD">
      <w:pPr>
        <w:ind w:hanging="360"/>
        <w:jc w:val="both"/>
        <w:divId w:val="189269935"/>
        <w:rPr>
          <w:rFonts w:eastAsia="Times New Roman"/>
        </w:rPr>
      </w:pPr>
      <w:r>
        <w:rPr>
          <w:rFonts w:eastAsia="Times New Roman"/>
          <w:color w:val="000000"/>
          <w:sz w:val="20"/>
          <w:szCs w:val="20"/>
        </w:rPr>
        <w:t xml:space="preserve">•Market approach, which is based on market prices and other information from market transactions involving identical or comparable assets </w:t>
      </w:r>
      <w:r>
        <w:rPr>
          <w:rFonts w:eastAsia="Times New Roman"/>
          <w:color w:val="000000"/>
          <w:sz w:val="20"/>
          <w:szCs w:val="20"/>
        </w:rPr>
        <w:t>or liabilities.</w:t>
      </w:r>
    </w:p>
    <w:p w14:paraId="22E7CDE0" w14:textId="77777777" w:rsidR="00000000" w:rsidRDefault="000C49AD">
      <w:pPr>
        <w:jc w:val="both"/>
        <w:divId w:val="1322536499"/>
        <w:rPr>
          <w:rFonts w:eastAsia="Times New Roman"/>
        </w:rPr>
      </w:pPr>
      <w:r>
        <w:rPr>
          <w:rFonts w:eastAsia="Times New Roman"/>
          <w:color w:val="000000"/>
          <w:sz w:val="20"/>
          <w:szCs w:val="20"/>
        </w:rPr>
        <w:t>As a basis for considering the assumptions used in these techniques, the standard establishes a three-tier fair value hierarchy which prioritizes the inputs used in measuring fair value as follows:  </w:t>
      </w:r>
    </w:p>
    <w:p w14:paraId="31D1DA1A" w14:textId="77777777" w:rsidR="00000000" w:rsidRDefault="000C49AD">
      <w:pPr>
        <w:ind w:hanging="360"/>
        <w:jc w:val="both"/>
        <w:divId w:val="157383433"/>
        <w:rPr>
          <w:rFonts w:eastAsia="Times New Roman"/>
        </w:rPr>
      </w:pPr>
      <w:r>
        <w:rPr>
          <w:rFonts w:eastAsia="Times New Roman"/>
          <w:color w:val="000000"/>
          <w:sz w:val="20"/>
          <w:szCs w:val="20"/>
        </w:rPr>
        <w:t>•Level 1 - Quoted prices for identical a</w:t>
      </w:r>
      <w:r>
        <w:rPr>
          <w:rFonts w:eastAsia="Times New Roman"/>
          <w:color w:val="000000"/>
          <w:sz w:val="20"/>
          <w:szCs w:val="20"/>
        </w:rPr>
        <w:t xml:space="preserve">ssets or liabilities in active markets. </w:t>
      </w:r>
    </w:p>
    <w:p w14:paraId="5AA8D51C" w14:textId="77777777" w:rsidR="00000000" w:rsidRDefault="000C49AD">
      <w:pPr>
        <w:jc w:val="center"/>
        <w:divId w:val="735906177"/>
        <w:rPr>
          <w:rFonts w:eastAsia="Times New Roman"/>
        </w:rPr>
      </w:pPr>
      <w:r>
        <w:rPr>
          <w:rFonts w:eastAsia="Times New Roman"/>
          <w:color w:val="000000"/>
          <w:sz w:val="20"/>
          <w:szCs w:val="20"/>
        </w:rPr>
        <w:t>-86-</w:t>
      </w:r>
    </w:p>
    <w:p w14:paraId="1A047FD2" w14:textId="77777777" w:rsidR="00000000" w:rsidRDefault="000C49AD">
      <w:pPr>
        <w:rPr>
          <w:rFonts w:eastAsia="Times New Roman"/>
        </w:rPr>
      </w:pPr>
      <w:r>
        <w:rPr>
          <w:rFonts w:eastAsia="Times New Roman"/>
        </w:rPr>
        <w:pict w14:anchorId="096B9824">
          <v:rect id="_x0000_i1111" style="width:0;height:1.5pt" o:hralign="center" o:hrstd="t" o:hr="t" fillcolor="#a0a0a0" stroked="f"/>
        </w:pict>
      </w:r>
    </w:p>
    <w:p w14:paraId="39A85D4D" w14:textId="77777777" w:rsidR="00000000" w:rsidRDefault="000C49AD">
      <w:pPr>
        <w:divId w:val="355931902"/>
        <w:rPr>
          <w:rFonts w:eastAsia="Times New Roman"/>
        </w:rPr>
      </w:pPr>
    </w:p>
    <w:p w14:paraId="0B102DCA" w14:textId="77777777" w:rsidR="00000000" w:rsidRDefault="000C49AD">
      <w:pPr>
        <w:ind w:hanging="360"/>
        <w:jc w:val="both"/>
        <w:divId w:val="1057363032"/>
        <w:rPr>
          <w:rFonts w:eastAsia="Times New Roman"/>
        </w:rPr>
      </w:pPr>
      <w:r>
        <w:rPr>
          <w:rFonts w:eastAsia="Times New Roman"/>
          <w:color w:val="000000"/>
          <w:sz w:val="20"/>
          <w:szCs w:val="20"/>
        </w:rPr>
        <w:t>•Level 2 - Quoted prices for similar assets or liabilities in active markets, or quoted prices for identical or similar assets or liabilities in markets that are not active</w:t>
      </w:r>
      <w:r>
        <w:rPr>
          <w:rFonts w:eastAsia="Times New Roman"/>
          <w:color w:val="000000"/>
          <w:sz w:val="20"/>
          <w:szCs w:val="20"/>
        </w:rPr>
        <w:t xml:space="preserve">, or inputs other than quoted prices that are directly or indirectly observable, or inputs that are derived principally from, or corroborated by, observable market data by correlation or other means. </w:t>
      </w:r>
    </w:p>
    <w:p w14:paraId="06B9578F" w14:textId="77777777" w:rsidR="00000000" w:rsidRDefault="000C49AD">
      <w:pPr>
        <w:ind w:hanging="360"/>
        <w:jc w:val="both"/>
        <w:divId w:val="2055810162"/>
        <w:rPr>
          <w:rFonts w:eastAsia="Times New Roman"/>
        </w:rPr>
      </w:pPr>
      <w:r>
        <w:rPr>
          <w:rFonts w:eastAsia="Times New Roman"/>
          <w:color w:val="000000"/>
          <w:sz w:val="20"/>
          <w:szCs w:val="20"/>
        </w:rPr>
        <w:t>•Level 3 - Unobservable inputs that reflect estimates a</w:t>
      </w:r>
      <w:r>
        <w:rPr>
          <w:rFonts w:eastAsia="Times New Roman"/>
          <w:color w:val="000000"/>
          <w:sz w:val="20"/>
          <w:szCs w:val="20"/>
        </w:rPr>
        <w:t xml:space="preserve">nd assumptions. </w:t>
      </w:r>
    </w:p>
    <w:p w14:paraId="0F60ACC5" w14:textId="77777777" w:rsidR="00000000" w:rsidRDefault="000C49AD">
      <w:pPr>
        <w:jc w:val="both"/>
        <w:divId w:val="652485832"/>
        <w:rPr>
          <w:rFonts w:eastAsia="Times New Roman"/>
        </w:rPr>
      </w:pPr>
      <w:r>
        <w:rPr>
          <w:rFonts w:eastAsia="Times New Roman"/>
          <w:color w:val="000000"/>
          <w:sz w:val="20"/>
          <w:szCs w:val="20"/>
        </w:rPr>
        <w:t>The following table summarizes the financial instruments measured at fair value on a recurring basis classified in the fair value hierarchy (Level 1, 2 or 3) based on the inputs used for valuation in the accompanying consolidated balance s</w:t>
      </w:r>
      <w:r>
        <w:rPr>
          <w:rFonts w:eastAsia="Times New Roman"/>
          <w:color w:val="000000"/>
          <w:sz w:val="20"/>
          <w:szCs w:val="20"/>
        </w:rPr>
        <w:t>heets:</w:t>
      </w:r>
    </w:p>
    <w:tbl>
      <w:tblPr>
        <w:tblW w:w="4992" w:type="pct"/>
        <w:tblCellMar>
          <w:top w:w="15" w:type="dxa"/>
          <w:left w:w="15" w:type="dxa"/>
          <w:bottom w:w="15" w:type="dxa"/>
          <w:right w:w="15" w:type="dxa"/>
        </w:tblCellMar>
        <w:tblLook w:val="04A0" w:firstRow="1" w:lastRow="0" w:firstColumn="1" w:lastColumn="0" w:noHBand="0" w:noVBand="1"/>
      </w:tblPr>
      <w:tblGrid>
        <w:gridCol w:w="37"/>
        <w:gridCol w:w="2905"/>
        <w:gridCol w:w="36"/>
        <w:gridCol w:w="36"/>
        <w:gridCol w:w="36"/>
        <w:gridCol w:w="36"/>
        <w:gridCol w:w="110"/>
        <w:gridCol w:w="630"/>
        <w:gridCol w:w="36"/>
        <w:gridCol w:w="36"/>
        <w:gridCol w:w="36"/>
        <w:gridCol w:w="36"/>
        <w:gridCol w:w="110"/>
        <w:gridCol w:w="631"/>
        <w:gridCol w:w="36"/>
        <w:gridCol w:w="36"/>
        <w:gridCol w:w="36"/>
        <w:gridCol w:w="36"/>
        <w:gridCol w:w="111"/>
        <w:gridCol w:w="632"/>
        <w:gridCol w:w="36"/>
        <w:gridCol w:w="36"/>
        <w:gridCol w:w="36"/>
        <w:gridCol w:w="36"/>
        <w:gridCol w:w="110"/>
        <w:gridCol w:w="632"/>
        <w:gridCol w:w="36"/>
        <w:gridCol w:w="36"/>
        <w:gridCol w:w="36"/>
        <w:gridCol w:w="36"/>
        <w:gridCol w:w="110"/>
        <w:gridCol w:w="632"/>
        <w:gridCol w:w="36"/>
        <w:gridCol w:w="36"/>
        <w:gridCol w:w="36"/>
        <w:gridCol w:w="36"/>
        <w:gridCol w:w="111"/>
        <w:gridCol w:w="632"/>
        <w:gridCol w:w="36"/>
      </w:tblGrid>
      <w:tr w:rsidR="00000000" w14:paraId="3C0338C5" w14:textId="77777777">
        <w:trPr>
          <w:divId w:val="304048667"/>
        </w:trPr>
        <w:tc>
          <w:tcPr>
            <w:tcW w:w="50" w:type="pct"/>
            <w:vAlign w:val="center"/>
            <w:hideMark/>
          </w:tcPr>
          <w:p w14:paraId="0AD0AE4D" w14:textId="77777777" w:rsidR="00000000" w:rsidRDefault="000C49AD">
            <w:pPr>
              <w:jc w:val="both"/>
              <w:rPr>
                <w:rFonts w:eastAsia="Times New Roman"/>
              </w:rPr>
            </w:pPr>
          </w:p>
        </w:tc>
        <w:tc>
          <w:tcPr>
            <w:tcW w:w="1782" w:type="pct"/>
            <w:vAlign w:val="center"/>
            <w:hideMark/>
          </w:tcPr>
          <w:p w14:paraId="02BB8450" w14:textId="77777777" w:rsidR="00000000" w:rsidRDefault="000C49AD">
            <w:pPr>
              <w:spacing w:after="100"/>
              <w:rPr>
                <w:rFonts w:eastAsia="Times New Roman"/>
                <w:sz w:val="20"/>
                <w:szCs w:val="20"/>
              </w:rPr>
            </w:pPr>
          </w:p>
        </w:tc>
        <w:tc>
          <w:tcPr>
            <w:tcW w:w="5" w:type="pct"/>
            <w:vAlign w:val="center"/>
            <w:hideMark/>
          </w:tcPr>
          <w:p w14:paraId="6ECF9759" w14:textId="77777777" w:rsidR="00000000" w:rsidRDefault="000C49AD">
            <w:pPr>
              <w:spacing w:after="100"/>
              <w:rPr>
                <w:rFonts w:eastAsia="Times New Roman"/>
                <w:sz w:val="20"/>
                <w:szCs w:val="20"/>
              </w:rPr>
            </w:pPr>
          </w:p>
        </w:tc>
        <w:tc>
          <w:tcPr>
            <w:tcW w:w="5" w:type="pct"/>
            <w:vAlign w:val="center"/>
            <w:hideMark/>
          </w:tcPr>
          <w:p w14:paraId="2CEE2A92" w14:textId="77777777" w:rsidR="00000000" w:rsidRDefault="000C49AD">
            <w:pPr>
              <w:spacing w:after="100"/>
              <w:rPr>
                <w:rFonts w:eastAsia="Times New Roman"/>
                <w:sz w:val="20"/>
                <w:szCs w:val="20"/>
              </w:rPr>
            </w:pPr>
          </w:p>
        </w:tc>
        <w:tc>
          <w:tcPr>
            <w:tcW w:w="26" w:type="pct"/>
            <w:vAlign w:val="center"/>
            <w:hideMark/>
          </w:tcPr>
          <w:p w14:paraId="47E3E98C" w14:textId="77777777" w:rsidR="00000000" w:rsidRDefault="000C49AD">
            <w:pPr>
              <w:spacing w:after="100"/>
              <w:rPr>
                <w:rFonts w:eastAsia="Times New Roman"/>
                <w:sz w:val="20"/>
                <w:szCs w:val="20"/>
              </w:rPr>
            </w:pPr>
          </w:p>
        </w:tc>
        <w:tc>
          <w:tcPr>
            <w:tcW w:w="5" w:type="pct"/>
            <w:vAlign w:val="center"/>
            <w:hideMark/>
          </w:tcPr>
          <w:p w14:paraId="0D8376C8" w14:textId="77777777" w:rsidR="00000000" w:rsidRDefault="000C49AD">
            <w:pPr>
              <w:spacing w:after="100"/>
              <w:rPr>
                <w:rFonts w:eastAsia="Times New Roman"/>
                <w:sz w:val="20"/>
                <w:szCs w:val="20"/>
              </w:rPr>
            </w:pPr>
          </w:p>
        </w:tc>
        <w:tc>
          <w:tcPr>
            <w:tcW w:w="50" w:type="pct"/>
            <w:vAlign w:val="center"/>
            <w:hideMark/>
          </w:tcPr>
          <w:p w14:paraId="07707EBF" w14:textId="77777777" w:rsidR="00000000" w:rsidRDefault="000C49AD">
            <w:pPr>
              <w:spacing w:after="100"/>
              <w:rPr>
                <w:rFonts w:eastAsia="Times New Roman"/>
                <w:sz w:val="20"/>
                <w:szCs w:val="20"/>
              </w:rPr>
            </w:pPr>
          </w:p>
        </w:tc>
        <w:tc>
          <w:tcPr>
            <w:tcW w:w="435" w:type="pct"/>
            <w:vAlign w:val="center"/>
            <w:hideMark/>
          </w:tcPr>
          <w:p w14:paraId="01BB1FAF" w14:textId="77777777" w:rsidR="00000000" w:rsidRDefault="000C49AD">
            <w:pPr>
              <w:spacing w:after="100"/>
              <w:rPr>
                <w:rFonts w:eastAsia="Times New Roman"/>
                <w:sz w:val="20"/>
                <w:szCs w:val="20"/>
              </w:rPr>
            </w:pPr>
          </w:p>
        </w:tc>
        <w:tc>
          <w:tcPr>
            <w:tcW w:w="5" w:type="pct"/>
            <w:vAlign w:val="center"/>
            <w:hideMark/>
          </w:tcPr>
          <w:p w14:paraId="02BB3C31" w14:textId="77777777" w:rsidR="00000000" w:rsidRDefault="000C49AD">
            <w:pPr>
              <w:spacing w:after="100"/>
              <w:rPr>
                <w:rFonts w:eastAsia="Times New Roman"/>
                <w:sz w:val="20"/>
                <w:szCs w:val="20"/>
              </w:rPr>
            </w:pPr>
          </w:p>
        </w:tc>
        <w:tc>
          <w:tcPr>
            <w:tcW w:w="5" w:type="pct"/>
            <w:vAlign w:val="center"/>
            <w:hideMark/>
          </w:tcPr>
          <w:p w14:paraId="6400DF72" w14:textId="77777777" w:rsidR="00000000" w:rsidRDefault="000C49AD">
            <w:pPr>
              <w:spacing w:after="100"/>
              <w:rPr>
                <w:rFonts w:eastAsia="Times New Roman"/>
                <w:sz w:val="20"/>
                <w:szCs w:val="20"/>
              </w:rPr>
            </w:pPr>
          </w:p>
        </w:tc>
        <w:tc>
          <w:tcPr>
            <w:tcW w:w="26" w:type="pct"/>
            <w:vAlign w:val="center"/>
            <w:hideMark/>
          </w:tcPr>
          <w:p w14:paraId="1088F95F" w14:textId="77777777" w:rsidR="00000000" w:rsidRDefault="000C49AD">
            <w:pPr>
              <w:spacing w:after="100"/>
              <w:rPr>
                <w:rFonts w:eastAsia="Times New Roman"/>
                <w:sz w:val="20"/>
                <w:szCs w:val="20"/>
              </w:rPr>
            </w:pPr>
          </w:p>
        </w:tc>
        <w:tc>
          <w:tcPr>
            <w:tcW w:w="5" w:type="pct"/>
            <w:vAlign w:val="center"/>
            <w:hideMark/>
          </w:tcPr>
          <w:p w14:paraId="71D35EFE" w14:textId="77777777" w:rsidR="00000000" w:rsidRDefault="000C49AD">
            <w:pPr>
              <w:spacing w:after="100"/>
              <w:rPr>
                <w:rFonts w:eastAsia="Times New Roman"/>
                <w:sz w:val="20"/>
                <w:szCs w:val="20"/>
              </w:rPr>
            </w:pPr>
          </w:p>
        </w:tc>
        <w:tc>
          <w:tcPr>
            <w:tcW w:w="50" w:type="pct"/>
            <w:vAlign w:val="center"/>
            <w:hideMark/>
          </w:tcPr>
          <w:p w14:paraId="54F019ED" w14:textId="77777777" w:rsidR="00000000" w:rsidRDefault="000C49AD">
            <w:pPr>
              <w:spacing w:after="100"/>
              <w:rPr>
                <w:rFonts w:eastAsia="Times New Roman"/>
                <w:sz w:val="20"/>
                <w:szCs w:val="20"/>
              </w:rPr>
            </w:pPr>
          </w:p>
        </w:tc>
        <w:tc>
          <w:tcPr>
            <w:tcW w:w="435" w:type="pct"/>
            <w:vAlign w:val="center"/>
            <w:hideMark/>
          </w:tcPr>
          <w:p w14:paraId="1A1F896B" w14:textId="77777777" w:rsidR="00000000" w:rsidRDefault="000C49AD">
            <w:pPr>
              <w:spacing w:after="100"/>
              <w:rPr>
                <w:rFonts w:eastAsia="Times New Roman"/>
                <w:sz w:val="20"/>
                <w:szCs w:val="20"/>
              </w:rPr>
            </w:pPr>
          </w:p>
        </w:tc>
        <w:tc>
          <w:tcPr>
            <w:tcW w:w="5" w:type="pct"/>
            <w:vAlign w:val="center"/>
            <w:hideMark/>
          </w:tcPr>
          <w:p w14:paraId="46E78C10" w14:textId="77777777" w:rsidR="00000000" w:rsidRDefault="000C49AD">
            <w:pPr>
              <w:spacing w:after="100"/>
              <w:rPr>
                <w:rFonts w:eastAsia="Times New Roman"/>
                <w:sz w:val="20"/>
                <w:szCs w:val="20"/>
              </w:rPr>
            </w:pPr>
          </w:p>
        </w:tc>
        <w:tc>
          <w:tcPr>
            <w:tcW w:w="5" w:type="pct"/>
            <w:vAlign w:val="center"/>
            <w:hideMark/>
          </w:tcPr>
          <w:p w14:paraId="3BF51283" w14:textId="77777777" w:rsidR="00000000" w:rsidRDefault="000C49AD">
            <w:pPr>
              <w:spacing w:after="100"/>
              <w:rPr>
                <w:rFonts w:eastAsia="Times New Roman"/>
                <w:sz w:val="20"/>
                <w:szCs w:val="20"/>
              </w:rPr>
            </w:pPr>
          </w:p>
        </w:tc>
        <w:tc>
          <w:tcPr>
            <w:tcW w:w="26" w:type="pct"/>
            <w:vAlign w:val="center"/>
            <w:hideMark/>
          </w:tcPr>
          <w:p w14:paraId="43D3F71E" w14:textId="77777777" w:rsidR="00000000" w:rsidRDefault="000C49AD">
            <w:pPr>
              <w:spacing w:after="100"/>
              <w:rPr>
                <w:rFonts w:eastAsia="Times New Roman"/>
                <w:sz w:val="20"/>
                <w:szCs w:val="20"/>
              </w:rPr>
            </w:pPr>
          </w:p>
        </w:tc>
        <w:tc>
          <w:tcPr>
            <w:tcW w:w="5" w:type="pct"/>
            <w:vAlign w:val="center"/>
            <w:hideMark/>
          </w:tcPr>
          <w:p w14:paraId="35BC1756" w14:textId="77777777" w:rsidR="00000000" w:rsidRDefault="000C49AD">
            <w:pPr>
              <w:spacing w:after="100"/>
              <w:rPr>
                <w:rFonts w:eastAsia="Times New Roman"/>
                <w:sz w:val="20"/>
                <w:szCs w:val="20"/>
              </w:rPr>
            </w:pPr>
          </w:p>
        </w:tc>
        <w:tc>
          <w:tcPr>
            <w:tcW w:w="50" w:type="pct"/>
            <w:vAlign w:val="center"/>
            <w:hideMark/>
          </w:tcPr>
          <w:p w14:paraId="0BD80521" w14:textId="77777777" w:rsidR="00000000" w:rsidRDefault="000C49AD">
            <w:pPr>
              <w:spacing w:after="100"/>
              <w:rPr>
                <w:rFonts w:eastAsia="Times New Roman"/>
                <w:sz w:val="20"/>
                <w:szCs w:val="20"/>
              </w:rPr>
            </w:pPr>
          </w:p>
        </w:tc>
        <w:tc>
          <w:tcPr>
            <w:tcW w:w="435" w:type="pct"/>
            <w:vAlign w:val="center"/>
            <w:hideMark/>
          </w:tcPr>
          <w:p w14:paraId="79497004" w14:textId="77777777" w:rsidR="00000000" w:rsidRDefault="000C49AD">
            <w:pPr>
              <w:spacing w:after="100"/>
              <w:rPr>
                <w:rFonts w:eastAsia="Times New Roman"/>
                <w:sz w:val="20"/>
                <w:szCs w:val="20"/>
              </w:rPr>
            </w:pPr>
          </w:p>
        </w:tc>
        <w:tc>
          <w:tcPr>
            <w:tcW w:w="5" w:type="pct"/>
            <w:vAlign w:val="center"/>
            <w:hideMark/>
          </w:tcPr>
          <w:p w14:paraId="115B5007" w14:textId="77777777" w:rsidR="00000000" w:rsidRDefault="000C49AD">
            <w:pPr>
              <w:spacing w:after="100"/>
              <w:rPr>
                <w:rFonts w:eastAsia="Times New Roman"/>
                <w:sz w:val="20"/>
                <w:szCs w:val="20"/>
              </w:rPr>
            </w:pPr>
          </w:p>
        </w:tc>
        <w:tc>
          <w:tcPr>
            <w:tcW w:w="5" w:type="pct"/>
            <w:vAlign w:val="center"/>
            <w:hideMark/>
          </w:tcPr>
          <w:p w14:paraId="7719D8B5" w14:textId="77777777" w:rsidR="00000000" w:rsidRDefault="000C49AD">
            <w:pPr>
              <w:spacing w:after="100"/>
              <w:rPr>
                <w:rFonts w:eastAsia="Times New Roman"/>
                <w:sz w:val="20"/>
                <w:szCs w:val="20"/>
              </w:rPr>
            </w:pPr>
          </w:p>
        </w:tc>
        <w:tc>
          <w:tcPr>
            <w:tcW w:w="26" w:type="pct"/>
            <w:vAlign w:val="center"/>
            <w:hideMark/>
          </w:tcPr>
          <w:p w14:paraId="359B927D" w14:textId="77777777" w:rsidR="00000000" w:rsidRDefault="000C49AD">
            <w:pPr>
              <w:spacing w:after="100"/>
              <w:rPr>
                <w:rFonts w:eastAsia="Times New Roman"/>
                <w:sz w:val="20"/>
                <w:szCs w:val="20"/>
              </w:rPr>
            </w:pPr>
          </w:p>
        </w:tc>
        <w:tc>
          <w:tcPr>
            <w:tcW w:w="5" w:type="pct"/>
            <w:vAlign w:val="center"/>
            <w:hideMark/>
          </w:tcPr>
          <w:p w14:paraId="2C4F8D45" w14:textId="77777777" w:rsidR="00000000" w:rsidRDefault="000C49AD">
            <w:pPr>
              <w:spacing w:after="100"/>
              <w:rPr>
                <w:rFonts w:eastAsia="Times New Roman"/>
                <w:sz w:val="20"/>
                <w:szCs w:val="20"/>
              </w:rPr>
            </w:pPr>
          </w:p>
        </w:tc>
        <w:tc>
          <w:tcPr>
            <w:tcW w:w="50" w:type="pct"/>
            <w:vAlign w:val="center"/>
            <w:hideMark/>
          </w:tcPr>
          <w:p w14:paraId="02EB4AF7" w14:textId="77777777" w:rsidR="00000000" w:rsidRDefault="000C49AD">
            <w:pPr>
              <w:spacing w:after="100"/>
              <w:rPr>
                <w:rFonts w:eastAsia="Times New Roman"/>
                <w:sz w:val="20"/>
                <w:szCs w:val="20"/>
              </w:rPr>
            </w:pPr>
          </w:p>
        </w:tc>
        <w:tc>
          <w:tcPr>
            <w:tcW w:w="435" w:type="pct"/>
            <w:vAlign w:val="center"/>
            <w:hideMark/>
          </w:tcPr>
          <w:p w14:paraId="17A7905E" w14:textId="77777777" w:rsidR="00000000" w:rsidRDefault="000C49AD">
            <w:pPr>
              <w:spacing w:after="100"/>
              <w:rPr>
                <w:rFonts w:eastAsia="Times New Roman"/>
                <w:sz w:val="20"/>
                <w:szCs w:val="20"/>
              </w:rPr>
            </w:pPr>
          </w:p>
        </w:tc>
        <w:tc>
          <w:tcPr>
            <w:tcW w:w="5" w:type="pct"/>
            <w:vAlign w:val="center"/>
            <w:hideMark/>
          </w:tcPr>
          <w:p w14:paraId="125A2731" w14:textId="77777777" w:rsidR="00000000" w:rsidRDefault="000C49AD">
            <w:pPr>
              <w:spacing w:after="100"/>
              <w:rPr>
                <w:rFonts w:eastAsia="Times New Roman"/>
                <w:sz w:val="20"/>
                <w:szCs w:val="20"/>
              </w:rPr>
            </w:pPr>
          </w:p>
        </w:tc>
        <w:tc>
          <w:tcPr>
            <w:tcW w:w="5" w:type="pct"/>
            <w:vAlign w:val="center"/>
            <w:hideMark/>
          </w:tcPr>
          <w:p w14:paraId="279E4065" w14:textId="77777777" w:rsidR="00000000" w:rsidRDefault="000C49AD">
            <w:pPr>
              <w:spacing w:after="100"/>
              <w:rPr>
                <w:rFonts w:eastAsia="Times New Roman"/>
                <w:sz w:val="20"/>
                <w:szCs w:val="20"/>
              </w:rPr>
            </w:pPr>
          </w:p>
        </w:tc>
        <w:tc>
          <w:tcPr>
            <w:tcW w:w="26" w:type="pct"/>
            <w:vAlign w:val="center"/>
            <w:hideMark/>
          </w:tcPr>
          <w:p w14:paraId="7D192201" w14:textId="77777777" w:rsidR="00000000" w:rsidRDefault="000C49AD">
            <w:pPr>
              <w:spacing w:after="100"/>
              <w:rPr>
                <w:rFonts w:eastAsia="Times New Roman"/>
                <w:sz w:val="20"/>
                <w:szCs w:val="20"/>
              </w:rPr>
            </w:pPr>
          </w:p>
        </w:tc>
        <w:tc>
          <w:tcPr>
            <w:tcW w:w="5" w:type="pct"/>
            <w:vAlign w:val="center"/>
            <w:hideMark/>
          </w:tcPr>
          <w:p w14:paraId="483A6CDC" w14:textId="77777777" w:rsidR="00000000" w:rsidRDefault="000C49AD">
            <w:pPr>
              <w:spacing w:after="100"/>
              <w:rPr>
                <w:rFonts w:eastAsia="Times New Roman"/>
                <w:sz w:val="20"/>
                <w:szCs w:val="20"/>
              </w:rPr>
            </w:pPr>
          </w:p>
        </w:tc>
        <w:tc>
          <w:tcPr>
            <w:tcW w:w="50" w:type="pct"/>
            <w:vAlign w:val="center"/>
            <w:hideMark/>
          </w:tcPr>
          <w:p w14:paraId="046F0E5D" w14:textId="77777777" w:rsidR="00000000" w:rsidRDefault="000C49AD">
            <w:pPr>
              <w:spacing w:after="100"/>
              <w:rPr>
                <w:rFonts w:eastAsia="Times New Roman"/>
                <w:sz w:val="20"/>
                <w:szCs w:val="20"/>
              </w:rPr>
            </w:pPr>
          </w:p>
        </w:tc>
        <w:tc>
          <w:tcPr>
            <w:tcW w:w="435" w:type="pct"/>
            <w:vAlign w:val="center"/>
            <w:hideMark/>
          </w:tcPr>
          <w:p w14:paraId="3386C27A" w14:textId="77777777" w:rsidR="00000000" w:rsidRDefault="000C49AD">
            <w:pPr>
              <w:spacing w:after="100"/>
              <w:rPr>
                <w:rFonts w:eastAsia="Times New Roman"/>
                <w:sz w:val="20"/>
                <w:szCs w:val="20"/>
              </w:rPr>
            </w:pPr>
          </w:p>
        </w:tc>
        <w:tc>
          <w:tcPr>
            <w:tcW w:w="5" w:type="pct"/>
            <w:vAlign w:val="center"/>
            <w:hideMark/>
          </w:tcPr>
          <w:p w14:paraId="53DFA11B" w14:textId="77777777" w:rsidR="00000000" w:rsidRDefault="000C49AD">
            <w:pPr>
              <w:spacing w:after="100"/>
              <w:rPr>
                <w:rFonts w:eastAsia="Times New Roman"/>
                <w:sz w:val="20"/>
                <w:szCs w:val="20"/>
              </w:rPr>
            </w:pPr>
          </w:p>
        </w:tc>
        <w:tc>
          <w:tcPr>
            <w:tcW w:w="5" w:type="pct"/>
            <w:vAlign w:val="center"/>
            <w:hideMark/>
          </w:tcPr>
          <w:p w14:paraId="45345A08" w14:textId="77777777" w:rsidR="00000000" w:rsidRDefault="000C49AD">
            <w:pPr>
              <w:spacing w:after="100"/>
              <w:rPr>
                <w:rFonts w:eastAsia="Times New Roman"/>
                <w:sz w:val="20"/>
                <w:szCs w:val="20"/>
              </w:rPr>
            </w:pPr>
          </w:p>
        </w:tc>
        <w:tc>
          <w:tcPr>
            <w:tcW w:w="26" w:type="pct"/>
            <w:vAlign w:val="center"/>
            <w:hideMark/>
          </w:tcPr>
          <w:p w14:paraId="046EBADA" w14:textId="77777777" w:rsidR="00000000" w:rsidRDefault="000C49AD">
            <w:pPr>
              <w:spacing w:after="100"/>
              <w:rPr>
                <w:rFonts w:eastAsia="Times New Roman"/>
                <w:sz w:val="20"/>
                <w:szCs w:val="20"/>
              </w:rPr>
            </w:pPr>
          </w:p>
        </w:tc>
        <w:tc>
          <w:tcPr>
            <w:tcW w:w="5" w:type="pct"/>
            <w:vAlign w:val="center"/>
            <w:hideMark/>
          </w:tcPr>
          <w:p w14:paraId="2702FDC9" w14:textId="77777777" w:rsidR="00000000" w:rsidRDefault="000C49AD">
            <w:pPr>
              <w:spacing w:after="100"/>
              <w:rPr>
                <w:rFonts w:eastAsia="Times New Roman"/>
                <w:sz w:val="20"/>
                <w:szCs w:val="20"/>
              </w:rPr>
            </w:pPr>
          </w:p>
        </w:tc>
        <w:tc>
          <w:tcPr>
            <w:tcW w:w="50" w:type="pct"/>
            <w:vAlign w:val="center"/>
            <w:hideMark/>
          </w:tcPr>
          <w:p w14:paraId="38CED186" w14:textId="77777777" w:rsidR="00000000" w:rsidRDefault="000C49AD">
            <w:pPr>
              <w:spacing w:after="100"/>
              <w:rPr>
                <w:rFonts w:eastAsia="Times New Roman"/>
                <w:sz w:val="20"/>
                <w:szCs w:val="20"/>
              </w:rPr>
            </w:pPr>
          </w:p>
        </w:tc>
        <w:tc>
          <w:tcPr>
            <w:tcW w:w="435" w:type="pct"/>
            <w:vAlign w:val="center"/>
            <w:hideMark/>
          </w:tcPr>
          <w:p w14:paraId="7148E2C9" w14:textId="77777777" w:rsidR="00000000" w:rsidRDefault="000C49AD">
            <w:pPr>
              <w:spacing w:after="100"/>
              <w:rPr>
                <w:rFonts w:eastAsia="Times New Roman"/>
                <w:sz w:val="20"/>
                <w:szCs w:val="20"/>
              </w:rPr>
            </w:pPr>
          </w:p>
        </w:tc>
        <w:tc>
          <w:tcPr>
            <w:tcW w:w="5" w:type="pct"/>
            <w:vAlign w:val="center"/>
            <w:hideMark/>
          </w:tcPr>
          <w:p w14:paraId="14312272" w14:textId="77777777" w:rsidR="00000000" w:rsidRDefault="000C49AD">
            <w:pPr>
              <w:spacing w:after="100"/>
              <w:rPr>
                <w:rFonts w:eastAsia="Times New Roman"/>
                <w:sz w:val="20"/>
                <w:szCs w:val="20"/>
              </w:rPr>
            </w:pPr>
          </w:p>
        </w:tc>
      </w:tr>
      <w:tr w:rsidR="00000000" w14:paraId="4899DD9D" w14:textId="77777777">
        <w:trPr>
          <w:divId w:val="304048667"/>
        </w:trPr>
        <w:tc>
          <w:tcPr>
            <w:tcW w:w="0" w:type="auto"/>
            <w:gridSpan w:val="3"/>
            <w:tcMar>
              <w:top w:w="0" w:type="dxa"/>
              <w:left w:w="20" w:type="dxa"/>
              <w:bottom w:w="0" w:type="dxa"/>
              <w:right w:w="20" w:type="dxa"/>
            </w:tcMar>
            <w:vAlign w:val="center"/>
            <w:hideMark/>
          </w:tcPr>
          <w:p w14:paraId="62A5B0B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7A0DF7" w14:textId="77777777" w:rsidR="00000000" w:rsidRDefault="000C49AD">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A768543" w14:textId="77777777" w:rsidR="00000000" w:rsidRDefault="000C49AD">
            <w:pPr>
              <w:spacing w:after="100"/>
              <w:jc w:val="center"/>
              <w:rPr>
                <w:rFonts w:eastAsia="Times New Roman"/>
              </w:rPr>
            </w:pPr>
            <w:r>
              <w:rPr>
                <w:rFonts w:eastAsia="Times New Roman"/>
                <w:b/>
                <w:bCs/>
                <w:color w:val="000000"/>
                <w:sz w:val="18"/>
                <w:szCs w:val="18"/>
              </w:rPr>
              <w:t>As of December 31, 2021</w:t>
            </w:r>
          </w:p>
        </w:tc>
        <w:tc>
          <w:tcPr>
            <w:tcW w:w="0" w:type="auto"/>
            <w:gridSpan w:val="3"/>
            <w:tcMar>
              <w:top w:w="0" w:type="dxa"/>
              <w:left w:w="20" w:type="dxa"/>
              <w:bottom w:w="0" w:type="dxa"/>
              <w:right w:w="20" w:type="dxa"/>
            </w:tcMar>
            <w:vAlign w:val="center"/>
            <w:hideMark/>
          </w:tcPr>
          <w:p w14:paraId="1FE32E96" w14:textId="77777777" w:rsidR="00000000" w:rsidRDefault="000C49AD">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697F02C3" w14:textId="77777777" w:rsidR="00000000" w:rsidRDefault="000C49AD">
            <w:pPr>
              <w:spacing w:after="100"/>
              <w:jc w:val="center"/>
              <w:rPr>
                <w:rFonts w:eastAsia="Times New Roman"/>
              </w:rPr>
            </w:pPr>
            <w:r>
              <w:rPr>
                <w:rFonts w:eastAsia="Times New Roman"/>
                <w:b/>
                <w:bCs/>
                <w:color w:val="000000"/>
                <w:sz w:val="18"/>
                <w:szCs w:val="18"/>
              </w:rPr>
              <w:t>As of December 31, 2020</w:t>
            </w:r>
          </w:p>
        </w:tc>
      </w:tr>
      <w:tr w:rsidR="00000000" w14:paraId="2192DE08" w14:textId="77777777">
        <w:trPr>
          <w:divId w:val="304048667"/>
        </w:trPr>
        <w:tc>
          <w:tcPr>
            <w:tcW w:w="0" w:type="auto"/>
            <w:gridSpan w:val="3"/>
            <w:tcMar>
              <w:top w:w="30" w:type="dxa"/>
              <w:left w:w="20" w:type="dxa"/>
              <w:bottom w:w="30" w:type="dxa"/>
              <w:right w:w="20" w:type="dxa"/>
            </w:tcMar>
            <w:vAlign w:val="bottom"/>
            <w:hideMark/>
          </w:tcPr>
          <w:p w14:paraId="51D7A3A8" w14:textId="77777777" w:rsidR="00000000" w:rsidRDefault="000C49AD">
            <w:pPr>
              <w:spacing w:after="100"/>
              <w:rPr>
                <w:rFonts w:eastAsia="Times New Roman"/>
              </w:rPr>
            </w:pPr>
            <w:r>
              <w:rPr>
                <w:rFonts w:eastAsia="Times New Roman"/>
                <w:b/>
                <w:bCs/>
                <w:color w:val="000000"/>
                <w:sz w:val="18"/>
                <w:szCs w:val="18"/>
              </w:rPr>
              <w:t>Fair Value Measurements:</w:t>
            </w:r>
          </w:p>
        </w:tc>
        <w:tc>
          <w:tcPr>
            <w:tcW w:w="0" w:type="auto"/>
            <w:gridSpan w:val="3"/>
            <w:tcMar>
              <w:top w:w="0" w:type="dxa"/>
              <w:left w:w="20" w:type="dxa"/>
              <w:bottom w:w="0" w:type="dxa"/>
              <w:right w:w="20" w:type="dxa"/>
            </w:tcMar>
            <w:vAlign w:val="center"/>
            <w:hideMark/>
          </w:tcPr>
          <w:p w14:paraId="58AE32C8"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DDEF8D3" w14:textId="77777777" w:rsidR="00000000" w:rsidRDefault="000C49AD">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14:paraId="5DFC8C25"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994AF2" w14:textId="77777777" w:rsidR="00000000" w:rsidRDefault="000C49AD">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14:paraId="5FDD0825"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D8E524D" w14:textId="77777777" w:rsidR="00000000" w:rsidRDefault="000C49AD">
            <w:pPr>
              <w:spacing w:after="100"/>
              <w:jc w:val="center"/>
              <w:rPr>
                <w:rFonts w:eastAsia="Times New Roman"/>
              </w:rPr>
            </w:pPr>
            <w:r>
              <w:rPr>
                <w:rFonts w:eastAsia="Times New Roman"/>
                <w:b/>
                <w:bCs/>
                <w:color w:val="000000"/>
                <w:sz w:val="18"/>
                <w:szCs w:val="18"/>
              </w:rPr>
              <w:t>Level 3</w:t>
            </w:r>
          </w:p>
        </w:tc>
        <w:tc>
          <w:tcPr>
            <w:tcW w:w="0" w:type="auto"/>
            <w:gridSpan w:val="3"/>
            <w:tcMar>
              <w:top w:w="0" w:type="dxa"/>
              <w:left w:w="20" w:type="dxa"/>
              <w:bottom w:w="0" w:type="dxa"/>
              <w:right w:w="20" w:type="dxa"/>
            </w:tcMar>
            <w:vAlign w:val="center"/>
            <w:hideMark/>
          </w:tcPr>
          <w:p w14:paraId="17F82C2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C31915" w14:textId="77777777" w:rsidR="00000000" w:rsidRDefault="000C49AD">
            <w:pPr>
              <w:spacing w:after="100"/>
              <w:jc w:val="center"/>
              <w:rPr>
                <w:rFonts w:eastAsia="Times New Roman"/>
              </w:rPr>
            </w:pPr>
            <w:r>
              <w:rPr>
                <w:rFonts w:eastAsia="Times New Roman"/>
                <w:b/>
                <w:bCs/>
                <w:color w:val="000000"/>
                <w:sz w:val="18"/>
                <w:szCs w:val="18"/>
              </w:rPr>
              <w:t>Level 1</w:t>
            </w:r>
          </w:p>
        </w:tc>
        <w:tc>
          <w:tcPr>
            <w:tcW w:w="0" w:type="auto"/>
            <w:gridSpan w:val="3"/>
            <w:tcBorders>
              <w:top w:val="single" w:sz="8" w:space="0" w:color="000000"/>
            </w:tcBorders>
            <w:tcMar>
              <w:top w:w="0" w:type="dxa"/>
              <w:left w:w="20" w:type="dxa"/>
              <w:bottom w:w="0" w:type="dxa"/>
              <w:right w:w="20" w:type="dxa"/>
            </w:tcMar>
            <w:vAlign w:val="center"/>
            <w:hideMark/>
          </w:tcPr>
          <w:p w14:paraId="25A5FB98"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B1BC33" w14:textId="77777777" w:rsidR="00000000" w:rsidRDefault="000C49AD">
            <w:pPr>
              <w:spacing w:after="100"/>
              <w:jc w:val="center"/>
              <w:rPr>
                <w:rFonts w:eastAsia="Times New Roman"/>
              </w:rPr>
            </w:pPr>
            <w:r>
              <w:rPr>
                <w:rFonts w:eastAsia="Times New Roman"/>
                <w:b/>
                <w:bCs/>
                <w:color w:val="000000"/>
                <w:sz w:val="18"/>
                <w:szCs w:val="18"/>
              </w:rPr>
              <w:t>Level 2</w:t>
            </w:r>
          </w:p>
        </w:tc>
        <w:tc>
          <w:tcPr>
            <w:tcW w:w="0" w:type="auto"/>
            <w:gridSpan w:val="3"/>
            <w:tcBorders>
              <w:top w:val="single" w:sz="8" w:space="0" w:color="000000"/>
            </w:tcBorders>
            <w:tcMar>
              <w:top w:w="0" w:type="dxa"/>
              <w:left w:w="20" w:type="dxa"/>
              <w:bottom w:w="0" w:type="dxa"/>
              <w:right w:w="20" w:type="dxa"/>
            </w:tcMar>
            <w:vAlign w:val="center"/>
            <w:hideMark/>
          </w:tcPr>
          <w:p w14:paraId="1C8DE365"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595EB4" w14:textId="77777777" w:rsidR="00000000" w:rsidRDefault="000C49AD">
            <w:pPr>
              <w:spacing w:after="100"/>
              <w:jc w:val="center"/>
              <w:rPr>
                <w:rFonts w:eastAsia="Times New Roman"/>
              </w:rPr>
            </w:pPr>
            <w:r>
              <w:rPr>
                <w:rFonts w:eastAsia="Times New Roman"/>
                <w:b/>
                <w:bCs/>
                <w:color w:val="000000"/>
                <w:sz w:val="18"/>
                <w:szCs w:val="18"/>
              </w:rPr>
              <w:t>Level 3</w:t>
            </w:r>
          </w:p>
        </w:tc>
      </w:tr>
      <w:tr w:rsidR="00000000" w14:paraId="0E57C240" w14:textId="77777777">
        <w:trPr>
          <w:divId w:val="304048667"/>
          <w:trHeight w:val="60"/>
        </w:trPr>
        <w:tc>
          <w:tcPr>
            <w:tcW w:w="0" w:type="auto"/>
            <w:gridSpan w:val="3"/>
            <w:tcBorders>
              <w:top w:val="single" w:sz="8" w:space="0" w:color="000000"/>
            </w:tcBorders>
            <w:tcMar>
              <w:top w:w="0" w:type="dxa"/>
              <w:left w:w="20" w:type="dxa"/>
              <w:bottom w:w="0" w:type="dxa"/>
              <w:right w:w="20" w:type="dxa"/>
            </w:tcMar>
            <w:vAlign w:val="center"/>
            <w:hideMark/>
          </w:tcPr>
          <w:p w14:paraId="1A5CAD0E"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067A4E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2D7826"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67220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900576"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2E40D4"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79F15D"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2D4949"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6160D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CC0FF6"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C8D28A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5CA7A4"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39821DB" w14:textId="77777777" w:rsidR="00000000" w:rsidRDefault="000C49AD">
            <w:pPr>
              <w:spacing w:after="100"/>
              <w:rPr>
                <w:rFonts w:eastAsia="Times New Roman"/>
                <w:sz w:val="20"/>
                <w:szCs w:val="20"/>
              </w:rPr>
            </w:pPr>
          </w:p>
        </w:tc>
      </w:tr>
      <w:tr w:rsidR="00000000" w14:paraId="4872C723" w14:textId="77777777">
        <w:trPr>
          <w:divId w:val="304048667"/>
        </w:trPr>
        <w:tc>
          <w:tcPr>
            <w:tcW w:w="0" w:type="auto"/>
            <w:gridSpan w:val="3"/>
            <w:tcMar>
              <w:top w:w="30" w:type="dxa"/>
              <w:left w:w="20" w:type="dxa"/>
              <w:bottom w:w="30" w:type="dxa"/>
              <w:right w:w="20" w:type="dxa"/>
            </w:tcMar>
            <w:vAlign w:val="bottom"/>
            <w:hideMark/>
          </w:tcPr>
          <w:p w14:paraId="57C3D61C" w14:textId="77777777" w:rsidR="00000000" w:rsidRDefault="000C49AD">
            <w:pPr>
              <w:spacing w:after="100"/>
              <w:divId w:val="729038888"/>
              <w:rPr>
                <w:rFonts w:eastAsia="Times New Roman"/>
              </w:rPr>
            </w:pPr>
            <w:r>
              <w:rPr>
                <w:rFonts w:eastAsia="Times New Roman"/>
                <w:color w:val="000000"/>
                <w:sz w:val="18"/>
                <w:szCs w:val="18"/>
              </w:rPr>
              <w:t xml:space="preserve">Marketable securities (see </w:t>
            </w:r>
            <w:r>
              <w:rPr>
                <w:rFonts w:eastAsia="Times New Roman"/>
                <w:i/>
                <w:iCs/>
                <w:color w:val="000000"/>
                <w:sz w:val="18"/>
                <w:szCs w:val="18"/>
              </w:rPr>
              <w:t xml:space="preserve">Note </w:t>
            </w:r>
            <w:r>
              <w:rPr>
                <w:rFonts w:eastAsia="Times New Roman"/>
                <w:b/>
                <w:bCs/>
                <w:i/>
                <w:iCs/>
                <w:color w:val="000000"/>
                <w:sz w:val="18"/>
                <w:szCs w:val="18"/>
              </w:rPr>
              <w:t>7</w:t>
            </w:r>
            <w:r>
              <w:rPr>
                <w:rFonts w:eastAsia="Times New Roman"/>
                <w:i/>
                <w:iCs/>
                <w:color w:val="000000"/>
                <w:sz w:val="18"/>
                <w:szCs w:val="18"/>
              </w:rPr>
              <w:t>)</w:t>
            </w:r>
          </w:p>
        </w:tc>
        <w:tc>
          <w:tcPr>
            <w:tcW w:w="0" w:type="auto"/>
            <w:gridSpan w:val="3"/>
            <w:tcMar>
              <w:top w:w="0" w:type="dxa"/>
              <w:left w:w="20" w:type="dxa"/>
              <w:bottom w:w="0" w:type="dxa"/>
              <w:right w:w="20" w:type="dxa"/>
            </w:tcMar>
            <w:vAlign w:val="center"/>
            <w:hideMark/>
          </w:tcPr>
          <w:p w14:paraId="0EF9C73E" w14:textId="77777777" w:rsidR="00000000" w:rsidRDefault="000C49AD">
            <w:pPr>
              <w:spacing w:after="100"/>
              <w:rPr>
                <w:rFonts w:eastAsia="Times New Roman"/>
              </w:rPr>
            </w:pPr>
          </w:p>
        </w:tc>
        <w:tc>
          <w:tcPr>
            <w:tcW w:w="0" w:type="auto"/>
            <w:gridSpan w:val="3"/>
            <w:tcMar>
              <w:top w:w="0" w:type="dxa"/>
              <w:left w:w="20" w:type="dxa"/>
              <w:bottom w:w="0" w:type="dxa"/>
              <w:right w:w="20" w:type="dxa"/>
            </w:tcMar>
            <w:vAlign w:val="center"/>
            <w:hideMark/>
          </w:tcPr>
          <w:p w14:paraId="1F5D4B8D"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281246"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51EE2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2A4F7E"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38826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EF2CA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990622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122C1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32317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A17F06"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92D144" w14:textId="77777777" w:rsidR="00000000" w:rsidRDefault="000C49AD">
            <w:pPr>
              <w:spacing w:after="100"/>
              <w:rPr>
                <w:rFonts w:eastAsia="Times New Roman"/>
                <w:sz w:val="20"/>
                <w:szCs w:val="20"/>
              </w:rPr>
            </w:pPr>
          </w:p>
        </w:tc>
      </w:tr>
      <w:tr w:rsidR="00000000" w14:paraId="1162A670" w14:textId="77777777">
        <w:trPr>
          <w:divId w:val="304048667"/>
        </w:trPr>
        <w:tc>
          <w:tcPr>
            <w:tcW w:w="0" w:type="auto"/>
            <w:gridSpan w:val="3"/>
            <w:shd w:val="clear" w:color="auto" w:fill="CCEEFF"/>
            <w:tcMar>
              <w:top w:w="30" w:type="dxa"/>
              <w:left w:w="155" w:type="dxa"/>
              <w:bottom w:w="30" w:type="dxa"/>
              <w:right w:w="20" w:type="dxa"/>
            </w:tcMar>
            <w:vAlign w:val="bottom"/>
            <w:hideMark/>
          </w:tcPr>
          <w:p w14:paraId="764E74B6" w14:textId="77777777" w:rsidR="00000000" w:rsidRDefault="000C49AD">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14:paraId="3AE052A5"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ACF466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CCCBBAE" w14:textId="77777777" w:rsidR="00000000" w:rsidRDefault="000C49AD">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14:paraId="2548C90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54913E"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54DBDA"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831C6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DE6608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22090"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78286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B1D294"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0E83A3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0EA155"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45000B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C372C5E" w14:textId="77777777" w:rsidR="00000000" w:rsidRDefault="000C49AD">
            <w:pPr>
              <w:spacing w:after="100"/>
              <w:jc w:val="right"/>
              <w:rPr>
                <w:rFonts w:eastAsia="Times New Roman"/>
              </w:rPr>
            </w:pPr>
            <w:r>
              <w:rPr>
                <w:rFonts w:eastAsia="Times New Roman"/>
                <w:color w:val="000000"/>
                <w:sz w:val="18"/>
                <w:szCs w:val="18"/>
              </w:rPr>
              <w:t>104,672 </w:t>
            </w:r>
          </w:p>
        </w:tc>
        <w:tc>
          <w:tcPr>
            <w:tcW w:w="0" w:type="auto"/>
            <w:shd w:val="clear" w:color="auto" w:fill="CCEEFF"/>
            <w:tcMar>
              <w:top w:w="30" w:type="dxa"/>
              <w:left w:w="0" w:type="dxa"/>
              <w:bottom w:w="30" w:type="dxa"/>
              <w:right w:w="20" w:type="dxa"/>
            </w:tcMar>
            <w:vAlign w:val="bottom"/>
            <w:hideMark/>
          </w:tcPr>
          <w:p w14:paraId="5BADD01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15CAB1"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0DC03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392F41E"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7ABCDF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0A0108"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BD66A7F"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BC054C3"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C80B9BF" w14:textId="77777777" w:rsidR="00000000" w:rsidRDefault="000C49AD">
            <w:pPr>
              <w:spacing w:after="100"/>
              <w:jc w:val="right"/>
              <w:rPr>
                <w:rFonts w:eastAsia="Times New Roman"/>
              </w:rPr>
            </w:pPr>
          </w:p>
        </w:tc>
      </w:tr>
      <w:tr w:rsidR="00000000" w14:paraId="1CB653CD" w14:textId="77777777">
        <w:trPr>
          <w:divId w:val="304048667"/>
        </w:trPr>
        <w:tc>
          <w:tcPr>
            <w:tcW w:w="0" w:type="auto"/>
            <w:gridSpan w:val="3"/>
            <w:shd w:val="clear" w:color="auto" w:fill="FFFFFF"/>
            <w:tcMar>
              <w:top w:w="30" w:type="dxa"/>
              <w:left w:w="155" w:type="dxa"/>
              <w:bottom w:w="30" w:type="dxa"/>
              <w:right w:w="20" w:type="dxa"/>
            </w:tcMar>
            <w:vAlign w:val="bottom"/>
            <w:hideMark/>
          </w:tcPr>
          <w:p w14:paraId="1097C632" w14:textId="77777777" w:rsidR="00000000" w:rsidRDefault="000C49AD">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14:paraId="299B25C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0055DA5"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8E663A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AAA6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B91BD9" w14:textId="77777777" w:rsidR="00000000" w:rsidRDefault="000C49AD">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14:paraId="236E1E2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87EBE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72C58E"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511A5F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9A6B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1E739B"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B45DE1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52D6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8CCD86" w14:textId="77777777" w:rsidR="00000000" w:rsidRDefault="000C49AD">
            <w:pPr>
              <w:spacing w:after="100"/>
              <w:jc w:val="right"/>
              <w:rPr>
                <w:rFonts w:eastAsia="Times New Roman"/>
              </w:rPr>
            </w:pPr>
            <w:r>
              <w:rPr>
                <w:rFonts w:eastAsia="Times New Roman"/>
                <w:color w:val="000000"/>
                <w:sz w:val="18"/>
                <w:szCs w:val="18"/>
              </w:rPr>
              <w:t>22,155 </w:t>
            </w:r>
          </w:p>
        </w:tc>
        <w:tc>
          <w:tcPr>
            <w:tcW w:w="0" w:type="auto"/>
            <w:shd w:val="clear" w:color="auto" w:fill="FFFFFF"/>
            <w:tcMar>
              <w:top w:w="30" w:type="dxa"/>
              <w:left w:w="0" w:type="dxa"/>
              <w:bottom w:w="30" w:type="dxa"/>
              <w:right w:w="20" w:type="dxa"/>
            </w:tcMar>
            <w:vAlign w:val="bottom"/>
            <w:hideMark/>
          </w:tcPr>
          <w:p w14:paraId="6AB54B3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129BE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F2AAA2"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488BC8D" w14:textId="77777777" w:rsidR="00000000" w:rsidRDefault="000C49AD">
            <w:pPr>
              <w:spacing w:after="100"/>
              <w:jc w:val="right"/>
              <w:rPr>
                <w:rFonts w:eastAsia="Times New Roman"/>
              </w:rPr>
            </w:pPr>
          </w:p>
        </w:tc>
      </w:tr>
      <w:tr w:rsidR="00000000" w14:paraId="6C5FC3E7" w14:textId="77777777">
        <w:trPr>
          <w:divId w:val="304048667"/>
        </w:trPr>
        <w:tc>
          <w:tcPr>
            <w:tcW w:w="0" w:type="auto"/>
            <w:gridSpan w:val="3"/>
            <w:shd w:val="clear" w:color="auto" w:fill="CCEEFF"/>
            <w:tcMar>
              <w:top w:w="30" w:type="dxa"/>
              <w:left w:w="155" w:type="dxa"/>
              <w:bottom w:w="30" w:type="dxa"/>
              <w:right w:w="20" w:type="dxa"/>
            </w:tcMar>
            <w:vAlign w:val="bottom"/>
            <w:hideMark/>
          </w:tcPr>
          <w:p w14:paraId="19B9AC80" w14:textId="77777777" w:rsidR="00000000" w:rsidRDefault="000C49AD">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14:paraId="031B79DA"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1E6162"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88AC77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1403E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E70B5C" w14:textId="77777777" w:rsidR="00000000" w:rsidRDefault="000C49AD">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14:paraId="23ABC31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67BD7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DB7677"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135C619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19883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8BB16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A22575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7DC66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3030EF" w14:textId="77777777" w:rsidR="00000000" w:rsidRDefault="000C49AD">
            <w:pPr>
              <w:spacing w:after="100"/>
              <w:jc w:val="right"/>
              <w:rPr>
                <w:rFonts w:eastAsia="Times New Roman"/>
              </w:rPr>
            </w:pPr>
            <w:r>
              <w:rPr>
                <w:rFonts w:eastAsia="Times New Roman"/>
                <w:color w:val="000000"/>
                <w:sz w:val="18"/>
                <w:szCs w:val="18"/>
              </w:rPr>
              <w:t>18,999 </w:t>
            </w:r>
          </w:p>
        </w:tc>
        <w:tc>
          <w:tcPr>
            <w:tcW w:w="0" w:type="auto"/>
            <w:shd w:val="clear" w:color="auto" w:fill="CCEEFF"/>
            <w:tcMar>
              <w:top w:w="30" w:type="dxa"/>
              <w:left w:w="0" w:type="dxa"/>
              <w:bottom w:w="30" w:type="dxa"/>
              <w:right w:w="20" w:type="dxa"/>
            </w:tcMar>
            <w:vAlign w:val="bottom"/>
            <w:hideMark/>
          </w:tcPr>
          <w:p w14:paraId="09D2156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8C9D7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82824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5CD9F28" w14:textId="77777777" w:rsidR="00000000" w:rsidRDefault="000C49AD">
            <w:pPr>
              <w:spacing w:after="100"/>
              <w:jc w:val="right"/>
              <w:rPr>
                <w:rFonts w:eastAsia="Times New Roman"/>
              </w:rPr>
            </w:pPr>
          </w:p>
        </w:tc>
      </w:tr>
      <w:tr w:rsidR="00000000" w14:paraId="124D3A2C" w14:textId="77777777">
        <w:trPr>
          <w:divId w:val="304048667"/>
        </w:trPr>
        <w:tc>
          <w:tcPr>
            <w:tcW w:w="0" w:type="auto"/>
            <w:gridSpan w:val="3"/>
            <w:shd w:val="clear" w:color="auto" w:fill="FFFFFF"/>
            <w:tcMar>
              <w:top w:w="30" w:type="dxa"/>
              <w:left w:w="155" w:type="dxa"/>
              <w:bottom w:w="30" w:type="dxa"/>
              <w:right w:w="20" w:type="dxa"/>
            </w:tcMar>
            <w:vAlign w:val="bottom"/>
            <w:hideMark/>
          </w:tcPr>
          <w:p w14:paraId="30EB7738" w14:textId="77777777" w:rsidR="00000000" w:rsidRDefault="000C49AD">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14:paraId="54497463"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102DA06"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572ECC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F2448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3C4F73" w14:textId="77777777" w:rsidR="00000000" w:rsidRDefault="000C49AD">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14:paraId="0DC0EF8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B1041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F723EC"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62A03B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CEA9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210A75"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09B15A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9A77E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F73A74" w14:textId="77777777" w:rsidR="00000000" w:rsidRDefault="000C49AD">
            <w:pPr>
              <w:spacing w:after="100"/>
              <w:jc w:val="right"/>
              <w:rPr>
                <w:rFonts w:eastAsia="Times New Roman"/>
              </w:rPr>
            </w:pPr>
            <w:r>
              <w:rPr>
                <w:rFonts w:eastAsia="Times New Roman"/>
                <w:color w:val="000000"/>
                <w:sz w:val="18"/>
                <w:szCs w:val="18"/>
              </w:rPr>
              <w:t>3,854 </w:t>
            </w:r>
          </w:p>
        </w:tc>
        <w:tc>
          <w:tcPr>
            <w:tcW w:w="0" w:type="auto"/>
            <w:shd w:val="clear" w:color="auto" w:fill="FFFFFF"/>
            <w:tcMar>
              <w:top w:w="30" w:type="dxa"/>
              <w:left w:w="0" w:type="dxa"/>
              <w:bottom w:w="30" w:type="dxa"/>
              <w:right w:w="20" w:type="dxa"/>
            </w:tcMar>
            <w:vAlign w:val="bottom"/>
            <w:hideMark/>
          </w:tcPr>
          <w:p w14:paraId="5F8A43F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D392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67A899"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0BBDE56" w14:textId="77777777" w:rsidR="00000000" w:rsidRDefault="000C49AD">
            <w:pPr>
              <w:spacing w:after="100"/>
              <w:jc w:val="right"/>
              <w:rPr>
                <w:rFonts w:eastAsia="Times New Roman"/>
              </w:rPr>
            </w:pPr>
          </w:p>
        </w:tc>
      </w:tr>
      <w:tr w:rsidR="00000000" w14:paraId="40A2891D" w14:textId="77777777">
        <w:trPr>
          <w:divId w:val="304048667"/>
        </w:trPr>
        <w:tc>
          <w:tcPr>
            <w:tcW w:w="0" w:type="auto"/>
            <w:gridSpan w:val="3"/>
            <w:shd w:val="clear" w:color="auto" w:fill="CCEEFF"/>
            <w:tcMar>
              <w:top w:w="30" w:type="dxa"/>
              <w:left w:w="245" w:type="dxa"/>
              <w:bottom w:w="30" w:type="dxa"/>
              <w:right w:w="20" w:type="dxa"/>
            </w:tcMar>
            <w:vAlign w:val="bottom"/>
            <w:hideMark/>
          </w:tcPr>
          <w:p w14:paraId="37BD74EA" w14:textId="77777777" w:rsidR="00000000" w:rsidRDefault="000C49AD">
            <w:pPr>
              <w:spacing w:after="100"/>
              <w:rPr>
                <w:rFonts w:eastAsia="Times New Roman"/>
              </w:rPr>
            </w:pPr>
            <w:r>
              <w:rPr>
                <w:rFonts w:eastAsia="Times New Roman"/>
                <w:color w:val="000000"/>
                <w:sz w:val="18"/>
                <w:szCs w:val="18"/>
              </w:rPr>
              <w:t>Total assets</w:t>
            </w:r>
          </w:p>
        </w:tc>
        <w:tc>
          <w:tcPr>
            <w:tcW w:w="0" w:type="auto"/>
            <w:gridSpan w:val="3"/>
            <w:shd w:val="clear" w:color="auto" w:fill="CCEEFF"/>
            <w:tcMar>
              <w:top w:w="0" w:type="dxa"/>
              <w:left w:w="20" w:type="dxa"/>
              <w:bottom w:w="0" w:type="dxa"/>
              <w:right w:w="20" w:type="dxa"/>
            </w:tcMar>
            <w:vAlign w:val="center"/>
            <w:hideMark/>
          </w:tcPr>
          <w:p w14:paraId="7A3B010F"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4A4844D"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744E84" w14:textId="77777777" w:rsidR="00000000" w:rsidRDefault="000C49AD">
            <w:pPr>
              <w:spacing w:after="100"/>
              <w:jc w:val="right"/>
              <w:rPr>
                <w:rFonts w:eastAsia="Times New Roman"/>
              </w:rPr>
            </w:pPr>
            <w:r>
              <w:rPr>
                <w:rFonts w:eastAsia="Times New Roman"/>
                <w:color w:val="000000"/>
                <w:sz w:val="18"/>
                <w:szCs w:val="18"/>
              </w:rPr>
              <w:t>78,098 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F5284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16C4E4"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8C5944"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D49318A" w14:textId="77777777" w:rsidR="00000000" w:rsidRDefault="000C49AD">
            <w:pPr>
              <w:spacing w:after="100"/>
              <w:jc w:val="right"/>
              <w:rPr>
                <w:rFonts w:eastAsia="Times New Roman"/>
              </w:rPr>
            </w:pPr>
            <w:r>
              <w:rPr>
                <w:rFonts w:eastAsia="Times New Roman"/>
                <w:color w:val="000000"/>
                <w:sz w:val="18"/>
                <w:szCs w:val="18"/>
              </w:rPr>
              <w:t>28,415 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FE389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D3725"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5C954E4"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CA8F7C" w14:textId="77777777" w:rsidR="00000000" w:rsidRDefault="000C49A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0EF6E0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CBE42"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FBE143"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FDA7C6" w14:textId="77777777" w:rsidR="00000000" w:rsidRDefault="000C49AD">
            <w:pPr>
              <w:spacing w:after="100"/>
              <w:jc w:val="right"/>
              <w:rPr>
                <w:rFonts w:eastAsia="Times New Roman"/>
              </w:rPr>
            </w:pPr>
            <w:r>
              <w:rPr>
                <w:rFonts w:eastAsia="Times New Roman"/>
                <w:color w:val="000000"/>
                <w:sz w:val="18"/>
                <w:szCs w:val="18"/>
              </w:rPr>
              <w:t>104,672 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F1A280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D765E"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D32E357"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4486FBA" w14:textId="77777777" w:rsidR="00000000" w:rsidRDefault="000C49AD">
            <w:pPr>
              <w:spacing w:after="100"/>
              <w:jc w:val="right"/>
              <w:rPr>
                <w:rFonts w:eastAsia="Times New Roman"/>
              </w:rPr>
            </w:pPr>
            <w:r>
              <w:rPr>
                <w:rFonts w:eastAsia="Times New Roman"/>
                <w:color w:val="000000"/>
                <w:sz w:val="18"/>
                <w:szCs w:val="18"/>
              </w:rPr>
              <w:t>45,008 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F2F45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53355"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DF0969"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D78F090" w14:textId="77777777" w:rsidR="00000000" w:rsidRDefault="000C49A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3B1A20D" w14:textId="77777777" w:rsidR="00000000" w:rsidRDefault="000C49AD">
            <w:pPr>
              <w:spacing w:after="100"/>
              <w:jc w:val="right"/>
              <w:rPr>
                <w:rFonts w:eastAsia="Times New Roman"/>
              </w:rPr>
            </w:pPr>
          </w:p>
        </w:tc>
      </w:tr>
    </w:tbl>
    <w:p w14:paraId="367306CF" w14:textId="77777777" w:rsidR="00000000" w:rsidRDefault="000C49AD">
      <w:pPr>
        <w:jc w:val="both"/>
        <w:rPr>
          <w:rFonts w:eastAsia="Times New Roman"/>
        </w:rPr>
      </w:pPr>
    </w:p>
    <w:p w14:paraId="75D914E7" w14:textId="77777777" w:rsidR="00000000" w:rsidRDefault="000C49AD">
      <w:pPr>
        <w:jc w:val="both"/>
        <w:rPr>
          <w:rFonts w:eastAsia="Times New Roman"/>
        </w:rPr>
      </w:pPr>
      <w:r>
        <w:rPr>
          <w:rFonts w:eastAsia="Times New Roman"/>
          <w:color w:val="000000"/>
          <w:sz w:val="20"/>
          <w:szCs w:val="20"/>
        </w:rPr>
        <w:t xml:space="preserve">A review of fair value hierarchy classifications is conducted on a quarterly basis.  Changes in the observability of valuation inputs may result in a reclassification for certain financial assets or liabilities. During the </w:t>
      </w:r>
      <w:r>
        <w:rPr>
          <w:rFonts w:eastAsia="Times New Roman"/>
          <w:color w:val="000000"/>
          <w:sz w:val="20"/>
          <w:szCs w:val="20"/>
        </w:rPr>
        <w:t>fiscal year ended December 31, 2021, there were no transfers in and out of Level 1, 2, or 3. During the twelve months ended December 31, 2021, 2020 and 2019, the Company did not recognize any allowances for credit losses.</w:t>
      </w:r>
    </w:p>
    <w:p w14:paraId="2403DCBA" w14:textId="77777777" w:rsidR="00000000" w:rsidRDefault="000C49AD">
      <w:pPr>
        <w:jc w:val="both"/>
        <w:rPr>
          <w:rFonts w:eastAsia="Times New Roman"/>
        </w:rPr>
      </w:pPr>
    </w:p>
    <w:p w14:paraId="43379A52" w14:textId="77777777" w:rsidR="00000000" w:rsidRDefault="000C49AD">
      <w:pPr>
        <w:jc w:val="both"/>
        <w:rPr>
          <w:rFonts w:eastAsia="Times New Roman"/>
        </w:rPr>
      </w:pPr>
      <w:r>
        <w:rPr>
          <w:rFonts w:eastAsia="Times New Roman"/>
          <w:color w:val="000000"/>
          <w:sz w:val="20"/>
          <w:szCs w:val="20"/>
        </w:rPr>
        <w:t xml:space="preserve">Some of the Company’s financial </w:t>
      </w:r>
      <w:r>
        <w:rPr>
          <w:rFonts w:eastAsia="Times New Roman"/>
          <w:color w:val="000000"/>
          <w:sz w:val="20"/>
          <w:szCs w:val="20"/>
        </w:rPr>
        <w:t>instruments, such as cash and cash equivalents and accounts payable, are reflected in the balance sheet at carrying value, which approximates fair value due to their short-term nature.</w:t>
      </w:r>
    </w:p>
    <w:p w14:paraId="472811F5" w14:textId="77777777" w:rsidR="00000000" w:rsidRDefault="000C49AD">
      <w:pPr>
        <w:jc w:val="both"/>
        <w:rPr>
          <w:rFonts w:eastAsia="Times New Roman"/>
        </w:rPr>
      </w:pPr>
    </w:p>
    <w:p w14:paraId="6745B97F" w14:textId="77777777" w:rsidR="00000000" w:rsidRDefault="000C49AD">
      <w:pPr>
        <w:jc w:val="both"/>
        <w:rPr>
          <w:rFonts w:eastAsia="Times New Roman"/>
        </w:rPr>
      </w:pPr>
      <w:r>
        <w:rPr>
          <w:rFonts w:eastAsia="Times New Roman"/>
          <w:i/>
          <w:iCs/>
          <w:color w:val="000000"/>
          <w:sz w:val="20"/>
          <w:szCs w:val="20"/>
        </w:rPr>
        <w:t>Debt</w:t>
      </w:r>
    </w:p>
    <w:p w14:paraId="78EA20A3" w14:textId="77777777" w:rsidR="00000000" w:rsidRDefault="000C49AD">
      <w:pPr>
        <w:jc w:val="both"/>
        <w:rPr>
          <w:rFonts w:eastAsia="Times New Roman"/>
        </w:rPr>
      </w:pPr>
    </w:p>
    <w:p w14:paraId="48F315CF" w14:textId="77777777" w:rsidR="00000000" w:rsidRDefault="000C49AD">
      <w:pPr>
        <w:jc w:val="both"/>
        <w:rPr>
          <w:rFonts w:eastAsia="Times New Roman"/>
        </w:rPr>
      </w:pPr>
      <w:r>
        <w:rPr>
          <w:rFonts w:eastAsia="Times New Roman"/>
          <w:color w:val="000000"/>
          <w:sz w:val="20"/>
          <w:szCs w:val="20"/>
        </w:rPr>
        <w:t>The Company estimates the fair value of its $143,750 aggregate</w:t>
      </w:r>
      <w:r>
        <w:rPr>
          <w:rFonts w:eastAsia="Times New Roman"/>
          <w:color w:val="000000"/>
          <w:sz w:val="20"/>
          <w:szCs w:val="20"/>
        </w:rPr>
        <w:t xml:space="preserve"> principal amount of the 2023 Notes based on interest rates that would be currently available to the Company for issuance of similar types of debt instruments with similar terms and remaining maturities or recent trading prices obtained from brokers (a Lev</w:t>
      </w:r>
      <w:r>
        <w:rPr>
          <w:rFonts w:eastAsia="Times New Roman"/>
          <w:color w:val="000000"/>
          <w:sz w:val="20"/>
          <w:szCs w:val="20"/>
        </w:rPr>
        <w:t>el 2 input). The estimated fair value of the 2023 Notes at December 31, 2021 is $153,273. See </w:t>
      </w:r>
      <w:r>
        <w:rPr>
          <w:rFonts w:eastAsia="Times New Roman"/>
          <w:i/>
          <w:iCs/>
          <w:color w:val="000000"/>
          <w:sz w:val="20"/>
          <w:szCs w:val="20"/>
        </w:rPr>
        <w:t>Note 11: Long-Term Debt</w:t>
      </w:r>
      <w:r>
        <w:rPr>
          <w:rFonts w:eastAsia="Times New Roman"/>
          <w:color w:val="000000"/>
          <w:sz w:val="20"/>
          <w:szCs w:val="20"/>
        </w:rPr>
        <w:t> for additional information regarding the Company’s debt obligations.</w:t>
      </w:r>
    </w:p>
    <w:p w14:paraId="30988522" w14:textId="77777777" w:rsidR="00000000" w:rsidRDefault="000C49AD">
      <w:pPr>
        <w:jc w:val="both"/>
        <w:rPr>
          <w:rFonts w:eastAsia="Times New Roman"/>
        </w:rPr>
      </w:pPr>
    </w:p>
    <w:p w14:paraId="66384882" w14:textId="77777777" w:rsidR="00000000" w:rsidRDefault="000C49AD">
      <w:pPr>
        <w:jc w:val="both"/>
        <w:divId w:val="575936087"/>
        <w:rPr>
          <w:rFonts w:eastAsia="Times New Roman"/>
        </w:rPr>
      </w:pPr>
      <w:r>
        <w:rPr>
          <w:rFonts w:eastAsia="Times New Roman"/>
          <w:b/>
          <w:bCs/>
          <w:color w:val="000000"/>
          <w:sz w:val="20"/>
          <w:szCs w:val="20"/>
        </w:rPr>
        <w:t>NOTE 7:</w:t>
      </w:r>
      <w:r>
        <w:rPr>
          <w:rFonts w:eastAsia="Times New Roman"/>
          <w:color w:val="000000"/>
          <w:sz w:val="20"/>
          <w:szCs w:val="20"/>
        </w:rPr>
        <w:t xml:space="preserve"> </w:t>
      </w:r>
      <w:r>
        <w:rPr>
          <w:rFonts w:eastAsia="Times New Roman"/>
          <w:b/>
          <w:bCs/>
          <w:color w:val="000000"/>
          <w:sz w:val="20"/>
          <w:szCs w:val="20"/>
        </w:rPr>
        <w:t>Marketable Securities </w:t>
      </w:r>
    </w:p>
    <w:p w14:paraId="1842974B" w14:textId="77777777" w:rsidR="00000000" w:rsidRDefault="000C49AD">
      <w:pPr>
        <w:jc w:val="both"/>
        <w:rPr>
          <w:rFonts w:eastAsia="Times New Roman"/>
        </w:rPr>
      </w:pPr>
      <w:r>
        <w:rPr>
          <w:rFonts w:eastAsia="Times New Roman"/>
          <w:color w:val="000000"/>
          <w:sz w:val="20"/>
          <w:szCs w:val="20"/>
        </w:rPr>
        <w:t>The Company has investments in available-for-sale debt securities that are recorded at fair market value. The change in the fair value of available-for-sale debt investments is recorded as accumulated other comprehensive loss in shareholders’ equity, net o</w:t>
      </w:r>
      <w:r>
        <w:rPr>
          <w:rFonts w:eastAsia="Times New Roman"/>
          <w:color w:val="000000"/>
          <w:sz w:val="20"/>
          <w:szCs w:val="20"/>
        </w:rPr>
        <w:t>f income tax effects. As of December 31, 2021, the Company considered any decreases in fair value on its marketable securities to be driven by factors other than credit risk, including market risk.</w:t>
      </w:r>
    </w:p>
    <w:p w14:paraId="4DB2D995" w14:textId="77777777" w:rsidR="00000000" w:rsidRDefault="000C49AD">
      <w:pPr>
        <w:jc w:val="both"/>
        <w:rPr>
          <w:rFonts w:eastAsia="Times New Roman"/>
        </w:rPr>
      </w:pPr>
    </w:p>
    <w:p w14:paraId="615211F4" w14:textId="77777777" w:rsidR="00000000" w:rsidRDefault="000C49AD">
      <w:pPr>
        <w:jc w:val="both"/>
        <w:rPr>
          <w:rFonts w:eastAsia="Times New Roman"/>
        </w:rPr>
      </w:pPr>
      <w:r>
        <w:rPr>
          <w:rFonts w:eastAsia="Times New Roman"/>
          <w:color w:val="000000"/>
          <w:sz w:val="20"/>
          <w:szCs w:val="20"/>
        </w:rPr>
        <w:t>The following tables show the Company’s available-for-sa</w:t>
      </w:r>
      <w:r>
        <w:rPr>
          <w:rFonts w:eastAsia="Times New Roman"/>
          <w:color w:val="000000"/>
          <w:sz w:val="20"/>
          <w:szCs w:val="20"/>
        </w:rPr>
        <w:t>le securities’ adjusted cost, gross unrealized gains, gross unrealized losses and fair value by significant investment category as of December 31, 2021 and 2020, respectively:</w:t>
      </w:r>
    </w:p>
    <w:tbl>
      <w:tblPr>
        <w:tblW w:w="4978" w:type="pct"/>
        <w:tblCellMar>
          <w:top w:w="15" w:type="dxa"/>
          <w:left w:w="15" w:type="dxa"/>
          <w:bottom w:w="15" w:type="dxa"/>
          <w:right w:w="15" w:type="dxa"/>
        </w:tblCellMar>
        <w:tblLook w:val="04A0" w:firstRow="1" w:lastRow="0" w:firstColumn="1" w:lastColumn="0" w:noHBand="0" w:noVBand="1"/>
      </w:tblPr>
      <w:tblGrid>
        <w:gridCol w:w="38"/>
        <w:gridCol w:w="3663"/>
        <w:gridCol w:w="37"/>
        <w:gridCol w:w="36"/>
        <w:gridCol w:w="36"/>
        <w:gridCol w:w="36"/>
        <w:gridCol w:w="110"/>
        <w:gridCol w:w="877"/>
        <w:gridCol w:w="36"/>
        <w:gridCol w:w="36"/>
        <w:gridCol w:w="36"/>
        <w:gridCol w:w="36"/>
        <w:gridCol w:w="111"/>
        <w:gridCol w:w="878"/>
        <w:gridCol w:w="36"/>
        <w:gridCol w:w="36"/>
        <w:gridCol w:w="36"/>
        <w:gridCol w:w="36"/>
        <w:gridCol w:w="111"/>
        <w:gridCol w:w="879"/>
        <w:gridCol w:w="36"/>
        <w:gridCol w:w="36"/>
        <w:gridCol w:w="36"/>
        <w:gridCol w:w="36"/>
        <w:gridCol w:w="110"/>
        <w:gridCol w:w="879"/>
        <w:gridCol w:w="36"/>
      </w:tblGrid>
      <w:tr w:rsidR="00000000" w14:paraId="6670ACFF" w14:textId="77777777">
        <w:trPr>
          <w:divId w:val="853610308"/>
        </w:trPr>
        <w:tc>
          <w:tcPr>
            <w:tcW w:w="50" w:type="pct"/>
            <w:vAlign w:val="center"/>
            <w:hideMark/>
          </w:tcPr>
          <w:p w14:paraId="24879BE7" w14:textId="77777777" w:rsidR="00000000" w:rsidRDefault="000C49AD">
            <w:pPr>
              <w:jc w:val="both"/>
              <w:rPr>
                <w:rFonts w:eastAsia="Times New Roman"/>
              </w:rPr>
            </w:pPr>
          </w:p>
        </w:tc>
        <w:tc>
          <w:tcPr>
            <w:tcW w:w="2243" w:type="pct"/>
            <w:vAlign w:val="center"/>
            <w:hideMark/>
          </w:tcPr>
          <w:p w14:paraId="0174B3BB" w14:textId="77777777" w:rsidR="00000000" w:rsidRDefault="000C49AD">
            <w:pPr>
              <w:spacing w:after="100"/>
              <w:rPr>
                <w:rFonts w:eastAsia="Times New Roman"/>
                <w:sz w:val="20"/>
                <w:szCs w:val="20"/>
              </w:rPr>
            </w:pPr>
          </w:p>
        </w:tc>
        <w:tc>
          <w:tcPr>
            <w:tcW w:w="5" w:type="pct"/>
            <w:vAlign w:val="center"/>
            <w:hideMark/>
          </w:tcPr>
          <w:p w14:paraId="751FB2FF" w14:textId="77777777" w:rsidR="00000000" w:rsidRDefault="000C49AD">
            <w:pPr>
              <w:spacing w:after="100"/>
              <w:rPr>
                <w:rFonts w:eastAsia="Times New Roman"/>
                <w:sz w:val="20"/>
                <w:szCs w:val="20"/>
              </w:rPr>
            </w:pPr>
          </w:p>
        </w:tc>
        <w:tc>
          <w:tcPr>
            <w:tcW w:w="5" w:type="pct"/>
            <w:vAlign w:val="center"/>
            <w:hideMark/>
          </w:tcPr>
          <w:p w14:paraId="5C22C4F7" w14:textId="77777777" w:rsidR="00000000" w:rsidRDefault="000C49AD">
            <w:pPr>
              <w:spacing w:after="100"/>
              <w:rPr>
                <w:rFonts w:eastAsia="Times New Roman"/>
                <w:sz w:val="20"/>
                <w:szCs w:val="20"/>
              </w:rPr>
            </w:pPr>
          </w:p>
        </w:tc>
        <w:tc>
          <w:tcPr>
            <w:tcW w:w="26" w:type="pct"/>
            <w:vAlign w:val="center"/>
            <w:hideMark/>
          </w:tcPr>
          <w:p w14:paraId="3CEB2580" w14:textId="77777777" w:rsidR="00000000" w:rsidRDefault="000C49AD">
            <w:pPr>
              <w:spacing w:after="100"/>
              <w:rPr>
                <w:rFonts w:eastAsia="Times New Roman"/>
                <w:sz w:val="20"/>
                <w:szCs w:val="20"/>
              </w:rPr>
            </w:pPr>
          </w:p>
        </w:tc>
        <w:tc>
          <w:tcPr>
            <w:tcW w:w="5" w:type="pct"/>
            <w:vAlign w:val="center"/>
            <w:hideMark/>
          </w:tcPr>
          <w:p w14:paraId="240A7D50" w14:textId="77777777" w:rsidR="00000000" w:rsidRDefault="000C49AD">
            <w:pPr>
              <w:spacing w:after="100"/>
              <w:rPr>
                <w:rFonts w:eastAsia="Times New Roman"/>
                <w:sz w:val="20"/>
                <w:szCs w:val="20"/>
              </w:rPr>
            </w:pPr>
          </w:p>
        </w:tc>
        <w:tc>
          <w:tcPr>
            <w:tcW w:w="50" w:type="pct"/>
            <w:vAlign w:val="center"/>
            <w:hideMark/>
          </w:tcPr>
          <w:p w14:paraId="4176296C" w14:textId="77777777" w:rsidR="00000000" w:rsidRDefault="000C49AD">
            <w:pPr>
              <w:spacing w:after="100"/>
              <w:rPr>
                <w:rFonts w:eastAsia="Times New Roman"/>
                <w:sz w:val="20"/>
                <w:szCs w:val="20"/>
              </w:rPr>
            </w:pPr>
          </w:p>
        </w:tc>
        <w:tc>
          <w:tcPr>
            <w:tcW w:w="583" w:type="pct"/>
            <w:vAlign w:val="center"/>
            <w:hideMark/>
          </w:tcPr>
          <w:p w14:paraId="6D1FF963" w14:textId="77777777" w:rsidR="00000000" w:rsidRDefault="000C49AD">
            <w:pPr>
              <w:spacing w:after="100"/>
              <w:rPr>
                <w:rFonts w:eastAsia="Times New Roman"/>
                <w:sz w:val="20"/>
                <w:szCs w:val="20"/>
              </w:rPr>
            </w:pPr>
          </w:p>
        </w:tc>
        <w:tc>
          <w:tcPr>
            <w:tcW w:w="5" w:type="pct"/>
            <w:vAlign w:val="center"/>
            <w:hideMark/>
          </w:tcPr>
          <w:p w14:paraId="7EAF2D0B" w14:textId="77777777" w:rsidR="00000000" w:rsidRDefault="000C49AD">
            <w:pPr>
              <w:spacing w:after="100"/>
              <w:rPr>
                <w:rFonts w:eastAsia="Times New Roman"/>
                <w:sz w:val="20"/>
                <w:szCs w:val="20"/>
              </w:rPr>
            </w:pPr>
          </w:p>
        </w:tc>
        <w:tc>
          <w:tcPr>
            <w:tcW w:w="5" w:type="pct"/>
            <w:vAlign w:val="center"/>
            <w:hideMark/>
          </w:tcPr>
          <w:p w14:paraId="215FF65C" w14:textId="77777777" w:rsidR="00000000" w:rsidRDefault="000C49AD">
            <w:pPr>
              <w:spacing w:after="100"/>
              <w:rPr>
                <w:rFonts w:eastAsia="Times New Roman"/>
                <w:sz w:val="20"/>
                <w:szCs w:val="20"/>
              </w:rPr>
            </w:pPr>
          </w:p>
        </w:tc>
        <w:tc>
          <w:tcPr>
            <w:tcW w:w="26" w:type="pct"/>
            <w:vAlign w:val="center"/>
            <w:hideMark/>
          </w:tcPr>
          <w:p w14:paraId="797AE888" w14:textId="77777777" w:rsidR="00000000" w:rsidRDefault="000C49AD">
            <w:pPr>
              <w:spacing w:after="100"/>
              <w:rPr>
                <w:rFonts w:eastAsia="Times New Roman"/>
                <w:sz w:val="20"/>
                <w:szCs w:val="20"/>
              </w:rPr>
            </w:pPr>
          </w:p>
        </w:tc>
        <w:tc>
          <w:tcPr>
            <w:tcW w:w="5" w:type="pct"/>
            <w:vAlign w:val="center"/>
            <w:hideMark/>
          </w:tcPr>
          <w:p w14:paraId="7B37A3B0" w14:textId="77777777" w:rsidR="00000000" w:rsidRDefault="000C49AD">
            <w:pPr>
              <w:spacing w:after="100"/>
              <w:rPr>
                <w:rFonts w:eastAsia="Times New Roman"/>
                <w:sz w:val="20"/>
                <w:szCs w:val="20"/>
              </w:rPr>
            </w:pPr>
          </w:p>
        </w:tc>
        <w:tc>
          <w:tcPr>
            <w:tcW w:w="50" w:type="pct"/>
            <w:vAlign w:val="center"/>
            <w:hideMark/>
          </w:tcPr>
          <w:p w14:paraId="208F8190" w14:textId="77777777" w:rsidR="00000000" w:rsidRDefault="000C49AD">
            <w:pPr>
              <w:spacing w:after="100"/>
              <w:rPr>
                <w:rFonts w:eastAsia="Times New Roman"/>
                <w:sz w:val="20"/>
                <w:szCs w:val="20"/>
              </w:rPr>
            </w:pPr>
          </w:p>
        </w:tc>
        <w:tc>
          <w:tcPr>
            <w:tcW w:w="583" w:type="pct"/>
            <w:vAlign w:val="center"/>
            <w:hideMark/>
          </w:tcPr>
          <w:p w14:paraId="3C6A3712" w14:textId="77777777" w:rsidR="00000000" w:rsidRDefault="000C49AD">
            <w:pPr>
              <w:spacing w:after="100"/>
              <w:rPr>
                <w:rFonts w:eastAsia="Times New Roman"/>
                <w:sz w:val="20"/>
                <w:szCs w:val="20"/>
              </w:rPr>
            </w:pPr>
          </w:p>
        </w:tc>
        <w:tc>
          <w:tcPr>
            <w:tcW w:w="5" w:type="pct"/>
            <w:vAlign w:val="center"/>
            <w:hideMark/>
          </w:tcPr>
          <w:p w14:paraId="51CF8B80" w14:textId="77777777" w:rsidR="00000000" w:rsidRDefault="000C49AD">
            <w:pPr>
              <w:spacing w:after="100"/>
              <w:rPr>
                <w:rFonts w:eastAsia="Times New Roman"/>
                <w:sz w:val="20"/>
                <w:szCs w:val="20"/>
              </w:rPr>
            </w:pPr>
          </w:p>
        </w:tc>
        <w:tc>
          <w:tcPr>
            <w:tcW w:w="5" w:type="pct"/>
            <w:vAlign w:val="center"/>
            <w:hideMark/>
          </w:tcPr>
          <w:p w14:paraId="22277ECD" w14:textId="77777777" w:rsidR="00000000" w:rsidRDefault="000C49AD">
            <w:pPr>
              <w:spacing w:after="100"/>
              <w:rPr>
                <w:rFonts w:eastAsia="Times New Roman"/>
                <w:sz w:val="20"/>
                <w:szCs w:val="20"/>
              </w:rPr>
            </w:pPr>
          </w:p>
        </w:tc>
        <w:tc>
          <w:tcPr>
            <w:tcW w:w="26" w:type="pct"/>
            <w:vAlign w:val="center"/>
            <w:hideMark/>
          </w:tcPr>
          <w:p w14:paraId="60383505" w14:textId="77777777" w:rsidR="00000000" w:rsidRDefault="000C49AD">
            <w:pPr>
              <w:spacing w:after="100"/>
              <w:rPr>
                <w:rFonts w:eastAsia="Times New Roman"/>
                <w:sz w:val="20"/>
                <w:szCs w:val="20"/>
              </w:rPr>
            </w:pPr>
          </w:p>
        </w:tc>
        <w:tc>
          <w:tcPr>
            <w:tcW w:w="5" w:type="pct"/>
            <w:vAlign w:val="center"/>
            <w:hideMark/>
          </w:tcPr>
          <w:p w14:paraId="6756E3A5" w14:textId="77777777" w:rsidR="00000000" w:rsidRDefault="000C49AD">
            <w:pPr>
              <w:spacing w:after="100"/>
              <w:rPr>
                <w:rFonts w:eastAsia="Times New Roman"/>
                <w:sz w:val="20"/>
                <w:szCs w:val="20"/>
              </w:rPr>
            </w:pPr>
          </w:p>
        </w:tc>
        <w:tc>
          <w:tcPr>
            <w:tcW w:w="50" w:type="pct"/>
            <w:vAlign w:val="center"/>
            <w:hideMark/>
          </w:tcPr>
          <w:p w14:paraId="0B682130" w14:textId="77777777" w:rsidR="00000000" w:rsidRDefault="000C49AD">
            <w:pPr>
              <w:spacing w:after="100"/>
              <w:rPr>
                <w:rFonts w:eastAsia="Times New Roman"/>
                <w:sz w:val="20"/>
                <w:szCs w:val="20"/>
              </w:rPr>
            </w:pPr>
          </w:p>
        </w:tc>
        <w:tc>
          <w:tcPr>
            <w:tcW w:w="583" w:type="pct"/>
            <w:vAlign w:val="center"/>
            <w:hideMark/>
          </w:tcPr>
          <w:p w14:paraId="34CDE5A9" w14:textId="77777777" w:rsidR="00000000" w:rsidRDefault="000C49AD">
            <w:pPr>
              <w:spacing w:after="100"/>
              <w:rPr>
                <w:rFonts w:eastAsia="Times New Roman"/>
                <w:sz w:val="20"/>
                <w:szCs w:val="20"/>
              </w:rPr>
            </w:pPr>
          </w:p>
        </w:tc>
        <w:tc>
          <w:tcPr>
            <w:tcW w:w="5" w:type="pct"/>
            <w:vAlign w:val="center"/>
            <w:hideMark/>
          </w:tcPr>
          <w:p w14:paraId="59F05936" w14:textId="77777777" w:rsidR="00000000" w:rsidRDefault="000C49AD">
            <w:pPr>
              <w:spacing w:after="100"/>
              <w:rPr>
                <w:rFonts w:eastAsia="Times New Roman"/>
                <w:sz w:val="20"/>
                <w:szCs w:val="20"/>
              </w:rPr>
            </w:pPr>
          </w:p>
        </w:tc>
        <w:tc>
          <w:tcPr>
            <w:tcW w:w="5" w:type="pct"/>
            <w:vAlign w:val="center"/>
            <w:hideMark/>
          </w:tcPr>
          <w:p w14:paraId="749B5E21" w14:textId="77777777" w:rsidR="00000000" w:rsidRDefault="000C49AD">
            <w:pPr>
              <w:spacing w:after="100"/>
              <w:rPr>
                <w:rFonts w:eastAsia="Times New Roman"/>
                <w:sz w:val="20"/>
                <w:szCs w:val="20"/>
              </w:rPr>
            </w:pPr>
          </w:p>
        </w:tc>
        <w:tc>
          <w:tcPr>
            <w:tcW w:w="26" w:type="pct"/>
            <w:vAlign w:val="center"/>
            <w:hideMark/>
          </w:tcPr>
          <w:p w14:paraId="07771F50" w14:textId="77777777" w:rsidR="00000000" w:rsidRDefault="000C49AD">
            <w:pPr>
              <w:spacing w:after="100"/>
              <w:rPr>
                <w:rFonts w:eastAsia="Times New Roman"/>
                <w:sz w:val="20"/>
                <w:szCs w:val="20"/>
              </w:rPr>
            </w:pPr>
          </w:p>
        </w:tc>
        <w:tc>
          <w:tcPr>
            <w:tcW w:w="5" w:type="pct"/>
            <w:vAlign w:val="center"/>
            <w:hideMark/>
          </w:tcPr>
          <w:p w14:paraId="7FF8F555" w14:textId="77777777" w:rsidR="00000000" w:rsidRDefault="000C49AD">
            <w:pPr>
              <w:spacing w:after="100"/>
              <w:rPr>
                <w:rFonts w:eastAsia="Times New Roman"/>
                <w:sz w:val="20"/>
                <w:szCs w:val="20"/>
              </w:rPr>
            </w:pPr>
          </w:p>
        </w:tc>
        <w:tc>
          <w:tcPr>
            <w:tcW w:w="50" w:type="pct"/>
            <w:vAlign w:val="center"/>
            <w:hideMark/>
          </w:tcPr>
          <w:p w14:paraId="0CE8C3B4" w14:textId="77777777" w:rsidR="00000000" w:rsidRDefault="000C49AD">
            <w:pPr>
              <w:spacing w:after="100"/>
              <w:rPr>
                <w:rFonts w:eastAsia="Times New Roman"/>
                <w:sz w:val="20"/>
                <w:szCs w:val="20"/>
              </w:rPr>
            </w:pPr>
          </w:p>
        </w:tc>
        <w:tc>
          <w:tcPr>
            <w:tcW w:w="583" w:type="pct"/>
            <w:vAlign w:val="center"/>
            <w:hideMark/>
          </w:tcPr>
          <w:p w14:paraId="58A893C0" w14:textId="77777777" w:rsidR="00000000" w:rsidRDefault="000C49AD">
            <w:pPr>
              <w:spacing w:after="100"/>
              <w:rPr>
                <w:rFonts w:eastAsia="Times New Roman"/>
                <w:sz w:val="20"/>
                <w:szCs w:val="20"/>
              </w:rPr>
            </w:pPr>
          </w:p>
        </w:tc>
        <w:tc>
          <w:tcPr>
            <w:tcW w:w="5" w:type="pct"/>
            <w:vAlign w:val="center"/>
            <w:hideMark/>
          </w:tcPr>
          <w:p w14:paraId="563911E7" w14:textId="77777777" w:rsidR="00000000" w:rsidRDefault="000C49AD">
            <w:pPr>
              <w:spacing w:after="100"/>
              <w:rPr>
                <w:rFonts w:eastAsia="Times New Roman"/>
                <w:sz w:val="20"/>
                <w:szCs w:val="20"/>
              </w:rPr>
            </w:pPr>
          </w:p>
        </w:tc>
      </w:tr>
      <w:tr w:rsidR="00000000" w14:paraId="16F169AC" w14:textId="77777777">
        <w:trPr>
          <w:divId w:val="853610308"/>
        </w:trPr>
        <w:tc>
          <w:tcPr>
            <w:tcW w:w="0" w:type="auto"/>
            <w:gridSpan w:val="3"/>
            <w:tcMar>
              <w:top w:w="0" w:type="dxa"/>
              <w:left w:w="20" w:type="dxa"/>
              <w:bottom w:w="0" w:type="dxa"/>
              <w:right w:w="20" w:type="dxa"/>
            </w:tcMar>
            <w:vAlign w:val="center"/>
            <w:hideMark/>
          </w:tcPr>
          <w:p w14:paraId="0BA9A9ED"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E8A32C" w14:textId="77777777" w:rsidR="00000000" w:rsidRDefault="000C49AD">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25C879B2" w14:textId="77777777" w:rsidR="00000000" w:rsidRDefault="000C49AD">
            <w:pPr>
              <w:spacing w:after="100"/>
              <w:jc w:val="center"/>
              <w:rPr>
                <w:rFonts w:eastAsia="Times New Roman"/>
              </w:rPr>
            </w:pPr>
            <w:r>
              <w:rPr>
                <w:rFonts w:eastAsia="Times New Roman"/>
                <w:b/>
                <w:bCs/>
                <w:color w:val="000000"/>
                <w:sz w:val="18"/>
                <w:szCs w:val="18"/>
              </w:rPr>
              <w:t>2021</w:t>
            </w:r>
          </w:p>
        </w:tc>
      </w:tr>
      <w:tr w:rsidR="00000000" w14:paraId="17C5A64A" w14:textId="77777777">
        <w:trPr>
          <w:divId w:val="853610308"/>
        </w:trPr>
        <w:tc>
          <w:tcPr>
            <w:tcW w:w="0" w:type="auto"/>
            <w:gridSpan w:val="3"/>
            <w:tcMar>
              <w:top w:w="30" w:type="dxa"/>
              <w:left w:w="20" w:type="dxa"/>
              <w:bottom w:w="30" w:type="dxa"/>
              <w:right w:w="20" w:type="dxa"/>
            </w:tcMar>
            <w:vAlign w:val="bottom"/>
            <w:hideMark/>
          </w:tcPr>
          <w:p w14:paraId="466FB451" w14:textId="77777777" w:rsidR="00000000" w:rsidRDefault="000C49AD">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14:paraId="4665502E"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7C1DCDD" w14:textId="77777777" w:rsidR="00000000" w:rsidRDefault="000C49AD">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14:paraId="2342D032"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539D3B2" w14:textId="77777777" w:rsidR="00000000" w:rsidRDefault="000C49AD">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267B4316"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1C95A4A" w14:textId="77777777" w:rsidR="00000000" w:rsidRDefault="000C49AD">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14:paraId="0499A4AD"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54F2185" w14:textId="77777777" w:rsidR="00000000" w:rsidRDefault="000C49AD">
            <w:pPr>
              <w:spacing w:after="100"/>
              <w:jc w:val="center"/>
              <w:rPr>
                <w:rFonts w:eastAsia="Times New Roman"/>
              </w:rPr>
            </w:pPr>
            <w:r>
              <w:rPr>
                <w:rFonts w:eastAsia="Times New Roman"/>
                <w:b/>
                <w:bCs/>
                <w:color w:val="000000"/>
                <w:sz w:val="18"/>
                <w:szCs w:val="18"/>
              </w:rPr>
              <w:t>Fair Value</w:t>
            </w:r>
          </w:p>
        </w:tc>
      </w:tr>
      <w:tr w:rsidR="00000000" w14:paraId="6802E1DC" w14:textId="77777777">
        <w:trPr>
          <w:divId w:val="853610308"/>
          <w:trHeight w:val="60"/>
        </w:trPr>
        <w:tc>
          <w:tcPr>
            <w:tcW w:w="0" w:type="auto"/>
            <w:gridSpan w:val="3"/>
            <w:tcBorders>
              <w:top w:val="single" w:sz="8" w:space="0" w:color="000000"/>
            </w:tcBorders>
            <w:tcMar>
              <w:top w:w="0" w:type="dxa"/>
              <w:left w:w="20" w:type="dxa"/>
              <w:bottom w:w="0" w:type="dxa"/>
              <w:right w:w="20" w:type="dxa"/>
            </w:tcMar>
            <w:vAlign w:val="center"/>
            <w:hideMark/>
          </w:tcPr>
          <w:p w14:paraId="1489167D"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A307653"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3841D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42C053"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0D92D9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B68983"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C6655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2BADDF"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FBA4557" w14:textId="77777777" w:rsidR="00000000" w:rsidRDefault="000C49AD">
            <w:pPr>
              <w:spacing w:after="100"/>
              <w:rPr>
                <w:rFonts w:eastAsia="Times New Roman"/>
                <w:sz w:val="20"/>
                <w:szCs w:val="20"/>
              </w:rPr>
            </w:pPr>
          </w:p>
        </w:tc>
      </w:tr>
      <w:tr w:rsidR="00000000" w14:paraId="0512B547" w14:textId="77777777">
        <w:trPr>
          <w:divId w:val="853610308"/>
        </w:trPr>
        <w:tc>
          <w:tcPr>
            <w:tcW w:w="0" w:type="auto"/>
            <w:gridSpan w:val="3"/>
            <w:shd w:val="clear" w:color="auto" w:fill="CCEEFF"/>
            <w:tcMar>
              <w:top w:w="30" w:type="dxa"/>
              <w:left w:w="245" w:type="dxa"/>
              <w:bottom w:w="30" w:type="dxa"/>
              <w:right w:w="20" w:type="dxa"/>
            </w:tcMar>
            <w:vAlign w:val="bottom"/>
            <w:hideMark/>
          </w:tcPr>
          <w:p w14:paraId="519FAB28" w14:textId="77777777" w:rsidR="00000000" w:rsidRDefault="000C49AD">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14:paraId="75760F7F"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D3D5F8A"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6871A42" w14:textId="77777777" w:rsidR="00000000" w:rsidRDefault="000C49AD">
            <w:pPr>
              <w:spacing w:after="100"/>
              <w:jc w:val="right"/>
              <w:rPr>
                <w:rFonts w:eastAsia="Times New Roman"/>
              </w:rPr>
            </w:pPr>
            <w:r>
              <w:rPr>
                <w:rFonts w:eastAsia="Times New Roman"/>
                <w:color w:val="000000"/>
                <w:sz w:val="18"/>
                <w:szCs w:val="18"/>
              </w:rPr>
              <w:t>78,331 </w:t>
            </w:r>
          </w:p>
        </w:tc>
        <w:tc>
          <w:tcPr>
            <w:tcW w:w="0" w:type="auto"/>
            <w:shd w:val="clear" w:color="auto" w:fill="CCEEFF"/>
            <w:tcMar>
              <w:top w:w="30" w:type="dxa"/>
              <w:left w:w="0" w:type="dxa"/>
              <w:bottom w:w="30" w:type="dxa"/>
              <w:right w:w="20" w:type="dxa"/>
            </w:tcMar>
            <w:vAlign w:val="bottom"/>
            <w:hideMark/>
          </w:tcPr>
          <w:p w14:paraId="480729B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D96112"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6DE3D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5CA1243" w14:textId="77777777" w:rsidR="00000000" w:rsidRDefault="000C49AD">
            <w:pPr>
              <w:spacing w:after="100"/>
              <w:jc w:val="right"/>
              <w:rPr>
                <w:rFonts w:eastAsia="Times New Roman"/>
              </w:rPr>
            </w:pPr>
            <w:r>
              <w:rPr>
                <w:rFonts w:eastAsia="Times New Roman"/>
                <w:color w:val="000000"/>
                <w:sz w:val="18"/>
                <w:szCs w:val="18"/>
              </w:rPr>
              <w:t>813 </w:t>
            </w:r>
          </w:p>
        </w:tc>
        <w:tc>
          <w:tcPr>
            <w:tcW w:w="0" w:type="auto"/>
            <w:shd w:val="clear" w:color="auto" w:fill="CCEEFF"/>
            <w:tcMar>
              <w:top w:w="30" w:type="dxa"/>
              <w:left w:w="0" w:type="dxa"/>
              <w:bottom w:w="30" w:type="dxa"/>
              <w:right w:w="20" w:type="dxa"/>
            </w:tcMar>
            <w:vAlign w:val="bottom"/>
            <w:hideMark/>
          </w:tcPr>
          <w:p w14:paraId="342B4A7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38A11"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D64B72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D2E1C8" w14:textId="77777777" w:rsidR="00000000" w:rsidRDefault="000C49AD">
            <w:pPr>
              <w:spacing w:after="100"/>
              <w:jc w:val="right"/>
              <w:rPr>
                <w:rFonts w:eastAsia="Times New Roman"/>
              </w:rPr>
            </w:pPr>
            <w:r>
              <w:rPr>
                <w:rFonts w:eastAsia="Times New Roman"/>
                <w:color w:val="000000"/>
                <w:sz w:val="18"/>
                <w:szCs w:val="18"/>
              </w:rPr>
              <w:t>(1,046)</w:t>
            </w:r>
          </w:p>
        </w:tc>
        <w:tc>
          <w:tcPr>
            <w:tcW w:w="0" w:type="auto"/>
            <w:shd w:val="clear" w:color="auto" w:fill="CCEEFF"/>
            <w:tcMar>
              <w:top w:w="30" w:type="dxa"/>
              <w:left w:w="0" w:type="dxa"/>
              <w:bottom w:w="30" w:type="dxa"/>
              <w:right w:w="20" w:type="dxa"/>
            </w:tcMar>
            <w:vAlign w:val="bottom"/>
            <w:hideMark/>
          </w:tcPr>
          <w:p w14:paraId="042C795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6F317"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C188AF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4978510" w14:textId="77777777" w:rsidR="00000000" w:rsidRDefault="000C49AD">
            <w:pPr>
              <w:spacing w:after="100"/>
              <w:jc w:val="right"/>
              <w:rPr>
                <w:rFonts w:eastAsia="Times New Roman"/>
              </w:rPr>
            </w:pPr>
            <w:r>
              <w:rPr>
                <w:rFonts w:eastAsia="Times New Roman"/>
                <w:color w:val="000000"/>
                <w:sz w:val="18"/>
                <w:szCs w:val="18"/>
              </w:rPr>
              <w:t>78,098 </w:t>
            </w:r>
          </w:p>
        </w:tc>
        <w:tc>
          <w:tcPr>
            <w:tcW w:w="0" w:type="auto"/>
            <w:shd w:val="clear" w:color="auto" w:fill="CCEEFF"/>
            <w:tcMar>
              <w:top w:w="30" w:type="dxa"/>
              <w:left w:w="0" w:type="dxa"/>
              <w:bottom w:w="30" w:type="dxa"/>
              <w:right w:w="20" w:type="dxa"/>
            </w:tcMar>
            <w:vAlign w:val="bottom"/>
            <w:hideMark/>
          </w:tcPr>
          <w:p w14:paraId="63D88928" w14:textId="77777777" w:rsidR="00000000" w:rsidRDefault="000C49AD">
            <w:pPr>
              <w:spacing w:after="100"/>
              <w:jc w:val="right"/>
              <w:rPr>
                <w:rFonts w:eastAsia="Times New Roman"/>
              </w:rPr>
            </w:pPr>
          </w:p>
        </w:tc>
      </w:tr>
      <w:tr w:rsidR="00000000" w14:paraId="525D1C11" w14:textId="77777777">
        <w:trPr>
          <w:divId w:val="853610308"/>
        </w:trPr>
        <w:tc>
          <w:tcPr>
            <w:tcW w:w="0" w:type="auto"/>
            <w:gridSpan w:val="3"/>
            <w:shd w:val="clear" w:color="auto" w:fill="FFFFFF"/>
            <w:tcMar>
              <w:top w:w="30" w:type="dxa"/>
              <w:left w:w="245" w:type="dxa"/>
              <w:bottom w:w="30" w:type="dxa"/>
              <w:right w:w="20" w:type="dxa"/>
            </w:tcMar>
            <w:vAlign w:val="bottom"/>
            <w:hideMark/>
          </w:tcPr>
          <w:p w14:paraId="39C10DEE" w14:textId="77777777" w:rsidR="00000000" w:rsidRDefault="000C49AD">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14:paraId="3E40329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FE17723" w14:textId="77777777" w:rsidR="00000000" w:rsidRDefault="000C49AD">
            <w:pPr>
              <w:spacing w:after="100"/>
              <w:jc w:val="right"/>
              <w:rPr>
                <w:rFonts w:eastAsia="Times New Roman"/>
              </w:rPr>
            </w:pPr>
            <w:r>
              <w:rPr>
                <w:rFonts w:eastAsia="Times New Roman"/>
                <w:color w:val="000000"/>
                <w:sz w:val="18"/>
                <w:szCs w:val="18"/>
              </w:rPr>
              <w:t>16,478 </w:t>
            </w:r>
          </w:p>
        </w:tc>
        <w:tc>
          <w:tcPr>
            <w:tcW w:w="0" w:type="auto"/>
            <w:shd w:val="clear" w:color="auto" w:fill="FFFFFF"/>
            <w:tcMar>
              <w:top w:w="30" w:type="dxa"/>
              <w:left w:w="0" w:type="dxa"/>
              <w:bottom w:w="30" w:type="dxa"/>
              <w:right w:w="20" w:type="dxa"/>
            </w:tcMar>
            <w:vAlign w:val="bottom"/>
            <w:hideMark/>
          </w:tcPr>
          <w:p w14:paraId="47A460F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28C91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B807CC" w14:textId="77777777" w:rsidR="00000000" w:rsidRDefault="000C49AD">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14:paraId="720FE1A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13EA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DE5FDE" w14:textId="77777777" w:rsidR="00000000" w:rsidRDefault="000C49AD">
            <w:pPr>
              <w:spacing w:after="100"/>
              <w:jc w:val="right"/>
              <w:rPr>
                <w:rFonts w:eastAsia="Times New Roman"/>
              </w:rPr>
            </w:pPr>
            <w:r>
              <w:rPr>
                <w:rFonts w:eastAsia="Times New Roman"/>
                <w:color w:val="000000"/>
                <w:sz w:val="18"/>
                <w:szCs w:val="18"/>
              </w:rPr>
              <w:t>(93)</w:t>
            </w:r>
          </w:p>
        </w:tc>
        <w:tc>
          <w:tcPr>
            <w:tcW w:w="0" w:type="auto"/>
            <w:shd w:val="clear" w:color="auto" w:fill="FFFFFF"/>
            <w:tcMar>
              <w:top w:w="30" w:type="dxa"/>
              <w:left w:w="0" w:type="dxa"/>
              <w:bottom w:w="30" w:type="dxa"/>
              <w:right w:w="20" w:type="dxa"/>
            </w:tcMar>
            <w:vAlign w:val="bottom"/>
            <w:hideMark/>
          </w:tcPr>
          <w:p w14:paraId="4F10AC8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B6971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CE6EF1" w14:textId="77777777" w:rsidR="00000000" w:rsidRDefault="000C49AD">
            <w:pPr>
              <w:spacing w:after="100"/>
              <w:jc w:val="right"/>
              <w:rPr>
                <w:rFonts w:eastAsia="Times New Roman"/>
              </w:rPr>
            </w:pPr>
            <w:r>
              <w:rPr>
                <w:rFonts w:eastAsia="Times New Roman"/>
                <w:color w:val="000000"/>
                <w:sz w:val="18"/>
                <w:szCs w:val="18"/>
              </w:rPr>
              <w:t>16,479 </w:t>
            </w:r>
          </w:p>
        </w:tc>
        <w:tc>
          <w:tcPr>
            <w:tcW w:w="0" w:type="auto"/>
            <w:shd w:val="clear" w:color="auto" w:fill="FFFFFF"/>
            <w:tcMar>
              <w:top w:w="30" w:type="dxa"/>
              <w:left w:w="0" w:type="dxa"/>
              <w:bottom w:w="30" w:type="dxa"/>
              <w:right w:w="20" w:type="dxa"/>
            </w:tcMar>
            <w:vAlign w:val="bottom"/>
            <w:hideMark/>
          </w:tcPr>
          <w:p w14:paraId="3A8318D9" w14:textId="77777777" w:rsidR="00000000" w:rsidRDefault="000C49AD">
            <w:pPr>
              <w:spacing w:after="100"/>
              <w:jc w:val="right"/>
              <w:rPr>
                <w:rFonts w:eastAsia="Times New Roman"/>
              </w:rPr>
            </w:pPr>
          </w:p>
        </w:tc>
      </w:tr>
      <w:tr w:rsidR="00000000" w14:paraId="52E0DE73" w14:textId="77777777">
        <w:trPr>
          <w:divId w:val="853610308"/>
        </w:trPr>
        <w:tc>
          <w:tcPr>
            <w:tcW w:w="0" w:type="auto"/>
            <w:gridSpan w:val="3"/>
            <w:shd w:val="clear" w:color="auto" w:fill="CCEEFF"/>
            <w:tcMar>
              <w:top w:w="30" w:type="dxa"/>
              <w:left w:w="245" w:type="dxa"/>
              <w:bottom w:w="30" w:type="dxa"/>
              <w:right w:w="20" w:type="dxa"/>
            </w:tcMar>
            <w:vAlign w:val="bottom"/>
            <w:hideMark/>
          </w:tcPr>
          <w:p w14:paraId="590A8CD8" w14:textId="77777777" w:rsidR="00000000" w:rsidRDefault="000C49AD">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14:paraId="04CA1E0D"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EF9B8F" w14:textId="77777777" w:rsidR="00000000" w:rsidRDefault="000C49AD">
            <w:pPr>
              <w:spacing w:after="100"/>
              <w:jc w:val="right"/>
              <w:rPr>
                <w:rFonts w:eastAsia="Times New Roman"/>
              </w:rPr>
            </w:pPr>
            <w:r>
              <w:rPr>
                <w:rFonts w:eastAsia="Times New Roman"/>
                <w:color w:val="000000"/>
                <w:sz w:val="18"/>
                <w:szCs w:val="18"/>
              </w:rPr>
              <w:t>9,530 </w:t>
            </w:r>
          </w:p>
        </w:tc>
        <w:tc>
          <w:tcPr>
            <w:tcW w:w="0" w:type="auto"/>
            <w:shd w:val="clear" w:color="auto" w:fill="CCEEFF"/>
            <w:tcMar>
              <w:top w:w="30" w:type="dxa"/>
              <w:left w:w="0" w:type="dxa"/>
              <w:bottom w:w="30" w:type="dxa"/>
              <w:right w:w="20" w:type="dxa"/>
            </w:tcMar>
            <w:vAlign w:val="bottom"/>
            <w:hideMark/>
          </w:tcPr>
          <w:p w14:paraId="7B2F97A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B138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880A50" w14:textId="77777777" w:rsidR="00000000" w:rsidRDefault="000C49AD">
            <w:pPr>
              <w:spacing w:after="100"/>
              <w:jc w:val="right"/>
              <w:rPr>
                <w:rFonts w:eastAsia="Times New Roman"/>
              </w:rPr>
            </w:pPr>
            <w:r>
              <w:rPr>
                <w:rFonts w:eastAsia="Times New Roman"/>
                <w:color w:val="000000"/>
                <w:sz w:val="18"/>
                <w:szCs w:val="18"/>
              </w:rPr>
              <w:t>39 </w:t>
            </w:r>
          </w:p>
        </w:tc>
        <w:tc>
          <w:tcPr>
            <w:tcW w:w="0" w:type="auto"/>
            <w:shd w:val="clear" w:color="auto" w:fill="CCEEFF"/>
            <w:tcMar>
              <w:top w:w="30" w:type="dxa"/>
              <w:left w:w="0" w:type="dxa"/>
              <w:bottom w:w="30" w:type="dxa"/>
              <w:right w:w="20" w:type="dxa"/>
            </w:tcMar>
            <w:vAlign w:val="bottom"/>
            <w:hideMark/>
          </w:tcPr>
          <w:p w14:paraId="54007FC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337BB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C1D132F" w14:textId="77777777" w:rsidR="00000000" w:rsidRDefault="000C49AD">
            <w:pPr>
              <w:spacing w:after="100"/>
              <w:jc w:val="right"/>
              <w:rPr>
                <w:rFonts w:eastAsia="Times New Roman"/>
              </w:rPr>
            </w:pPr>
            <w:r>
              <w:rPr>
                <w:rFonts w:eastAsia="Times New Roman"/>
                <w:color w:val="000000"/>
                <w:sz w:val="18"/>
                <w:szCs w:val="18"/>
              </w:rPr>
              <w:t>(98)</w:t>
            </w:r>
          </w:p>
        </w:tc>
        <w:tc>
          <w:tcPr>
            <w:tcW w:w="0" w:type="auto"/>
            <w:shd w:val="clear" w:color="auto" w:fill="CCEEFF"/>
            <w:tcMar>
              <w:top w:w="30" w:type="dxa"/>
              <w:left w:w="0" w:type="dxa"/>
              <w:bottom w:w="30" w:type="dxa"/>
              <w:right w:w="20" w:type="dxa"/>
            </w:tcMar>
            <w:vAlign w:val="bottom"/>
            <w:hideMark/>
          </w:tcPr>
          <w:p w14:paraId="0275E2C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895A3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579241" w14:textId="77777777" w:rsidR="00000000" w:rsidRDefault="000C49AD">
            <w:pPr>
              <w:spacing w:after="100"/>
              <w:jc w:val="right"/>
              <w:rPr>
                <w:rFonts w:eastAsia="Times New Roman"/>
              </w:rPr>
            </w:pPr>
            <w:r>
              <w:rPr>
                <w:rFonts w:eastAsia="Times New Roman"/>
                <w:color w:val="000000"/>
                <w:sz w:val="18"/>
                <w:szCs w:val="18"/>
              </w:rPr>
              <w:t>9,471 </w:t>
            </w:r>
          </w:p>
        </w:tc>
        <w:tc>
          <w:tcPr>
            <w:tcW w:w="0" w:type="auto"/>
            <w:shd w:val="clear" w:color="auto" w:fill="CCEEFF"/>
            <w:tcMar>
              <w:top w:w="30" w:type="dxa"/>
              <w:left w:w="0" w:type="dxa"/>
              <w:bottom w:w="30" w:type="dxa"/>
              <w:right w:w="20" w:type="dxa"/>
            </w:tcMar>
            <w:vAlign w:val="bottom"/>
            <w:hideMark/>
          </w:tcPr>
          <w:p w14:paraId="6192AC17" w14:textId="77777777" w:rsidR="00000000" w:rsidRDefault="000C49AD">
            <w:pPr>
              <w:spacing w:after="100"/>
              <w:jc w:val="right"/>
              <w:rPr>
                <w:rFonts w:eastAsia="Times New Roman"/>
              </w:rPr>
            </w:pPr>
          </w:p>
        </w:tc>
      </w:tr>
      <w:tr w:rsidR="00000000" w14:paraId="1E768A84" w14:textId="77777777">
        <w:trPr>
          <w:divId w:val="853610308"/>
        </w:trPr>
        <w:tc>
          <w:tcPr>
            <w:tcW w:w="0" w:type="auto"/>
            <w:gridSpan w:val="3"/>
            <w:shd w:val="clear" w:color="auto" w:fill="FFFFFF"/>
            <w:tcMar>
              <w:top w:w="30" w:type="dxa"/>
              <w:left w:w="245" w:type="dxa"/>
              <w:bottom w:w="30" w:type="dxa"/>
              <w:right w:w="20" w:type="dxa"/>
            </w:tcMar>
            <w:vAlign w:val="bottom"/>
            <w:hideMark/>
          </w:tcPr>
          <w:p w14:paraId="17C2B16E" w14:textId="77777777" w:rsidR="00000000" w:rsidRDefault="000C49AD">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14:paraId="231D7FA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B740CC" w14:textId="77777777" w:rsidR="00000000" w:rsidRDefault="000C49AD">
            <w:pPr>
              <w:spacing w:after="100"/>
              <w:jc w:val="right"/>
              <w:rPr>
                <w:rFonts w:eastAsia="Times New Roman"/>
              </w:rPr>
            </w:pPr>
            <w:r>
              <w:rPr>
                <w:rFonts w:eastAsia="Times New Roman"/>
                <w:color w:val="000000"/>
                <w:sz w:val="18"/>
                <w:szCs w:val="18"/>
              </w:rPr>
              <w:t>2,473 </w:t>
            </w:r>
          </w:p>
        </w:tc>
        <w:tc>
          <w:tcPr>
            <w:tcW w:w="0" w:type="auto"/>
            <w:shd w:val="clear" w:color="auto" w:fill="FFFFFF"/>
            <w:tcMar>
              <w:top w:w="30" w:type="dxa"/>
              <w:left w:w="0" w:type="dxa"/>
              <w:bottom w:w="30" w:type="dxa"/>
              <w:right w:w="20" w:type="dxa"/>
            </w:tcMar>
            <w:vAlign w:val="bottom"/>
            <w:hideMark/>
          </w:tcPr>
          <w:p w14:paraId="3A3DBA1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19A28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7C2301" w14:textId="77777777" w:rsidR="00000000" w:rsidRDefault="000C49AD">
            <w:pPr>
              <w:spacing w:after="100"/>
              <w:jc w:val="right"/>
              <w:rPr>
                <w:rFonts w:eastAsia="Times New Roman"/>
              </w:rPr>
            </w:pPr>
            <w:r>
              <w:rPr>
                <w:rFonts w:eastAsia="Times New Roman"/>
                <w:color w:val="000000"/>
                <w:sz w:val="18"/>
                <w:szCs w:val="18"/>
              </w:rPr>
              <w:t>2 </w:t>
            </w:r>
          </w:p>
        </w:tc>
        <w:tc>
          <w:tcPr>
            <w:tcW w:w="0" w:type="auto"/>
            <w:shd w:val="clear" w:color="auto" w:fill="FFFFFF"/>
            <w:tcMar>
              <w:top w:w="30" w:type="dxa"/>
              <w:left w:w="0" w:type="dxa"/>
              <w:bottom w:w="30" w:type="dxa"/>
              <w:right w:w="20" w:type="dxa"/>
            </w:tcMar>
            <w:vAlign w:val="bottom"/>
            <w:hideMark/>
          </w:tcPr>
          <w:p w14:paraId="3457A5D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1359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F0D211" w14:textId="77777777" w:rsidR="00000000" w:rsidRDefault="000C49AD">
            <w:pPr>
              <w:spacing w:after="100"/>
              <w:jc w:val="right"/>
              <w:rPr>
                <w:rFonts w:eastAsia="Times New Roman"/>
              </w:rPr>
            </w:pPr>
            <w:r>
              <w:rPr>
                <w:rFonts w:eastAsia="Times New Roman"/>
                <w:color w:val="000000"/>
                <w:sz w:val="18"/>
                <w:szCs w:val="18"/>
              </w:rPr>
              <w:t>(10)</w:t>
            </w:r>
          </w:p>
        </w:tc>
        <w:tc>
          <w:tcPr>
            <w:tcW w:w="0" w:type="auto"/>
            <w:shd w:val="clear" w:color="auto" w:fill="FFFFFF"/>
            <w:tcMar>
              <w:top w:w="30" w:type="dxa"/>
              <w:left w:w="0" w:type="dxa"/>
              <w:bottom w:w="30" w:type="dxa"/>
              <w:right w:w="20" w:type="dxa"/>
            </w:tcMar>
            <w:vAlign w:val="bottom"/>
            <w:hideMark/>
          </w:tcPr>
          <w:p w14:paraId="55B7C09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639E8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61DDA" w14:textId="77777777" w:rsidR="00000000" w:rsidRDefault="000C49AD">
            <w:pPr>
              <w:spacing w:after="100"/>
              <w:jc w:val="right"/>
              <w:rPr>
                <w:rFonts w:eastAsia="Times New Roman"/>
              </w:rPr>
            </w:pPr>
            <w:r>
              <w:rPr>
                <w:rFonts w:eastAsia="Times New Roman"/>
                <w:color w:val="000000"/>
                <w:sz w:val="18"/>
                <w:szCs w:val="18"/>
              </w:rPr>
              <w:t>2,465 </w:t>
            </w:r>
          </w:p>
        </w:tc>
        <w:tc>
          <w:tcPr>
            <w:tcW w:w="0" w:type="auto"/>
            <w:shd w:val="clear" w:color="auto" w:fill="FFFFFF"/>
            <w:tcMar>
              <w:top w:w="30" w:type="dxa"/>
              <w:left w:w="0" w:type="dxa"/>
              <w:bottom w:w="30" w:type="dxa"/>
              <w:right w:w="20" w:type="dxa"/>
            </w:tcMar>
            <w:vAlign w:val="bottom"/>
            <w:hideMark/>
          </w:tcPr>
          <w:p w14:paraId="2074087E" w14:textId="77777777" w:rsidR="00000000" w:rsidRDefault="000C49AD">
            <w:pPr>
              <w:spacing w:after="100"/>
              <w:jc w:val="right"/>
              <w:rPr>
                <w:rFonts w:eastAsia="Times New Roman"/>
              </w:rPr>
            </w:pPr>
          </w:p>
        </w:tc>
      </w:tr>
      <w:tr w:rsidR="00000000" w14:paraId="24B15DBE" w14:textId="77777777">
        <w:trPr>
          <w:divId w:val="853610308"/>
        </w:trPr>
        <w:tc>
          <w:tcPr>
            <w:tcW w:w="0" w:type="auto"/>
            <w:gridSpan w:val="3"/>
            <w:shd w:val="clear" w:color="auto" w:fill="CCEEFF"/>
            <w:tcMar>
              <w:top w:w="30" w:type="dxa"/>
              <w:left w:w="380" w:type="dxa"/>
              <w:bottom w:w="30" w:type="dxa"/>
              <w:right w:w="20" w:type="dxa"/>
            </w:tcMar>
            <w:vAlign w:val="bottom"/>
            <w:hideMark/>
          </w:tcPr>
          <w:p w14:paraId="44AC9B08" w14:textId="77777777" w:rsidR="00000000" w:rsidRDefault="000C49A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2CC45AC6"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DB21BE"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8AA3844" w14:textId="77777777" w:rsidR="00000000" w:rsidRDefault="000C49AD">
            <w:pPr>
              <w:spacing w:after="100"/>
              <w:jc w:val="right"/>
              <w:rPr>
                <w:rFonts w:eastAsia="Times New Roman"/>
              </w:rPr>
            </w:pPr>
            <w:r>
              <w:rPr>
                <w:rFonts w:eastAsia="Times New Roman"/>
                <w:color w:val="000000"/>
                <w:sz w:val="18"/>
                <w:szCs w:val="18"/>
              </w:rPr>
              <w:t>106,812 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3D2BB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21ED6"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25C30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B86BE4" w14:textId="77777777" w:rsidR="00000000" w:rsidRDefault="000C49AD">
            <w:pPr>
              <w:spacing w:after="100"/>
              <w:jc w:val="right"/>
              <w:rPr>
                <w:rFonts w:eastAsia="Times New Roman"/>
              </w:rPr>
            </w:pPr>
            <w:r>
              <w:rPr>
                <w:rFonts w:eastAsia="Times New Roman"/>
                <w:color w:val="000000"/>
                <w:sz w:val="18"/>
                <w:szCs w:val="18"/>
              </w:rPr>
              <w:t>948 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50FDD1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0F42D"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C426C3"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0FB419" w14:textId="77777777" w:rsidR="00000000" w:rsidRDefault="000C49AD">
            <w:pPr>
              <w:spacing w:after="100"/>
              <w:jc w:val="right"/>
              <w:rPr>
                <w:rFonts w:eastAsia="Times New Roman"/>
              </w:rPr>
            </w:pPr>
            <w:r>
              <w:rPr>
                <w:rFonts w:eastAsia="Times New Roman"/>
                <w:color w:val="000000"/>
                <w:sz w:val="18"/>
                <w:szCs w:val="18"/>
              </w:rPr>
              <w:t>(1,247)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27CF1D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564E8C"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102681"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6A1EDF1" w14:textId="77777777" w:rsidR="00000000" w:rsidRDefault="000C49AD">
            <w:pPr>
              <w:spacing w:after="100"/>
              <w:jc w:val="right"/>
              <w:rPr>
                <w:rFonts w:eastAsia="Times New Roman"/>
              </w:rPr>
            </w:pPr>
            <w:r>
              <w:rPr>
                <w:rFonts w:eastAsia="Times New Roman"/>
                <w:color w:val="000000"/>
                <w:sz w:val="18"/>
                <w:szCs w:val="18"/>
              </w:rPr>
              <w:t>106,513 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32108B" w14:textId="77777777" w:rsidR="00000000" w:rsidRDefault="000C49AD">
            <w:pPr>
              <w:spacing w:after="100"/>
              <w:jc w:val="right"/>
              <w:rPr>
                <w:rFonts w:eastAsia="Times New Roman"/>
              </w:rPr>
            </w:pPr>
          </w:p>
        </w:tc>
      </w:tr>
    </w:tbl>
    <w:p w14:paraId="4366132C" w14:textId="77777777" w:rsidR="00000000" w:rsidRDefault="000C49AD">
      <w:pPr>
        <w:jc w:val="center"/>
        <w:divId w:val="718018444"/>
        <w:rPr>
          <w:rFonts w:eastAsia="Times New Roman"/>
        </w:rPr>
      </w:pPr>
      <w:r>
        <w:rPr>
          <w:rFonts w:eastAsia="Times New Roman"/>
          <w:color w:val="000000"/>
          <w:sz w:val="20"/>
          <w:szCs w:val="20"/>
        </w:rPr>
        <w:t>-87-</w:t>
      </w:r>
    </w:p>
    <w:p w14:paraId="3DFA4DF6" w14:textId="77777777" w:rsidR="00000000" w:rsidRDefault="000C49AD">
      <w:pPr>
        <w:rPr>
          <w:rFonts w:eastAsia="Times New Roman"/>
        </w:rPr>
      </w:pPr>
      <w:r>
        <w:rPr>
          <w:rFonts w:eastAsia="Times New Roman"/>
        </w:rPr>
        <w:pict w14:anchorId="7FB845B0">
          <v:rect id="_x0000_i1112" style="width:0;height:1.5pt" o:hralign="center" o:hrstd="t" o:hr="t" fillcolor="#a0a0a0" stroked="f"/>
        </w:pict>
      </w:r>
    </w:p>
    <w:p w14:paraId="468D9B14" w14:textId="77777777" w:rsidR="00000000" w:rsidRDefault="000C49AD">
      <w:pPr>
        <w:divId w:val="209221234"/>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3663"/>
        <w:gridCol w:w="37"/>
        <w:gridCol w:w="36"/>
        <w:gridCol w:w="36"/>
        <w:gridCol w:w="36"/>
        <w:gridCol w:w="110"/>
        <w:gridCol w:w="877"/>
        <w:gridCol w:w="36"/>
        <w:gridCol w:w="36"/>
        <w:gridCol w:w="36"/>
        <w:gridCol w:w="36"/>
        <w:gridCol w:w="111"/>
        <w:gridCol w:w="878"/>
        <w:gridCol w:w="36"/>
        <w:gridCol w:w="36"/>
        <w:gridCol w:w="36"/>
        <w:gridCol w:w="36"/>
        <w:gridCol w:w="111"/>
        <w:gridCol w:w="879"/>
        <w:gridCol w:w="36"/>
        <w:gridCol w:w="36"/>
        <w:gridCol w:w="36"/>
        <w:gridCol w:w="36"/>
        <w:gridCol w:w="110"/>
        <w:gridCol w:w="879"/>
        <w:gridCol w:w="36"/>
      </w:tblGrid>
      <w:tr w:rsidR="00000000" w14:paraId="66879A00" w14:textId="77777777">
        <w:tc>
          <w:tcPr>
            <w:tcW w:w="50" w:type="pct"/>
            <w:vAlign w:val="center"/>
            <w:hideMark/>
          </w:tcPr>
          <w:p w14:paraId="41831765" w14:textId="77777777" w:rsidR="00000000" w:rsidRDefault="000C49AD">
            <w:pPr>
              <w:rPr>
                <w:rFonts w:eastAsia="Times New Roman"/>
              </w:rPr>
            </w:pPr>
          </w:p>
        </w:tc>
        <w:tc>
          <w:tcPr>
            <w:tcW w:w="2243" w:type="pct"/>
            <w:vAlign w:val="center"/>
            <w:hideMark/>
          </w:tcPr>
          <w:p w14:paraId="5D256252" w14:textId="77777777" w:rsidR="00000000" w:rsidRDefault="000C49AD">
            <w:pPr>
              <w:spacing w:after="100"/>
              <w:rPr>
                <w:rFonts w:eastAsia="Times New Roman"/>
                <w:sz w:val="20"/>
                <w:szCs w:val="20"/>
              </w:rPr>
            </w:pPr>
          </w:p>
        </w:tc>
        <w:tc>
          <w:tcPr>
            <w:tcW w:w="5" w:type="pct"/>
            <w:vAlign w:val="center"/>
            <w:hideMark/>
          </w:tcPr>
          <w:p w14:paraId="7E39BB74" w14:textId="77777777" w:rsidR="00000000" w:rsidRDefault="000C49AD">
            <w:pPr>
              <w:spacing w:after="100"/>
              <w:rPr>
                <w:rFonts w:eastAsia="Times New Roman"/>
                <w:sz w:val="20"/>
                <w:szCs w:val="20"/>
              </w:rPr>
            </w:pPr>
          </w:p>
        </w:tc>
        <w:tc>
          <w:tcPr>
            <w:tcW w:w="5" w:type="pct"/>
            <w:vAlign w:val="center"/>
            <w:hideMark/>
          </w:tcPr>
          <w:p w14:paraId="07D93EEA" w14:textId="77777777" w:rsidR="00000000" w:rsidRDefault="000C49AD">
            <w:pPr>
              <w:spacing w:after="100"/>
              <w:rPr>
                <w:rFonts w:eastAsia="Times New Roman"/>
                <w:sz w:val="20"/>
                <w:szCs w:val="20"/>
              </w:rPr>
            </w:pPr>
          </w:p>
        </w:tc>
        <w:tc>
          <w:tcPr>
            <w:tcW w:w="26" w:type="pct"/>
            <w:vAlign w:val="center"/>
            <w:hideMark/>
          </w:tcPr>
          <w:p w14:paraId="344F4E88" w14:textId="77777777" w:rsidR="00000000" w:rsidRDefault="000C49AD">
            <w:pPr>
              <w:spacing w:after="100"/>
              <w:rPr>
                <w:rFonts w:eastAsia="Times New Roman"/>
                <w:sz w:val="20"/>
                <w:szCs w:val="20"/>
              </w:rPr>
            </w:pPr>
          </w:p>
        </w:tc>
        <w:tc>
          <w:tcPr>
            <w:tcW w:w="5" w:type="pct"/>
            <w:vAlign w:val="center"/>
            <w:hideMark/>
          </w:tcPr>
          <w:p w14:paraId="618481BC" w14:textId="77777777" w:rsidR="00000000" w:rsidRDefault="000C49AD">
            <w:pPr>
              <w:spacing w:after="100"/>
              <w:rPr>
                <w:rFonts w:eastAsia="Times New Roman"/>
                <w:sz w:val="20"/>
                <w:szCs w:val="20"/>
              </w:rPr>
            </w:pPr>
          </w:p>
        </w:tc>
        <w:tc>
          <w:tcPr>
            <w:tcW w:w="50" w:type="pct"/>
            <w:vAlign w:val="center"/>
            <w:hideMark/>
          </w:tcPr>
          <w:p w14:paraId="3371EA55" w14:textId="77777777" w:rsidR="00000000" w:rsidRDefault="000C49AD">
            <w:pPr>
              <w:spacing w:after="100"/>
              <w:rPr>
                <w:rFonts w:eastAsia="Times New Roman"/>
                <w:sz w:val="20"/>
                <w:szCs w:val="20"/>
              </w:rPr>
            </w:pPr>
          </w:p>
        </w:tc>
        <w:tc>
          <w:tcPr>
            <w:tcW w:w="583" w:type="pct"/>
            <w:vAlign w:val="center"/>
            <w:hideMark/>
          </w:tcPr>
          <w:p w14:paraId="34377AF9" w14:textId="77777777" w:rsidR="00000000" w:rsidRDefault="000C49AD">
            <w:pPr>
              <w:spacing w:after="100"/>
              <w:rPr>
                <w:rFonts w:eastAsia="Times New Roman"/>
                <w:sz w:val="20"/>
                <w:szCs w:val="20"/>
              </w:rPr>
            </w:pPr>
          </w:p>
        </w:tc>
        <w:tc>
          <w:tcPr>
            <w:tcW w:w="5" w:type="pct"/>
            <w:vAlign w:val="center"/>
            <w:hideMark/>
          </w:tcPr>
          <w:p w14:paraId="4F756FDB" w14:textId="77777777" w:rsidR="00000000" w:rsidRDefault="000C49AD">
            <w:pPr>
              <w:spacing w:after="100"/>
              <w:rPr>
                <w:rFonts w:eastAsia="Times New Roman"/>
                <w:sz w:val="20"/>
                <w:szCs w:val="20"/>
              </w:rPr>
            </w:pPr>
          </w:p>
        </w:tc>
        <w:tc>
          <w:tcPr>
            <w:tcW w:w="5" w:type="pct"/>
            <w:vAlign w:val="center"/>
            <w:hideMark/>
          </w:tcPr>
          <w:p w14:paraId="675116BF" w14:textId="77777777" w:rsidR="00000000" w:rsidRDefault="000C49AD">
            <w:pPr>
              <w:spacing w:after="100"/>
              <w:rPr>
                <w:rFonts w:eastAsia="Times New Roman"/>
                <w:sz w:val="20"/>
                <w:szCs w:val="20"/>
              </w:rPr>
            </w:pPr>
          </w:p>
        </w:tc>
        <w:tc>
          <w:tcPr>
            <w:tcW w:w="26" w:type="pct"/>
            <w:vAlign w:val="center"/>
            <w:hideMark/>
          </w:tcPr>
          <w:p w14:paraId="2CE296B2" w14:textId="77777777" w:rsidR="00000000" w:rsidRDefault="000C49AD">
            <w:pPr>
              <w:spacing w:after="100"/>
              <w:rPr>
                <w:rFonts w:eastAsia="Times New Roman"/>
                <w:sz w:val="20"/>
                <w:szCs w:val="20"/>
              </w:rPr>
            </w:pPr>
          </w:p>
        </w:tc>
        <w:tc>
          <w:tcPr>
            <w:tcW w:w="5" w:type="pct"/>
            <w:vAlign w:val="center"/>
            <w:hideMark/>
          </w:tcPr>
          <w:p w14:paraId="0BBC076E" w14:textId="77777777" w:rsidR="00000000" w:rsidRDefault="000C49AD">
            <w:pPr>
              <w:spacing w:after="100"/>
              <w:rPr>
                <w:rFonts w:eastAsia="Times New Roman"/>
                <w:sz w:val="20"/>
                <w:szCs w:val="20"/>
              </w:rPr>
            </w:pPr>
          </w:p>
        </w:tc>
        <w:tc>
          <w:tcPr>
            <w:tcW w:w="50" w:type="pct"/>
            <w:vAlign w:val="center"/>
            <w:hideMark/>
          </w:tcPr>
          <w:p w14:paraId="4775B57E" w14:textId="77777777" w:rsidR="00000000" w:rsidRDefault="000C49AD">
            <w:pPr>
              <w:spacing w:after="100"/>
              <w:rPr>
                <w:rFonts w:eastAsia="Times New Roman"/>
                <w:sz w:val="20"/>
                <w:szCs w:val="20"/>
              </w:rPr>
            </w:pPr>
          </w:p>
        </w:tc>
        <w:tc>
          <w:tcPr>
            <w:tcW w:w="583" w:type="pct"/>
            <w:vAlign w:val="center"/>
            <w:hideMark/>
          </w:tcPr>
          <w:p w14:paraId="09C074E6" w14:textId="77777777" w:rsidR="00000000" w:rsidRDefault="000C49AD">
            <w:pPr>
              <w:spacing w:after="100"/>
              <w:rPr>
                <w:rFonts w:eastAsia="Times New Roman"/>
                <w:sz w:val="20"/>
                <w:szCs w:val="20"/>
              </w:rPr>
            </w:pPr>
          </w:p>
        </w:tc>
        <w:tc>
          <w:tcPr>
            <w:tcW w:w="5" w:type="pct"/>
            <w:vAlign w:val="center"/>
            <w:hideMark/>
          </w:tcPr>
          <w:p w14:paraId="37515207" w14:textId="77777777" w:rsidR="00000000" w:rsidRDefault="000C49AD">
            <w:pPr>
              <w:spacing w:after="100"/>
              <w:rPr>
                <w:rFonts w:eastAsia="Times New Roman"/>
                <w:sz w:val="20"/>
                <w:szCs w:val="20"/>
              </w:rPr>
            </w:pPr>
          </w:p>
        </w:tc>
        <w:tc>
          <w:tcPr>
            <w:tcW w:w="5" w:type="pct"/>
            <w:vAlign w:val="center"/>
            <w:hideMark/>
          </w:tcPr>
          <w:p w14:paraId="45C4B268" w14:textId="77777777" w:rsidR="00000000" w:rsidRDefault="000C49AD">
            <w:pPr>
              <w:spacing w:after="100"/>
              <w:rPr>
                <w:rFonts w:eastAsia="Times New Roman"/>
                <w:sz w:val="20"/>
                <w:szCs w:val="20"/>
              </w:rPr>
            </w:pPr>
          </w:p>
        </w:tc>
        <w:tc>
          <w:tcPr>
            <w:tcW w:w="26" w:type="pct"/>
            <w:vAlign w:val="center"/>
            <w:hideMark/>
          </w:tcPr>
          <w:p w14:paraId="25FD0DC9" w14:textId="77777777" w:rsidR="00000000" w:rsidRDefault="000C49AD">
            <w:pPr>
              <w:spacing w:after="100"/>
              <w:rPr>
                <w:rFonts w:eastAsia="Times New Roman"/>
                <w:sz w:val="20"/>
                <w:szCs w:val="20"/>
              </w:rPr>
            </w:pPr>
          </w:p>
        </w:tc>
        <w:tc>
          <w:tcPr>
            <w:tcW w:w="5" w:type="pct"/>
            <w:vAlign w:val="center"/>
            <w:hideMark/>
          </w:tcPr>
          <w:p w14:paraId="78068EDD" w14:textId="77777777" w:rsidR="00000000" w:rsidRDefault="000C49AD">
            <w:pPr>
              <w:spacing w:after="100"/>
              <w:rPr>
                <w:rFonts w:eastAsia="Times New Roman"/>
                <w:sz w:val="20"/>
                <w:szCs w:val="20"/>
              </w:rPr>
            </w:pPr>
          </w:p>
        </w:tc>
        <w:tc>
          <w:tcPr>
            <w:tcW w:w="50" w:type="pct"/>
            <w:vAlign w:val="center"/>
            <w:hideMark/>
          </w:tcPr>
          <w:p w14:paraId="2EA3B2FE" w14:textId="77777777" w:rsidR="00000000" w:rsidRDefault="000C49AD">
            <w:pPr>
              <w:spacing w:after="100"/>
              <w:rPr>
                <w:rFonts w:eastAsia="Times New Roman"/>
                <w:sz w:val="20"/>
                <w:szCs w:val="20"/>
              </w:rPr>
            </w:pPr>
          </w:p>
        </w:tc>
        <w:tc>
          <w:tcPr>
            <w:tcW w:w="583" w:type="pct"/>
            <w:vAlign w:val="center"/>
            <w:hideMark/>
          </w:tcPr>
          <w:p w14:paraId="591673BE" w14:textId="77777777" w:rsidR="00000000" w:rsidRDefault="000C49AD">
            <w:pPr>
              <w:spacing w:after="100"/>
              <w:rPr>
                <w:rFonts w:eastAsia="Times New Roman"/>
                <w:sz w:val="20"/>
                <w:szCs w:val="20"/>
              </w:rPr>
            </w:pPr>
          </w:p>
        </w:tc>
        <w:tc>
          <w:tcPr>
            <w:tcW w:w="5" w:type="pct"/>
            <w:vAlign w:val="center"/>
            <w:hideMark/>
          </w:tcPr>
          <w:p w14:paraId="4D632613" w14:textId="77777777" w:rsidR="00000000" w:rsidRDefault="000C49AD">
            <w:pPr>
              <w:spacing w:after="100"/>
              <w:rPr>
                <w:rFonts w:eastAsia="Times New Roman"/>
                <w:sz w:val="20"/>
                <w:szCs w:val="20"/>
              </w:rPr>
            </w:pPr>
          </w:p>
        </w:tc>
        <w:tc>
          <w:tcPr>
            <w:tcW w:w="5" w:type="pct"/>
            <w:vAlign w:val="center"/>
            <w:hideMark/>
          </w:tcPr>
          <w:p w14:paraId="6FB88FE0" w14:textId="77777777" w:rsidR="00000000" w:rsidRDefault="000C49AD">
            <w:pPr>
              <w:spacing w:after="100"/>
              <w:rPr>
                <w:rFonts w:eastAsia="Times New Roman"/>
                <w:sz w:val="20"/>
                <w:szCs w:val="20"/>
              </w:rPr>
            </w:pPr>
          </w:p>
        </w:tc>
        <w:tc>
          <w:tcPr>
            <w:tcW w:w="26" w:type="pct"/>
            <w:vAlign w:val="center"/>
            <w:hideMark/>
          </w:tcPr>
          <w:p w14:paraId="16747093" w14:textId="77777777" w:rsidR="00000000" w:rsidRDefault="000C49AD">
            <w:pPr>
              <w:spacing w:after="100"/>
              <w:rPr>
                <w:rFonts w:eastAsia="Times New Roman"/>
                <w:sz w:val="20"/>
                <w:szCs w:val="20"/>
              </w:rPr>
            </w:pPr>
          </w:p>
        </w:tc>
        <w:tc>
          <w:tcPr>
            <w:tcW w:w="5" w:type="pct"/>
            <w:vAlign w:val="center"/>
            <w:hideMark/>
          </w:tcPr>
          <w:p w14:paraId="0C0F75F9" w14:textId="77777777" w:rsidR="00000000" w:rsidRDefault="000C49AD">
            <w:pPr>
              <w:spacing w:after="100"/>
              <w:rPr>
                <w:rFonts w:eastAsia="Times New Roman"/>
                <w:sz w:val="20"/>
                <w:szCs w:val="20"/>
              </w:rPr>
            </w:pPr>
          </w:p>
        </w:tc>
        <w:tc>
          <w:tcPr>
            <w:tcW w:w="50" w:type="pct"/>
            <w:vAlign w:val="center"/>
            <w:hideMark/>
          </w:tcPr>
          <w:p w14:paraId="482D7845" w14:textId="77777777" w:rsidR="00000000" w:rsidRDefault="000C49AD">
            <w:pPr>
              <w:spacing w:after="100"/>
              <w:rPr>
                <w:rFonts w:eastAsia="Times New Roman"/>
                <w:sz w:val="20"/>
                <w:szCs w:val="20"/>
              </w:rPr>
            </w:pPr>
          </w:p>
        </w:tc>
        <w:tc>
          <w:tcPr>
            <w:tcW w:w="583" w:type="pct"/>
            <w:vAlign w:val="center"/>
            <w:hideMark/>
          </w:tcPr>
          <w:p w14:paraId="136BCC5B" w14:textId="77777777" w:rsidR="00000000" w:rsidRDefault="000C49AD">
            <w:pPr>
              <w:spacing w:after="100"/>
              <w:rPr>
                <w:rFonts w:eastAsia="Times New Roman"/>
                <w:sz w:val="20"/>
                <w:szCs w:val="20"/>
              </w:rPr>
            </w:pPr>
          </w:p>
        </w:tc>
        <w:tc>
          <w:tcPr>
            <w:tcW w:w="5" w:type="pct"/>
            <w:vAlign w:val="center"/>
            <w:hideMark/>
          </w:tcPr>
          <w:p w14:paraId="298B7801" w14:textId="77777777" w:rsidR="00000000" w:rsidRDefault="000C49AD">
            <w:pPr>
              <w:spacing w:after="100"/>
              <w:rPr>
                <w:rFonts w:eastAsia="Times New Roman"/>
                <w:sz w:val="20"/>
                <w:szCs w:val="20"/>
              </w:rPr>
            </w:pPr>
          </w:p>
        </w:tc>
      </w:tr>
      <w:tr w:rsidR="00000000" w14:paraId="02DB8DE2" w14:textId="77777777">
        <w:tc>
          <w:tcPr>
            <w:tcW w:w="0" w:type="auto"/>
            <w:gridSpan w:val="3"/>
            <w:tcMar>
              <w:top w:w="0" w:type="dxa"/>
              <w:left w:w="20" w:type="dxa"/>
              <w:bottom w:w="0" w:type="dxa"/>
              <w:right w:w="20" w:type="dxa"/>
            </w:tcMar>
            <w:vAlign w:val="center"/>
            <w:hideMark/>
          </w:tcPr>
          <w:p w14:paraId="7B2BD17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0F5F14" w14:textId="77777777" w:rsidR="00000000" w:rsidRDefault="000C49AD">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77BF598E" w14:textId="77777777" w:rsidR="00000000" w:rsidRDefault="000C49AD">
            <w:pPr>
              <w:spacing w:after="100"/>
              <w:jc w:val="center"/>
              <w:rPr>
                <w:rFonts w:eastAsia="Times New Roman"/>
              </w:rPr>
            </w:pPr>
            <w:r>
              <w:rPr>
                <w:rFonts w:eastAsia="Times New Roman"/>
                <w:b/>
                <w:bCs/>
                <w:color w:val="000000"/>
                <w:sz w:val="18"/>
                <w:szCs w:val="18"/>
              </w:rPr>
              <w:t>2020</w:t>
            </w:r>
          </w:p>
        </w:tc>
      </w:tr>
      <w:tr w:rsidR="00000000" w14:paraId="075C86DD" w14:textId="77777777">
        <w:tc>
          <w:tcPr>
            <w:tcW w:w="0" w:type="auto"/>
            <w:gridSpan w:val="3"/>
            <w:tcMar>
              <w:top w:w="30" w:type="dxa"/>
              <w:left w:w="20" w:type="dxa"/>
              <w:bottom w:w="30" w:type="dxa"/>
              <w:right w:w="20" w:type="dxa"/>
            </w:tcMar>
            <w:vAlign w:val="bottom"/>
            <w:hideMark/>
          </w:tcPr>
          <w:p w14:paraId="3BDEBCCB" w14:textId="77777777" w:rsidR="00000000" w:rsidRDefault="000C49AD">
            <w:pPr>
              <w:spacing w:after="100"/>
              <w:rPr>
                <w:rFonts w:eastAsia="Times New Roman"/>
              </w:rPr>
            </w:pPr>
            <w:r>
              <w:rPr>
                <w:rFonts w:eastAsia="Times New Roman"/>
                <w:b/>
                <w:bCs/>
                <w:color w:val="000000"/>
                <w:sz w:val="18"/>
                <w:szCs w:val="18"/>
              </w:rPr>
              <w:t>Marketable Securities:</w:t>
            </w:r>
          </w:p>
        </w:tc>
        <w:tc>
          <w:tcPr>
            <w:tcW w:w="0" w:type="auto"/>
            <w:gridSpan w:val="3"/>
            <w:tcMar>
              <w:top w:w="0" w:type="dxa"/>
              <w:left w:w="20" w:type="dxa"/>
              <w:bottom w:w="0" w:type="dxa"/>
              <w:right w:w="20" w:type="dxa"/>
            </w:tcMar>
            <w:vAlign w:val="center"/>
            <w:hideMark/>
          </w:tcPr>
          <w:p w14:paraId="6AFD793C"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20DA33" w14:textId="77777777" w:rsidR="00000000" w:rsidRDefault="000C49AD">
            <w:pPr>
              <w:spacing w:after="100"/>
              <w:jc w:val="center"/>
              <w:rPr>
                <w:rFonts w:eastAsia="Times New Roman"/>
              </w:rPr>
            </w:pPr>
            <w:r>
              <w:rPr>
                <w:rFonts w:eastAsia="Times New Roman"/>
                <w:b/>
                <w:bCs/>
                <w:color w:val="000000"/>
                <w:sz w:val="18"/>
                <w:szCs w:val="18"/>
              </w:rPr>
              <w:t>Adjusted Cost</w:t>
            </w:r>
          </w:p>
        </w:tc>
        <w:tc>
          <w:tcPr>
            <w:tcW w:w="0" w:type="auto"/>
            <w:gridSpan w:val="3"/>
            <w:tcBorders>
              <w:top w:val="single" w:sz="8" w:space="0" w:color="000000"/>
            </w:tcBorders>
            <w:tcMar>
              <w:top w:w="0" w:type="dxa"/>
              <w:left w:w="20" w:type="dxa"/>
              <w:bottom w:w="0" w:type="dxa"/>
              <w:right w:w="20" w:type="dxa"/>
            </w:tcMar>
            <w:vAlign w:val="center"/>
            <w:hideMark/>
          </w:tcPr>
          <w:p w14:paraId="1C5FA37B"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0F6E11" w14:textId="77777777" w:rsidR="00000000" w:rsidRDefault="000C49AD">
            <w:pPr>
              <w:spacing w:after="100"/>
              <w:jc w:val="center"/>
              <w:rPr>
                <w:rFonts w:eastAsia="Times New Roman"/>
              </w:rPr>
            </w:pPr>
            <w:r>
              <w:rPr>
                <w:rFonts w:eastAsia="Times New Roman"/>
                <w:b/>
                <w:bCs/>
                <w:color w:val="000000"/>
                <w:sz w:val="18"/>
                <w:szCs w:val="18"/>
              </w:rPr>
              <w:t>Unrealized Gains</w:t>
            </w:r>
          </w:p>
        </w:tc>
        <w:tc>
          <w:tcPr>
            <w:tcW w:w="0" w:type="auto"/>
            <w:gridSpan w:val="3"/>
            <w:tcBorders>
              <w:top w:val="single" w:sz="8" w:space="0" w:color="000000"/>
            </w:tcBorders>
            <w:tcMar>
              <w:top w:w="0" w:type="dxa"/>
              <w:left w:w="20" w:type="dxa"/>
              <w:bottom w:w="0" w:type="dxa"/>
              <w:right w:w="20" w:type="dxa"/>
            </w:tcMar>
            <w:vAlign w:val="center"/>
            <w:hideMark/>
          </w:tcPr>
          <w:p w14:paraId="16FE477D"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093A90" w14:textId="77777777" w:rsidR="00000000" w:rsidRDefault="000C49AD">
            <w:pPr>
              <w:spacing w:after="100"/>
              <w:jc w:val="center"/>
              <w:rPr>
                <w:rFonts w:eastAsia="Times New Roman"/>
              </w:rPr>
            </w:pPr>
            <w:r>
              <w:rPr>
                <w:rFonts w:eastAsia="Times New Roman"/>
                <w:b/>
                <w:bCs/>
                <w:color w:val="000000"/>
                <w:sz w:val="18"/>
                <w:szCs w:val="18"/>
              </w:rPr>
              <w:t>Unrealized Losses</w:t>
            </w:r>
          </w:p>
        </w:tc>
        <w:tc>
          <w:tcPr>
            <w:tcW w:w="0" w:type="auto"/>
            <w:gridSpan w:val="3"/>
            <w:tcBorders>
              <w:top w:val="single" w:sz="8" w:space="0" w:color="000000"/>
            </w:tcBorders>
            <w:tcMar>
              <w:top w:w="0" w:type="dxa"/>
              <w:left w:w="20" w:type="dxa"/>
              <w:bottom w:w="0" w:type="dxa"/>
              <w:right w:w="20" w:type="dxa"/>
            </w:tcMar>
            <w:vAlign w:val="center"/>
            <w:hideMark/>
          </w:tcPr>
          <w:p w14:paraId="611869F9"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0A65020" w14:textId="77777777" w:rsidR="00000000" w:rsidRDefault="000C49AD">
            <w:pPr>
              <w:spacing w:after="100"/>
              <w:jc w:val="center"/>
              <w:rPr>
                <w:rFonts w:eastAsia="Times New Roman"/>
              </w:rPr>
            </w:pPr>
            <w:r>
              <w:rPr>
                <w:rFonts w:eastAsia="Times New Roman"/>
                <w:b/>
                <w:bCs/>
                <w:color w:val="000000"/>
                <w:sz w:val="18"/>
                <w:szCs w:val="18"/>
              </w:rPr>
              <w:t>Fair Value</w:t>
            </w:r>
          </w:p>
        </w:tc>
      </w:tr>
      <w:tr w:rsidR="00000000" w14:paraId="50F8D5B7"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03AE7859"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74BA5D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251CF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D48C85"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31F6F8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8077EF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29F990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BEC20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426D652" w14:textId="77777777" w:rsidR="00000000" w:rsidRDefault="000C49AD">
            <w:pPr>
              <w:spacing w:after="100"/>
              <w:rPr>
                <w:rFonts w:eastAsia="Times New Roman"/>
                <w:sz w:val="20"/>
                <w:szCs w:val="20"/>
              </w:rPr>
            </w:pPr>
          </w:p>
        </w:tc>
      </w:tr>
      <w:tr w:rsidR="00000000" w14:paraId="63A432D6" w14:textId="77777777">
        <w:tc>
          <w:tcPr>
            <w:tcW w:w="0" w:type="auto"/>
            <w:gridSpan w:val="3"/>
            <w:shd w:val="clear" w:color="auto" w:fill="CCEEFF"/>
            <w:tcMar>
              <w:top w:w="30" w:type="dxa"/>
              <w:left w:w="245" w:type="dxa"/>
              <w:bottom w:w="30" w:type="dxa"/>
              <w:right w:w="20" w:type="dxa"/>
            </w:tcMar>
            <w:vAlign w:val="bottom"/>
            <w:hideMark/>
          </w:tcPr>
          <w:p w14:paraId="752BA3B8" w14:textId="77777777" w:rsidR="00000000" w:rsidRDefault="000C49AD">
            <w:pPr>
              <w:spacing w:after="100"/>
              <w:rPr>
                <w:rFonts w:eastAsia="Times New Roman"/>
              </w:rPr>
            </w:pPr>
            <w:r>
              <w:rPr>
                <w:rFonts w:eastAsia="Times New Roman"/>
                <w:color w:val="000000"/>
                <w:sz w:val="18"/>
                <w:szCs w:val="18"/>
              </w:rPr>
              <w:t>Mutual and money market funds</w:t>
            </w:r>
          </w:p>
        </w:tc>
        <w:tc>
          <w:tcPr>
            <w:tcW w:w="0" w:type="auto"/>
            <w:gridSpan w:val="3"/>
            <w:shd w:val="clear" w:color="auto" w:fill="CCEEFF"/>
            <w:tcMar>
              <w:top w:w="0" w:type="dxa"/>
              <w:left w:w="20" w:type="dxa"/>
              <w:bottom w:w="0" w:type="dxa"/>
              <w:right w:w="20" w:type="dxa"/>
            </w:tcMar>
            <w:vAlign w:val="center"/>
            <w:hideMark/>
          </w:tcPr>
          <w:p w14:paraId="2634CCAC"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29C9BA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D0C4635" w14:textId="77777777" w:rsidR="00000000" w:rsidRDefault="000C49AD">
            <w:pPr>
              <w:spacing w:after="100"/>
              <w:jc w:val="right"/>
              <w:rPr>
                <w:rFonts w:eastAsia="Times New Roman"/>
              </w:rPr>
            </w:pPr>
            <w:r>
              <w:rPr>
                <w:rFonts w:eastAsia="Times New Roman"/>
                <w:color w:val="000000"/>
                <w:sz w:val="18"/>
                <w:szCs w:val="18"/>
              </w:rPr>
              <w:t>103,404 </w:t>
            </w:r>
          </w:p>
        </w:tc>
        <w:tc>
          <w:tcPr>
            <w:tcW w:w="0" w:type="auto"/>
            <w:shd w:val="clear" w:color="auto" w:fill="CCEEFF"/>
            <w:tcMar>
              <w:top w:w="30" w:type="dxa"/>
              <w:left w:w="0" w:type="dxa"/>
              <w:bottom w:w="30" w:type="dxa"/>
              <w:right w:w="20" w:type="dxa"/>
            </w:tcMar>
            <w:vAlign w:val="bottom"/>
            <w:hideMark/>
          </w:tcPr>
          <w:p w14:paraId="3AEE58B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CE28D0"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00A69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8034EA3" w14:textId="77777777" w:rsidR="00000000" w:rsidRDefault="000C49AD">
            <w:pPr>
              <w:spacing w:after="100"/>
              <w:jc w:val="right"/>
              <w:rPr>
                <w:rFonts w:eastAsia="Times New Roman"/>
              </w:rPr>
            </w:pPr>
            <w:r>
              <w:rPr>
                <w:rFonts w:eastAsia="Times New Roman"/>
                <w:color w:val="000000"/>
                <w:sz w:val="18"/>
                <w:szCs w:val="18"/>
              </w:rPr>
              <w:t>1,288 </w:t>
            </w:r>
          </w:p>
        </w:tc>
        <w:tc>
          <w:tcPr>
            <w:tcW w:w="0" w:type="auto"/>
            <w:shd w:val="clear" w:color="auto" w:fill="CCEEFF"/>
            <w:tcMar>
              <w:top w:w="30" w:type="dxa"/>
              <w:left w:w="0" w:type="dxa"/>
              <w:bottom w:w="30" w:type="dxa"/>
              <w:right w:w="20" w:type="dxa"/>
            </w:tcMar>
            <w:vAlign w:val="bottom"/>
            <w:hideMark/>
          </w:tcPr>
          <w:p w14:paraId="71EC990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B6BABE"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26DCC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2F051EC" w14:textId="77777777" w:rsidR="00000000" w:rsidRDefault="000C49AD">
            <w:pPr>
              <w:spacing w:after="100"/>
              <w:jc w:val="right"/>
              <w:rPr>
                <w:rFonts w:eastAsia="Times New Roman"/>
              </w:rPr>
            </w:pPr>
            <w:r>
              <w:rPr>
                <w:rFonts w:eastAsia="Times New Roman"/>
                <w:color w:val="000000"/>
                <w:sz w:val="18"/>
                <w:szCs w:val="18"/>
              </w:rPr>
              <w:t>(20)</w:t>
            </w:r>
          </w:p>
        </w:tc>
        <w:tc>
          <w:tcPr>
            <w:tcW w:w="0" w:type="auto"/>
            <w:shd w:val="clear" w:color="auto" w:fill="CCEEFF"/>
            <w:tcMar>
              <w:top w:w="30" w:type="dxa"/>
              <w:left w:w="0" w:type="dxa"/>
              <w:bottom w:w="30" w:type="dxa"/>
              <w:right w:w="20" w:type="dxa"/>
            </w:tcMar>
            <w:vAlign w:val="bottom"/>
            <w:hideMark/>
          </w:tcPr>
          <w:p w14:paraId="6883BB3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B18605"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56F364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681E7B5" w14:textId="77777777" w:rsidR="00000000" w:rsidRDefault="000C49AD">
            <w:pPr>
              <w:spacing w:after="100"/>
              <w:jc w:val="right"/>
              <w:rPr>
                <w:rFonts w:eastAsia="Times New Roman"/>
              </w:rPr>
            </w:pPr>
            <w:r>
              <w:rPr>
                <w:rFonts w:eastAsia="Times New Roman"/>
                <w:color w:val="000000"/>
                <w:sz w:val="18"/>
                <w:szCs w:val="18"/>
              </w:rPr>
              <w:t>104,672 </w:t>
            </w:r>
          </w:p>
        </w:tc>
        <w:tc>
          <w:tcPr>
            <w:tcW w:w="0" w:type="auto"/>
            <w:shd w:val="clear" w:color="auto" w:fill="CCEEFF"/>
            <w:tcMar>
              <w:top w:w="30" w:type="dxa"/>
              <w:left w:w="0" w:type="dxa"/>
              <w:bottom w:w="30" w:type="dxa"/>
              <w:right w:w="20" w:type="dxa"/>
            </w:tcMar>
            <w:vAlign w:val="bottom"/>
            <w:hideMark/>
          </w:tcPr>
          <w:p w14:paraId="60A2E125" w14:textId="77777777" w:rsidR="00000000" w:rsidRDefault="000C49AD">
            <w:pPr>
              <w:spacing w:after="100"/>
              <w:jc w:val="right"/>
              <w:rPr>
                <w:rFonts w:eastAsia="Times New Roman"/>
              </w:rPr>
            </w:pPr>
          </w:p>
        </w:tc>
      </w:tr>
      <w:tr w:rsidR="00000000" w14:paraId="7B08B2AF" w14:textId="77777777">
        <w:tc>
          <w:tcPr>
            <w:tcW w:w="0" w:type="auto"/>
            <w:gridSpan w:val="3"/>
            <w:shd w:val="clear" w:color="auto" w:fill="FFFFFF"/>
            <w:tcMar>
              <w:top w:w="30" w:type="dxa"/>
              <w:left w:w="245" w:type="dxa"/>
              <w:bottom w:w="30" w:type="dxa"/>
              <w:right w:w="20" w:type="dxa"/>
            </w:tcMar>
            <w:vAlign w:val="bottom"/>
            <w:hideMark/>
          </w:tcPr>
          <w:p w14:paraId="2D3F3940" w14:textId="77777777" w:rsidR="00000000" w:rsidRDefault="000C49AD">
            <w:pPr>
              <w:spacing w:after="100"/>
              <w:rPr>
                <w:rFonts w:eastAsia="Times New Roman"/>
              </w:rPr>
            </w:pPr>
            <w:r>
              <w:rPr>
                <w:rFonts w:eastAsia="Times New Roman"/>
                <w:color w:val="000000"/>
                <w:sz w:val="18"/>
                <w:szCs w:val="18"/>
              </w:rPr>
              <w:t>Corporate bonds</w:t>
            </w:r>
          </w:p>
        </w:tc>
        <w:tc>
          <w:tcPr>
            <w:tcW w:w="0" w:type="auto"/>
            <w:gridSpan w:val="3"/>
            <w:shd w:val="clear" w:color="auto" w:fill="FFFFFF"/>
            <w:tcMar>
              <w:top w:w="0" w:type="dxa"/>
              <w:left w:w="20" w:type="dxa"/>
              <w:bottom w:w="0" w:type="dxa"/>
              <w:right w:w="20" w:type="dxa"/>
            </w:tcMar>
            <w:vAlign w:val="center"/>
            <w:hideMark/>
          </w:tcPr>
          <w:p w14:paraId="6D84093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6363D0" w14:textId="77777777" w:rsidR="00000000" w:rsidRDefault="000C49AD">
            <w:pPr>
              <w:spacing w:after="100"/>
              <w:jc w:val="right"/>
              <w:rPr>
                <w:rFonts w:eastAsia="Times New Roman"/>
              </w:rPr>
            </w:pPr>
            <w:r>
              <w:rPr>
                <w:rFonts w:eastAsia="Times New Roman"/>
                <w:color w:val="000000"/>
                <w:sz w:val="18"/>
                <w:szCs w:val="18"/>
              </w:rPr>
              <w:t>21,811 </w:t>
            </w:r>
          </w:p>
        </w:tc>
        <w:tc>
          <w:tcPr>
            <w:tcW w:w="0" w:type="auto"/>
            <w:shd w:val="clear" w:color="auto" w:fill="FFFFFF"/>
            <w:tcMar>
              <w:top w:w="30" w:type="dxa"/>
              <w:left w:w="0" w:type="dxa"/>
              <w:bottom w:w="30" w:type="dxa"/>
              <w:right w:w="20" w:type="dxa"/>
            </w:tcMar>
            <w:vAlign w:val="bottom"/>
            <w:hideMark/>
          </w:tcPr>
          <w:p w14:paraId="68F9301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B733E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500D2D" w14:textId="77777777" w:rsidR="00000000" w:rsidRDefault="000C49AD">
            <w:pPr>
              <w:spacing w:after="100"/>
              <w:jc w:val="right"/>
              <w:rPr>
                <w:rFonts w:eastAsia="Times New Roman"/>
              </w:rPr>
            </w:pPr>
            <w:r>
              <w:rPr>
                <w:rFonts w:eastAsia="Times New Roman"/>
                <w:color w:val="000000"/>
                <w:sz w:val="18"/>
                <w:szCs w:val="18"/>
              </w:rPr>
              <w:t>350 </w:t>
            </w:r>
          </w:p>
        </w:tc>
        <w:tc>
          <w:tcPr>
            <w:tcW w:w="0" w:type="auto"/>
            <w:shd w:val="clear" w:color="auto" w:fill="FFFFFF"/>
            <w:tcMar>
              <w:top w:w="30" w:type="dxa"/>
              <w:left w:w="0" w:type="dxa"/>
              <w:bottom w:w="30" w:type="dxa"/>
              <w:right w:w="20" w:type="dxa"/>
            </w:tcMar>
            <w:vAlign w:val="bottom"/>
            <w:hideMark/>
          </w:tcPr>
          <w:p w14:paraId="1716376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589C9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7C712C" w14:textId="77777777" w:rsidR="00000000" w:rsidRDefault="000C49AD">
            <w:pPr>
              <w:spacing w:after="100"/>
              <w:jc w:val="right"/>
              <w:rPr>
                <w:rFonts w:eastAsia="Times New Roman"/>
              </w:rPr>
            </w:pPr>
            <w:r>
              <w:rPr>
                <w:rFonts w:eastAsia="Times New Roman"/>
                <w:color w:val="000000"/>
                <w:sz w:val="18"/>
                <w:szCs w:val="18"/>
              </w:rPr>
              <w:t>(6)</w:t>
            </w:r>
          </w:p>
        </w:tc>
        <w:tc>
          <w:tcPr>
            <w:tcW w:w="0" w:type="auto"/>
            <w:shd w:val="clear" w:color="auto" w:fill="FFFFFF"/>
            <w:tcMar>
              <w:top w:w="30" w:type="dxa"/>
              <w:left w:w="0" w:type="dxa"/>
              <w:bottom w:w="30" w:type="dxa"/>
              <w:right w:w="20" w:type="dxa"/>
            </w:tcMar>
            <w:vAlign w:val="bottom"/>
            <w:hideMark/>
          </w:tcPr>
          <w:p w14:paraId="750E8BC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157FF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DA76B4" w14:textId="77777777" w:rsidR="00000000" w:rsidRDefault="000C49AD">
            <w:pPr>
              <w:spacing w:after="100"/>
              <w:jc w:val="right"/>
              <w:rPr>
                <w:rFonts w:eastAsia="Times New Roman"/>
              </w:rPr>
            </w:pPr>
            <w:r>
              <w:rPr>
                <w:rFonts w:eastAsia="Times New Roman"/>
                <w:color w:val="000000"/>
                <w:sz w:val="18"/>
                <w:szCs w:val="18"/>
              </w:rPr>
              <w:t>22,155 </w:t>
            </w:r>
          </w:p>
        </w:tc>
        <w:tc>
          <w:tcPr>
            <w:tcW w:w="0" w:type="auto"/>
            <w:shd w:val="clear" w:color="auto" w:fill="FFFFFF"/>
            <w:tcMar>
              <w:top w:w="30" w:type="dxa"/>
              <w:left w:w="0" w:type="dxa"/>
              <w:bottom w:w="30" w:type="dxa"/>
              <w:right w:w="20" w:type="dxa"/>
            </w:tcMar>
            <w:vAlign w:val="bottom"/>
            <w:hideMark/>
          </w:tcPr>
          <w:p w14:paraId="1908A0AC" w14:textId="77777777" w:rsidR="00000000" w:rsidRDefault="000C49AD">
            <w:pPr>
              <w:spacing w:after="100"/>
              <w:jc w:val="right"/>
              <w:rPr>
                <w:rFonts w:eastAsia="Times New Roman"/>
              </w:rPr>
            </w:pPr>
          </w:p>
        </w:tc>
      </w:tr>
      <w:tr w:rsidR="00000000" w14:paraId="675096FF" w14:textId="77777777">
        <w:tc>
          <w:tcPr>
            <w:tcW w:w="0" w:type="auto"/>
            <w:gridSpan w:val="3"/>
            <w:shd w:val="clear" w:color="auto" w:fill="CCEEFF"/>
            <w:tcMar>
              <w:top w:w="30" w:type="dxa"/>
              <w:left w:w="245" w:type="dxa"/>
              <w:bottom w:w="30" w:type="dxa"/>
              <w:right w:w="20" w:type="dxa"/>
            </w:tcMar>
            <w:vAlign w:val="bottom"/>
            <w:hideMark/>
          </w:tcPr>
          <w:p w14:paraId="17BBD95D" w14:textId="77777777" w:rsidR="00000000" w:rsidRDefault="000C49AD">
            <w:pPr>
              <w:spacing w:after="100"/>
              <w:rPr>
                <w:rFonts w:eastAsia="Times New Roman"/>
              </w:rPr>
            </w:pPr>
            <w:r>
              <w:rPr>
                <w:rFonts w:eastAsia="Times New Roman"/>
                <w:color w:val="000000"/>
                <w:sz w:val="18"/>
                <w:szCs w:val="18"/>
              </w:rPr>
              <w:t>Government securities - U.S.</w:t>
            </w:r>
          </w:p>
        </w:tc>
        <w:tc>
          <w:tcPr>
            <w:tcW w:w="0" w:type="auto"/>
            <w:gridSpan w:val="3"/>
            <w:shd w:val="clear" w:color="auto" w:fill="CCEEFF"/>
            <w:tcMar>
              <w:top w:w="0" w:type="dxa"/>
              <w:left w:w="20" w:type="dxa"/>
              <w:bottom w:w="0" w:type="dxa"/>
              <w:right w:w="20" w:type="dxa"/>
            </w:tcMar>
            <w:vAlign w:val="center"/>
            <w:hideMark/>
          </w:tcPr>
          <w:p w14:paraId="1C8E8CF2"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C1D052" w14:textId="77777777" w:rsidR="00000000" w:rsidRDefault="000C49AD">
            <w:pPr>
              <w:spacing w:after="100"/>
              <w:jc w:val="right"/>
              <w:rPr>
                <w:rFonts w:eastAsia="Times New Roman"/>
              </w:rPr>
            </w:pPr>
            <w:r>
              <w:rPr>
                <w:rFonts w:eastAsia="Times New Roman"/>
                <w:color w:val="000000"/>
                <w:sz w:val="18"/>
                <w:szCs w:val="18"/>
              </w:rPr>
              <w:t>18,849 </w:t>
            </w:r>
          </w:p>
        </w:tc>
        <w:tc>
          <w:tcPr>
            <w:tcW w:w="0" w:type="auto"/>
            <w:shd w:val="clear" w:color="auto" w:fill="CCEEFF"/>
            <w:tcMar>
              <w:top w:w="30" w:type="dxa"/>
              <w:left w:w="0" w:type="dxa"/>
              <w:bottom w:w="30" w:type="dxa"/>
              <w:right w:w="20" w:type="dxa"/>
            </w:tcMar>
            <w:vAlign w:val="bottom"/>
            <w:hideMark/>
          </w:tcPr>
          <w:p w14:paraId="5D619A4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964E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FA43D" w14:textId="77777777" w:rsidR="00000000" w:rsidRDefault="000C49AD">
            <w:pPr>
              <w:spacing w:after="100"/>
              <w:jc w:val="right"/>
              <w:rPr>
                <w:rFonts w:eastAsia="Times New Roman"/>
              </w:rPr>
            </w:pPr>
            <w:r>
              <w:rPr>
                <w:rFonts w:eastAsia="Times New Roman"/>
                <w:color w:val="000000"/>
                <w:sz w:val="18"/>
                <w:szCs w:val="18"/>
              </w:rPr>
              <w:t>155 </w:t>
            </w:r>
          </w:p>
        </w:tc>
        <w:tc>
          <w:tcPr>
            <w:tcW w:w="0" w:type="auto"/>
            <w:shd w:val="clear" w:color="auto" w:fill="CCEEFF"/>
            <w:tcMar>
              <w:top w:w="30" w:type="dxa"/>
              <w:left w:w="0" w:type="dxa"/>
              <w:bottom w:w="30" w:type="dxa"/>
              <w:right w:w="20" w:type="dxa"/>
            </w:tcMar>
            <w:vAlign w:val="bottom"/>
            <w:hideMark/>
          </w:tcPr>
          <w:p w14:paraId="3C5CA13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A1616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2326AD" w14:textId="77777777" w:rsidR="00000000" w:rsidRDefault="000C49AD">
            <w:pPr>
              <w:spacing w:after="100"/>
              <w:jc w:val="right"/>
              <w:rPr>
                <w:rFonts w:eastAsia="Times New Roman"/>
              </w:rPr>
            </w:pPr>
            <w:r>
              <w:rPr>
                <w:rFonts w:eastAsia="Times New Roman"/>
                <w:color w:val="000000"/>
                <w:sz w:val="18"/>
                <w:szCs w:val="18"/>
              </w:rPr>
              <w:t>(5)</w:t>
            </w:r>
          </w:p>
        </w:tc>
        <w:tc>
          <w:tcPr>
            <w:tcW w:w="0" w:type="auto"/>
            <w:shd w:val="clear" w:color="auto" w:fill="CCEEFF"/>
            <w:tcMar>
              <w:top w:w="30" w:type="dxa"/>
              <w:left w:w="0" w:type="dxa"/>
              <w:bottom w:w="30" w:type="dxa"/>
              <w:right w:w="20" w:type="dxa"/>
            </w:tcMar>
            <w:vAlign w:val="bottom"/>
            <w:hideMark/>
          </w:tcPr>
          <w:p w14:paraId="498FAEC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3048A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610CE2" w14:textId="77777777" w:rsidR="00000000" w:rsidRDefault="000C49AD">
            <w:pPr>
              <w:spacing w:after="100"/>
              <w:jc w:val="right"/>
              <w:rPr>
                <w:rFonts w:eastAsia="Times New Roman"/>
              </w:rPr>
            </w:pPr>
            <w:r>
              <w:rPr>
                <w:rFonts w:eastAsia="Times New Roman"/>
                <w:color w:val="000000"/>
                <w:sz w:val="18"/>
                <w:szCs w:val="18"/>
              </w:rPr>
              <w:t>18,999 </w:t>
            </w:r>
          </w:p>
        </w:tc>
        <w:tc>
          <w:tcPr>
            <w:tcW w:w="0" w:type="auto"/>
            <w:shd w:val="clear" w:color="auto" w:fill="CCEEFF"/>
            <w:tcMar>
              <w:top w:w="30" w:type="dxa"/>
              <w:left w:w="0" w:type="dxa"/>
              <w:bottom w:w="30" w:type="dxa"/>
              <w:right w:w="20" w:type="dxa"/>
            </w:tcMar>
            <w:vAlign w:val="bottom"/>
            <w:hideMark/>
          </w:tcPr>
          <w:p w14:paraId="2938137E" w14:textId="77777777" w:rsidR="00000000" w:rsidRDefault="000C49AD">
            <w:pPr>
              <w:spacing w:after="100"/>
              <w:jc w:val="right"/>
              <w:rPr>
                <w:rFonts w:eastAsia="Times New Roman"/>
              </w:rPr>
            </w:pPr>
          </w:p>
        </w:tc>
      </w:tr>
      <w:tr w:rsidR="00000000" w14:paraId="69AB6E66" w14:textId="77777777">
        <w:tc>
          <w:tcPr>
            <w:tcW w:w="0" w:type="auto"/>
            <w:gridSpan w:val="3"/>
            <w:shd w:val="clear" w:color="auto" w:fill="FFFFFF"/>
            <w:tcMar>
              <w:top w:w="30" w:type="dxa"/>
              <w:left w:w="245" w:type="dxa"/>
              <w:bottom w:w="30" w:type="dxa"/>
              <w:right w:w="20" w:type="dxa"/>
            </w:tcMar>
            <w:vAlign w:val="bottom"/>
            <w:hideMark/>
          </w:tcPr>
          <w:p w14:paraId="19BDA6C1" w14:textId="77777777" w:rsidR="00000000" w:rsidRDefault="000C49AD">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FFFFFF"/>
            <w:tcMar>
              <w:top w:w="0" w:type="dxa"/>
              <w:left w:w="20" w:type="dxa"/>
              <w:bottom w:w="0" w:type="dxa"/>
              <w:right w:w="20" w:type="dxa"/>
            </w:tcMar>
            <w:vAlign w:val="center"/>
            <w:hideMark/>
          </w:tcPr>
          <w:p w14:paraId="1BB30618"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FD813D" w14:textId="77777777" w:rsidR="00000000" w:rsidRDefault="000C49AD">
            <w:pPr>
              <w:spacing w:after="100"/>
              <w:jc w:val="right"/>
              <w:rPr>
                <w:rFonts w:eastAsia="Times New Roman"/>
              </w:rPr>
            </w:pPr>
            <w:r>
              <w:rPr>
                <w:rFonts w:eastAsia="Times New Roman"/>
                <w:color w:val="000000"/>
                <w:sz w:val="18"/>
                <w:szCs w:val="18"/>
              </w:rPr>
              <w:t>3,839 </w:t>
            </w:r>
          </w:p>
        </w:tc>
        <w:tc>
          <w:tcPr>
            <w:tcW w:w="0" w:type="auto"/>
            <w:shd w:val="clear" w:color="auto" w:fill="FFFFFF"/>
            <w:tcMar>
              <w:top w:w="30" w:type="dxa"/>
              <w:left w:w="0" w:type="dxa"/>
              <w:bottom w:w="30" w:type="dxa"/>
              <w:right w:w="20" w:type="dxa"/>
            </w:tcMar>
            <w:vAlign w:val="bottom"/>
            <w:hideMark/>
          </w:tcPr>
          <w:p w14:paraId="4153D5A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949D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D321A3" w14:textId="77777777" w:rsidR="00000000" w:rsidRDefault="000C49AD">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14:paraId="36BE443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B5E8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7525A6" w14:textId="77777777" w:rsidR="00000000" w:rsidRDefault="000C49AD">
            <w:pPr>
              <w:spacing w:after="100"/>
              <w:jc w:val="right"/>
              <w:rPr>
                <w:rFonts w:eastAsia="Times New Roman"/>
              </w:rPr>
            </w:pPr>
            <w:r>
              <w:rPr>
                <w:rFonts w:eastAsia="Times New Roman"/>
                <w:color w:val="000000"/>
                <w:sz w:val="18"/>
                <w:szCs w:val="18"/>
              </w:rPr>
              <w:t>(7)</w:t>
            </w:r>
          </w:p>
        </w:tc>
        <w:tc>
          <w:tcPr>
            <w:tcW w:w="0" w:type="auto"/>
            <w:shd w:val="clear" w:color="auto" w:fill="FFFFFF"/>
            <w:tcMar>
              <w:top w:w="30" w:type="dxa"/>
              <w:left w:w="0" w:type="dxa"/>
              <w:bottom w:w="30" w:type="dxa"/>
              <w:right w:w="20" w:type="dxa"/>
            </w:tcMar>
            <w:vAlign w:val="bottom"/>
            <w:hideMark/>
          </w:tcPr>
          <w:p w14:paraId="5332204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0D2ED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CBC3C8" w14:textId="77777777" w:rsidR="00000000" w:rsidRDefault="000C49AD">
            <w:pPr>
              <w:spacing w:after="100"/>
              <w:jc w:val="right"/>
              <w:rPr>
                <w:rFonts w:eastAsia="Times New Roman"/>
              </w:rPr>
            </w:pPr>
            <w:r>
              <w:rPr>
                <w:rFonts w:eastAsia="Times New Roman"/>
                <w:color w:val="000000"/>
                <w:sz w:val="18"/>
                <w:szCs w:val="18"/>
              </w:rPr>
              <w:t>3,854 </w:t>
            </w:r>
          </w:p>
        </w:tc>
        <w:tc>
          <w:tcPr>
            <w:tcW w:w="0" w:type="auto"/>
            <w:shd w:val="clear" w:color="auto" w:fill="FFFFFF"/>
            <w:tcMar>
              <w:top w:w="30" w:type="dxa"/>
              <w:left w:w="0" w:type="dxa"/>
              <w:bottom w:w="30" w:type="dxa"/>
              <w:right w:w="20" w:type="dxa"/>
            </w:tcMar>
            <w:vAlign w:val="bottom"/>
            <w:hideMark/>
          </w:tcPr>
          <w:p w14:paraId="15228DED" w14:textId="77777777" w:rsidR="00000000" w:rsidRDefault="000C49AD">
            <w:pPr>
              <w:spacing w:after="100"/>
              <w:jc w:val="right"/>
              <w:rPr>
                <w:rFonts w:eastAsia="Times New Roman"/>
              </w:rPr>
            </w:pPr>
          </w:p>
        </w:tc>
      </w:tr>
      <w:tr w:rsidR="00000000" w14:paraId="44EF75E4" w14:textId="77777777">
        <w:tc>
          <w:tcPr>
            <w:tcW w:w="0" w:type="auto"/>
            <w:gridSpan w:val="3"/>
            <w:shd w:val="clear" w:color="auto" w:fill="CCEEFF"/>
            <w:tcMar>
              <w:top w:w="30" w:type="dxa"/>
              <w:left w:w="380" w:type="dxa"/>
              <w:bottom w:w="30" w:type="dxa"/>
              <w:right w:w="20" w:type="dxa"/>
            </w:tcMar>
            <w:vAlign w:val="bottom"/>
            <w:hideMark/>
          </w:tcPr>
          <w:p w14:paraId="70B72CD2" w14:textId="77777777" w:rsidR="00000000" w:rsidRDefault="000C49A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3E3F7877"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FD3098"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33DF602" w14:textId="77777777" w:rsidR="00000000" w:rsidRDefault="000C49AD">
            <w:pPr>
              <w:spacing w:after="100"/>
              <w:jc w:val="right"/>
              <w:rPr>
                <w:rFonts w:eastAsia="Times New Roman"/>
              </w:rPr>
            </w:pPr>
            <w:r>
              <w:rPr>
                <w:rFonts w:eastAsia="Times New Roman"/>
                <w:color w:val="000000"/>
                <w:sz w:val="18"/>
                <w:szCs w:val="18"/>
              </w:rPr>
              <w:t>147,903 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138CC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0DB21E"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772FB2"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76D90D0" w14:textId="77777777" w:rsidR="00000000" w:rsidRDefault="000C49AD">
            <w:pPr>
              <w:spacing w:after="100"/>
              <w:jc w:val="right"/>
              <w:rPr>
                <w:rFonts w:eastAsia="Times New Roman"/>
              </w:rPr>
            </w:pPr>
            <w:r>
              <w:rPr>
                <w:rFonts w:eastAsia="Times New Roman"/>
                <w:color w:val="000000"/>
                <w:sz w:val="18"/>
                <w:szCs w:val="18"/>
              </w:rPr>
              <w:t>1,815 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1594A8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8D54D7"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FCAB9A"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4FFCAE" w14:textId="77777777" w:rsidR="00000000" w:rsidRDefault="000C49AD">
            <w:pPr>
              <w:spacing w:after="100"/>
              <w:jc w:val="right"/>
              <w:rPr>
                <w:rFonts w:eastAsia="Times New Roman"/>
              </w:rPr>
            </w:pPr>
            <w:r>
              <w:rPr>
                <w:rFonts w:eastAsia="Times New Roman"/>
                <w:color w:val="000000"/>
                <w:sz w:val="18"/>
                <w:szCs w:val="18"/>
              </w:rPr>
              <w:t>(38)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9D487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F30D33"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4E3379"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19698C" w14:textId="77777777" w:rsidR="00000000" w:rsidRDefault="000C49AD">
            <w:pPr>
              <w:spacing w:after="100"/>
              <w:jc w:val="right"/>
              <w:rPr>
                <w:rFonts w:eastAsia="Times New Roman"/>
              </w:rPr>
            </w:pPr>
            <w:r>
              <w:rPr>
                <w:rFonts w:eastAsia="Times New Roman"/>
                <w:color w:val="000000"/>
                <w:sz w:val="18"/>
                <w:szCs w:val="18"/>
              </w:rPr>
              <w:t>149,680 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FF2E95E" w14:textId="77777777" w:rsidR="00000000" w:rsidRDefault="000C49AD">
            <w:pPr>
              <w:spacing w:after="100"/>
              <w:jc w:val="right"/>
              <w:rPr>
                <w:rFonts w:eastAsia="Times New Roman"/>
              </w:rPr>
            </w:pPr>
          </w:p>
        </w:tc>
      </w:tr>
    </w:tbl>
    <w:p w14:paraId="318A9541" w14:textId="77777777" w:rsidR="00000000" w:rsidRDefault="000C49AD">
      <w:pPr>
        <w:jc w:val="both"/>
        <w:rPr>
          <w:rFonts w:eastAsia="Times New Roman"/>
        </w:rPr>
      </w:pPr>
    </w:p>
    <w:p w14:paraId="2C8CA7E5" w14:textId="77777777" w:rsidR="00000000" w:rsidRDefault="000C49AD">
      <w:pPr>
        <w:jc w:val="both"/>
        <w:rPr>
          <w:rFonts w:eastAsia="Times New Roman"/>
        </w:rPr>
      </w:pPr>
      <w:r>
        <w:rPr>
          <w:rFonts w:eastAsia="Times New Roman"/>
          <w:color w:val="000000"/>
          <w:sz w:val="20"/>
          <w:szCs w:val="20"/>
        </w:rPr>
        <w:t xml:space="preserve">The Company determines realized gains or losses on the sale of marketable securities on a specific identification method. The Company reflects these gains and losses as a component of investment and other income in </w:t>
      </w:r>
      <w:r>
        <w:rPr>
          <w:rFonts w:eastAsia="Times New Roman"/>
          <w:color w:val="000000"/>
          <w:sz w:val="20"/>
          <w:szCs w:val="20"/>
        </w:rPr>
        <w:t>the accompanying consolidated statements of (loss) income.</w:t>
      </w:r>
    </w:p>
    <w:p w14:paraId="2B11C865" w14:textId="77777777" w:rsidR="00000000" w:rsidRDefault="000C49AD">
      <w:pPr>
        <w:jc w:val="both"/>
        <w:rPr>
          <w:rFonts w:eastAsia="Times New Roman"/>
        </w:rPr>
      </w:pPr>
    </w:p>
    <w:p w14:paraId="64419A1D" w14:textId="77777777" w:rsidR="00000000" w:rsidRDefault="000C49AD">
      <w:pPr>
        <w:jc w:val="both"/>
        <w:divId w:val="2080518285"/>
        <w:rPr>
          <w:rFonts w:eastAsia="Times New Roman"/>
        </w:rPr>
      </w:pPr>
      <w:r>
        <w:rPr>
          <w:rFonts w:eastAsia="Times New Roman"/>
          <w:color w:val="000000"/>
          <w:sz w:val="20"/>
          <w:szCs w:val="20"/>
        </w:rPr>
        <w:t xml:space="preserve">The Company recognized gross realized gains of $174, $474 and $483 for the twelve months ended December 31, 2021, 2020 and 2019, respectively. These realized gains were offset by realized losses </w:t>
      </w:r>
      <w:r>
        <w:rPr>
          <w:rFonts w:eastAsia="Times New Roman"/>
          <w:color w:val="000000"/>
          <w:sz w:val="20"/>
          <w:szCs w:val="20"/>
        </w:rPr>
        <w:t xml:space="preserve">of $275, $912 and $151 for the twelve-months ended December 31, 2021, 2020 and 2019, respectively. </w:t>
      </w:r>
    </w:p>
    <w:p w14:paraId="43C2390E" w14:textId="77777777" w:rsidR="00000000" w:rsidRDefault="000C49AD">
      <w:pPr>
        <w:jc w:val="both"/>
        <w:divId w:val="577859193"/>
        <w:rPr>
          <w:rFonts w:eastAsia="Times New Roman"/>
        </w:rPr>
      </w:pPr>
      <w:r>
        <w:rPr>
          <w:rFonts w:eastAsia="Times New Roman"/>
          <w:color w:val="000000"/>
          <w:sz w:val="20"/>
          <w:szCs w:val="20"/>
        </w:rPr>
        <w:t>The following table summarizes the estimated fair value of the Company’s investments in marketable debt securities, accounted for as available-for-sale secu</w:t>
      </w:r>
      <w:r>
        <w:rPr>
          <w:rFonts w:eastAsia="Times New Roman"/>
          <w:color w:val="000000"/>
          <w:sz w:val="20"/>
          <w:szCs w:val="20"/>
        </w:rPr>
        <w:t>rities and classified by the contractual maturity date of the securities as of December 31, 2021:</w:t>
      </w:r>
    </w:p>
    <w:tbl>
      <w:tblPr>
        <w:tblW w:w="4978" w:type="pct"/>
        <w:tblCellMar>
          <w:top w:w="15" w:type="dxa"/>
          <w:left w:w="15" w:type="dxa"/>
          <w:bottom w:w="15" w:type="dxa"/>
          <w:right w:w="15" w:type="dxa"/>
        </w:tblCellMar>
        <w:tblLook w:val="04A0" w:firstRow="1" w:lastRow="0" w:firstColumn="1" w:lastColumn="0" w:noHBand="0" w:noVBand="1"/>
      </w:tblPr>
      <w:tblGrid>
        <w:gridCol w:w="38"/>
        <w:gridCol w:w="2724"/>
        <w:gridCol w:w="37"/>
        <w:gridCol w:w="36"/>
        <w:gridCol w:w="36"/>
        <w:gridCol w:w="36"/>
        <w:gridCol w:w="110"/>
        <w:gridCol w:w="838"/>
        <w:gridCol w:w="36"/>
        <w:gridCol w:w="36"/>
        <w:gridCol w:w="36"/>
        <w:gridCol w:w="36"/>
        <w:gridCol w:w="110"/>
        <w:gridCol w:w="839"/>
        <w:gridCol w:w="36"/>
        <w:gridCol w:w="36"/>
        <w:gridCol w:w="36"/>
        <w:gridCol w:w="36"/>
        <w:gridCol w:w="110"/>
        <w:gridCol w:w="840"/>
        <w:gridCol w:w="36"/>
        <w:gridCol w:w="36"/>
        <w:gridCol w:w="36"/>
        <w:gridCol w:w="36"/>
        <w:gridCol w:w="111"/>
        <w:gridCol w:w="840"/>
        <w:gridCol w:w="36"/>
        <w:gridCol w:w="36"/>
        <w:gridCol w:w="36"/>
        <w:gridCol w:w="36"/>
        <w:gridCol w:w="110"/>
        <w:gridCol w:w="842"/>
        <w:gridCol w:w="36"/>
      </w:tblGrid>
      <w:tr w:rsidR="00000000" w14:paraId="41D34D68" w14:textId="77777777">
        <w:trPr>
          <w:divId w:val="937636040"/>
        </w:trPr>
        <w:tc>
          <w:tcPr>
            <w:tcW w:w="50" w:type="pct"/>
            <w:vAlign w:val="center"/>
            <w:hideMark/>
          </w:tcPr>
          <w:p w14:paraId="0D13A4DB" w14:textId="77777777" w:rsidR="00000000" w:rsidRDefault="000C49AD">
            <w:pPr>
              <w:jc w:val="both"/>
              <w:rPr>
                <w:rFonts w:eastAsia="Times New Roman"/>
              </w:rPr>
            </w:pPr>
          </w:p>
        </w:tc>
        <w:tc>
          <w:tcPr>
            <w:tcW w:w="1677" w:type="pct"/>
            <w:vAlign w:val="center"/>
            <w:hideMark/>
          </w:tcPr>
          <w:p w14:paraId="45A82612" w14:textId="77777777" w:rsidR="00000000" w:rsidRDefault="000C49AD">
            <w:pPr>
              <w:spacing w:after="100"/>
              <w:rPr>
                <w:rFonts w:eastAsia="Times New Roman"/>
                <w:sz w:val="20"/>
                <w:szCs w:val="20"/>
              </w:rPr>
            </w:pPr>
          </w:p>
        </w:tc>
        <w:tc>
          <w:tcPr>
            <w:tcW w:w="5" w:type="pct"/>
            <w:vAlign w:val="center"/>
            <w:hideMark/>
          </w:tcPr>
          <w:p w14:paraId="5EC96970" w14:textId="77777777" w:rsidR="00000000" w:rsidRDefault="000C49AD">
            <w:pPr>
              <w:spacing w:after="100"/>
              <w:rPr>
                <w:rFonts w:eastAsia="Times New Roman"/>
                <w:sz w:val="20"/>
                <w:szCs w:val="20"/>
              </w:rPr>
            </w:pPr>
          </w:p>
        </w:tc>
        <w:tc>
          <w:tcPr>
            <w:tcW w:w="5" w:type="pct"/>
            <w:vAlign w:val="center"/>
            <w:hideMark/>
          </w:tcPr>
          <w:p w14:paraId="6FDED2EA" w14:textId="77777777" w:rsidR="00000000" w:rsidRDefault="000C49AD">
            <w:pPr>
              <w:spacing w:after="100"/>
              <w:rPr>
                <w:rFonts w:eastAsia="Times New Roman"/>
                <w:sz w:val="20"/>
                <w:szCs w:val="20"/>
              </w:rPr>
            </w:pPr>
          </w:p>
        </w:tc>
        <w:tc>
          <w:tcPr>
            <w:tcW w:w="26" w:type="pct"/>
            <w:vAlign w:val="center"/>
            <w:hideMark/>
          </w:tcPr>
          <w:p w14:paraId="524E440E" w14:textId="77777777" w:rsidR="00000000" w:rsidRDefault="000C49AD">
            <w:pPr>
              <w:spacing w:after="100"/>
              <w:rPr>
                <w:rFonts w:eastAsia="Times New Roman"/>
                <w:sz w:val="20"/>
                <w:szCs w:val="20"/>
              </w:rPr>
            </w:pPr>
          </w:p>
        </w:tc>
        <w:tc>
          <w:tcPr>
            <w:tcW w:w="5" w:type="pct"/>
            <w:vAlign w:val="center"/>
            <w:hideMark/>
          </w:tcPr>
          <w:p w14:paraId="1F95C067" w14:textId="77777777" w:rsidR="00000000" w:rsidRDefault="000C49AD">
            <w:pPr>
              <w:spacing w:after="100"/>
              <w:rPr>
                <w:rFonts w:eastAsia="Times New Roman"/>
                <w:sz w:val="20"/>
                <w:szCs w:val="20"/>
              </w:rPr>
            </w:pPr>
          </w:p>
        </w:tc>
        <w:tc>
          <w:tcPr>
            <w:tcW w:w="50" w:type="pct"/>
            <w:vAlign w:val="center"/>
            <w:hideMark/>
          </w:tcPr>
          <w:p w14:paraId="4F02F7CC" w14:textId="77777777" w:rsidR="00000000" w:rsidRDefault="000C49AD">
            <w:pPr>
              <w:spacing w:after="100"/>
              <w:rPr>
                <w:rFonts w:eastAsia="Times New Roman"/>
                <w:sz w:val="20"/>
                <w:szCs w:val="20"/>
              </w:rPr>
            </w:pPr>
          </w:p>
        </w:tc>
        <w:tc>
          <w:tcPr>
            <w:tcW w:w="561" w:type="pct"/>
            <w:vAlign w:val="center"/>
            <w:hideMark/>
          </w:tcPr>
          <w:p w14:paraId="3FE938C8" w14:textId="77777777" w:rsidR="00000000" w:rsidRDefault="000C49AD">
            <w:pPr>
              <w:spacing w:after="100"/>
              <w:rPr>
                <w:rFonts w:eastAsia="Times New Roman"/>
                <w:sz w:val="20"/>
                <w:szCs w:val="20"/>
              </w:rPr>
            </w:pPr>
          </w:p>
        </w:tc>
        <w:tc>
          <w:tcPr>
            <w:tcW w:w="5" w:type="pct"/>
            <w:vAlign w:val="center"/>
            <w:hideMark/>
          </w:tcPr>
          <w:p w14:paraId="71342B2B" w14:textId="77777777" w:rsidR="00000000" w:rsidRDefault="000C49AD">
            <w:pPr>
              <w:spacing w:after="100"/>
              <w:rPr>
                <w:rFonts w:eastAsia="Times New Roman"/>
                <w:sz w:val="20"/>
                <w:szCs w:val="20"/>
              </w:rPr>
            </w:pPr>
          </w:p>
        </w:tc>
        <w:tc>
          <w:tcPr>
            <w:tcW w:w="5" w:type="pct"/>
            <w:vAlign w:val="center"/>
            <w:hideMark/>
          </w:tcPr>
          <w:p w14:paraId="7968FAA4" w14:textId="77777777" w:rsidR="00000000" w:rsidRDefault="000C49AD">
            <w:pPr>
              <w:spacing w:after="100"/>
              <w:rPr>
                <w:rFonts w:eastAsia="Times New Roman"/>
                <w:sz w:val="20"/>
                <w:szCs w:val="20"/>
              </w:rPr>
            </w:pPr>
          </w:p>
        </w:tc>
        <w:tc>
          <w:tcPr>
            <w:tcW w:w="26" w:type="pct"/>
            <w:vAlign w:val="center"/>
            <w:hideMark/>
          </w:tcPr>
          <w:p w14:paraId="4B6466AE" w14:textId="77777777" w:rsidR="00000000" w:rsidRDefault="000C49AD">
            <w:pPr>
              <w:spacing w:after="100"/>
              <w:rPr>
                <w:rFonts w:eastAsia="Times New Roman"/>
                <w:sz w:val="20"/>
                <w:szCs w:val="20"/>
              </w:rPr>
            </w:pPr>
          </w:p>
        </w:tc>
        <w:tc>
          <w:tcPr>
            <w:tcW w:w="5" w:type="pct"/>
            <w:vAlign w:val="center"/>
            <w:hideMark/>
          </w:tcPr>
          <w:p w14:paraId="65C3F9D9" w14:textId="77777777" w:rsidR="00000000" w:rsidRDefault="000C49AD">
            <w:pPr>
              <w:spacing w:after="100"/>
              <w:rPr>
                <w:rFonts w:eastAsia="Times New Roman"/>
                <w:sz w:val="20"/>
                <w:szCs w:val="20"/>
              </w:rPr>
            </w:pPr>
          </w:p>
        </w:tc>
        <w:tc>
          <w:tcPr>
            <w:tcW w:w="50" w:type="pct"/>
            <w:vAlign w:val="center"/>
            <w:hideMark/>
          </w:tcPr>
          <w:p w14:paraId="2A54F577" w14:textId="77777777" w:rsidR="00000000" w:rsidRDefault="000C49AD">
            <w:pPr>
              <w:spacing w:after="100"/>
              <w:rPr>
                <w:rFonts w:eastAsia="Times New Roman"/>
                <w:sz w:val="20"/>
                <w:szCs w:val="20"/>
              </w:rPr>
            </w:pPr>
          </w:p>
        </w:tc>
        <w:tc>
          <w:tcPr>
            <w:tcW w:w="561" w:type="pct"/>
            <w:vAlign w:val="center"/>
            <w:hideMark/>
          </w:tcPr>
          <w:p w14:paraId="1859A4D5" w14:textId="77777777" w:rsidR="00000000" w:rsidRDefault="000C49AD">
            <w:pPr>
              <w:spacing w:after="100"/>
              <w:rPr>
                <w:rFonts w:eastAsia="Times New Roman"/>
                <w:sz w:val="20"/>
                <w:szCs w:val="20"/>
              </w:rPr>
            </w:pPr>
          </w:p>
        </w:tc>
        <w:tc>
          <w:tcPr>
            <w:tcW w:w="5" w:type="pct"/>
            <w:vAlign w:val="center"/>
            <w:hideMark/>
          </w:tcPr>
          <w:p w14:paraId="4215479C" w14:textId="77777777" w:rsidR="00000000" w:rsidRDefault="000C49AD">
            <w:pPr>
              <w:spacing w:after="100"/>
              <w:rPr>
                <w:rFonts w:eastAsia="Times New Roman"/>
                <w:sz w:val="20"/>
                <w:szCs w:val="20"/>
              </w:rPr>
            </w:pPr>
          </w:p>
        </w:tc>
        <w:tc>
          <w:tcPr>
            <w:tcW w:w="5" w:type="pct"/>
            <w:vAlign w:val="center"/>
            <w:hideMark/>
          </w:tcPr>
          <w:p w14:paraId="45690968" w14:textId="77777777" w:rsidR="00000000" w:rsidRDefault="000C49AD">
            <w:pPr>
              <w:spacing w:after="100"/>
              <w:rPr>
                <w:rFonts w:eastAsia="Times New Roman"/>
                <w:sz w:val="20"/>
                <w:szCs w:val="20"/>
              </w:rPr>
            </w:pPr>
          </w:p>
        </w:tc>
        <w:tc>
          <w:tcPr>
            <w:tcW w:w="26" w:type="pct"/>
            <w:vAlign w:val="center"/>
            <w:hideMark/>
          </w:tcPr>
          <w:p w14:paraId="699ABD89" w14:textId="77777777" w:rsidR="00000000" w:rsidRDefault="000C49AD">
            <w:pPr>
              <w:spacing w:after="100"/>
              <w:rPr>
                <w:rFonts w:eastAsia="Times New Roman"/>
                <w:sz w:val="20"/>
                <w:szCs w:val="20"/>
              </w:rPr>
            </w:pPr>
          </w:p>
        </w:tc>
        <w:tc>
          <w:tcPr>
            <w:tcW w:w="5" w:type="pct"/>
            <w:vAlign w:val="center"/>
            <w:hideMark/>
          </w:tcPr>
          <w:p w14:paraId="70661A0B" w14:textId="77777777" w:rsidR="00000000" w:rsidRDefault="000C49AD">
            <w:pPr>
              <w:spacing w:after="100"/>
              <w:rPr>
                <w:rFonts w:eastAsia="Times New Roman"/>
                <w:sz w:val="20"/>
                <w:szCs w:val="20"/>
              </w:rPr>
            </w:pPr>
          </w:p>
        </w:tc>
        <w:tc>
          <w:tcPr>
            <w:tcW w:w="50" w:type="pct"/>
            <w:vAlign w:val="center"/>
            <w:hideMark/>
          </w:tcPr>
          <w:p w14:paraId="1801F9B5" w14:textId="77777777" w:rsidR="00000000" w:rsidRDefault="000C49AD">
            <w:pPr>
              <w:spacing w:after="100"/>
              <w:rPr>
                <w:rFonts w:eastAsia="Times New Roman"/>
                <w:sz w:val="20"/>
                <w:szCs w:val="20"/>
              </w:rPr>
            </w:pPr>
          </w:p>
        </w:tc>
        <w:tc>
          <w:tcPr>
            <w:tcW w:w="561" w:type="pct"/>
            <w:vAlign w:val="center"/>
            <w:hideMark/>
          </w:tcPr>
          <w:p w14:paraId="1ED542D6" w14:textId="77777777" w:rsidR="00000000" w:rsidRDefault="000C49AD">
            <w:pPr>
              <w:spacing w:after="100"/>
              <w:rPr>
                <w:rFonts w:eastAsia="Times New Roman"/>
                <w:sz w:val="20"/>
                <w:szCs w:val="20"/>
              </w:rPr>
            </w:pPr>
          </w:p>
        </w:tc>
        <w:tc>
          <w:tcPr>
            <w:tcW w:w="5" w:type="pct"/>
            <w:vAlign w:val="center"/>
            <w:hideMark/>
          </w:tcPr>
          <w:p w14:paraId="7671DA6A" w14:textId="77777777" w:rsidR="00000000" w:rsidRDefault="000C49AD">
            <w:pPr>
              <w:spacing w:after="100"/>
              <w:rPr>
                <w:rFonts w:eastAsia="Times New Roman"/>
                <w:sz w:val="20"/>
                <w:szCs w:val="20"/>
              </w:rPr>
            </w:pPr>
          </w:p>
        </w:tc>
        <w:tc>
          <w:tcPr>
            <w:tcW w:w="5" w:type="pct"/>
            <w:vAlign w:val="center"/>
            <w:hideMark/>
          </w:tcPr>
          <w:p w14:paraId="08D50A13" w14:textId="77777777" w:rsidR="00000000" w:rsidRDefault="000C49AD">
            <w:pPr>
              <w:spacing w:after="100"/>
              <w:rPr>
                <w:rFonts w:eastAsia="Times New Roman"/>
                <w:sz w:val="20"/>
                <w:szCs w:val="20"/>
              </w:rPr>
            </w:pPr>
          </w:p>
        </w:tc>
        <w:tc>
          <w:tcPr>
            <w:tcW w:w="26" w:type="pct"/>
            <w:vAlign w:val="center"/>
            <w:hideMark/>
          </w:tcPr>
          <w:p w14:paraId="6FF02E3A" w14:textId="77777777" w:rsidR="00000000" w:rsidRDefault="000C49AD">
            <w:pPr>
              <w:spacing w:after="100"/>
              <w:rPr>
                <w:rFonts w:eastAsia="Times New Roman"/>
                <w:sz w:val="20"/>
                <w:szCs w:val="20"/>
              </w:rPr>
            </w:pPr>
          </w:p>
        </w:tc>
        <w:tc>
          <w:tcPr>
            <w:tcW w:w="5" w:type="pct"/>
            <w:vAlign w:val="center"/>
            <w:hideMark/>
          </w:tcPr>
          <w:p w14:paraId="6C2A512B" w14:textId="77777777" w:rsidR="00000000" w:rsidRDefault="000C49AD">
            <w:pPr>
              <w:spacing w:after="100"/>
              <w:rPr>
                <w:rFonts w:eastAsia="Times New Roman"/>
                <w:sz w:val="20"/>
                <w:szCs w:val="20"/>
              </w:rPr>
            </w:pPr>
          </w:p>
        </w:tc>
        <w:tc>
          <w:tcPr>
            <w:tcW w:w="50" w:type="pct"/>
            <w:vAlign w:val="center"/>
            <w:hideMark/>
          </w:tcPr>
          <w:p w14:paraId="2E78C041" w14:textId="77777777" w:rsidR="00000000" w:rsidRDefault="000C49AD">
            <w:pPr>
              <w:spacing w:after="100"/>
              <w:rPr>
                <w:rFonts w:eastAsia="Times New Roman"/>
                <w:sz w:val="20"/>
                <w:szCs w:val="20"/>
              </w:rPr>
            </w:pPr>
          </w:p>
        </w:tc>
        <w:tc>
          <w:tcPr>
            <w:tcW w:w="561" w:type="pct"/>
            <w:vAlign w:val="center"/>
            <w:hideMark/>
          </w:tcPr>
          <w:p w14:paraId="69744B29" w14:textId="77777777" w:rsidR="00000000" w:rsidRDefault="000C49AD">
            <w:pPr>
              <w:spacing w:after="100"/>
              <w:rPr>
                <w:rFonts w:eastAsia="Times New Roman"/>
                <w:sz w:val="20"/>
                <w:szCs w:val="20"/>
              </w:rPr>
            </w:pPr>
          </w:p>
        </w:tc>
        <w:tc>
          <w:tcPr>
            <w:tcW w:w="5" w:type="pct"/>
            <w:vAlign w:val="center"/>
            <w:hideMark/>
          </w:tcPr>
          <w:p w14:paraId="2D746406" w14:textId="77777777" w:rsidR="00000000" w:rsidRDefault="000C49AD">
            <w:pPr>
              <w:spacing w:after="100"/>
              <w:rPr>
                <w:rFonts w:eastAsia="Times New Roman"/>
                <w:sz w:val="20"/>
                <w:szCs w:val="20"/>
              </w:rPr>
            </w:pPr>
          </w:p>
        </w:tc>
        <w:tc>
          <w:tcPr>
            <w:tcW w:w="5" w:type="pct"/>
            <w:vAlign w:val="center"/>
            <w:hideMark/>
          </w:tcPr>
          <w:p w14:paraId="652E04E2" w14:textId="77777777" w:rsidR="00000000" w:rsidRDefault="000C49AD">
            <w:pPr>
              <w:spacing w:after="100"/>
              <w:rPr>
                <w:rFonts w:eastAsia="Times New Roman"/>
                <w:sz w:val="20"/>
                <w:szCs w:val="20"/>
              </w:rPr>
            </w:pPr>
          </w:p>
        </w:tc>
        <w:tc>
          <w:tcPr>
            <w:tcW w:w="26" w:type="pct"/>
            <w:vAlign w:val="center"/>
            <w:hideMark/>
          </w:tcPr>
          <w:p w14:paraId="317E2F9D" w14:textId="77777777" w:rsidR="00000000" w:rsidRDefault="000C49AD">
            <w:pPr>
              <w:spacing w:after="100"/>
              <w:rPr>
                <w:rFonts w:eastAsia="Times New Roman"/>
                <w:sz w:val="20"/>
                <w:szCs w:val="20"/>
              </w:rPr>
            </w:pPr>
          </w:p>
        </w:tc>
        <w:tc>
          <w:tcPr>
            <w:tcW w:w="5" w:type="pct"/>
            <w:vAlign w:val="center"/>
            <w:hideMark/>
          </w:tcPr>
          <w:p w14:paraId="50F567E3" w14:textId="77777777" w:rsidR="00000000" w:rsidRDefault="000C49AD">
            <w:pPr>
              <w:spacing w:after="100"/>
              <w:rPr>
                <w:rFonts w:eastAsia="Times New Roman"/>
                <w:sz w:val="20"/>
                <w:szCs w:val="20"/>
              </w:rPr>
            </w:pPr>
          </w:p>
        </w:tc>
        <w:tc>
          <w:tcPr>
            <w:tcW w:w="50" w:type="pct"/>
            <w:vAlign w:val="center"/>
            <w:hideMark/>
          </w:tcPr>
          <w:p w14:paraId="719F3EBC" w14:textId="77777777" w:rsidR="00000000" w:rsidRDefault="000C49AD">
            <w:pPr>
              <w:spacing w:after="100"/>
              <w:rPr>
                <w:rFonts w:eastAsia="Times New Roman"/>
                <w:sz w:val="20"/>
                <w:szCs w:val="20"/>
              </w:rPr>
            </w:pPr>
          </w:p>
        </w:tc>
        <w:tc>
          <w:tcPr>
            <w:tcW w:w="562" w:type="pct"/>
            <w:vAlign w:val="center"/>
            <w:hideMark/>
          </w:tcPr>
          <w:p w14:paraId="0536B93F" w14:textId="77777777" w:rsidR="00000000" w:rsidRDefault="000C49AD">
            <w:pPr>
              <w:spacing w:after="100"/>
              <w:rPr>
                <w:rFonts w:eastAsia="Times New Roman"/>
                <w:sz w:val="20"/>
                <w:szCs w:val="20"/>
              </w:rPr>
            </w:pPr>
          </w:p>
        </w:tc>
        <w:tc>
          <w:tcPr>
            <w:tcW w:w="5" w:type="pct"/>
            <w:vAlign w:val="center"/>
            <w:hideMark/>
          </w:tcPr>
          <w:p w14:paraId="1F6D5E9C" w14:textId="77777777" w:rsidR="00000000" w:rsidRDefault="000C49AD">
            <w:pPr>
              <w:spacing w:after="100"/>
              <w:rPr>
                <w:rFonts w:eastAsia="Times New Roman"/>
                <w:sz w:val="20"/>
                <w:szCs w:val="20"/>
              </w:rPr>
            </w:pPr>
          </w:p>
        </w:tc>
      </w:tr>
      <w:tr w:rsidR="00000000" w14:paraId="6964478D" w14:textId="77777777">
        <w:trPr>
          <w:divId w:val="937636040"/>
        </w:trPr>
        <w:tc>
          <w:tcPr>
            <w:tcW w:w="0" w:type="auto"/>
            <w:gridSpan w:val="3"/>
            <w:tcMar>
              <w:top w:w="0" w:type="dxa"/>
              <w:left w:w="20" w:type="dxa"/>
              <w:bottom w:w="0" w:type="dxa"/>
              <w:right w:w="20" w:type="dxa"/>
            </w:tcMar>
            <w:vAlign w:val="center"/>
            <w:hideMark/>
          </w:tcPr>
          <w:p w14:paraId="624D543D"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A5909C" w14:textId="77777777" w:rsidR="00000000" w:rsidRDefault="000C49AD">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14:paraId="29A99274" w14:textId="77777777" w:rsidR="00000000" w:rsidRDefault="000C49AD">
            <w:pPr>
              <w:spacing w:after="100"/>
              <w:jc w:val="center"/>
              <w:rPr>
                <w:rFonts w:eastAsia="Times New Roman"/>
              </w:rPr>
            </w:pPr>
            <w:r>
              <w:rPr>
                <w:rFonts w:eastAsia="Times New Roman"/>
                <w:b/>
                <w:bCs/>
                <w:color w:val="000000"/>
                <w:sz w:val="18"/>
                <w:szCs w:val="18"/>
              </w:rPr>
              <w:t>Maturities</w:t>
            </w:r>
          </w:p>
        </w:tc>
      </w:tr>
      <w:tr w:rsidR="00000000" w14:paraId="653F3932" w14:textId="77777777">
        <w:trPr>
          <w:divId w:val="937636040"/>
        </w:trPr>
        <w:tc>
          <w:tcPr>
            <w:tcW w:w="0" w:type="auto"/>
            <w:gridSpan w:val="3"/>
            <w:tcMar>
              <w:top w:w="30" w:type="dxa"/>
              <w:left w:w="20" w:type="dxa"/>
              <w:bottom w:w="30" w:type="dxa"/>
              <w:right w:w="20" w:type="dxa"/>
            </w:tcMar>
            <w:vAlign w:val="bottom"/>
            <w:hideMark/>
          </w:tcPr>
          <w:p w14:paraId="4719DD24" w14:textId="77777777" w:rsidR="00000000" w:rsidRDefault="000C49AD">
            <w:pPr>
              <w:spacing w:after="100"/>
              <w:rPr>
                <w:rFonts w:eastAsia="Times New Roman"/>
              </w:rPr>
            </w:pPr>
            <w:r>
              <w:rPr>
                <w:rFonts w:eastAsia="Times New Roman"/>
                <w:b/>
                <w:bCs/>
                <w:color w:val="000000"/>
                <w:sz w:val="18"/>
                <w:szCs w:val="18"/>
              </w:rPr>
              <w:t>Marketable Debt Securities:</w:t>
            </w:r>
          </w:p>
        </w:tc>
        <w:tc>
          <w:tcPr>
            <w:tcW w:w="0" w:type="auto"/>
            <w:gridSpan w:val="3"/>
            <w:tcMar>
              <w:top w:w="0" w:type="dxa"/>
              <w:left w:w="20" w:type="dxa"/>
              <w:bottom w:w="0" w:type="dxa"/>
              <w:right w:w="20" w:type="dxa"/>
            </w:tcMar>
            <w:vAlign w:val="center"/>
            <w:hideMark/>
          </w:tcPr>
          <w:p w14:paraId="46457DA7" w14:textId="77777777" w:rsidR="00000000" w:rsidRDefault="000C49AD">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F245C2" w14:textId="77777777" w:rsidR="00000000" w:rsidRDefault="000C49AD">
            <w:pPr>
              <w:spacing w:after="100"/>
              <w:jc w:val="center"/>
              <w:rPr>
                <w:rFonts w:eastAsia="Times New Roman"/>
              </w:rPr>
            </w:pPr>
            <w:r>
              <w:rPr>
                <w:rFonts w:eastAsia="Times New Roman"/>
                <w:b/>
                <w:bCs/>
                <w:color w:val="000000"/>
                <w:sz w:val="18"/>
                <w:szCs w:val="18"/>
              </w:rPr>
              <w:t>Less than 1 Year</w:t>
            </w:r>
          </w:p>
        </w:tc>
        <w:tc>
          <w:tcPr>
            <w:tcW w:w="0" w:type="auto"/>
            <w:gridSpan w:val="3"/>
            <w:tcBorders>
              <w:top w:val="single" w:sz="8" w:space="0" w:color="000000"/>
            </w:tcBorders>
            <w:tcMar>
              <w:top w:w="0" w:type="dxa"/>
              <w:left w:w="20" w:type="dxa"/>
              <w:bottom w:w="0" w:type="dxa"/>
              <w:right w:w="20" w:type="dxa"/>
            </w:tcMar>
            <w:vAlign w:val="center"/>
            <w:hideMark/>
          </w:tcPr>
          <w:p w14:paraId="536B185D"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928F69" w14:textId="77777777" w:rsidR="00000000" w:rsidRDefault="000C49AD">
            <w:pPr>
              <w:spacing w:after="100"/>
              <w:jc w:val="center"/>
              <w:rPr>
                <w:rFonts w:eastAsia="Times New Roman"/>
              </w:rPr>
            </w:pPr>
            <w:r>
              <w:rPr>
                <w:rFonts w:eastAsia="Times New Roman"/>
                <w:b/>
                <w:bCs/>
                <w:color w:val="000000"/>
                <w:sz w:val="18"/>
                <w:szCs w:val="18"/>
              </w:rPr>
              <w:t>1-5 Years</w:t>
            </w:r>
          </w:p>
        </w:tc>
        <w:tc>
          <w:tcPr>
            <w:tcW w:w="0" w:type="auto"/>
            <w:gridSpan w:val="3"/>
            <w:tcBorders>
              <w:top w:val="single" w:sz="8" w:space="0" w:color="000000"/>
            </w:tcBorders>
            <w:tcMar>
              <w:top w:w="0" w:type="dxa"/>
              <w:left w:w="20" w:type="dxa"/>
              <w:bottom w:w="0" w:type="dxa"/>
              <w:right w:w="20" w:type="dxa"/>
            </w:tcMar>
            <w:vAlign w:val="center"/>
            <w:hideMark/>
          </w:tcPr>
          <w:p w14:paraId="67949100"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8B8F61" w14:textId="77777777" w:rsidR="00000000" w:rsidRDefault="000C49AD">
            <w:pPr>
              <w:spacing w:after="100"/>
              <w:jc w:val="center"/>
              <w:rPr>
                <w:rFonts w:eastAsia="Times New Roman"/>
              </w:rPr>
            </w:pPr>
            <w:r>
              <w:rPr>
                <w:rFonts w:eastAsia="Times New Roman"/>
                <w:b/>
                <w:bCs/>
                <w:color w:val="000000"/>
                <w:sz w:val="18"/>
                <w:szCs w:val="18"/>
              </w:rPr>
              <w:t>5-10 Years</w:t>
            </w:r>
          </w:p>
        </w:tc>
        <w:tc>
          <w:tcPr>
            <w:tcW w:w="0" w:type="auto"/>
            <w:gridSpan w:val="3"/>
            <w:tcBorders>
              <w:top w:val="single" w:sz="8" w:space="0" w:color="000000"/>
            </w:tcBorders>
            <w:tcMar>
              <w:top w:w="0" w:type="dxa"/>
              <w:left w:w="20" w:type="dxa"/>
              <w:bottom w:w="0" w:type="dxa"/>
              <w:right w:w="20" w:type="dxa"/>
            </w:tcMar>
            <w:vAlign w:val="center"/>
            <w:hideMark/>
          </w:tcPr>
          <w:p w14:paraId="0A08690A"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B24E37" w14:textId="77777777" w:rsidR="00000000" w:rsidRDefault="000C49AD">
            <w:pPr>
              <w:spacing w:after="100"/>
              <w:jc w:val="center"/>
              <w:rPr>
                <w:rFonts w:eastAsia="Times New Roman"/>
              </w:rPr>
            </w:pPr>
            <w:r>
              <w:rPr>
                <w:rFonts w:eastAsia="Times New Roman"/>
                <w:b/>
                <w:bCs/>
                <w:color w:val="000000"/>
                <w:sz w:val="18"/>
                <w:szCs w:val="18"/>
              </w:rPr>
              <w:t>Greater than 10 Years</w:t>
            </w:r>
          </w:p>
        </w:tc>
        <w:tc>
          <w:tcPr>
            <w:tcW w:w="0" w:type="auto"/>
            <w:gridSpan w:val="3"/>
            <w:tcBorders>
              <w:top w:val="single" w:sz="8" w:space="0" w:color="000000"/>
            </w:tcBorders>
            <w:tcMar>
              <w:top w:w="0" w:type="dxa"/>
              <w:left w:w="20" w:type="dxa"/>
              <w:bottom w:w="0" w:type="dxa"/>
              <w:right w:w="20" w:type="dxa"/>
            </w:tcMar>
            <w:vAlign w:val="center"/>
            <w:hideMark/>
          </w:tcPr>
          <w:p w14:paraId="766F8CE9" w14:textId="77777777" w:rsidR="00000000" w:rsidRDefault="000C49AD">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7DCD71" w14:textId="77777777" w:rsidR="00000000" w:rsidRDefault="000C49AD">
            <w:pPr>
              <w:spacing w:after="100"/>
              <w:jc w:val="center"/>
              <w:rPr>
                <w:rFonts w:eastAsia="Times New Roman"/>
              </w:rPr>
            </w:pPr>
            <w:r>
              <w:rPr>
                <w:rFonts w:eastAsia="Times New Roman"/>
                <w:b/>
                <w:bCs/>
                <w:color w:val="000000"/>
                <w:sz w:val="18"/>
                <w:szCs w:val="18"/>
              </w:rPr>
              <w:t>Total</w:t>
            </w:r>
          </w:p>
        </w:tc>
      </w:tr>
      <w:tr w:rsidR="00000000" w14:paraId="5A6FB7BB" w14:textId="77777777">
        <w:trPr>
          <w:divId w:val="937636040"/>
          <w:trHeight w:val="60"/>
        </w:trPr>
        <w:tc>
          <w:tcPr>
            <w:tcW w:w="0" w:type="auto"/>
            <w:gridSpan w:val="3"/>
            <w:tcBorders>
              <w:top w:val="single" w:sz="8" w:space="0" w:color="000000"/>
            </w:tcBorders>
            <w:tcMar>
              <w:top w:w="0" w:type="dxa"/>
              <w:left w:w="20" w:type="dxa"/>
              <w:bottom w:w="0" w:type="dxa"/>
              <w:right w:w="20" w:type="dxa"/>
            </w:tcMar>
            <w:vAlign w:val="center"/>
            <w:hideMark/>
          </w:tcPr>
          <w:p w14:paraId="45822880"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D58A193"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3B4D88"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1A3F09"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F113E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96A599"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05B961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9A542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9AA3B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88B8EB"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A2AE3BD" w14:textId="77777777" w:rsidR="00000000" w:rsidRDefault="000C49AD">
            <w:pPr>
              <w:spacing w:after="100"/>
              <w:rPr>
                <w:rFonts w:eastAsia="Times New Roman"/>
                <w:sz w:val="20"/>
                <w:szCs w:val="20"/>
              </w:rPr>
            </w:pPr>
          </w:p>
        </w:tc>
      </w:tr>
      <w:tr w:rsidR="00000000" w14:paraId="1629E9B8" w14:textId="77777777">
        <w:trPr>
          <w:divId w:val="937636040"/>
        </w:trPr>
        <w:tc>
          <w:tcPr>
            <w:tcW w:w="0" w:type="auto"/>
            <w:gridSpan w:val="3"/>
            <w:shd w:val="clear" w:color="auto" w:fill="CCEEFF"/>
            <w:tcMar>
              <w:top w:w="30" w:type="dxa"/>
              <w:left w:w="155" w:type="dxa"/>
              <w:bottom w:w="30" w:type="dxa"/>
              <w:right w:w="20" w:type="dxa"/>
            </w:tcMar>
            <w:vAlign w:val="bottom"/>
            <w:hideMark/>
          </w:tcPr>
          <w:p w14:paraId="0AE85455" w14:textId="77777777" w:rsidR="00000000" w:rsidRDefault="000C49AD">
            <w:pPr>
              <w:spacing w:after="100"/>
              <w:rPr>
                <w:rFonts w:eastAsia="Times New Roman"/>
              </w:rPr>
            </w:pPr>
            <w:r>
              <w:rPr>
                <w:rFonts w:eastAsia="Times New Roman"/>
                <w:color w:val="000000"/>
                <w:sz w:val="18"/>
                <w:szCs w:val="18"/>
              </w:rPr>
              <w:t>Corporate bonds</w:t>
            </w:r>
          </w:p>
        </w:tc>
        <w:tc>
          <w:tcPr>
            <w:tcW w:w="0" w:type="auto"/>
            <w:gridSpan w:val="3"/>
            <w:shd w:val="clear" w:color="auto" w:fill="CCEEFF"/>
            <w:tcMar>
              <w:top w:w="0" w:type="dxa"/>
              <w:left w:w="20" w:type="dxa"/>
              <w:bottom w:w="0" w:type="dxa"/>
              <w:right w:w="20" w:type="dxa"/>
            </w:tcMar>
            <w:vAlign w:val="center"/>
            <w:hideMark/>
          </w:tcPr>
          <w:p w14:paraId="0DF7FABA"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D5A6DBC"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130C008" w14:textId="77777777" w:rsidR="00000000" w:rsidRDefault="000C49AD">
            <w:pPr>
              <w:spacing w:after="100"/>
              <w:jc w:val="right"/>
              <w:rPr>
                <w:rFonts w:eastAsia="Times New Roman"/>
              </w:rPr>
            </w:pPr>
            <w:r>
              <w:rPr>
                <w:rFonts w:eastAsia="Times New Roman"/>
                <w:color w:val="000000"/>
                <w:sz w:val="18"/>
                <w:szCs w:val="18"/>
              </w:rPr>
              <w:t>5,288 </w:t>
            </w:r>
          </w:p>
        </w:tc>
        <w:tc>
          <w:tcPr>
            <w:tcW w:w="0" w:type="auto"/>
            <w:shd w:val="clear" w:color="auto" w:fill="CCEEFF"/>
            <w:tcMar>
              <w:top w:w="30" w:type="dxa"/>
              <w:left w:w="0" w:type="dxa"/>
              <w:bottom w:w="30" w:type="dxa"/>
              <w:right w:w="20" w:type="dxa"/>
            </w:tcMar>
            <w:vAlign w:val="bottom"/>
            <w:hideMark/>
          </w:tcPr>
          <w:p w14:paraId="1643BAC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60AC19"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B70C1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B5742AA" w14:textId="77777777" w:rsidR="00000000" w:rsidRDefault="000C49AD">
            <w:pPr>
              <w:spacing w:after="100"/>
              <w:jc w:val="right"/>
              <w:rPr>
                <w:rFonts w:eastAsia="Times New Roman"/>
              </w:rPr>
            </w:pPr>
            <w:r>
              <w:rPr>
                <w:rFonts w:eastAsia="Times New Roman"/>
                <w:color w:val="000000"/>
                <w:sz w:val="18"/>
                <w:szCs w:val="18"/>
              </w:rPr>
              <w:t>10,873 </w:t>
            </w:r>
          </w:p>
        </w:tc>
        <w:tc>
          <w:tcPr>
            <w:tcW w:w="0" w:type="auto"/>
            <w:shd w:val="clear" w:color="auto" w:fill="CCEEFF"/>
            <w:tcMar>
              <w:top w:w="30" w:type="dxa"/>
              <w:left w:w="0" w:type="dxa"/>
              <w:bottom w:w="30" w:type="dxa"/>
              <w:right w:w="20" w:type="dxa"/>
            </w:tcMar>
            <w:vAlign w:val="bottom"/>
            <w:hideMark/>
          </w:tcPr>
          <w:p w14:paraId="3DA5671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700C49"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E9411D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7CCC88" w14:textId="77777777" w:rsidR="00000000" w:rsidRDefault="000C49AD">
            <w:pPr>
              <w:spacing w:after="100"/>
              <w:jc w:val="right"/>
              <w:rPr>
                <w:rFonts w:eastAsia="Times New Roman"/>
              </w:rPr>
            </w:pPr>
            <w:r>
              <w:rPr>
                <w:rFonts w:eastAsia="Times New Roman"/>
                <w:color w:val="000000"/>
                <w:sz w:val="18"/>
                <w:szCs w:val="18"/>
              </w:rPr>
              <w:t>318 </w:t>
            </w:r>
          </w:p>
        </w:tc>
        <w:tc>
          <w:tcPr>
            <w:tcW w:w="0" w:type="auto"/>
            <w:shd w:val="clear" w:color="auto" w:fill="CCEEFF"/>
            <w:tcMar>
              <w:top w:w="30" w:type="dxa"/>
              <w:left w:w="0" w:type="dxa"/>
              <w:bottom w:w="30" w:type="dxa"/>
              <w:right w:w="20" w:type="dxa"/>
            </w:tcMar>
            <w:vAlign w:val="bottom"/>
            <w:hideMark/>
          </w:tcPr>
          <w:p w14:paraId="1BBF411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3003D8"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1020B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9C36BCF"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90BDCE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6A206"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228FAF"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8EED557" w14:textId="77777777" w:rsidR="00000000" w:rsidRDefault="000C49AD">
            <w:pPr>
              <w:spacing w:after="100"/>
              <w:jc w:val="right"/>
              <w:rPr>
                <w:rFonts w:eastAsia="Times New Roman"/>
              </w:rPr>
            </w:pPr>
            <w:r>
              <w:rPr>
                <w:rFonts w:eastAsia="Times New Roman"/>
                <w:color w:val="000000"/>
                <w:sz w:val="18"/>
                <w:szCs w:val="18"/>
              </w:rPr>
              <w:t>16,479 </w:t>
            </w:r>
          </w:p>
        </w:tc>
        <w:tc>
          <w:tcPr>
            <w:tcW w:w="0" w:type="auto"/>
            <w:shd w:val="clear" w:color="auto" w:fill="CCEEFF"/>
            <w:tcMar>
              <w:top w:w="30" w:type="dxa"/>
              <w:left w:w="0" w:type="dxa"/>
              <w:bottom w:w="30" w:type="dxa"/>
              <w:right w:w="20" w:type="dxa"/>
            </w:tcMar>
            <w:vAlign w:val="bottom"/>
            <w:hideMark/>
          </w:tcPr>
          <w:p w14:paraId="1D7B16E4" w14:textId="77777777" w:rsidR="00000000" w:rsidRDefault="000C49AD">
            <w:pPr>
              <w:spacing w:after="100"/>
              <w:jc w:val="right"/>
              <w:rPr>
                <w:rFonts w:eastAsia="Times New Roman"/>
              </w:rPr>
            </w:pPr>
          </w:p>
        </w:tc>
      </w:tr>
      <w:tr w:rsidR="00000000" w14:paraId="5FA6BF05" w14:textId="77777777">
        <w:trPr>
          <w:divId w:val="937636040"/>
        </w:trPr>
        <w:tc>
          <w:tcPr>
            <w:tcW w:w="0" w:type="auto"/>
            <w:gridSpan w:val="3"/>
            <w:shd w:val="clear" w:color="auto" w:fill="FFFFFF"/>
            <w:tcMar>
              <w:top w:w="30" w:type="dxa"/>
              <w:left w:w="155" w:type="dxa"/>
              <w:bottom w:w="30" w:type="dxa"/>
              <w:right w:w="20" w:type="dxa"/>
            </w:tcMar>
            <w:vAlign w:val="bottom"/>
            <w:hideMark/>
          </w:tcPr>
          <w:p w14:paraId="60F7F6DB" w14:textId="77777777" w:rsidR="00000000" w:rsidRDefault="000C49AD">
            <w:pPr>
              <w:spacing w:after="100"/>
              <w:rPr>
                <w:rFonts w:eastAsia="Times New Roman"/>
              </w:rPr>
            </w:pPr>
            <w:r>
              <w:rPr>
                <w:rFonts w:eastAsia="Times New Roman"/>
                <w:color w:val="000000"/>
                <w:sz w:val="18"/>
                <w:szCs w:val="18"/>
              </w:rPr>
              <w:t>Government securities - U.S.</w:t>
            </w:r>
          </w:p>
        </w:tc>
        <w:tc>
          <w:tcPr>
            <w:tcW w:w="0" w:type="auto"/>
            <w:gridSpan w:val="3"/>
            <w:shd w:val="clear" w:color="auto" w:fill="FFFFFF"/>
            <w:tcMar>
              <w:top w:w="0" w:type="dxa"/>
              <w:left w:w="20" w:type="dxa"/>
              <w:bottom w:w="0" w:type="dxa"/>
              <w:right w:w="20" w:type="dxa"/>
            </w:tcMar>
            <w:vAlign w:val="center"/>
            <w:hideMark/>
          </w:tcPr>
          <w:p w14:paraId="23C6268C"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C18D6C" w14:textId="77777777" w:rsidR="00000000" w:rsidRDefault="000C49AD">
            <w:pPr>
              <w:spacing w:after="100"/>
              <w:jc w:val="right"/>
              <w:rPr>
                <w:rFonts w:eastAsia="Times New Roman"/>
              </w:rPr>
            </w:pPr>
            <w:r>
              <w:rPr>
                <w:rFonts w:eastAsia="Times New Roman"/>
                <w:color w:val="000000"/>
                <w:sz w:val="18"/>
                <w:szCs w:val="18"/>
              </w:rPr>
              <w:t>1,531 </w:t>
            </w:r>
          </w:p>
        </w:tc>
        <w:tc>
          <w:tcPr>
            <w:tcW w:w="0" w:type="auto"/>
            <w:shd w:val="clear" w:color="auto" w:fill="FFFFFF"/>
            <w:tcMar>
              <w:top w:w="30" w:type="dxa"/>
              <w:left w:w="0" w:type="dxa"/>
              <w:bottom w:w="30" w:type="dxa"/>
              <w:right w:w="20" w:type="dxa"/>
            </w:tcMar>
            <w:vAlign w:val="bottom"/>
            <w:hideMark/>
          </w:tcPr>
          <w:p w14:paraId="335B236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AF97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F14784" w14:textId="77777777" w:rsidR="00000000" w:rsidRDefault="000C49AD">
            <w:pPr>
              <w:spacing w:after="100"/>
              <w:jc w:val="right"/>
              <w:rPr>
                <w:rFonts w:eastAsia="Times New Roman"/>
              </w:rPr>
            </w:pPr>
            <w:r>
              <w:rPr>
                <w:rFonts w:eastAsia="Times New Roman"/>
                <w:color w:val="000000"/>
                <w:sz w:val="18"/>
                <w:szCs w:val="18"/>
              </w:rPr>
              <w:t>5,938 </w:t>
            </w:r>
          </w:p>
        </w:tc>
        <w:tc>
          <w:tcPr>
            <w:tcW w:w="0" w:type="auto"/>
            <w:shd w:val="clear" w:color="auto" w:fill="FFFFFF"/>
            <w:tcMar>
              <w:top w:w="30" w:type="dxa"/>
              <w:left w:w="0" w:type="dxa"/>
              <w:bottom w:w="30" w:type="dxa"/>
              <w:right w:w="20" w:type="dxa"/>
            </w:tcMar>
            <w:vAlign w:val="bottom"/>
            <w:hideMark/>
          </w:tcPr>
          <w:p w14:paraId="37513B0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52CF4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E72FDB" w14:textId="77777777" w:rsidR="00000000" w:rsidRDefault="000C49AD">
            <w:pPr>
              <w:spacing w:after="100"/>
              <w:jc w:val="right"/>
              <w:rPr>
                <w:rFonts w:eastAsia="Times New Roman"/>
              </w:rPr>
            </w:pPr>
            <w:r>
              <w:rPr>
                <w:rFonts w:eastAsia="Times New Roman"/>
                <w:color w:val="000000"/>
                <w:sz w:val="18"/>
                <w:szCs w:val="18"/>
              </w:rPr>
              <w:t>807 </w:t>
            </w:r>
          </w:p>
        </w:tc>
        <w:tc>
          <w:tcPr>
            <w:tcW w:w="0" w:type="auto"/>
            <w:shd w:val="clear" w:color="auto" w:fill="FFFFFF"/>
            <w:tcMar>
              <w:top w:w="30" w:type="dxa"/>
              <w:left w:w="0" w:type="dxa"/>
              <w:bottom w:w="30" w:type="dxa"/>
              <w:right w:w="20" w:type="dxa"/>
            </w:tcMar>
            <w:vAlign w:val="bottom"/>
            <w:hideMark/>
          </w:tcPr>
          <w:p w14:paraId="2923ECE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45306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5F3711" w14:textId="77777777" w:rsidR="00000000" w:rsidRDefault="000C49AD">
            <w:pPr>
              <w:spacing w:after="100"/>
              <w:jc w:val="right"/>
              <w:rPr>
                <w:rFonts w:eastAsia="Times New Roman"/>
              </w:rPr>
            </w:pPr>
            <w:r>
              <w:rPr>
                <w:rFonts w:eastAsia="Times New Roman"/>
                <w:color w:val="000000"/>
                <w:sz w:val="18"/>
                <w:szCs w:val="18"/>
              </w:rPr>
              <w:t>1,195 </w:t>
            </w:r>
          </w:p>
        </w:tc>
        <w:tc>
          <w:tcPr>
            <w:tcW w:w="0" w:type="auto"/>
            <w:shd w:val="clear" w:color="auto" w:fill="FFFFFF"/>
            <w:tcMar>
              <w:top w:w="30" w:type="dxa"/>
              <w:left w:w="0" w:type="dxa"/>
              <w:bottom w:w="30" w:type="dxa"/>
              <w:right w:w="20" w:type="dxa"/>
            </w:tcMar>
            <w:vAlign w:val="bottom"/>
            <w:hideMark/>
          </w:tcPr>
          <w:p w14:paraId="46D0318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83A1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AA6E56" w14:textId="77777777" w:rsidR="00000000" w:rsidRDefault="000C49AD">
            <w:pPr>
              <w:spacing w:after="100"/>
              <w:jc w:val="right"/>
              <w:rPr>
                <w:rFonts w:eastAsia="Times New Roman"/>
              </w:rPr>
            </w:pPr>
            <w:r>
              <w:rPr>
                <w:rFonts w:eastAsia="Times New Roman"/>
                <w:color w:val="000000"/>
                <w:sz w:val="18"/>
                <w:szCs w:val="18"/>
              </w:rPr>
              <w:t>9,471 </w:t>
            </w:r>
          </w:p>
        </w:tc>
        <w:tc>
          <w:tcPr>
            <w:tcW w:w="0" w:type="auto"/>
            <w:shd w:val="clear" w:color="auto" w:fill="FFFFFF"/>
            <w:tcMar>
              <w:top w:w="30" w:type="dxa"/>
              <w:left w:w="0" w:type="dxa"/>
              <w:bottom w:w="30" w:type="dxa"/>
              <w:right w:w="20" w:type="dxa"/>
            </w:tcMar>
            <w:vAlign w:val="bottom"/>
            <w:hideMark/>
          </w:tcPr>
          <w:p w14:paraId="7F57A01F" w14:textId="77777777" w:rsidR="00000000" w:rsidRDefault="000C49AD">
            <w:pPr>
              <w:spacing w:after="100"/>
              <w:jc w:val="right"/>
              <w:rPr>
                <w:rFonts w:eastAsia="Times New Roman"/>
              </w:rPr>
            </w:pPr>
          </w:p>
        </w:tc>
      </w:tr>
      <w:tr w:rsidR="00000000" w14:paraId="0AAE0D5E" w14:textId="77777777">
        <w:trPr>
          <w:divId w:val="937636040"/>
        </w:trPr>
        <w:tc>
          <w:tcPr>
            <w:tcW w:w="0" w:type="auto"/>
            <w:gridSpan w:val="3"/>
            <w:shd w:val="clear" w:color="auto" w:fill="CCEEFF"/>
            <w:tcMar>
              <w:top w:w="30" w:type="dxa"/>
              <w:left w:w="155" w:type="dxa"/>
              <w:bottom w:w="30" w:type="dxa"/>
              <w:right w:w="20" w:type="dxa"/>
            </w:tcMar>
            <w:vAlign w:val="bottom"/>
            <w:hideMark/>
          </w:tcPr>
          <w:p w14:paraId="1AFB031A" w14:textId="77777777" w:rsidR="00000000" w:rsidRDefault="000C49AD">
            <w:pPr>
              <w:spacing w:after="100"/>
              <w:rPr>
                <w:rFonts w:eastAsia="Times New Roman"/>
              </w:rPr>
            </w:pPr>
            <w:r>
              <w:rPr>
                <w:rFonts w:eastAsia="Times New Roman"/>
                <w:color w:val="000000"/>
                <w:sz w:val="18"/>
                <w:szCs w:val="18"/>
              </w:rPr>
              <w:t>Other fixed-income securities</w:t>
            </w:r>
          </w:p>
        </w:tc>
        <w:tc>
          <w:tcPr>
            <w:tcW w:w="0" w:type="auto"/>
            <w:gridSpan w:val="3"/>
            <w:shd w:val="clear" w:color="auto" w:fill="CCEEFF"/>
            <w:tcMar>
              <w:top w:w="0" w:type="dxa"/>
              <w:left w:w="20" w:type="dxa"/>
              <w:bottom w:w="0" w:type="dxa"/>
              <w:right w:w="20" w:type="dxa"/>
            </w:tcMar>
            <w:vAlign w:val="center"/>
            <w:hideMark/>
          </w:tcPr>
          <w:p w14:paraId="2AB2BF95"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66C8761"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C925C5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C859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CDB67D" w14:textId="77777777" w:rsidR="00000000" w:rsidRDefault="000C49AD">
            <w:pPr>
              <w:spacing w:after="100"/>
              <w:jc w:val="right"/>
              <w:rPr>
                <w:rFonts w:eastAsia="Times New Roman"/>
              </w:rPr>
            </w:pPr>
            <w:r>
              <w:rPr>
                <w:rFonts w:eastAsia="Times New Roman"/>
                <w:color w:val="000000"/>
                <w:sz w:val="18"/>
                <w:szCs w:val="18"/>
              </w:rPr>
              <w:t>1,860 </w:t>
            </w:r>
          </w:p>
        </w:tc>
        <w:tc>
          <w:tcPr>
            <w:tcW w:w="0" w:type="auto"/>
            <w:shd w:val="clear" w:color="auto" w:fill="CCEEFF"/>
            <w:tcMar>
              <w:top w:w="30" w:type="dxa"/>
              <w:left w:w="0" w:type="dxa"/>
              <w:bottom w:w="30" w:type="dxa"/>
              <w:right w:w="20" w:type="dxa"/>
            </w:tcMar>
            <w:vAlign w:val="bottom"/>
            <w:hideMark/>
          </w:tcPr>
          <w:p w14:paraId="37DEC1F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C2D69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AE9CB3" w14:textId="77777777" w:rsidR="00000000" w:rsidRDefault="000C49AD">
            <w:pPr>
              <w:spacing w:after="100"/>
              <w:jc w:val="right"/>
              <w:rPr>
                <w:rFonts w:eastAsia="Times New Roman"/>
              </w:rPr>
            </w:pPr>
            <w:r>
              <w:rPr>
                <w:rFonts w:eastAsia="Times New Roman"/>
                <w:color w:val="000000"/>
                <w:sz w:val="18"/>
                <w:szCs w:val="18"/>
              </w:rPr>
              <w:t>605 </w:t>
            </w:r>
          </w:p>
        </w:tc>
        <w:tc>
          <w:tcPr>
            <w:tcW w:w="0" w:type="auto"/>
            <w:shd w:val="clear" w:color="auto" w:fill="CCEEFF"/>
            <w:tcMar>
              <w:top w:w="30" w:type="dxa"/>
              <w:left w:w="0" w:type="dxa"/>
              <w:bottom w:w="30" w:type="dxa"/>
              <w:right w:w="20" w:type="dxa"/>
            </w:tcMar>
            <w:vAlign w:val="bottom"/>
            <w:hideMark/>
          </w:tcPr>
          <w:p w14:paraId="2DBE23A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6B2A2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3C8AD0"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1A5F80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9BDD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641CFE" w14:textId="77777777" w:rsidR="00000000" w:rsidRDefault="000C49AD">
            <w:pPr>
              <w:spacing w:after="100"/>
              <w:jc w:val="right"/>
              <w:rPr>
                <w:rFonts w:eastAsia="Times New Roman"/>
              </w:rPr>
            </w:pPr>
            <w:r>
              <w:rPr>
                <w:rFonts w:eastAsia="Times New Roman"/>
                <w:color w:val="000000"/>
                <w:sz w:val="18"/>
                <w:szCs w:val="18"/>
              </w:rPr>
              <w:t>2,465 </w:t>
            </w:r>
          </w:p>
        </w:tc>
        <w:tc>
          <w:tcPr>
            <w:tcW w:w="0" w:type="auto"/>
            <w:shd w:val="clear" w:color="auto" w:fill="CCEEFF"/>
            <w:tcMar>
              <w:top w:w="30" w:type="dxa"/>
              <w:left w:w="0" w:type="dxa"/>
              <w:bottom w:w="30" w:type="dxa"/>
              <w:right w:w="20" w:type="dxa"/>
            </w:tcMar>
            <w:vAlign w:val="bottom"/>
            <w:hideMark/>
          </w:tcPr>
          <w:p w14:paraId="06B93835" w14:textId="77777777" w:rsidR="00000000" w:rsidRDefault="000C49AD">
            <w:pPr>
              <w:spacing w:after="100"/>
              <w:jc w:val="right"/>
              <w:rPr>
                <w:rFonts w:eastAsia="Times New Roman"/>
              </w:rPr>
            </w:pPr>
          </w:p>
        </w:tc>
      </w:tr>
      <w:tr w:rsidR="00000000" w14:paraId="6F5DBF23" w14:textId="77777777">
        <w:trPr>
          <w:divId w:val="937636040"/>
        </w:trPr>
        <w:tc>
          <w:tcPr>
            <w:tcW w:w="0" w:type="auto"/>
            <w:gridSpan w:val="3"/>
            <w:shd w:val="clear" w:color="auto" w:fill="FFFFFF"/>
            <w:tcMar>
              <w:top w:w="30" w:type="dxa"/>
              <w:left w:w="245" w:type="dxa"/>
              <w:bottom w:w="30" w:type="dxa"/>
              <w:right w:w="20" w:type="dxa"/>
            </w:tcMar>
            <w:vAlign w:val="bottom"/>
            <w:hideMark/>
          </w:tcPr>
          <w:p w14:paraId="524386E5" w14:textId="77777777" w:rsidR="00000000" w:rsidRDefault="000C49A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039ADE6E"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53D044"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69A449" w14:textId="77777777" w:rsidR="00000000" w:rsidRDefault="000C49AD">
            <w:pPr>
              <w:spacing w:after="100"/>
              <w:jc w:val="right"/>
              <w:rPr>
                <w:rFonts w:eastAsia="Times New Roman"/>
              </w:rPr>
            </w:pPr>
            <w:r>
              <w:rPr>
                <w:rFonts w:eastAsia="Times New Roman"/>
                <w:color w:val="000000"/>
                <w:sz w:val="18"/>
                <w:szCs w:val="18"/>
              </w:rPr>
              <w:t>6,819 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D0475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4E48CD"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4B92A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46C527" w14:textId="77777777" w:rsidR="00000000" w:rsidRDefault="000C49AD">
            <w:pPr>
              <w:spacing w:after="100"/>
              <w:jc w:val="right"/>
              <w:rPr>
                <w:rFonts w:eastAsia="Times New Roman"/>
              </w:rPr>
            </w:pPr>
            <w:r>
              <w:rPr>
                <w:rFonts w:eastAsia="Times New Roman"/>
                <w:color w:val="000000"/>
                <w:sz w:val="18"/>
                <w:szCs w:val="18"/>
              </w:rPr>
              <w:t>18,671 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706158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4A3E7"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C08FCF"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59EF8F" w14:textId="77777777" w:rsidR="00000000" w:rsidRDefault="000C49AD">
            <w:pPr>
              <w:spacing w:after="100"/>
              <w:jc w:val="right"/>
              <w:rPr>
                <w:rFonts w:eastAsia="Times New Roman"/>
              </w:rPr>
            </w:pPr>
            <w:r>
              <w:rPr>
                <w:rFonts w:eastAsia="Times New Roman"/>
                <w:color w:val="000000"/>
                <w:sz w:val="18"/>
                <w:szCs w:val="18"/>
              </w:rPr>
              <w:t>1,730 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B48285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40D1A5"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3B795AF"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F6463F" w14:textId="77777777" w:rsidR="00000000" w:rsidRDefault="000C49AD">
            <w:pPr>
              <w:spacing w:after="100"/>
              <w:jc w:val="right"/>
              <w:rPr>
                <w:rFonts w:eastAsia="Times New Roman"/>
              </w:rPr>
            </w:pPr>
            <w:r>
              <w:rPr>
                <w:rFonts w:eastAsia="Times New Roman"/>
                <w:color w:val="000000"/>
                <w:sz w:val="18"/>
                <w:szCs w:val="18"/>
              </w:rPr>
              <w:t>1,195 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6F1B96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626813"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43FA1EE"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833F935" w14:textId="77777777" w:rsidR="00000000" w:rsidRDefault="000C49AD">
            <w:pPr>
              <w:spacing w:after="100"/>
              <w:jc w:val="right"/>
              <w:rPr>
                <w:rFonts w:eastAsia="Times New Roman"/>
              </w:rPr>
            </w:pPr>
            <w:r>
              <w:rPr>
                <w:rFonts w:eastAsia="Times New Roman"/>
                <w:color w:val="000000"/>
                <w:sz w:val="18"/>
                <w:szCs w:val="18"/>
              </w:rPr>
              <w:t>28,415 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EC469C" w14:textId="77777777" w:rsidR="00000000" w:rsidRDefault="000C49AD">
            <w:pPr>
              <w:spacing w:after="100"/>
              <w:jc w:val="right"/>
              <w:rPr>
                <w:rFonts w:eastAsia="Times New Roman"/>
              </w:rPr>
            </w:pPr>
          </w:p>
        </w:tc>
      </w:tr>
    </w:tbl>
    <w:p w14:paraId="7A7A9434" w14:textId="77777777" w:rsidR="00000000" w:rsidRDefault="000C49AD">
      <w:pPr>
        <w:jc w:val="both"/>
        <w:rPr>
          <w:rFonts w:eastAsia="Times New Roman"/>
        </w:rPr>
      </w:pPr>
    </w:p>
    <w:p w14:paraId="4B947DB6" w14:textId="77777777" w:rsidR="00000000" w:rsidRDefault="000C49AD">
      <w:pPr>
        <w:jc w:val="both"/>
        <w:divId w:val="24254628"/>
        <w:rPr>
          <w:rFonts w:eastAsia="Times New Roman"/>
        </w:rPr>
      </w:pPr>
      <w:r>
        <w:rPr>
          <w:rFonts w:eastAsia="Times New Roman"/>
          <w:color w:val="000000"/>
          <w:sz w:val="20"/>
          <w:szCs w:val="20"/>
        </w:rPr>
        <w:t>The Company has classified its investment in available-for-sale marketable securities as current assets in the consolidated balance sheets as the securities need to be available for use, if required, to fund current operations. The</w:t>
      </w:r>
      <w:r>
        <w:rPr>
          <w:rFonts w:eastAsia="Times New Roman"/>
          <w:color w:val="000000"/>
          <w:sz w:val="20"/>
          <w:szCs w:val="20"/>
        </w:rPr>
        <w:t xml:space="preserve">re are no restrictions on the sale of any securities in the Company’s investment portfolio. </w:t>
      </w:r>
    </w:p>
    <w:p w14:paraId="1AA77B79" w14:textId="77777777" w:rsidR="00000000" w:rsidRDefault="000C49AD">
      <w:pPr>
        <w:jc w:val="both"/>
        <w:divId w:val="1616446496"/>
        <w:rPr>
          <w:rFonts w:eastAsia="Times New Roman"/>
        </w:rPr>
      </w:pPr>
      <w:r>
        <w:rPr>
          <w:rFonts w:eastAsia="Times New Roman"/>
          <w:color w:val="000000"/>
          <w:sz w:val="20"/>
          <w:szCs w:val="20"/>
        </w:rPr>
        <w:t>Total gross unrealized losses of the Company’s available-for-sale debt securities at December 31, 2021 were immaterial and have been in an unrealized loss position</w:t>
      </w:r>
      <w:r>
        <w:rPr>
          <w:rFonts w:eastAsia="Times New Roman"/>
          <w:color w:val="000000"/>
          <w:sz w:val="20"/>
          <w:szCs w:val="20"/>
        </w:rPr>
        <w:t xml:space="preserve"> for less than one year. The unrealized losses are driven by factors other than credit risk. The Company does not intend to sell the investments and it is not more likely than not that it will be required to sell the investments before recovery of their am</w:t>
      </w:r>
      <w:r>
        <w:rPr>
          <w:rFonts w:eastAsia="Times New Roman"/>
          <w:color w:val="000000"/>
          <w:sz w:val="20"/>
          <w:szCs w:val="20"/>
        </w:rPr>
        <w:t xml:space="preserve">ortized cost bases. </w:t>
      </w:r>
    </w:p>
    <w:p w14:paraId="263887F5" w14:textId="77777777" w:rsidR="00000000" w:rsidRDefault="000C49AD">
      <w:pPr>
        <w:jc w:val="both"/>
        <w:divId w:val="1457069539"/>
        <w:rPr>
          <w:rFonts w:eastAsia="Times New Roman"/>
        </w:rPr>
      </w:pPr>
      <w:r>
        <w:rPr>
          <w:rFonts w:eastAsia="Times New Roman"/>
          <w:b/>
          <w:bCs/>
          <w:color w:val="000000"/>
          <w:sz w:val="20"/>
          <w:szCs w:val="20"/>
        </w:rPr>
        <w:t>NOTE 8:</w:t>
      </w:r>
      <w:r>
        <w:rPr>
          <w:rFonts w:eastAsia="Times New Roman"/>
          <w:color w:val="000000"/>
          <w:sz w:val="20"/>
          <w:szCs w:val="20"/>
        </w:rPr>
        <w:t xml:space="preserve"> </w:t>
      </w:r>
      <w:r>
        <w:rPr>
          <w:rFonts w:eastAsia="Times New Roman"/>
          <w:b/>
          <w:bCs/>
          <w:color w:val="000000"/>
          <w:sz w:val="20"/>
          <w:szCs w:val="20"/>
        </w:rPr>
        <w:t>Property and Equipment, net</w:t>
      </w:r>
    </w:p>
    <w:p w14:paraId="61C481EA" w14:textId="77777777" w:rsidR="00000000" w:rsidRDefault="000C49AD">
      <w:pPr>
        <w:jc w:val="both"/>
        <w:divId w:val="411852078"/>
        <w:rPr>
          <w:rFonts w:eastAsia="Times New Roman"/>
        </w:rPr>
      </w:pPr>
      <w:r>
        <w:rPr>
          <w:rFonts w:eastAsia="Times New Roman"/>
          <w:color w:val="000000"/>
          <w:sz w:val="20"/>
          <w:szCs w:val="20"/>
        </w:rPr>
        <w:t>The principal categories of property and equipment, net at December 31, 2021 and 2020, respectively, are as follows:</w:t>
      </w:r>
      <w:r>
        <w:rPr>
          <w:rFonts w:eastAsia="Times New Roman"/>
          <w:color w:val="000000"/>
        </w:rPr>
        <w:t> </w:t>
      </w:r>
    </w:p>
    <w:tbl>
      <w:tblPr>
        <w:tblW w:w="4992" w:type="pct"/>
        <w:tblCellMar>
          <w:top w:w="15" w:type="dxa"/>
          <w:left w:w="15" w:type="dxa"/>
          <w:bottom w:w="15" w:type="dxa"/>
          <w:right w:w="15" w:type="dxa"/>
        </w:tblCellMar>
        <w:tblLook w:val="04A0" w:firstRow="1" w:lastRow="0" w:firstColumn="1" w:lastColumn="0" w:noHBand="0" w:noVBand="1"/>
      </w:tblPr>
      <w:tblGrid>
        <w:gridCol w:w="42"/>
        <w:gridCol w:w="5442"/>
        <w:gridCol w:w="37"/>
        <w:gridCol w:w="36"/>
        <w:gridCol w:w="36"/>
        <w:gridCol w:w="36"/>
        <w:gridCol w:w="110"/>
        <w:gridCol w:w="1132"/>
        <w:gridCol w:w="36"/>
        <w:gridCol w:w="36"/>
        <w:gridCol w:w="36"/>
        <w:gridCol w:w="36"/>
        <w:gridCol w:w="110"/>
        <w:gridCol w:w="1132"/>
        <w:gridCol w:w="36"/>
      </w:tblGrid>
      <w:tr w:rsidR="00000000" w14:paraId="560BBA0A" w14:textId="77777777">
        <w:trPr>
          <w:divId w:val="1823891213"/>
        </w:trPr>
        <w:tc>
          <w:tcPr>
            <w:tcW w:w="50" w:type="pct"/>
            <w:vAlign w:val="center"/>
            <w:hideMark/>
          </w:tcPr>
          <w:p w14:paraId="4AB8EBE3" w14:textId="77777777" w:rsidR="00000000" w:rsidRDefault="000C49AD">
            <w:pPr>
              <w:jc w:val="both"/>
              <w:rPr>
                <w:rFonts w:eastAsia="Times New Roman"/>
              </w:rPr>
            </w:pPr>
          </w:p>
        </w:tc>
        <w:tc>
          <w:tcPr>
            <w:tcW w:w="3305" w:type="pct"/>
            <w:vAlign w:val="center"/>
            <w:hideMark/>
          </w:tcPr>
          <w:p w14:paraId="333E434D" w14:textId="77777777" w:rsidR="00000000" w:rsidRDefault="000C49AD">
            <w:pPr>
              <w:spacing w:after="100"/>
              <w:rPr>
                <w:rFonts w:eastAsia="Times New Roman"/>
                <w:sz w:val="20"/>
                <w:szCs w:val="20"/>
              </w:rPr>
            </w:pPr>
          </w:p>
        </w:tc>
        <w:tc>
          <w:tcPr>
            <w:tcW w:w="5" w:type="pct"/>
            <w:vAlign w:val="center"/>
            <w:hideMark/>
          </w:tcPr>
          <w:p w14:paraId="76A8A0A9" w14:textId="77777777" w:rsidR="00000000" w:rsidRDefault="000C49AD">
            <w:pPr>
              <w:spacing w:after="100"/>
              <w:rPr>
                <w:rFonts w:eastAsia="Times New Roman"/>
                <w:sz w:val="20"/>
                <w:szCs w:val="20"/>
              </w:rPr>
            </w:pPr>
          </w:p>
        </w:tc>
        <w:tc>
          <w:tcPr>
            <w:tcW w:w="5" w:type="pct"/>
            <w:vAlign w:val="center"/>
            <w:hideMark/>
          </w:tcPr>
          <w:p w14:paraId="3E285C5F" w14:textId="77777777" w:rsidR="00000000" w:rsidRDefault="000C49AD">
            <w:pPr>
              <w:spacing w:after="100"/>
              <w:rPr>
                <w:rFonts w:eastAsia="Times New Roman"/>
                <w:sz w:val="20"/>
                <w:szCs w:val="20"/>
              </w:rPr>
            </w:pPr>
          </w:p>
        </w:tc>
        <w:tc>
          <w:tcPr>
            <w:tcW w:w="26" w:type="pct"/>
            <w:vAlign w:val="center"/>
            <w:hideMark/>
          </w:tcPr>
          <w:p w14:paraId="2D6C6E6C" w14:textId="77777777" w:rsidR="00000000" w:rsidRDefault="000C49AD">
            <w:pPr>
              <w:spacing w:after="100"/>
              <w:rPr>
                <w:rFonts w:eastAsia="Times New Roman"/>
                <w:sz w:val="20"/>
                <w:szCs w:val="20"/>
              </w:rPr>
            </w:pPr>
          </w:p>
        </w:tc>
        <w:tc>
          <w:tcPr>
            <w:tcW w:w="5" w:type="pct"/>
            <w:vAlign w:val="center"/>
            <w:hideMark/>
          </w:tcPr>
          <w:p w14:paraId="33D4EAC5" w14:textId="77777777" w:rsidR="00000000" w:rsidRDefault="000C49AD">
            <w:pPr>
              <w:spacing w:after="100"/>
              <w:rPr>
                <w:rFonts w:eastAsia="Times New Roman"/>
                <w:sz w:val="20"/>
                <w:szCs w:val="20"/>
              </w:rPr>
            </w:pPr>
          </w:p>
        </w:tc>
        <w:tc>
          <w:tcPr>
            <w:tcW w:w="50" w:type="pct"/>
            <w:vAlign w:val="center"/>
            <w:hideMark/>
          </w:tcPr>
          <w:p w14:paraId="0A3F50A0" w14:textId="77777777" w:rsidR="00000000" w:rsidRDefault="000C49AD">
            <w:pPr>
              <w:spacing w:after="100"/>
              <w:rPr>
                <w:rFonts w:eastAsia="Times New Roman"/>
                <w:sz w:val="20"/>
                <w:szCs w:val="20"/>
              </w:rPr>
            </w:pPr>
          </w:p>
        </w:tc>
        <w:tc>
          <w:tcPr>
            <w:tcW w:w="728" w:type="pct"/>
            <w:vAlign w:val="center"/>
            <w:hideMark/>
          </w:tcPr>
          <w:p w14:paraId="3A04C16C" w14:textId="77777777" w:rsidR="00000000" w:rsidRDefault="000C49AD">
            <w:pPr>
              <w:spacing w:after="100"/>
              <w:rPr>
                <w:rFonts w:eastAsia="Times New Roman"/>
                <w:sz w:val="20"/>
                <w:szCs w:val="20"/>
              </w:rPr>
            </w:pPr>
          </w:p>
        </w:tc>
        <w:tc>
          <w:tcPr>
            <w:tcW w:w="5" w:type="pct"/>
            <w:vAlign w:val="center"/>
            <w:hideMark/>
          </w:tcPr>
          <w:p w14:paraId="637D2805" w14:textId="77777777" w:rsidR="00000000" w:rsidRDefault="000C49AD">
            <w:pPr>
              <w:spacing w:after="100"/>
              <w:rPr>
                <w:rFonts w:eastAsia="Times New Roman"/>
                <w:sz w:val="20"/>
                <w:szCs w:val="20"/>
              </w:rPr>
            </w:pPr>
          </w:p>
        </w:tc>
        <w:tc>
          <w:tcPr>
            <w:tcW w:w="5" w:type="pct"/>
            <w:vAlign w:val="center"/>
            <w:hideMark/>
          </w:tcPr>
          <w:p w14:paraId="53753536" w14:textId="77777777" w:rsidR="00000000" w:rsidRDefault="000C49AD">
            <w:pPr>
              <w:spacing w:after="100"/>
              <w:rPr>
                <w:rFonts w:eastAsia="Times New Roman"/>
                <w:sz w:val="20"/>
                <w:szCs w:val="20"/>
              </w:rPr>
            </w:pPr>
          </w:p>
        </w:tc>
        <w:tc>
          <w:tcPr>
            <w:tcW w:w="26" w:type="pct"/>
            <w:vAlign w:val="center"/>
            <w:hideMark/>
          </w:tcPr>
          <w:p w14:paraId="528739F3" w14:textId="77777777" w:rsidR="00000000" w:rsidRDefault="000C49AD">
            <w:pPr>
              <w:spacing w:after="100"/>
              <w:rPr>
                <w:rFonts w:eastAsia="Times New Roman"/>
                <w:sz w:val="20"/>
                <w:szCs w:val="20"/>
              </w:rPr>
            </w:pPr>
          </w:p>
        </w:tc>
        <w:tc>
          <w:tcPr>
            <w:tcW w:w="5" w:type="pct"/>
            <w:vAlign w:val="center"/>
            <w:hideMark/>
          </w:tcPr>
          <w:p w14:paraId="28C6F73F" w14:textId="77777777" w:rsidR="00000000" w:rsidRDefault="000C49AD">
            <w:pPr>
              <w:spacing w:after="100"/>
              <w:rPr>
                <w:rFonts w:eastAsia="Times New Roman"/>
                <w:sz w:val="20"/>
                <w:szCs w:val="20"/>
              </w:rPr>
            </w:pPr>
          </w:p>
        </w:tc>
        <w:tc>
          <w:tcPr>
            <w:tcW w:w="50" w:type="pct"/>
            <w:vAlign w:val="center"/>
            <w:hideMark/>
          </w:tcPr>
          <w:p w14:paraId="7407E8CD" w14:textId="77777777" w:rsidR="00000000" w:rsidRDefault="000C49AD">
            <w:pPr>
              <w:spacing w:after="100"/>
              <w:rPr>
                <w:rFonts w:eastAsia="Times New Roman"/>
                <w:sz w:val="20"/>
                <w:szCs w:val="20"/>
              </w:rPr>
            </w:pPr>
          </w:p>
        </w:tc>
        <w:tc>
          <w:tcPr>
            <w:tcW w:w="728" w:type="pct"/>
            <w:vAlign w:val="center"/>
            <w:hideMark/>
          </w:tcPr>
          <w:p w14:paraId="6E7AF429" w14:textId="77777777" w:rsidR="00000000" w:rsidRDefault="000C49AD">
            <w:pPr>
              <w:spacing w:after="100"/>
              <w:rPr>
                <w:rFonts w:eastAsia="Times New Roman"/>
                <w:sz w:val="20"/>
                <w:szCs w:val="20"/>
              </w:rPr>
            </w:pPr>
          </w:p>
        </w:tc>
        <w:tc>
          <w:tcPr>
            <w:tcW w:w="5" w:type="pct"/>
            <w:vAlign w:val="center"/>
            <w:hideMark/>
          </w:tcPr>
          <w:p w14:paraId="7DF5B41D" w14:textId="77777777" w:rsidR="00000000" w:rsidRDefault="000C49AD">
            <w:pPr>
              <w:spacing w:after="100"/>
              <w:rPr>
                <w:rFonts w:eastAsia="Times New Roman"/>
                <w:sz w:val="20"/>
                <w:szCs w:val="20"/>
              </w:rPr>
            </w:pPr>
          </w:p>
        </w:tc>
      </w:tr>
      <w:tr w:rsidR="00000000" w14:paraId="3FFE440D" w14:textId="77777777">
        <w:trPr>
          <w:divId w:val="1823891213"/>
        </w:trPr>
        <w:tc>
          <w:tcPr>
            <w:tcW w:w="0" w:type="auto"/>
            <w:gridSpan w:val="3"/>
            <w:tcMar>
              <w:top w:w="30" w:type="dxa"/>
              <w:left w:w="20" w:type="dxa"/>
              <w:bottom w:w="30" w:type="dxa"/>
              <w:right w:w="20" w:type="dxa"/>
            </w:tcMar>
            <w:vAlign w:val="bottom"/>
            <w:hideMark/>
          </w:tcPr>
          <w:p w14:paraId="1AECF511" w14:textId="77777777" w:rsidR="00000000" w:rsidRDefault="000C49AD">
            <w:pPr>
              <w:spacing w:after="100"/>
              <w:rPr>
                <w:rFonts w:eastAsia="Times New Roman"/>
              </w:rPr>
            </w:pPr>
            <w:r>
              <w:rPr>
                <w:rFonts w:eastAsia="Times New Roman"/>
                <w:b/>
                <w:bCs/>
                <w:color w:val="000000"/>
                <w:sz w:val="18"/>
                <w:szCs w:val="18"/>
              </w:rPr>
              <w:t>Property and Equipment, net:</w:t>
            </w:r>
          </w:p>
        </w:tc>
        <w:tc>
          <w:tcPr>
            <w:tcW w:w="0" w:type="auto"/>
            <w:gridSpan w:val="3"/>
            <w:tcMar>
              <w:top w:w="0" w:type="dxa"/>
              <w:left w:w="20" w:type="dxa"/>
              <w:bottom w:w="0" w:type="dxa"/>
              <w:right w:w="20" w:type="dxa"/>
            </w:tcMar>
            <w:vAlign w:val="center"/>
            <w:hideMark/>
          </w:tcPr>
          <w:p w14:paraId="0F824214"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132DB5E3"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BA776EB"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289EAB7" w14:textId="77777777" w:rsidR="00000000" w:rsidRDefault="000C49AD">
            <w:pPr>
              <w:spacing w:after="100"/>
              <w:jc w:val="center"/>
              <w:rPr>
                <w:rFonts w:eastAsia="Times New Roman"/>
              </w:rPr>
            </w:pPr>
            <w:r>
              <w:rPr>
                <w:rFonts w:eastAsia="Times New Roman"/>
                <w:b/>
                <w:bCs/>
                <w:color w:val="000000"/>
                <w:sz w:val="18"/>
                <w:szCs w:val="18"/>
              </w:rPr>
              <w:t>2020</w:t>
            </w:r>
          </w:p>
        </w:tc>
      </w:tr>
      <w:tr w:rsidR="00000000" w14:paraId="096BAF32" w14:textId="77777777">
        <w:trPr>
          <w:divId w:val="1823891213"/>
          <w:trHeight w:val="60"/>
        </w:trPr>
        <w:tc>
          <w:tcPr>
            <w:tcW w:w="0" w:type="auto"/>
            <w:gridSpan w:val="3"/>
            <w:tcBorders>
              <w:top w:val="single" w:sz="8" w:space="0" w:color="000000"/>
            </w:tcBorders>
            <w:tcMar>
              <w:top w:w="0" w:type="dxa"/>
              <w:left w:w="20" w:type="dxa"/>
              <w:bottom w:w="0" w:type="dxa"/>
              <w:right w:w="20" w:type="dxa"/>
            </w:tcMar>
            <w:vAlign w:val="center"/>
            <w:hideMark/>
          </w:tcPr>
          <w:p w14:paraId="18856AD6"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1604B7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63CD9A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76639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D83B67" w14:textId="77777777" w:rsidR="00000000" w:rsidRDefault="000C49AD">
            <w:pPr>
              <w:spacing w:after="100"/>
              <w:rPr>
                <w:rFonts w:eastAsia="Times New Roman"/>
                <w:sz w:val="20"/>
                <w:szCs w:val="20"/>
              </w:rPr>
            </w:pPr>
          </w:p>
        </w:tc>
      </w:tr>
      <w:tr w:rsidR="00000000" w14:paraId="268B6DF9" w14:textId="77777777">
        <w:trPr>
          <w:divId w:val="1823891213"/>
        </w:trPr>
        <w:tc>
          <w:tcPr>
            <w:tcW w:w="0" w:type="auto"/>
            <w:gridSpan w:val="3"/>
            <w:shd w:val="clear" w:color="auto" w:fill="CCEEFF"/>
            <w:tcMar>
              <w:top w:w="30" w:type="dxa"/>
              <w:left w:w="155" w:type="dxa"/>
              <w:bottom w:w="30" w:type="dxa"/>
              <w:right w:w="20" w:type="dxa"/>
            </w:tcMar>
            <w:vAlign w:val="bottom"/>
            <w:hideMark/>
          </w:tcPr>
          <w:p w14:paraId="032CBD4D" w14:textId="77777777" w:rsidR="00000000" w:rsidRDefault="000C49AD">
            <w:pPr>
              <w:spacing w:after="100"/>
              <w:rPr>
                <w:rFonts w:eastAsia="Times New Roman"/>
              </w:rPr>
            </w:pPr>
            <w:r>
              <w:rPr>
                <w:rFonts w:eastAsia="Times New Roman"/>
                <w:color w:val="000000"/>
                <w:sz w:val="18"/>
                <w:szCs w:val="18"/>
              </w:rPr>
              <w:t>Software, office and computer equipment</w:t>
            </w:r>
          </w:p>
        </w:tc>
        <w:tc>
          <w:tcPr>
            <w:tcW w:w="0" w:type="auto"/>
            <w:gridSpan w:val="3"/>
            <w:shd w:val="clear" w:color="auto" w:fill="CCEEFF"/>
            <w:tcMar>
              <w:top w:w="0" w:type="dxa"/>
              <w:left w:w="20" w:type="dxa"/>
              <w:bottom w:w="0" w:type="dxa"/>
              <w:right w:w="20" w:type="dxa"/>
            </w:tcMar>
            <w:vAlign w:val="center"/>
            <w:hideMark/>
          </w:tcPr>
          <w:p w14:paraId="6666E5EC"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48F7C5C"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FA295EF" w14:textId="77777777" w:rsidR="00000000" w:rsidRDefault="000C49AD">
            <w:pPr>
              <w:spacing w:after="100"/>
              <w:jc w:val="right"/>
              <w:rPr>
                <w:rFonts w:eastAsia="Times New Roman"/>
              </w:rPr>
            </w:pPr>
            <w:r>
              <w:rPr>
                <w:rFonts w:eastAsia="Times New Roman"/>
                <w:color w:val="000000"/>
                <w:sz w:val="18"/>
                <w:szCs w:val="18"/>
              </w:rPr>
              <w:t>448 </w:t>
            </w:r>
          </w:p>
        </w:tc>
        <w:tc>
          <w:tcPr>
            <w:tcW w:w="0" w:type="auto"/>
            <w:shd w:val="clear" w:color="auto" w:fill="CCEEFF"/>
            <w:tcMar>
              <w:top w:w="30" w:type="dxa"/>
              <w:left w:w="0" w:type="dxa"/>
              <w:bottom w:w="30" w:type="dxa"/>
              <w:right w:w="20" w:type="dxa"/>
            </w:tcMar>
            <w:vAlign w:val="bottom"/>
            <w:hideMark/>
          </w:tcPr>
          <w:p w14:paraId="7B5EDAB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F9D070"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BE1B7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A2FDE8D" w14:textId="77777777" w:rsidR="00000000" w:rsidRDefault="000C49AD">
            <w:pPr>
              <w:spacing w:after="100"/>
              <w:jc w:val="right"/>
              <w:rPr>
                <w:rFonts w:eastAsia="Times New Roman"/>
              </w:rPr>
            </w:pPr>
            <w:r>
              <w:rPr>
                <w:rFonts w:eastAsia="Times New Roman"/>
                <w:color w:val="000000"/>
                <w:sz w:val="18"/>
                <w:szCs w:val="18"/>
              </w:rPr>
              <w:t>1,443 </w:t>
            </w:r>
          </w:p>
        </w:tc>
        <w:tc>
          <w:tcPr>
            <w:tcW w:w="0" w:type="auto"/>
            <w:shd w:val="clear" w:color="auto" w:fill="CCEEFF"/>
            <w:tcMar>
              <w:top w:w="30" w:type="dxa"/>
              <w:left w:w="0" w:type="dxa"/>
              <w:bottom w:w="30" w:type="dxa"/>
              <w:right w:w="20" w:type="dxa"/>
            </w:tcMar>
            <w:vAlign w:val="bottom"/>
            <w:hideMark/>
          </w:tcPr>
          <w:p w14:paraId="5979890C" w14:textId="77777777" w:rsidR="00000000" w:rsidRDefault="000C49AD">
            <w:pPr>
              <w:spacing w:after="100"/>
              <w:jc w:val="right"/>
              <w:rPr>
                <w:rFonts w:eastAsia="Times New Roman"/>
              </w:rPr>
            </w:pPr>
          </w:p>
        </w:tc>
      </w:tr>
      <w:tr w:rsidR="00000000" w14:paraId="4BF54563" w14:textId="77777777">
        <w:trPr>
          <w:divId w:val="1823891213"/>
        </w:trPr>
        <w:tc>
          <w:tcPr>
            <w:tcW w:w="0" w:type="auto"/>
            <w:gridSpan w:val="3"/>
            <w:shd w:val="clear" w:color="auto" w:fill="FFFFFF"/>
            <w:tcMar>
              <w:top w:w="30" w:type="dxa"/>
              <w:left w:w="155" w:type="dxa"/>
              <w:bottom w:w="30" w:type="dxa"/>
              <w:right w:w="20" w:type="dxa"/>
            </w:tcMar>
            <w:vAlign w:val="bottom"/>
            <w:hideMark/>
          </w:tcPr>
          <w:p w14:paraId="4E06B06A" w14:textId="77777777" w:rsidR="00000000" w:rsidRDefault="000C49AD">
            <w:pPr>
              <w:spacing w:after="100"/>
              <w:rPr>
                <w:rFonts w:eastAsia="Times New Roman"/>
              </w:rPr>
            </w:pPr>
            <w:r>
              <w:rPr>
                <w:rFonts w:eastAsia="Times New Roman"/>
                <w:color w:val="000000"/>
                <w:sz w:val="18"/>
                <w:szCs w:val="18"/>
              </w:rPr>
              <w:t>Furniture, fixtures and fittings</w:t>
            </w:r>
          </w:p>
        </w:tc>
        <w:tc>
          <w:tcPr>
            <w:tcW w:w="0" w:type="auto"/>
            <w:gridSpan w:val="3"/>
            <w:shd w:val="clear" w:color="auto" w:fill="FFFFFF"/>
            <w:tcMar>
              <w:top w:w="0" w:type="dxa"/>
              <w:left w:w="20" w:type="dxa"/>
              <w:bottom w:w="0" w:type="dxa"/>
              <w:right w:w="20" w:type="dxa"/>
            </w:tcMar>
            <w:vAlign w:val="center"/>
            <w:hideMark/>
          </w:tcPr>
          <w:p w14:paraId="71AAACDE"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BB6C319" w14:textId="77777777" w:rsidR="00000000" w:rsidRDefault="000C49AD">
            <w:pPr>
              <w:spacing w:after="100"/>
              <w:jc w:val="right"/>
              <w:rPr>
                <w:rFonts w:eastAsia="Times New Roman"/>
              </w:rPr>
            </w:pPr>
            <w:r>
              <w:rPr>
                <w:rFonts w:eastAsia="Times New Roman"/>
                <w:color w:val="000000"/>
                <w:sz w:val="18"/>
                <w:szCs w:val="18"/>
              </w:rPr>
              <w:t>302 </w:t>
            </w:r>
          </w:p>
        </w:tc>
        <w:tc>
          <w:tcPr>
            <w:tcW w:w="0" w:type="auto"/>
            <w:shd w:val="clear" w:color="auto" w:fill="FFFFFF"/>
            <w:tcMar>
              <w:top w:w="30" w:type="dxa"/>
              <w:left w:w="0" w:type="dxa"/>
              <w:bottom w:w="30" w:type="dxa"/>
              <w:right w:w="20" w:type="dxa"/>
            </w:tcMar>
            <w:vAlign w:val="bottom"/>
            <w:hideMark/>
          </w:tcPr>
          <w:p w14:paraId="6D67790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9C32A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4F1FD5" w14:textId="77777777" w:rsidR="00000000" w:rsidRDefault="000C49AD">
            <w:pPr>
              <w:spacing w:after="100"/>
              <w:jc w:val="right"/>
              <w:rPr>
                <w:rFonts w:eastAsia="Times New Roman"/>
              </w:rPr>
            </w:pPr>
            <w:r>
              <w:rPr>
                <w:rFonts w:eastAsia="Times New Roman"/>
                <w:color w:val="000000"/>
                <w:sz w:val="18"/>
                <w:szCs w:val="18"/>
              </w:rPr>
              <w:t>300 </w:t>
            </w:r>
          </w:p>
        </w:tc>
        <w:tc>
          <w:tcPr>
            <w:tcW w:w="0" w:type="auto"/>
            <w:shd w:val="clear" w:color="auto" w:fill="FFFFFF"/>
            <w:tcMar>
              <w:top w:w="30" w:type="dxa"/>
              <w:left w:w="0" w:type="dxa"/>
              <w:bottom w:w="30" w:type="dxa"/>
              <w:right w:w="20" w:type="dxa"/>
            </w:tcMar>
            <w:vAlign w:val="bottom"/>
            <w:hideMark/>
          </w:tcPr>
          <w:p w14:paraId="2A8503F3" w14:textId="77777777" w:rsidR="00000000" w:rsidRDefault="000C49AD">
            <w:pPr>
              <w:spacing w:after="100"/>
              <w:jc w:val="right"/>
              <w:rPr>
                <w:rFonts w:eastAsia="Times New Roman"/>
              </w:rPr>
            </w:pPr>
          </w:p>
        </w:tc>
      </w:tr>
      <w:tr w:rsidR="00000000" w14:paraId="6E6C10EB" w14:textId="77777777">
        <w:trPr>
          <w:divId w:val="1823891213"/>
        </w:trPr>
        <w:tc>
          <w:tcPr>
            <w:tcW w:w="0" w:type="auto"/>
            <w:gridSpan w:val="3"/>
            <w:shd w:val="clear" w:color="auto" w:fill="CCEEFF"/>
            <w:tcMar>
              <w:top w:w="30" w:type="dxa"/>
              <w:left w:w="155" w:type="dxa"/>
              <w:bottom w:w="30" w:type="dxa"/>
              <w:right w:w="20" w:type="dxa"/>
            </w:tcMar>
            <w:vAlign w:val="bottom"/>
            <w:hideMark/>
          </w:tcPr>
          <w:p w14:paraId="1B73C514" w14:textId="77777777" w:rsidR="00000000" w:rsidRDefault="000C49AD">
            <w:pPr>
              <w:spacing w:after="100"/>
              <w:rPr>
                <w:rFonts w:eastAsia="Times New Roman"/>
              </w:rPr>
            </w:pPr>
            <w:r>
              <w:rPr>
                <w:rFonts w:eastAsia="Times New Roman"/>
                <w:color w:val="000000"/>
                <w:sz w:val="18"/>
                <w:szCs w:val="18"/>
              </w:rPr>
              <w:t>Less - accumulated depreciation</w:t>
            </w:r>
          </w:p>
        </w:tc>
        <w:tc>
          <w:tcPr>
            <w:tcW w:w="0" w:type="auto"/>
            <w:gridSpan w:val="3"/>
            <w:shd w:val="clear" w:color="auto" w:fill="CCEEFF"/>
            <w:tcMar>
              <w:top w:w="0" w:type="dxa"/>
              <w:left w:w="20" w:type="dxa"/>
              <w:bottom w:w="0" w:type="dxa"/>
              <w:right w:w="20" w:type="dxa"/>
            </w:tcMar>
            <w:vAlign w:val="center"/>
            <w:hideMark/>
          </w:tcPr>
          <w:p w14:paraId="435C4923"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66E9862" w14:textId="77777777" w:rsidR="00000000" w:rsidRDefault="000C49AD">
            <w:pPr>
              <w:spacing w:after="100"/>
              <w:jc w:val="right"/>
              <w:rPr>
                <w:rFonts w:eastAsia="Times New Roman"/>
              </w:rPr>
            </w:pPr>
            <w:r>
              <w:rPr>
                <w:rFonts w:eastAsia="Times New Roman"/>
                <w:color w:val="000000"/>
                <w:sz w:val="18"/>
                <w:szCs w:val="18"/>
              </w:rPr>
              <w:t>(465)</w:t>
            </w:r>
          </w:p>
        </w:tc>
        <w:tc>
          <w:tcPr>
            <w:tcW w:w="0" w:type="auto"/>
            <w:shd w:val="clear" w:color="auto" w:fill="CCEEFF"/>
            <w:tcMar>
              <w:top w:w="30" w:type="dxa"/>
              <w:left w:w="0" w:type="dxa"/>
              <w:bottom w:w="30" w:type="dxa"/>
              <w:right w:w="20" w:type="dxa"/>
            </w:tcMar>
            <w:vAlign w:val="bottom"/>
            <w:hideMark/>
          </w:tcPr>
          <w:p w14:paraId="1BD8CB2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F78CE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E5A162" w14:textId="77777777" w:rsidR="00000000" w:rsidRDefault="000C49AD">
            <w:pPr>
              <w:spacing w:after="100"/>
              <w:jc w:val="right"/>
              <w:rPr>
                <w:rFonts w:eastAsia="Times New Roman"/>
              </w:rPr>
            </w:pPr>
            <w:r>
              <w:rPr>
                <w:rFonts w:eastAsia="Times New Roman"/>
                <w:color w:val="000000"/>
                <w:sz w:val="18"/>
                <w:szCs w:val="18"/>
              </w:rPr>
              <w:t>(1,384)</w:t>
            </w:r>
          </w:p>
        </w:tc>
        <w:tc>
          <w:tcPr>
            <w:tcW w:w="0" w:type="auto"/>
            <w:shd w:val="clear" w:color="auto" w:fill="CCEEFF"/>
            <w:tcMar>
              <w:top w:w="30" w:type="dxa"/>
              <w:left w:w="0" w:type="dxa"/>
              <w:bottom w:w="30" w:type="dxa"/>
              <w:right w:w="20" w:type="dxa"/>
            </w:tcMar>
            <w:vAlign w:val="bottom"/>
            <w:hideMark/>
          </w:tcPr>
          <w:p w14:paraId="216D052B" w14:textId="77777777" w:rsidR="00000000" w:rsidRDefault="000C49AD">
            <w:pPr>
              <w:spacing w:after="100"/>
              <w:jc w:val="right"/>
              <w:rPr>
                <w:rFonts w:eastAsia="Times New Roman"/>
              </w:rPr>
            </w:pPr>
          </w:p>
        </w:tc>
      </w:tr>
      <w:tr w:rsidR="00000000" w14:paraId="3991B132" w14:textId="77777777">
        <w:trPr>
          <w:divId w:val="1823891213"/>
        </w:trPr>
        <w:tc>
          <w:tcPr>
            <w:tcW w:w="0" w:type="auto"/>
            <w:gridSpan w:val="3"/>
            <w:shd w:val="clear" w:color="auto" w:fill="FFFFFF"/>
            <w:tcMar>
              <w:top w:w="30" w:type="dxa"/>
              <w:left w:w="245" w:type="dxa"/>
              <w:bottom w:w="30" w:type="dxa"/>
              <w:right w:w="20" w:type="dxa"/>
            </w:tcMar>
            <w:vAlign w:val="bottom"/>
            <w:hideMark/>
          </w:tcPr>
          <w:p w14:paraId="42D20075" w14:textId="77777777" w:rsidR="00000000" w:rsidRDefault="000C49A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0D68505D"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5DFBAAD"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097636" w14:textId="77777777" w:rsidR="00000000" w:rsidRDefault="000C49AD">
            <w:pPr>
              <w:spacing w:after="100"/>
              <w:jc w:val="right"/>
              <w:rPr>
                <w:rFonts w:eastAsia="Times New Roman"/>
              </w:rPr>
            </w:pPr>
            <w:r>
              <w:rPr>
                <w:rFonts w:eastAsia="Times New Roman"/>
                <w:color w:val="000000"/>
                <w:sz w:val="18"/>
                <w:szCs w:val="18"/>
              </w:rPr>
              <w:t>285 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D08B6B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56F7DB"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6F50D2"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27C4DF9" w14:textId="77777777" w:rsidR="00000000" w:rsidRDefault="000C49AD">
            <w:pPr>
              <w:spacing w:after="100"/>
              <w:jc w:val="right"/>
              <w:rPr>
                <w:rFonts w:eastAsia="Times New Roman"/>
              </w:rPr>
            </w:pPr>
            <w:r>
              <w:rPr>
                <w:rFonts w:eastAsia="Times New Roman"/>
                <w:color w:val="000000"/>
                <w:sz w:val="18"/>
                <w:szCs w:val="18"/>
              </w:rPr>
              <w:t>359 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C82074" w14:textId="77777777" w:rsidR="00000000" w:rsidRDefault="000C49AD">
            <w:pPr>
              <w:spacing w:after="100"/>
              <w:jc w:val="right"/>
              <w:rPr>
                <w:rFonts w:eastAsia="Times New Roman"/>
              </w:rPr>
            </w:pPr>
          </w:p>
        </w:tc>
      </w:tr>
    </w:tbl>
    <w:p w14:paraId="2547A7B4" w14:textId="77777777" w:rsidR="00000000" w:rsidRDefault="000C49AD">
      <w:pPr>
        <w:jc w:val="both"/>
        <w:rPr>
          <w:rFonts w:eastAsia="Times New Roman"/>
        </w:rPr>
      </w:pPr>
    </w:p>
    <w:p w14:paraId="48F96461" w14:textId="77777777" w:rsidR="00000000" w:rsidRDefault="000C49AD">
      <w:pPr>
        <w:jc w:val="both"/>
        <w:rPr>
          <w:rFonts w:eastAsia="Times New Roman"/>
        </w:rPr>
      </w:pPr>
      <w:r>
        <w:rPr>
          <w:rFonts w:eastAsia="Times New Roman"/>
          <w:color w:val="000000"/>
          <w:sz w:val="20"/>
          <w:szCs w:val="20"/>
        </w:rPr>
        <w:t>Depreciation expense for the years ended December 31, 2021, 2020 and 2019 was $97, $287 and $459, respectively. </w:t>
      </w:r>
    </w:p>
    <w:p w14:paraId="228CBBBA" w14:textId="77777777" w:rsidR="00000000" w:rsidRDefault="000C49AD">
      <w:pPr>
        <w:jc w:val="both"/>
        <w:rPr>
          <w:rFonts w:eastAsia="Times New Roman"/>
        </w:rPr>
      </w:pPr>
    </w:p>
    <w:p w14:paraId="0C0A83EC" w14:textId="77777777" w:rsidR="00000000" w:rsidRDefault="000C49AD">
      <w:pPr>
        <w:jc w:val="center"/>
        <w:divId w:val="693579742"/>
        <w:rPr>
          <w:rFonts w:eastAsia="Times New Roman"/>
        </w:rPr>
      </w:pPr>
      <w:r>
        <w:rPr>
          <w:rFonts w:eastAsia="Times New Roman"/>
          <w:color w:val="000000"/>
          <w:sz w:val="20"/>
          <w:szCs w:val="20"/>
        </w:rPr>
        <w:t>-88-</w:t>
      </w:r>
    </w:p>
    <w:p w14:paraId="0A73B4CD" w14:textId="77777777" w:rsidR="00000000" w:rsidRDefault="000C49AD">
      <w:pPr>
        <w:rPr>
          <w:rFonts w:eastAsia="Times New Roman"/>
        </w:rPr>
      </w:pPr>
      <w:r>
        <w:rPr>
          <w:rFonts w:eastAsia="Times New Roman"/>
        </w:rPr>
        <w:pict w14:anchorId="5B565C02">
          <v:rect id="_x0000_i1113" style="width:0;height:1.5pt" o:hralign="center" o:hrstd="t" o:hr="t" fillcolor="#a0a0a0" stroked="f"/>
        </w:pict>
      </w:r>
    </w:p>
    <w:p w14:paraId="13EBDB91" w14:textId="77777777" w:rsidR="00000000" w:rsidRDefault="000C49AD">
      <w:pPr>
        <w:divId w:val="1741712691"/>
        <w:rPr>
          <w:rFonts w:eastAsia="Times New Roman"/>
        </w:rPr>
      </w:pPr>
    </w:p>
    <w:p w14:paraId="5A52FAE7" w14:textId="77777777" w:rsidR="00000000" w:rsidRDefault="000C49AD">
      <w:pPr>
        <w:jc w:val="both"/>
        <w:divId w:val="738988830"/>
        <w:rPr>
          <w:rFonts w:eastAsia="Times New Roman"/>
        </w:rPr>
      </w:pPr>
      <w:r>
        <w:rPr>
          <w:rFonts w:eastAsia="Times New Roman"/>
          <w:b/>
          <w:bCs/>
          <w:color w:val="000000"/>
          <w:sz w:val="20"/>
          <w:szCs w:val="20"/>
        </w:rPr>
        <w:t>NOTE 9:</w:t>
      </w:r>
      <w:r>
        <w:rPr>
          <w:rFonts w:eastAsia="Times New Roman"/>
          <w:color w:val="000000"/>
          <w:sz w:val="20"/>
          <w:szCs w:val="20"/>
        </w:rPr>
        <w:t xml:space="preserve"> </w:t>
      </w:r>
      <w:r>
        <w:rPr>
          <w:rFonts w:eastAsia="Times New Roman"/>
          <w:b/>
          <w:bCs/>
          <w:color w:val="000000"/>
          <w:sz w:val="20"/>
          <w:szCs w:val="20"/>
        </w:rPr>
        <w:t>Goodwill and Intangible Assets</w:t>
      </w:r>
      <w:r>
        <w:rPr>
          <w:rFonts w:eastAsia="Times New Roman"/>
          <w:color w:val="000000"/>
          <w:sz w:val="20"/>
          <w:szCs w:val="20"/>
        </w:rPr>
        <w:t> </w:t>
      </w:r>
    </w:p>
    <w:p w14:paraId="3C7056B8" w14:textId="77777777" w:rsidR="00000000" w:rsidRDefault="000C49AD">
      <w:pPr>
        <w:jc w:val="both"/>
        <w:divId w:val="1803618389"/>
        <w:rPr>
          <w:rFonts w:eastAsia="Times New Roman"/>
        </w:rPr>
      </w:pPr>
      <w:r>
        <w:rPr>
          <w:rFonts w:eastAsia="Times New Roman"/>
          <w:color w:val="000000"/>
          <w:sz w:val="20"/>
          <w:szCs w:val="20"/>
        </w:rPr>
        <w:t>The Company’s goodwill is $16,836 at December 31, 2021 and 2020.</w:t>
      </w:r>
    </w:p>
    <w:p w14:paraId="3CBBB2C7" w14:textId="77777777" w:rsidR="00000000" w:rsidRDefault="000C49AD">
      <w:pPr>
        <w:jc w:val="both"/>
        <w:rPr>
          <w:rFonts w:eastAsia="Times New Roman"/>
        </w:rPr>
      </w:pPr>
      <w:r>
        <w:rPr>
          <w:rFonts w:eastAsia="Times New Roman"/>
          <w:color w:val="000000"/>
          <w:sz w:val="20"/>
          <w:szCs w:val="20"/>
        </w:rPr>
        <w:t>The Company recorded amortization expense related to an amortizable intangible asset that was assumed by the Exel</w:t>
      </w:r>
      <w:r>
        <w:rPr>
          <w:rFonts w:eastAsia="Times New Roman"/>
          <w:color w:val="000000"/>
          <w:sz w:val="20"/>
          <w:szCs w:val="20"/>
        </w:rPr>
        <w:t xml:space="preserve">a Buyer as part of the disposition of the Hospital Products on June 30, 2020 of $406 and $816 for the years ended December 31, 2020 and 2019, respectively. Refer to </w:t>
      </w:r>
      <w:r>
        <w:rPr>
          <w:rFonts w:eastAsia="Times New Roman"/>
          <w:i/>
          <w:iCs/>
          <w:color w:val="000000"/>
          <w:sz w:val="20"/>
          <w:szCs w:val="20"/>
        </w:rPr>
        <w:t>Note 4: Disposition of the Hospital Products</w:t>
      </w:r>
      <w:r>
        <w:rPr>
          <w:rFonts w:eastAsia="Times New Roman"/>
          <w:color w:val="000000"/>
          <w:sz w:val="20"/>
          <w:szCs w:val="20"/>
        </w:rPr>
        <w:t>. There was no amortization expense recorded du</w:t>
      </w:r>
      <w:r>
        <w:rPr>
          <w:rFonts w:eastAsia="Times New Roman"/>
          <w:color w:val="000000"/>
          <w:sz w:val="20"/>
          <w:szCs w:val="20"/>
        </w:rPr>
        <w:t xml:space="preserve">ring the year ended December 31, 2021. </w:t>
      </w:r>
    </w:p>
    <w:p w14:paraId="07C63F48" w14:textId="77777777" w:rsidR="00000000" w:rsidRDefault="000C49AD">
      <w:pPr>
        <w:jc w:val="both"/>
        <w:rPr>
          <w:rFonts w:eastAsia="Times New Roman"/>
        </w:rPr>
      </w:pPr>
    </w:p>
    <w:p w14:paraId="5B766F77" w14:textId="77777777" w:rsidR="00000000" w:rsidRDefault="000C49AD">
      <w:pPr>
        <w:jc w:val="both"/>
        <w:rPr>
          <w:rFonts w:eastAsia="Times New Roman"/>
        </w:rPr>
      </w:pPr>
      <w:r>
        <w:rPr>
          <w:rFonts w:eastAsia="Times New Roman"/>
          <w:color w:val="000000"/>
          <w:sz w:val="20"/>
          <w:szCs w:val="20"/>
        </w:rPr>
        <w:t>No impairment loss related to goodwill or intangible assets was recognized during the years ended December 31, 2021 or 2020.</w:t>
      </w:r>
    </w:p>
    <w:p w14:paraId="699F1EEA" w14:textId="77777777" w:rsidR="00000000" w:rsidRDefault="000C49AD">
      <w:pPr>
        <w:jc w:val="both"/>
        <w:rPr>
          <w:rFonts w:eastAsia="Times New Roman"/>
        </w:rPr>
      </w:pPr>
    </w:p>
    <w:p w14:paraId="1871EC6C" w14:textId="77777777" w:rsidR="00000000" w:rsidRDefault="000C49AD">
      <w:pPr>
        <w:divId w:val="988167899"/>
        <w:rPr>
          <w:rFonts w:eastAsia="Times New Roman"/>
        </w:rPr>
      </w:pPr>
      <w:r>
        <w:rPr>
          <w:rFonts w:eastAsia="Times New Roman"/>
          <w:b/>
          <w:bCs/>
          <w:color w:val="000000"/>
          <w:sz w:val="20"/>
          <w:szCs w:val="20"/>
        </w:rPr>
        <w:t>NOTE 10: Leases</w:t>
      </w:r>
    </w:p>
    <w:p w14:paraId="6587B6E9" w14:textId="77777777" w:rsidR="00000000" w:rsidRDefault="000C49AD">
      <w:pPr>
        <w:divId w:val="2092508929"/>
        <w:rPr>
          <w:rFonts w:eastAsia="Times New Roman"/>
        </w:rPr>
      </w:pPr>
    </w:p>
    <w:p w14:paraId="2280F405" w14:textId="77777777" w:rsidR="00000000" w:rsidRDefault="000C49AD">
      <w:pPr>
        <w:jc w:val="both"/>
        <w:rPr>
          <w:rFonts w:eastAsia="Times New Roman"/>
        </w:rPr>
      </w:pPr>
      <w:r>
        <w:rPr>
          <w:rFonts w:eastAsia="Times New Roman"/>
          <w:color w:val="000000"/>
          <w:sz w:val="20"/>
          <w:szCs w:val="20"/>
        </w:rPr>
        <w:t>The Company leases office space and a production suite. All leased fa</w:t>
      </w:r>
      <w:r>
        <w:rPr>
          <w:rFonts w:eastAsia="Times New Roman"/>
          <w:color w:val="000000"/>
          <w:sz w:val="20"/>
          <w:szCs w:val="20"/>
        </w:rPr>
        <w:t>cilities are classified as operating leases with remaining lease terms between</w:t>
      </w:r>
      <w:r>
        <w:rPr>
          <w:rFonts w:eastAsia="Times New Roman"/>
          <w:color w:val="000000"/>
          <w:sz w:val="20"/>
          <w:szCs w:val="20"/>
        </w:rPr>
        <w:t>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 and four years. The Company determines if a contract is a lease at the inception of the arrangement. The Company reviews all options to extend, terminate, or purchase its ri</w:t>
      </w:r>
      <w:r>
        <w:rPr>
          <w:rFonts w:eastAsia="Times New Roman"/>
          <w:color w:val="000000"/>
          <w:sz w:val="20"/>
          <w:szCs w:val="20"/>
        </w:rPr>
        <w:t xml:space="preserve">ght-of-use assets at the inception of the lease and will include these options in the lease term when they are reasonably certain of being exercised. The Company’s lease agreements do not contain any material residual value guarantees or material variable </w:t>
      </w:r>
      <w:r>
        <w:rPr>
          <w:rFonts w:eastAsia="Times New Roman"/>
          <w:color w:val="000000"/>
          <w:sz w:val="20"/>
          <w:szCs w:val="20"/>
        </w:rPr>
        <w:t xml:space="preserve">lease payments. For the Company’s leased production suite, contract consideration was allocated to lease and non-lease components on the basis of relative standalone price. </w:t>
      </w:r>
    </w:p>
    <w:p w14:paraId="481E2275" w14:textId="77777777" w:rsidR="00000000" w:rsidRDefault="000C49AD">
      <w:pPr>
        <w:jc w:val="both"/>
        <w:rPr>
          <w:rFonts w:eastAsia="Times New Roman"/>
        </w:rPr>
      </w:pPr>
    </w:p>
    <w:p w14:paraId="471CB6A6" w14:textId="77777777" w:rsidR="00000000" w:rsidRDefault="000C49AD">
      <w:pPr>
        <w:jc w:val="both"/>
        <w:rPr>
          <w:rFonts w:eastAsia="Times New Roman"/>
        </w:rPr>
      </w:pPr>
      <w:r>
        <w:rPr>
          <w:rFonts w:eastAsia="Times New Roman"/>
          <w:color w:val="000000"/>
          <w:sz w:val="20"/>
          <w:szCs w:val="20"/>
        </w:rPr>
        <w:t>The components of lease costs, which are included in selling, general and admini</w:t>
      </w:r>
      <w:r>
        <w:rPr>
          <w:rFonts w:eastAsia="Times New Roman"/>
          <w:color w:val="000000"/>
          <w:sz w:val="20"/>
          <w:szCs w:val="20"/>
        </w:rPr>
        <w:t>strative expenses in the consolidated statements of (loss) income of years ended December 31, 2021, 2020 and 2019 were as follows:</w:t>
      </w:r>
    </w:p>
    <w:p w14:paraId="3397D778" w14:textId="77777777" w:rsidR="00000000" w:rsidRDefault="000C49AD">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66"/>
        <w:gridCol w:w="37"/>
        <w:gridCol w:w="36"/>
        <w:gridCol w:w="36"/>
        <w:gridCol w:w="36"/>
        <w:gridCol w:w="36"/>
        <w:gridCol w:w="36"/>
        <w:gridCol w:w="110"/>
        <w:gridCol w:w="1273"/>
        <w:gridCol w:w="36"/>
        <w:gridCol w:w="36"/>
        <w:gridCol w:w="36"/>
        <w:gridCol w:w="36"/>
        <w:gridCol w:w="110"/>
        <w:gridCol w:w="1329"/>
        <w:gridCol w:w="36"/>
        <w:gridCol w:w="36"/>
        <w:gridCol w:w="36"/>
        <w:gridCol w:w="36"/>
        <w:gridCol w:w="110"/>
        <w:gridCol w:w="1329"/>
        <w:gridCol w:w="36"/>
      </w:tblGrid>
      <w:tr w:rsidR="00000000" w14:paraId="29DA83FF" w14:textId="77777777">
        <w:trPr>
          <w:jc w:val="center"/>
        </w:trPr>
        <w:tc>
          <w:tcPr>
            <w:tcW w:w="50" w:type="pct"/>
            <w:vAlign w:val="center"/>
            <w:hideMark/>
          </w:tcPr>
          <w:p w14:paraId="6331F646" w14:textId="77777777" w:rsidR="00000000" w:rsidRDefault="000C49AD">
            <w:pPr>
              <w:jc w:val="both"/>
              <w:rPr>
                <w:rFonts w:eastAsia="Times New Roman"/>
              </w:rPr>
            </w:pPr>
          </w:p>
        </w:tc>
        <w:tc>
          <w:tcPr>
            <w:tcW w:w="2152" w:type="pct"/>
            <w:vAlign w:val="center"/>
            <w:hideMark/>
          </w:tcPr>
          <w:p w14:paraId="0EC1D9E9" w14:textId="77777777" w:rsidR="00000000" w:rsidRDefault="000C49AD">
            <w:pPr>
              <w:spacing w:after="100"/>
              <w:rPr>
                <w:rFonts w:eastAsia="Times New Roman"/>
                <w:sz w:val="20"/>
                <w:szCs w:val="20"/>
              </w:rPr>
            </w:pPr>
          </w:p>
        </w:tc>
        <w:tc>
          <w:tcPr>
            <w:tcW w:w="5" w:type="pct"/>
            <w:vAlign w:val="center"/>
            <w:hideMark/>
          </w:tcPr>
          <w:p w14:paraId="3DD18A80" w14:textId="77777777" w:rsidR="00000000" w:rsidRDefault="000C49AD">
            <w:pPr>
              <w:spacing w:after="100"/>
              <w:rPr>
                <w:rFonts w:eastAsia="Times New Roman"/>
                <w:sz w:val="20"/>
                <w:szCs w:val="20"/>
              </w:rPr>
            </w:pPr>
          </w:p>
        </w:tc>
        <w:tc>
          <w:tcPr>
            <w:tcW w:w="5" w:type="pct"/>
            <w:vAlign w:val="center"/>
            <w:hideMark/>
          </w:tcPr>
          <w:p w14:paraId="2ABB1596" w14:textId="77777777" w:rsidR="00000000" w:rsidRDefault="000C49AD">
            <w:pPr>
              <w:spacing w:after="100"/>
              <w:rPr>
                <w:rFonts w:eastAsia="Times New Roman"/>
                <w:sz w:val="20"/>
                <w:szCs w:val="20"/>
              </w:rPr>
            </w:pPr>
          </w:p>
        </w:tc>
        <w:tc>
          <w:tcPr>
            <w:tcW w:w="26" w:type="pct"/>
            <w:vAlign w:val="center"/>
            <w:hideMark/>
          </w:tcPr>
          <w:p w14:paraId="6637E119" w14:textId="77777777" w:rsidR="00000000" w:rsidRDefault="000C49AD">
            <w:pPr>
              <w:spacing w:after="100"/>
              <w:rPr>
                <w:rFonts w:eastAsia="Times New Roman"/>
                <w:sz w:val="20"/>
                <w:szCs w:val="20"/>
              </w:rPr>
            </w:pPr>
          </w:p>
        </w:tc>
        <w:tc>
          <w:tcPr>
            <w:tcW w:w="5" w:type="pct"/>
            <w:vAlign w:val="center"/>
            <w:hideMark/>
          </w:tcPr>
          <w:p w14:paraId="08C37279" w14:textId="77777777" w:rsidR="00000000" w:rsidRDefault="000C49AD">
            <w:pPr>
              <w:spacing w:after="100"/>
              <w:rPr>
                <w:rFonts w:eastAsia="Times New Roman"/>
                <w:sz w:val="20"/>
                <w:szCs w:val="20"/>
              </w:rPr>
            </w:pPr>
          </w:p>
        </w:tc>
        <w:tc>
          <w:tcPr>
            <w:tcW w:w="0" w:type="auto"/>
            <w:vAlign w:val="center"/>
            <w:hideMark/>
          </w:tcPr>
          <w:p w14:paraId="4D0B3F22" w14:textId="77777777" w:rsidR="00000000" w:rsidRDefault="000C49AD">
            <w:pPr>
              <w:spacing w:after="100"/>
              <w:rPr>
                <w:rFonts w:eastAsia="Times New Roman"/>
                <w:sz w:val="20"/>
                <w:szCs w:val="20"/>
              </w:rPr>
            </w:pPr>
          </w:p>
        </w:tc>
        <w:tc>
          <w:tcPr>
            <w:tcW w:w="0" w:type="auto"/>
            <w:vAlign w:val="center"/>
            <w:hideMark/>
          </w:tcPr>
          <w:p w14:paraId="4381D783" w14:textId="77777777" w:rsidR="00000000" w:rsidRDefault="000C49AD">
            <w:pPr>
              <w:spacing w:after="100"/>
              <w:rPr>
                <w:rFonts w:eastAsia="Times New Roman"/>
                <w:sz w:val="20"/>
                <w:szCs w:val="20"/>
              </w:rPr>
            </w:pPr>
          </w:p>
        </w:tc>
        <w:tc>
          <w:tcPr>
            <w:tcW w:w="50" w:type="pct"/>
            <w:vAlign w:val="center"/>
            <w:hideMark/>
          </w:tcPr>
          <w:p w14:paraId="6735A676" w14:textId="77777777" w:rsidR="00000000" w:rsidRDefault="000C49AD">
            <w:pPr>
              <w:spacing w:after="100"/>
              <w:rPr>
                <w:rFonts w:eastAsia="Times New Roman"/>
                <w:sz w:val="20"/>
                <w:szCs w:val="20"/>
              </w:rPr>
            </w:pPr>
          </w:p>
        </w:tc>
        <w:tc>
          <w:tcPr>
            <w:tcW w:w="844" w:type="pct"/>
            <w:vAlign w:val="center"/>
            <w:hideMark/>
          </w:tcPr>
          <w:p w14:paraId="103FEFF6" w14:textId="77777777" w:rsidR="00000000" w:rsidRDefault="000C49AD">
            <w:pPr>
              <w:spacing w:after="100"/>
              <w:rPr>
                <w:rFonts w:eastAsia="Times New Roman"/>
                <w:sz w:val="20"/>
                <w:szCs w:val="20"/>
              </w:rPr>
            </w:pPr>
          </w:p>
        </w:tc>
        <w:tc>
          <w:tcPr>
            <w:tcW w:w="5" w:type="pct"/>
            <w:vAlign w:val="center"/>
            <w:hideMark/>
          </w:tcPr>
          <w:p w14:paraId="7FE563D7" w14:textId="77777777" w:rsidR="00000000" w:rsidRDefault="000C49AD">
            <w:pPr>
              <w:spacing w:after="100"/>
              <w:rPr>
                <w:rFonts w:eastAsia="Times New Roman"/>
                <w:sz w:val="20"/>
                <w:szCs w:val="20"/>
              </w:rPr>
            </w:pPr>
          </w:p>
        </w:tc>
        <w:tc>
          <w:tcPr>
            <w:tcW w:w="5" w:type="pct"/>
            <w:vAlign w:val="center"/>
            <w:hideMark/>
          </w:tcPr>
          <w:p w14:paraId="1E342725" w14:textId="77777777" w:rsidR="00000000" w:rsidRDefault="000C49AD">
            <w:pPr>
              <w:spacing w:after="100"/>
              <w:rPr>
                <w:rFonts w:eastAsia="Times New Roman"/>
                <w:sz w:val="20"/>
                <w:szCs w:val="20"/>
              </w:rPr>
            </w:pPr>
          </w:p>
        </w:tc>
        <w:tc>
          <w:tcPr>
            <w:tcW w:w="19" w:type="pct"/>
            <w:vAlign w:val="center"/>
            <w:hideMark/>
          </w:tcPr>
          <w:p w14:paraId="51CE699E" w14:textId="77777777" w:rsidR="00000000" w:rsidRDefault="000C49AD">
            <w:pPr>
              <w:spacing w:after="100"/>
              <w:rPr>
                <w:rFonts w:eastAsia="Times New Roman"/>
                <w:sz w:val="20"/>
                <w:szCs w:val="20"/>
              </w:rPr>
            </w:pPr>
          </w:p>
        </w:tc>
        <w:tc>
          <w:tcPr>
            <w:tcW w:w="5" w:type="pct"/>
            <w:vAlign w:val="center"/>
            <w:hideMark/>
          </w:tcPr>
          <w:p w14:paraId="76B6AE8F" w14:textId="77777777" w:rsidR="00000000" w:rsidRDefault="000C49AD">
            <w:pPr>
              <w:spacing w:after="100"/>
              <w:rPr>
                <w:rFonts w:eastAsia="Times New Roman"/>
                <w:sz w:val="20"/>
                <w:szCs w:val="20"/>
              </w:rPr>
            </w:pPr>
          </w:p>
        </w:tc>
        <w:tc>
          <w:tcPr>
            <w:tcW w:w="50" w:type="pct"/>
            <w:vAlign w:val="center"/>
            <w:hideMark/>
          </w:tcPr>
          <w:p w14:paraId="59538DD2" w14:textId="77777777" w:rsidR="00000000" w:rsidRDefault="000C49AD">
            <w:pPr>
              <w:spacing w:after="100"/>
              <w:rPr>
                <w:rFonts w:eastAsia="Times New Roman"/>
                <w:sz w:val="20"/>
                <w:szCs w:val="20"/>
              </w:rPr>
            </w:pPr>
          </w:p>
        </w:tc>
        <w:tc>
          <w:tcPr>
            <w:tcW w:w="844" w:type="pct"/>
            <w:vAlign w:val="center"/>
            <w:hideMark/>
          </w:tcPr>
          <w:p w14:paraId="7574A473" w14:textId="77777777" w:rsidR="00000000" w:rsidRDefault="000C49AD">
            <w:pPr>
              <w:spacing w:after="100"/>
              <w:rPr>
                <w:rFonts w:eastAsia="Times New Roman"/>
                <w:sz w:val="20"/>
                <w:szCs w:val="20"/>
              </w:rPr>
            </w:pPr>
          </w:p>
        </w:tc>
        <w:tc>
          <w:tcPr>
            <w:tcW w:w="5" w:type="pct"/>
            <w:vAlign w:val="center"/>
            <w:hideMark/>
          </w:tcPr>
          <w:p w14:paraId="16D5D6F3" w14:textId="77777777" w:rsidR="00000000" w:rsidRDefault="000C49AD">
            <w:pPr>
              <w:spacing w:after="100"/>
              <w:rPr>
                <w:rFonts w:eastAsia="Times New Roman"/>
                <w:sz w:val="20"/>
                <w:szCs w:val="20"/>
              </w:rPr>
            </w:pPr>
          </w:p>
        </w:tc>
        <w:tc>
          <w:tcPr>
            <w:tcW w:w="5" w:type="pct"/>
            <w:vAlign w:val="center"/>
            <w:hideMark/>
          </w:tcPr>
          <w:p w14:paraId="24A3F5D5" w14:textId="77777777" w:rsidR="00000000" w:rsidRDefault="000C49AD">
            <w:pPr>
              <w:spacing w:after="100"/>
              <w:rPr>
                <w:rFonts w:eastAsia="Times New Roman"/>
                <w:sz w:val="20"/>
                <w:szCs w:val="20"/>
              </w:rPr>
            </w:pPr>
          </w:p>
        </w:tc>
        <w:tc>
          <w:tcPr>
            <w:tcW w:w="19" w:type="pct"/>
            <w:vAlign w:val="center"/>
            <w:hideMark/>
          </w:tcPr>
          <w:p w14:paraId="411A9FC8" w14:textId="77777777" w:rsidR="00000000" w:rsidRDefault="000C49AD">
            <w:pPr>
              <w:spacing w:after="100"/>
              <w:rPr>
                <w:rFonts w:eastAsia="Times New Roman"/>
                <w:sz w:val="20"/>
                <w:szCs w:val="20"/>
              </w:rPr>
            </w:pPr>
          </w:p>
        </w:tc>
        <w:tc>
          <w:tcPr>
            <w:tcW w:w="5" w:type="pct"/>
            <w:vAlign w:val="center"/>
            <w:hideMark/>
          </w:tcPr>
          <w:p w14:paraId="3570865C" w14:textId="77777777" w:rsidR="00000000" w:rsidRDefault="000C49AD">
            <w:pPr>
              <w:spacing w:after="100"/>
              <w:rPr>
                <w:rFonts w:eastAsia="Times New Roman"/>
                <w:sz w:val="20"/>
                <w:szCs w:val="20"/>
              </w:rPr>
            </w:pPr>
          </w:p>
        </w:tc>
        <w:tc>
          <w:tcPr>
            <w:tcW w:w="50" w:type="pct"/>
            <w:vAlign w:val="center"/>
            <w:hideMark/>
          </w:tcPr>
          <w:p w14:paraId="38DF54EF" w14:textId="77777777" w:rsidR="00000000" w:rsidRDefault="000C49AD">
            <w:pPr>
              <w:spacing w:after="100"/>
              <w:rPr>
                <w:rFonts w:eastAsia="Times New Roman"/>
                <w:sz w:val="20"/>
                <w:szCs w:val="20"/>
              </w:rPr>
            </w:pPr>
          </w:p>
        </w:tc>
        <w:tc>
          <w:tcPr>
            <w:tcW w:w="844" w:type="pct"/>
            <w:vAlign w:val="center"/>
            <w:hideMark/>
          </w:tcPr>
          <w:p w14:paraId="6ACA22AC" w14:textId="77777777" w:rsidR="00000000" w:rsidRDefault="000C49AD">
            <w:pPr>
              <w:spacing w:after="100"/>
              <w:rPr>
                <w:rFonts w:eastAsia="Times New Roman"/>
                <w:sz w:val="20"/>
                <w:szCs w:val="20"/>
              </w:rPr>
            </w:pPr>
          </w:p>
        </w:tc>
        <w:tc>
          <w:tcPr>
            <w:tcW w:w="5" w:type="pct"/>
            <w:vAlign w:val="center"/>
            <w:hideMark/>
          </w:tcPr>
          <w:p w14:paraId="67A1161F" w14:textId="77777777" w:rsidR="00000000" w:rsidRDefault="000C49AD">
            <w:pPr>
              <w:spacing w:after="100"/>
              <w:rPr>
                <w:rFonts w:eastAsia="Times New Roman"/>
                <w:sz w:val="20"/>
                <w:szCs w:val="20"/>
              </w:rPr>
            </w:pPr>
          </w:p>
        </w:tc>
      </w:tr>
      <w:tr w:rsidR="00000000" w14:paraId="5FE44537" w14:textId="77777777">
        <w:trPr>
          <w:jc w:val="center"/>
        </w:trPr>
        <w:tc>
          <w:tcPr>
            <w:tcW w:w="0" w:type="auto"/>
            <w:gridSpan w:val="3"/>
            <w:tcMar>
              <w:top w:w="30" w:type="dxa"/>
              <w:left w:w="20" w:type="dxa"/>
              <w:bottom w:w="30" w:type="dxa"/>
              <w:right w:w="20" w:type="dxa"/>
            </w:tcMar>
            <w:vAlign w:val="bottom"/>
            <w:hideMark/>
          </w:tcPr>
          <w:p w14:paraId="3F069438" w14:textId="77777777" w:rsidR="00000000" w:rsidRDefault="000C49AD">
            <w:pPr>
              <w:spacing w:after="100"/>
              <w:rPr>
                <w:rFonts w:eastAsia="Times New Roman"/>
              </w:rPr>
            </w:pPr>
            <w:r>
              <w:rPr>
                <w:rFonts w:eastAsia="Times New Roman"/>
                <w:b/>
                <w:bCs/>
                <w:color w:val="000000"/>
                <w:sz w:val="18"/>
                <w:szCs w:val="18"/>
              </w:rPr>
              <w:t>Lease cost:</w:t>
            </w:r>
          </w:p>
        </w:tc>
        <w:tc>
          <w:tcPr>
            <w:tcW w:w="0" w:type="auto"/>
            <w:gridSpan w:val="3"/>
            <w:tcMar>
              <w:top w:w="0" w:type="dxa"/>
              <w:left w:w="20" w:type="dxa"/>
              <w:bottom w:w="0" w:type="dxa"/>
              <w:right w:w="20" w:type="dxa"/>
            </w:tcMar>
            <w:vAlign w:val="center"/>
            <w:hideMark/>
          </w:tcPr>
          <w:p w14:paraId="7A71063A" w14:textId="77777777" w:rsidR="00000000" w:rsidRDefault="000C49AD">
            <w:pPr>
              <w:spacing w:after="100"/>
              <w:rPr>
                <w:rFonts w:eastAsia="Times New Roman"/>
              </w:rPr>
            </w:pPr>
          </w:p>
        </w:tc>
        <w:tc>
          <w:tcPr>
            <w:tcW w:w="0" w:type="auto"/>
            <w:vAlign w:val="center"/>
            <w:hideMark/>
          </w:tcPr>
          <w:p w14:paraId="5D08CFC3" w14:textId="77777777" w:rsidR="00000000" w:rsidRDefault="000C49AD">
            <w:pPr>
              <w:spacing w:after="100"/>
              <w:rPr>
                <w:rFonts w:eastAsia="Times New Roman"/>
                <w:sz w:val="20"/>
                <w:szCs w:val="20"/>
              </w:rPr>
            </w:pPr>
          </w:p>
        </w:tc>
        <w:tc>
          <w:tcPr>
            <w:tcW w:w="0" w:type="auto"/>
            <w:vAlign w:val="center"/>
            <w:hideMark/>
          </w:tcPr>
          <w:p w14:paraId="36174CDF" w14:textId="77777777" w:rsidR="00000000" w:rsidRDefault="000C49A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6ECE978"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9C56DFF"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6199B76"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7F6DF72C"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8B0561C"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2D783EAD"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53402F0A"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059673A" w14:textId="77777777" w:rsidR="00000000" w:rsidRDefault="000C49AD">
            <w:pPr>
              <w:spacing w:after="100"/>
              <w:rPr>
                <w:rFonts w:eastAsia="Times New Roman"/>
                <w:sz w:val="20"/>
                <w:szCs w:val="20"/>
              </w:rPr>
            </w:pPr>
          </w:p>
        </w:tc>
        <w:tc>
          <w:tcPr>
            <w:tcW w:w="0" w:type="auto"/>
            <w:vAlign w:val="center"/>
            <w:hideMark/>
          </w:tcPr>
          <w:p w14:paraId="60D9F8AE" w14:textId="77777777" w:rsidR="00000000" w:rsidRDefault="000C49AD">
            <w:pPr>
              <w:spacing w:after="100"/>
              <w:rPr>
                <w:rFonts w:eastAsia="Times New Roman"/>
                <w:sz w:val="20"/>
                <w:szCs w:val="20"/>
              </w:rPr>
            </w:pPr>
          </w:p>
        </w:tc>
        <w:tc>
          <w:tcPr>
            <w:tcW w:w="0" w:type="auto"/>
            <w:vAlign w:val="center"/>
            <w:hideMark/>
          </w:tcPr>
          <w:p w14:paraId="25261889"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187F3C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9FA8A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315F19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BE1654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F621B6" w14:textId="77777777" w:rsidR="00000000" w:rsidRDefault="000C49AD">
            <w:pPr>
              <w:spacing w:after="100"/>
              <w:rPr>
                <w:rFonts w:eastAsia="Times New Roman"/>
                <w:sz w:val="20"/>
                <w:szCs w:val="20"/>
              </w:rPr>
            </w:pPr>
          </w:p>
        </w:tc>
      </w:tr>
      <w:tr w:rsidR="00000000" w14:paraId="08BE1D0B" w14:textId="77777777">
        <w:trPr>
          <w:jc w:val="center"/>
        </w:trPr>
        <w:tc>
          <w:tcPr>
            <w:tcW w:w="0" w:type="auto"/>
            <w:gridSpan w:val="3"/>
            <w:shd w:val="clear" w:color="auto" w:fill="CCEEFF"/>
            <w:tcMar>
              <w:top w:w="30" w:type="dxa"/>
              <w:left w:w="20" w:type="dxa"/>
              <w:bottom w:w="30" w:type="dxa"/>
              <w:right w:w="20" w:type="dxa"/>
            </w:tcMar>
            <w:vAlign w:val="bottom"/>
            <w:hideMark/>
          </w:tcPr>
          <w:p w14:paraId="79093A8D" w14:textId="77777777" w:rsidR="00000000" w:rsidRDefault="000C49AD">
            <w:pPr>
              <w:spacing w:after="100"/>
              <w:divId w:val="1386416090"/>
              <w:rPr>
                <w:rFonts w:eastAsia="Times New Roman"/>
              </w:rPr>
            </w:pPr>
            <w:r>
              <w:rPr>
                <w:rFonts w:eastAsia="Times New Roman"/>
                <w:color w:val="000000"/>
                <w:sz w:val="18"/>
                <w:szCs w:val="18"/>
              </w:rPr>
              <w:t>Operating lease costs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72182CE7" w14:textId="77777777" w:rsidR="00000000" w:rsidRDefault="000C49AD">
            <w:pPr>
              <w:spacing w:after="100"/>
              <w:rPr>
                <w:rFonts w:eastAsia="Times New Roman"/>
              </w:rPr>
            </w:pPr>
          </w:p>
        </w:tc>
        <w:tc>
          <w:tcPr>
            <w:tcW w:w="0" w:type="auto"/>
            <w:vAlign w:val="center"/>
            <w:hideMark/>
          </w:tcPr>
          <w:p w14:paraId="247F9986" w14:textId="77777777" w:rsidR="00000000" w:rsidRDefault="000C49AD">
            <w:pPr>
              <w:spacing w:after="100"/>
              <w:rPr>
                <w:rFonts w:eastAsia="Times New Roman"/>
                <w:sz w:val="20"/>
                <w:szCs w:val="20"/>
              </w:rPr>
            </w:pPr>
          </w:p>
        </w:tc>
        <w:tc>
          <w:tcPr>
            <w:tcW w:w="0" w:type="auto"/>
            <w:vAlign w:val="center"/>
            <w:hideMark/>
          </w:tcPr>
          <w:p w14:paraId="4E316A0B" w14:textId="77777777" w:rsidR="00000000" w:rsidRDefault="000C49A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BE02F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C845E7A" w14:textId="77777777" w:rsidR="00000000" w:rsidRDefault="000C49AD">
            <w:pPr>
              <w:spacing w:after="100"/>
              <w:jc w:val="right"/>
              <w:rPr>
                <w:rFonts w:eastAsia="Times New Roman"/>
              </w:rPr>
            </w:pPr>
            <w:r>
              <w:rPr>
                <w:rFonts w:eastAsia="Times New Roman"/>
                <w:color w:val="000000"/>
                <w:sz w:val="18"/>
                <w:szCs w:val="18"/>
              </w:rPr>
              <w:t>821 </w:t>
            </w:r>
          </w:p>
        </w:tc>
        <w:tc>
          <w:tcPr>
            <w:tcW w:w="0" w:type="auto"/>
            <w:shd w:val="clear" w:color="auto" w:fill="CCEEFF"/>
            <w:tcMar>
              <w:top w:w="30" w:type="dxa"/>
              <w:left w:w="0" w:type="dxa"/>
              <w:bottom w:w="30" w:type="dxa"/>
              <w:right w:w="20" w:type="dxa"/>
            </w:tcMar>
            <w:vAlign w:val="bottom"/>
            <w:hideMark/>
          </w:tcPr>
          <w:p w14:paraId="4D29304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D27D2"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5D86F2"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20EBBB7" w14:textId="77777777" w:rsidR="00000000" w:rsidRDefault="000C49AD">
            <w:pPr>
              <w:spacing w:after="100"/>
              <w:jc w:val="right"/>
              <w:rPr>
                <w:rFonts w:eastAsia="Times New Roman"/>
              </w:rPr>
            </w:pPr>
            <w:r>
              <w:rPr>
                <w:rFonts w:eastAsia="Times New Roman"/>
                <w:color w:val="000000"/>
                <w:sz w:val="18"/>
                <w:szCs w:val="18"/>
              </w:rPr>
              <w:t>1,133 </w:t>
            </w:r>
          </w:p>
        </w:tc>
        <w:tc>
          <w:tcPr>
            <w:tcW w:w="0" w:type="auto"/>
            <w:shd w:val="clear" w:color="auto" w:fill="CCEEFF"/>
            <w:tcMar>
              <w:top w:w="30" w:type="dxa"/>
              <w:left w:w="0" w:type="dxa"/>
              <w:bottom w:w="30" w:type="dxa"/>
              <w:right w:w="20" w:type="dxa"/>
            </w:tcMar>
            <w:vAlign w:val="bottom"/>
            <w:hideMark/>
          </w:tcPr>
          <w:p w14:paraId="6A44587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027FCE"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9EDF2F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88F454E" w14:textId="77777777" w:rsidR="00000000" w:rsidRDefault="000C49AD">
            <w:pPr>
              <w:spacing w:after="100"/>
              <w:jc w:val="right"/>
              <w:rPr>
                <w:rFonts w:eastAsia="Times New Roman"/>
              </w:rPr>
            </w:pPr>
            <w:r>
              <w:rPr>
                <w:rFonts w:eastAsia="Times New Roman"/>
                <w:color w:val="000000"/>
                <w:sz w:val="18"/>
                <w:szCs w:val="18"/>
              </w:rPr>
              <w:t>1,515 </w:t>
            </w:r>
          </w:p>
        </w:tc>
        <w:tc>
          <w:tcPr>
            <w:tcW w:w="0" w:type="auto"/>
            <w:shd w:val="clear" w:color="auto" w:fill="CCEEFF"/>
            <w:tcMar>
              <w:top w:w="30" w:type="dxa"/>
              <w:left w:w="0" w:type="dxa"/>
              <w:bottom w:w="30" w:type="dxa"/>
              <w:right w:w="20" w:type="dxa"/>
            </w:tcMar>
            <w:vAlign w:val="bottom"/>
            <w:hideMark/>
          </w:tcPr>
          <w:p w14:paraId="7B6264B3" w14:textId="77777777" w:rsidR="00000000" w:rsidRDefault="000C49AD">
            <w:pPr>
              <w:spacing w:after="100"/>
              <w:jc w:val="right"/>
              <w:rPr>
                <w:rFonts w:eastAsia="Times New Roman"/>
              </w:rPr>
            </w:pPr>
          </w:p>
        </w:tc>
      </w:tr>
      <w:tr w:rsidR="00000000" w14:paraId="400B3E9E" w14:textId="77777777">
        <w:trPr>
          <w:jc w:val="center"/>
        </w:trPr>
        <w:tc>
          <w:tcPr>
            <w:tcW w:w="0" w:type="auto"/>
            <w:gridSpan w:val="3"/>
            <w:vAlign w:val="center"/>
            <w:hideMark/>
          </w:tcPr>
          <w:p w14:paraId="006CE5C6" w14:textId="77777777" w:rsidR="00000000" w:rsidRDefault="000C49AD">
            <w:pPr>
              <w:spacing w:after="100"/>
              <w:jc w:val="right"/>
              <w:rPr>
                <w:rFonts w:eastAsia="Times New Roman"/>
                <w:sz w:val="20"/>
                <w:szCs w:val="20"/>
              </w:rPr>
            </w:pPr>
          </w:p>
        </w:tc>
        <w:tc>
          <w:tcPr>
            <w:tcW w:w="0" w:type="auto"/>
            <w:gridSpan w:val="3"/>
            <w:vAlign w:val="center"/>
            <w:hideMark/>
          </w:tcPr>
          <w:p w14:paraId="6CB787F0" w14:textId="77777777" w:rsidR="00000000" w:rsidRDefault="000C49AD">
            <w:pPr>
              <w:spacing w:after="100"/>
              <w:rPr>
                <w:rFonts w:eastAsia="Times New Roman"/>
                <w:sz w:val="20"/>
                <w:szCs w:val="20"/>
              </w:rPr>
            </w:pPr>
          </w:p>
        </w:tc>
        <w:tc>
          <w:tcPr>
            <w:tcW w:w="0" w:type="auto"/>
            <w:vAlign w:val="center"/>
            <w:hideMark/>
          </w:tcPr>
          <w:p w14:paraId="57E6E611" w14:textId="77777777" w:rsidR="00000000" w:rsidRDefault="000C49AD">
            <w:pPr>
              <w:spacing w:after="100"/>
              <w:rPr>
                <w:rFonts w:eastAsia="Times New Roman"/>
                <w:sz w:val="20"/>
                <w:szCs w:val="20"/>
              </w:rPr>
            </w:pPr>
          </w:p>
        </w:tc>
        <w:tc>
          <w:tcPr>
            <w:tcW w:w="0" w:type="auto"/>
            <w:vAlign w:val="center"/>
            <w:hideMark/>
          </w:tcPr>
          <w:p w14:paraId="50150480" w14:textId="77777777" w:rsidR="00000000" w:rsidRDefault="000C49AD">
            <w:pPr>
              <w:spacing w:after="100"/>
              <w:rPr>
                <w:rFonts w:eastAsia="Times New Roman"/>
                <w:sz w:val="20"/>
                <w:szCs w:val="20"/>
              </w:rPr>
            </w:pPr>
          </w:p>
        </w:tc>
        <w:tc>
          <w:tcPr>
            <w:tcW w:w="0" w:type="auto"/>
            <w:gridSpan w:val="3"/>
            <w:vAlign w:val="center"/>
            <w:hideMark/>
          </w:tcPr>
          <w:p w14:paraId="515A72AC" w14:textId="77777777" w:rsidR="00000000" w:rsidRDefault="000C49AD">
            <w:pPr>
              <w:spacing w:after="100"/>
              <w:rPr>
                <w:rFonts w:eastAsia="Times New Roman"/>
                <w:sz w:val="20"/>
                <w:szCs w:val="20"/>
              </w:rPr>
            </w:pPr>
          </w:p>
        </w:tc>
        <w:tc>
          <w:tcPr>
            <w:tcW w:w="0" w:type="auto"/>
            <w:gridSpan w:val="3"/>
            <w:vAlign w:val="center"/>
            <w:hideMark/>
          </w:tcPr>
          <w:p w14:paraId="15EE17F7" w14:textId="77777777" w:rsidR="00000000" w:rsidRDefault="000C49AD">
            <w:pPr>
              <w:spacing w:after="100"/>
              <w:rPr>
                <w:rFonts w:eastAsia="Times New Roman"/>
                <w:sz w:val="20"/>
                <w:szCs w:val="20"/>
              </w:rPr>
            </w:pPr>
          </w:p>
        </w:tc>
        <w:tc>
          <w:tcPr>
            <w:tcW w:w="0" w:type="auto"/>
            <w:gridSpan w:val="3"/>
            <w:vAlign w:val="center"/>
            <w:hideMark/>
          </w:tcPr>
          <w:p w14:paraId="6A1A0C49" w14:textId="77777777" w:rsidR="00000000" w:rsidRDefault="000C49AD">
            <w:pPr>
              <w:spacing w:after="100"/>
              <w:rPr>
                <w:rFonts w:eastAsia="Times New Roman"/>
                <w:sz w:val="20"/>
                <w:szCs w:val="20"/>
              </w:rPr>
            </w:pPr>
          </w:p>
        </w:tc>
        <w:tc>
          <w:tcPr>
            <w:tcW w:w="0" w:type="auto"/>
            <w:gridSpan w:val="3"/>
            <w:vAlign w:val="center"/>
            <w:hideMark/>
          </w:tcPr>
          <w:p w14:paraId="04563725" w14:textId="77777777" w:rsidR="00000000" w:rsidRDefault="000C49AD">
            <w:pPr>
              <w:spacing w:after="100"/>
              <w:rPr>
                <w:rFonts w:eastAsia="Times New Roman"/>
                <w:sz w:val="20"/>
                <w:szCs w:val="20"/>
              </w:rPr>
            </w:pPr>
          </w:p>
        </w:tc>
        <w:tc>
          <w:tcPr>
            <w:tcW w:w="0" w:type="auto"/>
            <w:gridSpan w:val="3"/>
            <w:vAlign w:val="center"/>
            <w:hideMark/>
          </w:tcPr>
          <w:p w14:paraId="7A8E4C1F" w14:textId="77777777" w:rsidR="00000000" w:rsidRDefault="000C49AD">
            <w:pPr>
              <w:spacing w:after="100"/>
              <w:rPr>
                <w:rFonts w:eastAsia="Times New Roman"/>
                <w:sz w:val="20"/>
                <w:szCs w:val="20"/>
              </w:rPr>
            </w:pPr>
          </w:p>
        </w:tc>
      </w:tr>
      <w:tr w:rsidR="00000000" w14:paraId="009019C8" w14:textId="77777777">
        <w:trPr>
          <w:jc w:val="center"/>
        </w:trPr>
        <w:tc>
          <w:tcPr>
            <w:tcW w:w="0" w:type="auto"/>
            <w:gridSpan w:val="3"/>
            <w:vAlign w:val="center"/>
            <w:hideMark/>
          </w:tcPr>
          <w:p w14:paraId="0A6E08E5" w14:textId="77777777" w:rsidR="00000000" w:rsidRDefault="000C49AD">
            <w:pPr>
              <w:spacing w:after="100"/>
              <w:rPr>
                <w:rFonts w:eastAsia="Times New Roman"/>
                <w:sz w:val="20"/>
                <w:szCs w:val="20"/>
              </w:rPr>
            </w:pPr>
          </w:p>
        </w:tc>
        <w:tc>
          <w:tcPr>
            <w:tcW w:w="0" w:type="auto"/>
            <w:gridSpan w:val="3"/>
            <w:vAlign w:val="center"/>
            <w:hideMark/>
          </w:tcPr>
          <w:p w14:paraId="3A57F655" w14:textId="77777777" w:rsidR="00000000" w:rsidRDefault="000C49AD">
            <w:pPr>
              <w:spacing w:after="100"/>
              <w:rPr>
                <w:rFonts w:eastAsia="Times New Roman"/>
                <w:sz w:val="20"/>
                <w:szCs w:val="20"/>
              </w:rPr>
            </w:pPr>
          </w:p>
        </w:tc>
        <w:tc>
          <w:tcPr>
            <w:tcW w:w="0" w:type="auto"/>
            <w:vAlign w:val="center"/>
            <w:hideMark/>
          </w:tcPr>
          <w:p w14:paraId="5B91FD1C" w14:textId="77777777" w:rsidR="00000000" w:rsidRDefault="000C49AD">
            <w:pPr>
              <w:spacing w:after="100"/>
              <w:rPr>
                <w:rFonts w:eastAsia="Times New Roman"/>
                <w:sz w:val="20"/>
                <w:szCs w:val="20"/>
              </w:rPr>
            </w:pPr>
          </w:p>
        </w:tc>
        <w:tc>
          <w:tcPr>
            <w:tcW w:w="0" w:type="auto"/>
            <w:vAlign w:val="center"/>
            <w:hideMark/>
          </w:tcPr>
          <w:p w14:paraId="0AA7FA09" w14:textId="77777777" w:rsidR="00000000" w:rsidRDefault="000C49AD">
            <w:pPr>
              <w:spacing w:after="100"/>
              <w:rPr>
                <w:rFonts w:eastAsia="Times New Roman"/>
                <w:sz w:val="20"/>
                <w:szCs w:val="20"/>
              </w:rPr>
            </w:pPr>
          </w:p>
        </w:tc>
        <w:tc>
          <w:tcPr>
            <w:tcW w:w="0" w:type="auto"/>
            <w:gridSpan w:val="3"/>
            <w:vAlign w:val="center"/>
            <w:hideMark/>
          </w:tcPr>
          <w:p w14:paraId="692FDD18" w14:textId="77777777" w:rsidR="00000000" w:rsidRDefault="000C49AD">
            <w:pPr>
              <w:spacing w:after="100"/>
              <w:rPr>
                <w:rFonts w:eastAsia="Times New Roman"/>
                <w:sz w:val="20"/>
                <w:szCs w:val="20"/>
              </w:rPr>
            </w:pPr>
          </w:p>
        </w:tc>
        <w:tc>
          <w:tcPr>
            <w:tcW w:w="0" w:type="auto"/>
            <w:gridSpan w:val="3"/>
            <w:vAlign w:val="center"/>
            <w:hideMark/>
          </w:tcPr>
          <w:p w14:paraId="6C41D9E7" w14:textId="77777777" w:rsidR="00000000" w:rsidRDefault="000C49AD">
            <w:pPr>
              <w:spacing w:after="100"/>
              <w:rPr>
                <w:rFonts w:eastAsia="Times New Roman"/>
                <w:sz w:val="20"/>
                <w:szCs w:val="20"/>
              </w:rPr>
            </w:pPr>
          </w:p>
        </w:tc>
        <w:tc>
          <w:tcPr>
            <w:tcW w:w="0" w:type="auto"/>
            <w:gridSpan w:val="3"/>
            <w:vAlign w:val="center"/>
            <w:hideMark/>
          </w:tcPr>
          <w:p w14:paraId="35515A3F" w14:textId="77777777" w:rsidR="00000000" w:rsidRDefault="000C49AD">
            <w:pPr>
              <w:spacing w:after="100"/>
              <w:rPr>
                <w:rFonts w:eastAsia="Times New Roman"/>
                <w:sz w:val="20"/>
                <w:szCs w:val="20"/>
              </w:rPr>
            </w:pPr>
          </w:p>
        </w:tc>
        <w:tc>
          <w:tcPr>
            <w:tcW w:w="0" w:type="auto"/>
            <w:gridSpan w:val="3"/>
            <w:vAlign w:val="center"/>
            <w:hideMark/>
          </w:tcPr>
          <w:p w14:paraId="0CFFE8F3" w14:textId="77777777" w:rsidR="00000000" w:rsidRDefault="000C49AD">
            <w:pPr>
              <w:spacing w:after="100"/>
              <w:rPr>
                <w:rFonts w:eastAsia="Times New Roman"/>
                <w:sz w:val="20"/>
                <w:szCs w:val="20"/>
              </w:rPr>
            </w:pPr>
          </w:p>
        </w:tc>
        <w:tc>
          <w:tcPr>
            <w:tcW w:w="0" w:type="auto"/>
            <w:gridSpan w:val="3"/>
            <w:vAlign w:val="center"/>
            <w:hideMark/>
          </w:tcPr>
          <w:p w14:paraId="50985F62" w14:textId="77777777" w:rsidR="00000000" w:rsidRDefault="000C49AD">
            <w:pPr>
              <w:spacing w:after="100"/>
              <w:rPr>
                <w:rFonts w:eastAsia="Times New Roman"/>
                <w:sz w:val="20"/>
                <w:szCs w:val="20"/>
              </w:rPr>
            </w:pPr>
          </w:p>
        </w:tc>
      </w:tr>
      <w:tr w:rsidR="00000000" w14:paraId="1E675F83" w14:textId="77777777">
        <w:trPr>
          <w:jc w:val="center"/>
        </w:trPr>
        <w:tc>
          <w:tcPr>
            <w:tcW w:w="0" w:type="auto"/>
            <w:gridSpan w:val="3"/>
            <w:shd w:val="clear" w:color="auto" w:fill="FFFFFF"/>
            <w:tcMar>
              <w:top w:w="30" w:type="dxa"/>
              <w:left w:w="20" w:type="dxa"/>
              <w:bottom w:w="30" w:type="dxa"/>
              <w:right w:w="20" w:type="dxa"/>
            </w:tcMar>
            <w:vAlign w:val="bottom"/>
            <w:hideMark/>
          </w:tcPr>
          <w:p w14:paraId="3339C5B4" w14:textId="77777777" w:rsidR="00000000" w:rsidRDefault="000C49AD">
            <w:pPr>
              <w:spacing w:after="100"/>
              <w:divId w:val="1392073266"/>
              <w:rPr>
                <w:rFonts w:eastAsia="Times New Roman"/>
              </w:rPr>
            </w:pPr>
            <w:r>
              <w:rPr>
                <w:rFonts w:eastAsia="Times New Roman"/>
                <w:color w:val="000000"/>
                <w:sz w:val="18"/>
                <w:szCs w:val="18"/>
              </w:rPr>
              <w:t>Sublease income</w:t>
            </w:r>
            <w:r>
              <w:rPr>
                <w:rFonts w:eastAsia="Times New Roman"/>
                <w:color w:val="000000"/>
                <w:sz w:val="18"/>
                <w:szCs w:val="18"/>
              </w:rPr>
              <w:t xml:space="preserve"> </w:t>
            </w:r>
            <w:r>
              <w:rPr>
                <w:rFonts w:eastAsia="Times New Roman"/>
                <w:color w:val="000000"/>
                <w:sz w:val="12"/>
                <w:szCs w:val="12"/>
              </w:rPr>
              <w:t>(2</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4A625F23" w14:textId="77777777" w:rsidR="00000000" w:rsidRDefault="000C49AD">
            <w:pPr>
              <w:spacing w:after="100"/>
              <w:rPr>
                <w:rFonts w:eastAsia="Times New Roman"/>
              </w:rPr>
            </w:pPr>
          </w:p>
        </w:tc>
        <w:tc>
          <w:tcPr>
            <w:tcW w:w="0" w:type="auto"/>
            <w:vAlign w:val="center"/>
            <w:hideMark/>
          </w:tcPr>
          <w:p w14:paraId="3AE89167" w14:textId="77777777" w:rsidR="00000000" w:rsidRDefault="000C49AD">
            <w:pPr>
              <w:spacing w:after="100"/>
              <w:rPr>
                <w:rFonts w:eastAsia="Times New Roman"/>
                <w:sz w:val="20"/>
                <w:szCs w:val="20"/>
              </w:rPr>
            </w:pPr>
          </w:p>
        </w:tc>
        <w:tc>
          <w:tcPr>
            <w:tcW w:w="0" w:type="auto"/>
            <w:vAlign w:val="center"/>
            <w:hideMark/>
          </w:tcPr>
          <w:p w14:paraId="071EE9BF" w14:textId="77777777" w:rsidR="00000000" w:rsidRDefault="000C49AD">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14:paraId="47FA093F" w14:textId="77777777" w:rsidR="00000000" w:rsidRDefault="000C49AD">
            <w:pPr>
              <w:spacing w:after="100"/>
              <w:jc w:val="right"/>
              <w:rPr>
                <w:rFonts w:eastAsia="Times New Roman"/>
              </w:rPr>
            </w:pPr>
            <w:r>
              <w:rPr>
                <w:rFonts w:eastAsia="Times New Roman"/>
                <w:color w:val="000000"/>
                <w:sz w:val="18"/>
                <w:szCs w:val="18"/>
              </w:rPr>
              <w:t>(110)</w:t>
            </w:r>
          </w:p>
        </w:tc>
        <w:tc>
          <w:tcPr>
            <w:tcW w:w="0" w:type="auto"/>
            <w:tcMar>
              <w:top w:w="30" w:type="dxa"/>
              <w:left w:w="0" w:type="dxa"/>
              <w:bottom w:w="30" w:type="dxa"/>
              <w:right w:w="20" w:type="dxa"/>
            </w:tcMar>
            <w:vAlign w:val="bottom"/>
            <w:hideMark/>
          </w:tcPr>
          <w:p w14:paraId="5E418CF4"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3C94908"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C0369F6" w14:textId="77777777" w:rsidR="00000000" w:rsidRDefault="000C49AD">
            <w:pPr>
              <w:spacing w:after="100"/>
              <w:jc w:val="right"/>
              <w:rPr>
                <w:rFonts w:eastAsia="Times New Roman"/>
              </w:rPr>
            </w:pPr>
            <w:r>
              <w:rPr>
                <w:rFonts w:eastAsia="Times New Roman"/>
                <w:color w:val="000000"/>
                <w:sz w:val="18"/>
                <w:szCs w:val="18"/>
              </w:rPr>
              <w:t>(336)</w:t>
            </w:r>
          </w:p>
        </w:tc>
        <w:tc>
          <w:tcPr>
            <w:tcW w:w="0" w:type="auto"/>
            <w:tcMar>
              <w:top w:w="30" w:type="dxa"/>
              <w:left w:w="0" w:type="dxa"/>
              <w:bottom w:w="30" w:type="dxa"/>
              <w:right w:w="20" w:type="dxa"/>
            </w:tcMar>
            <w:vAlign w:val="bottom"/>
            <w:hideMark/>
          </w:tcPr>
          <w:p w14:paraId="1A04C2BC"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3AF5AE6"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93EF0AA" w14:textId="77777777" w:rsidR="00000000" w:rsidRDefault="000C49AD">
            <w:pPr>
              <w:spacing w:after="100"/>
              <w:jc w:val="right"/>
              <w:rPr>
                <w:rFonts w:eastAsia="Times New Roman"/>
              </w:rPr>
            </w:pPr>
            <w:r>
              <w:rPr>
                <w:rFonts w:eastAsia="Times New Roman"/>
                <w:color w:val="000000"/>
                <w:sz w:val="18"/>
                <w:szCs w:val="18"/>
              </w:rPr>
              <w:t>(276)</w:t>
            </w:r>
          </w:p>
        </w:tc>
        <w:tc>
          <w:tcPr>
            <w:tcW w:w="0" w:type="auto"/>
            <w:tcMar>
              <w:top w:w="30" w:type="dxa"/>
              <w:left w:w="0" w:type="dxa"/>
              <w:bottom w:w="30" w:type="dxa"/>
              <w:right w:w="20" w:type="dxa"/>
            </w:tcMar>
            <w:vAlign w:val="bottom"/>
            <w:hideMark/>
          </w:tcPr>
          <w:p w14:paraId="3EA36BB2" w14:textId="77777777" w:rsidR="00000000" w:rsidRDefault="000C49AD">
            <w:pPr>
              <w:spacing w:after="100"/>
              <w:jc w:val="right"/>
              <w:rPr>
                <w:rFonts w:eastAsia="Times New Roman"/>
              </w:rPr>
            </w:pPr>
          </w:p>
        </w:tc>
      </w:tr>
      <w:tr w:rsidR="00000000" w14:paraId="5FA448A4" w14:textId="77777777">
        <w:trPr>
          <w:jc w:val="center"/>
        </w:trPr>
        <w:tc>
          <w:tcPr>
            <w:tcW w:w="0" w:type="auto"/>
            <w:gridSpan w:val="3"/>
            <w:shd w:val="clear" w:color="auto" w:fill="CCEEFF"/>
            <w:tcMar>
              <w:top w:w="30" w:type="dxa"/>
              <w:left w:w="155" w:type="dxa"/>
              <w:bottom w:w="30" w:type="dxa"/>
              <w:right w:w="20" w:type="dxa"/>
            </w:tcMar>
            <w:vAlign w:val="bottom"/>
            <w:hideMark/>
          </w:tcPr>
          <w:p w14:paraId="7EC7E1E1" w14:textId="77777777" w:rsidR="00000000" w:rsidRDefault="000C49AD">
            <w:pPr>
              <w:spacing w:after="100"/>
              <w:rPr>
                <w:rFonts w:eastAsia="Times New Roman"/>
              </w:rPr>
            </w:pPr>
            <w:r>
              <w:rPr>
                <w:rFonts w:eastAsia="Times New Roman"/>
                <w:color w:val="000000"/>
                <w:sz w:val="18"/>
                <w:szCs w:val="18"/>
              </w:rPr>
              <w:t>Total lease cost</w:t>
            </w:r>
          </w:p>
        </w:tc>
        <w:tc>
          <w:tcPr>
            <w:tcW w:w="0" w:type="auto"/>
            <w:gridSpan w:val="3"/>
            <w:shd w:val="clear" w:color="auto" w:fill="CCEEFF"/>
            <w:tcMar>
              <w:top w:w="0" w:type="dxa"/>
              <w:left w:w="20" w:type="dxa"/>
              <w:bottom w:w="0" w:type="dxa"/>
              <w:right w:w="20" w:type="dxa"/>
            </w:tcMar>
            <w:vAlign w:val="center"/>
            <w:hideMark/>
          </w:tcPr>
          <w:p w14:paraId="553164E8" w14:textId="77777777" w:rsidR="00000000" w:rsidRDefault="000C49AD">
            <w:pPr>
              <w:spacing w:after="100"/>
              <w:rPr>
                <w:rFonts w:eastAsia="Times New Roman"/>
              </w:rPr>
            </w:pPr>
          </w:p>
        </w:tc>
        <w:tc>
          <w:tcPr>
            <w:tcW w:w="0" w:type="auto"/>
            <w:vAlign w:val="center"/>
            <w:hideMark/>
          </w:tcPr>
          <w:p w14:paraId="62F8EEF9" w14:textId="77777777" w:rsidR="00000000" w:rsidRDefault="000C49AD">
            <w:pPr>
              <w:spacing w:after="100"/>
              <w:rPr>
                <w:rFonts w:eastAsia="Times New Roman"/>
                <w:sz w:val="20"/>
                <w:szCs w:val="20"/>
              </w:rPr>
            </w:pPr>
          </w:p>
        </w:tc>
        <w:tc>
          <w:tcPr>
            <w:tcW w:w="0" w:type="auto"/>
            <w:vAlign w:val="center"/>
            <w:hideMark/>
          </w:tcPr>
          <w:p w14:paraId="02F4A65F" w14:textId="77777777" w:rsidR="00000000" w:rsidRDefault="000C49A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E9F2ACD"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3A05B1" w14:textId="77777777" w:rsidR="00000000" w:rsidRDefault="000C49AD">
            <w:pPr>
              <w:spacing w:after="100"/>
              <w:jc w:val="right"/>
              <w:rPr>
                <w:rFonts w:eastAsia="Times New Roman"/>
              </w:rPr>
            </w:pPr>
            <w:r>
              <w:rPr>
                <w:rFonts w:eastAsia="Times New Roman"/>
                <w:color w:val="000000"/>
                <w:sz w:val="18"/>
                <w:szCs w:val="18"/>
              </w:rPr>
              <w:t>711 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F9349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633DCD"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446BD1D"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8D1BAA1" w14:textId="77777777" w:rsidR="00000000" w:rsidRDefault="000C49AD">
            <w:pPr>
              <w:spacing w:after="100"/>
              <w:jc w:val="right"/>
              <w:rPr>
                <w:rFonts w:eastAsia="Times New Roman"/>
              </w:rPr>
            </w:pPr>
            <w:r>
              <w:rPr>
                <w:rFonts w:eastAsia="Times New Roman"/>
                <w:color w:val="000000"/>
                <w:sz w:val="18"/>
                <w:szCs w:val="18"/>
              </w:rPr>
              <w:t>797 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F19C1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CE91A"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877BB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CA2CDB6" w14:textId="77777777" w:rsidR="00000000" w:rsidRDefault="000C49AD">
            <w:pPr>
              <w:spacing w:after="100"/>
              <w:jc w:val="right"/>
              <w:rPr>
                <w:rFonts w:eastAsia="Times New Roman"/>
              </w:rPr>
            </w:pPr>
            <w:r>
              <w:rPr>
                <w:rFonts w:eastAsia="Times New Roman"/>
                <w:color w:val="000000"/>
                <w:sz w:val="18"/>
                <w:szCs w:val="18"/>
              </w:rPr>
              <w:t>1,239 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BAA6F8" w14:textId="77777777" w:rsidR="00000000" w:rsidRDefault="000C49AD">
            <w:pPr>
              <w:spacing w:after="100"/>
              <w:jc w:val="right"/>
              <w:rPr>
                <w:rFonts w:eastAsia="Times New Roman"/>
              </w:rPr>
            </w:pPr>
          </w:p>
        </w:tc>
      </w:tr>
    </w:tbl>
    <w:p w14:paraId="3C839F88" w14:textId="77777777" w:rsidR="00000000" w:rsidRDefault="000C49AD">
      <w:pPr>
        <w:jc w:val="center"/>
        <w:rPr>
          <w:rFonts w:eastAsia="Times New Roman"/>
        </w:rPr>
      </w:pPr>
    </w:p>
    <w:p w14:paraId="208C0A16" w14:textId="77777777" w:rsidR="00000000" w:rsidRDefault="000C49AD">
      <w:pPr>
        <w:divId w:val="1223517385"/>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Variable lease costs were immaterial for the years ended December 31, 2021, 2020 and 2019.</w:t>
      </w:r>
    </w:p>
    <w:p w14:paraId="376BB420" w14:textId="77777777" w:rsidR="00000000" w:rsidRDefault="000C49AD">
      <w:pPr>
        <w:jc w:val="both"/>
        <w:rPr>
          <w:rFonts w:eastAsia="Times New Roman"/>
        </w:rPr>
      </w:pPr>
      <w:r>
        <w:rPr>
          <w:rFonts w:eastAsia="Times New Roman"/>
          <w:color w:val="000000"/>
          <w:sz w:val="13"/>
          <w:szCs w:val="13"/>
        </w:rPr>
        <w:t>(2</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Represents sublease income received for office subleases.</w:t>
      </w:r>
    </w:p>
    <w:p w14:paraId="39EA0A10" w14:textId="77777777" w:rsidR="00000000" w:rsidRDefault="000C49AD">
      <w:pPr>
        <w:jc w:val="center"/>
        <w:rPr>
          <w:rFonts w:eastAsia="Times New Roman"/>
        </w:rPr>
      </w:pPr>
    </w:p>
    <w:p w14:paraId="6290EADE" w14:textId="77777777" w:rsidR="00000000" w:rsidRDefault="000C49AD">
      <w:pPr>
        <w:jc w:val="both"/>
        <w:rPr>
          <w:rFonts w:eastAsia="Times New Roman"/>
        </w:rPr>
      </w:pPr>
      <w:r>
        <w:rPr>
          <w:rFonts w:eastAsia="Times New Roman"/>
          <w:color w:val="000000"/>
          <w:sz w:val="20"/>
          <w:szCs w:val="20"/>
        </w:rPr>
        <w:t>During the years ended December 31, 2021 and 2020, the Company reduced its operating lease liabilities by $578 and $769 for cash paid. During the year ended December 31, 2021, the Company remeasur</w:t>
      </w:r>
      <w:r>
        <w:rPr>
          <w:rFonts w:eastAsia="Times New Roman"/>
          <w:color w:val="000000"/>
          <w:sz w:val="20"/>
          <w:szCs w:val="20"/>
        </w:rPr>
        <w:t xml:space="preserve">ed its production suite lease liability. During the year ended December 31, 2021, the Company did not enter into any new operating or finance leases. </w:t>
      </w:r>
    </w:p>
    <w:p w14:paraId="6C8F256E" w14:textId="77777777" w:rsidR="00000000" w:rsidRDefault="000C49AD">
      <w:pPr>
        <w:jc w:val="both"/>
        <w:rPr>
          <w:rFonts w:eastAsia="Times New Roman"/>
        </w:rPr>
      </w:pPr>
    </w:p>
    <w:p w14:paraId="4A9BE48C" w14:textId="77777777" w:rsidR="00000000" w:rsidRDefault="000C49AD">
      <w:pPr>
        <w:jc w:val="both"/>
        <w:rPr>
          <w:rFonts w:eastAsia="Times New Roman"/>
        </w:rPr>
      </w:pPr>
      <w:r>
        <w:rPr>
          <w:rFonts w:eastAsia="Times New Roman"/>
          <w:color w:val="000000"/>
          <w:sz w:val="20"/>
          <w:szCs w:val="20"/>
        </w:rPr>
        <w:t>As of December 31, 2021, the Company’s operating leases have a weighted-average remaining lease term of</w:t>
      </w:r>
      <w:r>
        <w:rPr>
          <w:rFonts w:eastAsia="Times New Roman"/>
          <w:color w:val="000000"/>
          <w:sz w:val="20"/>
          <w:szCs w:val="20"/>
        </w:rPr>
        <w:t xml:space="preserve"> 2.9 years and a weighted-average discount rate of 4.9%. The Company’s lease contracts do not provide a readily determinable implicit rate. The Company’s estimated incremental borrowing rate is based on information available at the inception of the lease.</w:t>
      </w:r>
    </w:p>
    <w:p w14:paraId="599BA4CD" w14:textId="77777777" w:rsidR="00000000" w:rsidRDefault="000C49AD">
      <w:pPr>
        <w:divId w:val="686057214"/>
        <w:rPr>
          <w:rFonts w:eastAsia="Times New Roman"/>
        </w:rPr>
      </w:pPr>
    </w:p>
    <w:p w14:paraId="430E336D" w14:textId="77777777" w:rsidR="00000000" w:rsidRDefault="000C49AD">
      <w:pPr>
        <w:divId w:val="1154252739"/>
        <w:rPr>
          <w:rFonts w:eastAsia="Times New Roman"/>
        </w:rPr>
      </w:pPr>
      <w:r>
        <w:rPr>
          <w:rFonts w:eastAsia="Times New Roman"/>
          <w:color w:val="000000"/>
          <w:sz w:val="20"/>
          <w:szCs w:val="20"/>
        </w:rPr>
        <w:t>Maturities of the Company’s operating lease liabilities were as follows:</w:t>
      </w:r>
    </w:p>
    <w:p w14:paraId="12D7A61B" w14:textId="77777777" w:rsidR="00000000" w:rsidRDefault="000C49AD">
      <w:pPr>
        <w:divId w:val="206417"/>
        <w:rPr>
          <w:rFonts w:eastAsia="Times New Roman"/>
        </w:rPr>
      </w:pPr>
    </w:p>
    <w:tbl>
      <w:tblPr>
        <w:tblW w:w="4970" w:type="pct"/>
        <w:jc w:val="center"/>
        <w:tblCellMar>
          <w:top w:w="15" w:type="dxa"/>
          <w:left w:w="15" w:type="dxa"/>
          <w:bottom w:w="15" w:type="dxa"/>
          <w:right w:w="15" w:type="dxa"/>
        </w:tblCellMar>
        <w:tblLook w:val="04A0" w:firstRow="1" w:lastRow="0" w:firstColumn="1" w:lastColumn="0" w:noHBand="0" w:noVBand="1"/>
      </w:tblPr>
      <w:tblGrid>
        <w:gridCol w:w="48"/>
        <w:gridCol w:w="6578"/>
        <w:gridCol w:w="36"/>
        <w:gridCol w:w="36"/>
        <w:gridCol w:w="36"/>
        <w:gridCol w:w="36"/>
        <w:gridCol w:w="111"/>
        <w:gridCol w:w="1339"/>
        <w:gridCol w:w="36"/>
      </w:tblGrid>
      <w:tr w:rsidR="00000000" w14:paraId="2891C8A8" w14:textId="77777777">
        <w:trPr>
          <w:jc w:val="center"/>
        </w:trPr>
        <w:tc>
          <w:tcPr>
            <w:tcW w:w="50" w:type="pct"/>
            <w:vAlign w:val="center"/>
            <w:hideMark/>
          </w:tcPr>
          <w:p w14:paraId="760C148D" w14:textId="77777777" w:rsidR="00000000" w:rsidRDefault="000C49AD">
            <w:pPr>
              <w:rPr>
                <w:rFonts w:eastAsia="Times New Roman"/>
              </w:rPr>
            </w:pPr>
          </w:p>
        </w:tc>
        <w:tc>
          <w:tcPr>
            <w:tcW w:w="4003" w:type="pct"/>
            <w:vAlign w:val="center"/>
            <w:hideMark/>
          </w:tcPr>
          <w:p w14:paraId="487D4EA6" w14:textId="77777777" w:rsidR="00000000" w:rsidRDefault="000C49AD">
            <w:pPr>
              <w:spacing w:after="100"/>
              <w:rPr>
                <w:rFonts w:eastAsia="Times New Roman"/>
                <w:sz w:val="20"/>
                <w:szCs w:val="20"/>
              </w:rPr>
            </w:pPr>
          </w:p>
        </w:tc>
        <w:tc>
          <w:tcPr>
            <w:tcW w:w="5" w:type="pct"/>
            <w:vAlign w:val="center"/>
            <w:hideMark/>
          </w:tcPr>
          <w:p w14:paraId="0A3EFFAA" w14:textId="77777777" w:rsidR="00000000" w:rsidRDefault="000C49AD">
            <w:pPr>
              <w:spacing w:after="100"/>
              <w:rPr>
                <w:rFonts w:eastAsia="Times New Roman"/>
                <w:sz w:val="20"/>
                <w:szCs w:val="20"/>
              </w:rPr>
            </w:pPr>
          </w:p>
        </w:tc>
        <w:tc>
          <w:tcPr>
            <w:tcW w:w="5" w:type="pct"/>
            <w:vAlign w:val="center"/>
            <w:hideMark/>
          </w:tcPr>
          <w:p w14:paraId="2DE2C991" w14:textId="77777777" w:rsidR="00000000" w:rsidRDefault="000C49AD">
            <w:pPr>
              <w:spacing w:after="100"/>
              <w:rPr>
                <w:rFonts w:eastAsia="Times New Roman"/>
                <w:sz w:val="20"/>
                <w:szCs w:val="20"/>
              </w:rPr>
            </w:pPr>
          </w:p>
        </w:tc>
        <w:tc>
          <w:tcPr>
            <w:tcW w:w="26" w:type="pct"/>
            <w:vAlign w:val="center"/>
            <w:hideMark/>
          </w:tcPr>
          <w:p w14:paraId="705B8AFA" w14:textId="77777777" w:rsidR="00000000" w:rsidRDefault="000C49AD">
            <w:pPr>
              <w:spacing w:after="100"/>
              <w:rPr>
                <w:rFonts w:eastAsia="Times New Roman"/>
                <w:sz w:val="20"/>
                <w:szCs w:val="20"/>
              </w:rPr>
            </w:pPr>
          </w:p>
        </w:tc>
        <w:tc>
          <w:tcPr>
            <w:tcW w:w="5" w:type="pct"/>
            <w:vAlign w:val="center"/>
            <w:hideMark/>
          </w:tcPr>
          <w:p w14:paraId="02EF87B8" w14:textId="77777777" w:rsidR="00000000" w:rsidRDefault="000C49AD">
            <w:pPr>
              <w:spacing w:after="100"/>
              <w:rPr>
                <w:rFonts w:eastAsia="Times New Roman"/>
                <w:sz w:val="20"/>
                <w:szCs w:val="20"/>
              </w:rPr>
            </w:pPr>
          </w:p>
        </w:tc>
        <w:tc>
          <w:tcPr>
            <w:tcW w:w="50" w:type="pct"/>
            <w:vAlign w:val="center"/>
            <w:hideMark/>
          </w:tcPr>
          <w:p w14:paraId="3A364ABA" w14:textId="77777777" w:rsidR="00000000" w:rsidRDefault="000C49AD">
            <w:pPr>
              <w:spacing w:after="100"/>
              <w:rPr>
                <w:rFonts w:eastAsia="Times New Roman"/>
                <w:sz w:val="20"/>
                <w:szCs w:val="20"/>
              </w:rPr>
            </w:pPr>
          </w:p>
        </w:tc>
        <w:tc>
          <w:tcPr>
            <w:tcW w:w="849" w:type="pct"/>
            <w:vAlign w:val="center"/>
            <w:hideMark/>
          </w:tcPr>
          <w:p w14:paraId="4FDD93D8" w14:textId="77777777" w:rsidR="00000000" w:rsidRDefault="000C49AD">
            <w:pPr>
              <w:spacing w:after="100"/>
              <w:rPr>
                <w:rFonts w:eastAsia="Times New Roman"/>
                <w:sz w:val="20"/>
                <w:szCs w:val="20"/>
              </w:rPr>
            </w:pPr>
          </w:p>
        </w:tc>
        <w:tc>
          <w:tcPr>
            <w:tcW w:w="5" w:type="pct"/>
            <w:vAlign w:val="center"/>
            <w:hideMark/>
          </w:tcPr>
          <w:p w14:paraId="027DA0E3" w14:textId="77777777" w:rsidR="00000000" w:rsidRDefault="000C49AD">
            <w:pPr>
              <w:spacing w:after="100"/>
              <w:rPr>
                <w:rFonts w:eastAsia="Times New Roman"/>
                <w:sz w:val="20"/>
                <w:szCs w:val="20"/>
              </w:rPr>
            </w:pPr>
          </w:p>
        </w:tc>
      </w:tr>
      <w:tr w:rsidR="00000000" w14:paraId="722CEE9C" w14:textId="77777777">
        <w:trPr>
          <w:jc w:val="center"/>
        </w:trPr>
        <w:tc>
          <w:tcPr>
            <w:tcW w:w="0" w:type="auto"/>
            <w:gridSpan w:val="3"/>
            <w:tcMar>
              <w:top w:w="30" w:type="dxa"/>
              <w:left w:w="20" w:type="dxa"/>
              <w:bottom w:w="30" w:type="dxa"/>
              <w:right w:w="20" w:type="dxa"/>
            </w:tcMar>
            <w:vAlign w:val="bottom"/>
            <w:hideMark/>
          </w:tcPr>
          <w:p w14:paraId="7BCBA49B" w14:textId="77777777" w:rsidR="00000000" w:rsidRDefault="000C49AD">
            <w:pPr>
              <w:spacing w:after="100"/>
              <w:rPr>
                <w:rFonts w:eastAsia="Times New Roman"/>
              </w:rPr>
            </w:pPr>
            <w:r>
              <w:rPr>
                <w:rFonts w:eastAsia="Times New Roman"/>
                <w:b/>
                <w:bCs/>
                <w:color w:val="000000"/>
                <w:sz w:val="18"/>
                <w:szCs w:val="18"/>
              </w:rPr>
              <w:t>Maturities:</w:t>
            </w:r>
          </w:p>
        </w:tc>
        <w:tc>
          <w:tcPr>
            <w:tcW w:w="0" w:type="auto"/>
            <w:gridSpan w:val="3"/>
            <w:tcMar>
              <w:top w:w="0" w:type="dxa"/>
              <w:left w:w="20" w:type="dxa"/>
              <w:bottom w:w="0" w:type="dxa"/>
              <w:right w:w="20" w:type="dxa"/>
            </w:tcMar>
            <w:vAlign w:val="center"/>
            <w:hideMark/>
          </w:tcPr>
          <w:p w14:paraId="4E76BB67"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3C004A3E" w14:textId="77777777" w:rsidR="00000000" w:rsidRDefault="000C49AD">
            <w:pPr>
              <w:spacing w:after="100"/>
              <w:jc w:val="center"/>
              <w:rPr>
                <w:rFonts w:eastAsia="Times New Roman"/>
              </w:rPr>
            </w:pPr>
            <w:r>
              <w:rPr>
                <w:rFonts w:eastAsia="Times New Roman"/>
                <w:b/>
                <w:bCs/>
                <w:color w:val="000000"/>
                <w:sz w:val="18"/>
                <w:szCs w:val="18"/>
              </w:rPr>
              <w:t>Operating Leases</w:t>
            </w:r>
          </w:p>
        </w:tc>
      </w:tr>
      <w:tr w:rsidR="00000000" w14:paraId="5FE1A58A"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40CAB874"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C1315A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3319303" w14:textId="77777777" w:rsidR="00000000" w:rsidRDefault="000C49AD">
            <w:pPr>
              <w:spacing w:after="100"/>
              <w:rPr>
                <w:rFonts w:eastAsia="Times New Roman"/>
                <w:sz w:val="20"/>
                <w:szCs w:val="20"/>
              </w:rPr>
            </w:pPr>
          </w:p>
        </w:tc>
      </w:tr>
      <w:tr w:rsidR="00000000" w14:paraId="2FB796EE" w14:textId="77777777">
        <w:trPr>
          <w:jc w:val="center"/>
        </w:trPr>
        <w:tc>
          <w:tcPr>
            <w:tcW w:w="0" w:type="auto"/>
            <w:gridSpan w:val="3"/>
            <w:shd w:val="clear" w:color="auto" w:fill="CCEEFF"/>
            <w:tcMar>
              <w:top w:w="30" w:type="dxa"/>
              <w:left w:w="20" w:type="dxa"/>
              <w:bottom w:w="30" w:type="dxa"/>
              <w:right w:w="20" w:type="dxa"/>
            </w:tcMar>
            <w:vAlign w:val="bottom"/>
            <w:hideMark/>
          </w:tcPr>
          <w:p w14:paraId="6E989BF6" w14:textId="77777777" w:rsidR="00000000" w:rsidRDefault="000C49AD">
            <w:pPr>
              <w:spacing w:after="100"/>
              <w:rPr>
                <w:rFonts w:eastAsia="Times New Roman"/>
              </w:rPr>
            </w:pPr>
            <w:r>
              <w:rPr>
                <w:rFonts w:eastAsia="Times New Roman"/>
                <w:color w:val="000000"/>
                <w:sz w:val="18"/>
                <w:szCs w:val="18"/>
              </w:rPr>
              <w:t>2022</w:t>
            </w:r>
          </w:p>
        </w:tc>
        <w:tc>
          <w:tcPr>
            <w:tcW w:w="0" w:type="auto"/>
            <w:gridSpan w:val="3"/>
            <w:shd w:val="clear" w:color="auto" w:fill="CCEEFF"/>
            <w:tcMar>
              <w:top w:w="0" w:type="dxa"/>
              <w:left w:w="20" w:type="dxa"/>
              <w:bottom w:w="0" w:type="dxa"/>
              <w:right w:w="20" w:type="dxa"/>
            </w:tcMar>
            <w:vAlign w:val="center"/>
            <w:hideMark/>
          </w:tcPr>
          <w:p w14:paraId="6FA41DBB"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615886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31E4F1B" w14:textId="77777777" w:rsidR="00000000" w:rsidRDefault="000C49AD">
            <w:pPr>
              <w:spacing w:after="100"/>
              <w:jc w:val="right"/>
              <w:rPr>
                <w:rFonts w:eastAsia="Times New Roman"/>
              </w:rPr>
            </w:pPr>
            <w:r>
              <w:rPr>
                <w:rFonts w:eastAsia="Times New Roman"/>
                <w:color w:val="000000"/>
                <w:sz w:val="18"/>
                <w:szCs w:val="18"/>
              </w:rPr>
              <w:t>974 </w:t>
            </w:r>
          </w:p>
        </w:tc>
        <w:tc>
          <w:tcPr>
            <w:tcW w:w="0" w:type="auto"/>
            <w:shd w:val="clear" w:color="auto" w:fill="CCEEFF"/>
            <w:tcMar>
              <w:top w:w="30" w:type="dxa"/>
              <w:left w:w="0" w:type="dxa"/>
              <w:bottom w:w="30" w:type="dxa"/>
              <w:right w:w="20" w:type="dxa"/>
            </w:tcMar>
            <w:vAlign w:val="bottom"/>
            <w:hideMark/>
          </w:tcPr>
          <w:p w14:paraId="3CCD6C11" w14:textId="77777777" w:rsidR="00000000" w:rsidRDefault="000C49AD">
            <w:pPr>
              <w:spacing w:after="100"/>
              <w:jc w:val="right"/>
              <w:rPr>
                <w:rFonts w:eastAsia="Times New Roman"/>
              </w:rPr>
            </w:pPr>
          </w:p>
        </w:tc>
      </w:tr>
      <w:tr w:rsidR="00000000" w14:paraId="1FD37AD7" w14:textId="77777777">
        <w:trPr>
          <w:jc w:val="center"/>
        </w:trPr>
        <w:tc>
          <w:tcPr>
            <w:tcW w:w="0" w:type="auto"/>
            <w:gridSpan w:val="3"/>
            <w:shd w:val="clear" w:color="auto" w:fill="FFFFFF"/>
            <w:tcMar>
              <w:top w:w="30" w:type="dxa"/>
              <w:left w:w="20" w:type="dxa"/>
              <w:bottom w:w="30" w:type="dxa"/>
              <w:right w:w="20" w:type="dxa"/>
            </w:tcMar>
            <w:vAlign w:val="bottom"/>
            <w:hideMark/>
          </w:tcPr>
          <w:p w14:paraId="3125EF45" w14:textId="77777777" w:rsidR="00000000" w:rsidRDefault="000C49AD">
            <w:pPr>
              <w:spacing w:after="100"/>
              <w:rPr>
                <w:rFonts w:eastAsia="Times New Roman"/>
              </w:rPr>
            </w:pPr>
            <w:r>
              <w:rPr>
                <w:rFonts w:eastAsia="Times New Roman"/>
                <w:color w:val="000000"/>
                <w:sz w:val="18"/>
                <w:szCs w:val="18"/>
              </w:rPr>
              <w:t>2023</w:t>
            </w:r>
          </w:p>
        </w:tc>
        <w:tc>
          <w:tcPr>
            <w:tcW w:w="0" w:type="auto"/>
            <w:gridSpan w:val="3"/>
            <w:shd w:val="clear" w:color="auto" w:fill="FFFFFF"/>
            <w:tcMar>
              <w:top w:w="0" w:type="dxa"/>
              <w:left w:w="20" w:type="dxa"/>
              <w:bottom w:w="0" w:type="dxa"/>
              <w:right w:w="20" w:type="dxa"/>
            </w:tcMar>
            <w:vAlign w:val="center"/>
            <w:hideMark/>
          </w:tcPr>
          <w:p w14:paraId="1758F67F"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AF5241A" w14:textId="77777777" w:rsidR="00000000" w:rsidRDefault="000C49AD">
            <w:pPr>
              <w:spacing w:after="100"/>
              <w:jc w:val="right"/>
              <w:rPr>
                <w:rFonts w:eastAsia="Times New Roman"/>
              </w:rPr>
            </w:pPr>
            <w:r>
              <w:rPr>
                <w:rFonts w:eastAsia="Times New Roman"/>
                <w:color w:val="000000"/>
                <w:sz w:val="18"/>
                <w:szCs w:val="18"/>
              </w:rPr>
              <w:t>1,013 </w:t>
            </w:r>
          </w:p>
        </w:tc>
        <w:tc>
          <w:tcPr>
            <w:tcW w:w="0" w:type="auto"/>
            <w:shd w:val="clear" w:color="auto" w:fill="FFFFFF"/>
            <w:tcMar>
              <w:top w:w="30" w:type="dxa"/>
              <w:left w:w="0" w:type="dxa"/>
              <w:bottom w:w="30" w:type="dxa"/>
              <w:right w:w="20" w:type="dxa"/>
            </w:tcMar>
            <w:vAlign w:val="bottom"/>
            <w:hideMark/>
          </w:tcPr>
          <w:p w14:paraId="3976DB9A" w14:textId="77777777" w:rsidR="00000000" w:rsidRDefault="000C49AD">
            <w:pPr>
              <w:spacing w:after="100"/>
              <w:jc w:val="right"/>
              <w:rPr>
                <w:rFonts w:eastAsia="Times New Roman"/>
              </w:rPr>
            </w:pPr>
          </w:p>
        </w:tc>
      </w:tr>
      <w:tr w:rsidR="00000000" w14:paraId="23054B85" w14:textId="77777777">
        <w:trPr>
          <w:jc w:val="center"/>
        </w:trPr>
        <w:tc>
          <w:tcPr>
            <w:tcW w:w="0" w:type="auto"/>
            <w:gridSpan w:val="3"/>
            <w:shd w:val="clear" w:color="auto" w:fill="CCEEFF"/>
            <w:tcMar>
              <w:top w:w="30" w:type="dxa"/>
              <w:left w:w="20" w:type="dxa"/>
              <w:bottom w:w="30" w:type="dxa"/>
              <w:right w:w="20" w:type="dxa"/>
            </w:tcMar>
            <w:vAlign w:val="bottom"/>
            <w:hideMark/>
          </w:tcPr>
          <w:p w14:paraId="0F1C400F" w14:textId="77777777" w:rsidR="00000000" w:rsidRDefault="000C49AD">
            <w:pPr>
              <w:spacing w:after="100"/>
              <w:rPr>
                <w:rFonts w:eastAsia="Times New Roman"/>
              </w:rPr>
            </w:pPr>
            <w:r>
              <w:rPr>
                <w:rFonts w:eastAsia="Times New Roman"/>
                <w:color w:val="000000"/>
                <w:sz w:val="18"/>
                <w:szCs w:val="18"/>
              </w:rPr>
              <w:t>2024</w:t>
            </w:r>
          </w:p>
        </w:tc>
        <w:tc>
          <w:tcPr>
            <w:tcW w:w="0" w:type="auto"/>
            <w:gridSpan w:val="3"/>
            <w:shd w:val="clear" w:color="auto" w:fill="CCEEFF"/>
            <w:tcMar>
              <w:top w:w="0" w:type="dxa"/>
              <w:left w:w="20" w:type="dxa"/>
              <w:bottom w:w="0" w:type="dxa"/>
              <w:right w:w="20" w:type="dxa"/>
            </w:tcMar>
            <w:vAlign w:val="center"/>
            <w:hideMark/>
          </w:tcPr>
          <w:p w14:paraId="49D22A88"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EB68E42" w14:textId="77777777" w:rsidR="00000000" w:rsidRDefault="000C49AD">
            <w:pPr>
              <w:spacing w:after="100"/>
              <w:jc w:val="right"/>
              <w:rPr>
                <w:rFonts w:eastAsia="Times New Roman"/>
              </w:rPr>
            </w:pPr>
            <w:r>
              <w:rPr>
                <w:rFonts w:eastAsia="Times New Roman"/>
                <w:color w:val="000000"/>
                <w:sz w:val="18"/>
                <w:szCs w:val="18"/>
              </w:rPr>
              <w:t>614 </w:t>
            </w:r>
          </w:p>
        </w:tc>
        <w:tc>
          <w:tcPr>
            <w:tcW w:w="0" w:type="auto"/>
            <w:shd w:val="clear" w:color="auto" w:fill="CCEEFF"/>
            <w:tcMar>
              <w:top w:w="30" w:type="dxa"/>
              <w:left w:w="0" w:type="dxa"/>
              <w:bottom w:w="30" w:type="dxa"/>
              <w:right w:w="20" w:type="dxa"/>
            </w:tcMar>
            <w:vAlign w:val="bottom"/>
            <w:hideMark/>
          </w:tcPr>
          <w:p w14:paraId="5C7C2E33" w14:textId="77777777" w:rsidR="00000000" w:rsidRDefault="000C49AD">
            <w:pPr>
              <w:spacing w:after="100"/>
              <w:jc w:val="right"/>
              <w:rPr>
                <w:rFonts w:eastAsia="Times New Roman"/>
              </w:rPr>
            </w:pPr>
          </w:p>
        </w:tc>
      </w:tr>
      <w:tr w:rsidR="00000000" w14:paraId="74F53A1E" w14:textId="77777777">
        <w:trPr>
          <w:jc w:val="center"/>
        </w:trPr>
        <w:tc>
          <w:tcPr>
            <w:tcW w:w="0" w:type="auto"/>
            <w:gridSpan w:val="3"/>
            <w:shd w:val="clear" w:color="auto" w:fill="FFFFFF"/>
            <w:tcMar>
              <w:top w:w="30" w:type="dxa"/>
              <w:left w:w="20" w:type="dxa"/>
              <w:bottom w:w="30" w:type="dxa"/>
              <w:right w:w="20" w:type="dxa"/>
            </w:tcMar>
            <w:vAlign w:val="bottom"/>
            <w:hideMark/>
          </w:tcPr>
          <w:p w14:paraId="1D2F03DC" w14:textId="77777777" w:rsidR="00000000" w:rsidRDefault="000C49AD">
            <w:pPr>
              <w:spacing w:after="100"/>
              <w:rPr>
                <w:rFonts w:eastAsia="Times New Roman"/>
              </w:rPr>
            </w:pPr>
            <w:r>
              <w:rPr>
                <w:rFonts w:eastAsia="Times New Roman"/>
                <w:color w:val="000000"/>
                <w:sz w:val="18"/>
                <w:szCs w:val="18"/>
              </w:rPr>
              <w:t>2025</w:t>
            </w:r>
          </w:p>
        </w:tc>
        <w:tc>
          <w:tcPr>
            <w:tcW w:w="0" w:type="auto"/>
            <w:gridSpan w:val="3"/>
            <w:shd w:val="clear" w:color="auto" w:fill="FFFFFF"/>
            <w:tcMar>
              <w:top w:w="0" w:type="dxa"/>
              <w:left w:w="20" w:type="dxa"/>
              <w:bottom w:w="0" w:type="dxa"/>
              <w:right w:w="20" w:type="dxa"/>
            </w:tcMar>
            <w:vAlign w:val="center"/>
            <w:hideMark/>
          </w:tcPr>
          <w:p w14:paraId="2FB3E0E5"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2C78018" w14:textId="77777777" w:rsidR="00000000" w:rsidRDefault="000C49AD">
            <w:pPr>
              <w:spacing w:after="100"/>
              <w:jc w:val="right"/>
              <w:rPr>
                <w:rFonts w:eastAsia="Times New Roman"/>
              </w:rPr>
            </w:pPr>
            <w:r>
              <w:rPr>
                <w:rFonts w:eastAsia="Times New Roman"/>
                <w:color w:val="000000"/>
                <w:sz w:val="18"/>
                <w:szCs w:val="18"/>
              </w:rPr>
              <w:t>206 </w:t>
            </w:r>
          </w:p>
        </w:tc>
        <w:tc>
          <w:tcPr>
            <w:tcW w:w="0" w:type="auto"/>
            <w:shd w:val="clear" w:color="auto" w:fill="FFFFFF"/>
            <w:tcMar>
              <w:top w:w="30" w:type="dxa"/>
              <w:left w:w="0" w:type="dxa"/>
              <w:bottom w:w="30" w:type="dxa"/>
              <w:right w:w="20" w:type="dxa"/>
            </w:tcMar>
            <w:vAlign w:val="bottom"/>
            <w:hideMark/>
          </w:tcPr>
          <w:p w14:paraId="5A89D675" w14:textId="77777777" w:rsidR="00000000" w:rsidRDefault="000C49AD">
            <w:pPr>
              <w:spacing w:after="100"/>
              <w:jc w:val="right"/>
              <w:rPr>
                <w:rFonts w:eastAsia="Times New Roman"/>
              </w:rPr>
            </w:pPr>
          </w:p>
        </w:tc>
      </w:tr>
      <w:tr w:rsidR="00000000" w14:paraId="3A247896" w14:textId="77777777">
        <w:trPr>
          <w:jc w:val="center"/>
        </w:trPr>
        <w:tc>
          <w:tcPr>
            <w:tcW w:w="0" w:type="auto"/>
            <w:gridSpan w:val="3"/>
            <w:shd w:val="clear" w:color="auto" w:fill="CCEEFF"/>
            <w:tcMar>
              <w:top w:w="30" w:type="dxa"/>
              <w:left w:w="20" w:type="dxa"/>
              <w:bottom w:w="30" w:type="dxa"/>
              <w:right w:w="20" w:type="dxa"/>
            </w:tcMar>
            <w:vAlign w:val="bottom"/>
            <w:hideMark/>
          </w:tcPr>
          <w:p w14:paraId="7EC37526" w14:textId="77777777" w:rsidR="00000000" w:rsidRDefault="000C49AD">
            <w:pPr>
              <w:spacing w:after="100"/>
              <w:rPr>
                <w:rFonts w:eastAsia="Times New Roman"/>
              </w:rPr>
            </w:pPr>
            <w:r>
              <w:rPr>
                <w:rFonts w:eastAsia="Times New Roman"/>
                <w:color w:val="000000"/>
                <w:sz w:val="18"/>
                <w:szCs w:val="18"/>
              </w:rPr>
              <w:t>2026</w:t>
            </w:r>
          </w:p>
        </w:tc>
        <w:tc>
          <w:tcPr>
            <w:tcW w:w="0" w:type="auto"/>
            <w:gridSpan w:val="3"/>
            <w:shd w:val="clear" w:color="auto" w:fill="CCEEFF"/>
            <w:tcMar>
              <w:top w:w="0" w:type="dxa"/>
              <w:left w:w="20" w:type="dxa"/>
              <w:bottom w:w="0" w:type="dxa"/>
              <w:right w:w="20" w:type="dxa"/>
            </w:tcMar>
            <w:vAlign w:val="center"/>
            <w:hideMark/>
          </w:tcPr>
          <w:p w14:paraId="2B723482"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75522E3"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8283920" w14:textId="77777777" w:rsidR="00000000" w:rsidRDefault="000C49AD">
            <w:pPr>
              <w:spacing w:after="100"/>
              <w:jc w:val="right"/>
              <w:rPr>
                <w:rFonts w:eastAsia="Times New Roman"/>
              </w:rPr>
            </w:pPr>
          </w:p>
        </w:tc>
      </w:tr>
      <w:tr w:rsidR="00000000" w14:paraId="4E8B00EE" w14:textId="77777777">
        <w:trPr>
          <w:jc w:val="center"/>
        </w:trPr>
        <w:tc>
          <w:tcPr>
            <w:tcW w:w="0" w:type="auto"/>
            <w:gridSpan w:val="3"/>
            <w:shd w:val="clear" w:color="auto" w:fill="FFFFFF"/>
            <w:tcMar>
              <w:top w:w="30" w:type="dxa"/>
              <w:left w:w="20" w:type="dxa"/>
              <w:bottom w:w="30" w:type="dxa"/>
              <w:right w:w="20" w:type="dxa"/>
            </w:tcMar>
            <w:vAlign w:val="bottom"/>
            <w:hideMark/>
          </w:tcPr>
          <w:p w14:paraId="2432E4FE" w14:textId="77777777" w:rsidR="00000000" w:rsidRDefault="000C49AD">
            <w:pPr>
              <w:spacing w:after="100"/>
              <w:rPr>
                <w:rFonts w:eastAsia="Times New Roman"/>
              </w:rPr>
            </w:pPr>
            <w:r>
              <w:rPr>
                <w:rFonts w:eastAsia="Times New Roman"/>
                <w:color w:val="000000"/>
                <w:sz w:val="18"/>
                <w:szCs w:val="18"/>
              </w:rPr>
              <w:t>Thereafter</w:t>
            </w:r>
          </w:p>
        </w:tc>
        <w:tc>
          <w:tcPr>
            <w:tcW w:w="0" w:type="auto"/>
            <w:gridSpan w:val="3"/>
            <w:shd w:val="clear" w:color="auto" w:fill="FFFFFF"/>
            <w:tcMar>
              <w:top w:w="0" w:type="dxa"/>
              <w:left w:w="20" w:type="dxa"/>
              <w:bottom w:w="0" w:type="dxa"/>
              <w:right w:w="20" w:type="dxa"/>
            </w:tcMar>
            <w:vAlign w:val="center"/>
            <w:hideMark/>
          </w:tcPr>
          <w:p w14:paraId="4F87973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C15354"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6A68D63" w14:textId="77777777" w:rsidR="00000000" w:rsidRDefault="000C49AD">
            <w:pPr>
              <w:spacing w:after="100"/>
              <w:jc w:val="right"/>
              <w:rPr>
                <w:rFonts w:eastAsia="Times New Roman"/>
              </w:rPr>
            </w:pPr>
          </w:p>
        </w:tc>
      </w:tr>
      <w:tr w:rsidR="00000000" w14:paraId="3196AB55" w14:textId="77777777">
        <w:trPr>
          <w:jc w:val="center"/>
        </w:trPr>
        <w:tc>
          <w:tcPr>
            <w:tcW w:w="0" w:type="auto"/>
            <w:gridSpan w:val="3"/>
            <w:shd w:val="clear" w:color="auto" w:fill="CCEEFF"/>
            <w:tcMar>
              <w:top w:w="30" w:type="dxa"/>
              <w:left w:w="20" w:type="dxa"/>
              <w:bottom w:w="30" w:type="dxa"/>
              <w:right w:w="20" w:type="dxa"/>
            </w:tcMar>
            <w:vAlign w:val="bottom"/>
            <w:hideMark/>
          </w:tcPr>
          <w:p w14:paraId="45AF8EDD" w14:textId="77777777" w:rsidR="00000000" w:rsidRDefault="000C49AD">
            <w:pPr>
              <w:spacing w:after="100"/>
              <w:rPr>
                <w:rFonts w:eastAsia="Times New Roman"/>
              </w:rPr>
            </w:pPr>
            <w:r>
              <w:rPr>
                <w:rFonts w:eastAsia="Times New Roman"/>
                <w:color w:val="000000"/>
                <w:sz w:val="18"/>
                <w:szCs w:val="18"/>
              </w:rPr>
              <w:t>Total lease payments</w:t>
            </w:r>
          </w:p>
        </w:tc>
        <w:tc>
          <w:tcPr>
            <w:tcW w:w="0" w:type="auto"/>
            <w:gridSpan w:val="3"/>
            <w:shd w:val="clear" w:color="auto" w:fill="CCEEFF"/>
            <w:tcMar>
              <w:top w:w="0" w:type="dxa"/>
              <w:left w:w="20" w:type="dxa"/>
              <w:bottom w:w="0" w:type="dxa"/>
              <w:right w:w="20" w:type="dxa"/>
            </w:tcMar>
            <w:vAlign w:val="center"/>
            <w:hideMark/>
          </w:tcPr>
          <w:p w14:paraId="7B089D68"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8B98EB" w14:textId="77777777" w:rsidR="00000000" w:rsidRDefault="000C49AD">
            <w:pPr>
              <w:spacing w:after="100"/>
              <w:jc w:val="right"/>
              <w:rPr>
                <w:rFonts w:eastAsia="Times New Roman"/>
              </w:rPr>
            </w:pPr>
            <w:r>
              <w:rPr>
                <w:rFonts w:eastAsia="Times New Roman"/>
                <w:color w:val="000000"/>
                <w:sz w:val="18"/>
                <w:szCs w:val="18"/>
              </w:rPr>
              <w:t>2,807 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7625D8" w14:textId="77777777" w:rsidR="00000000" w:rsidRDefault="000C49AD">
            <w:pPr>
              <w:spacing w:after="100"/>
              <w:jc w:val="right"/>
              <w:rPr>
                <w:rFonts w:eastAsia="Times New Roman"/>
              </w:rPr>
            </w:pPr>
          </w:p>
        </w:tc>
      </w:tr>
      <w:tr w:rsidR="00000000" w14:paraId="2FAAA57D" w14:textId="77777777">
        <w:trPr>
          <w:jc w:val="center"/>
        </w:trPr>
        <w:tc>
          <w:tcPr>
            <w:tcW w:w="0" w:type="auto"/>
            <w:gridSpan w:val="3"/>
            <w:shd w:val="clear" w:color="auto" w:fill="FFFFFF"/>
            <w:tcMar>
              <w:top w:w="30" w:type="dxa"/>
              <w:left w:w="20" w:type="dxa"/>
              <w:bottom w:w="30" w:type="dxa"/>
              <w:right w:w="20" w:type="dxa"/>
            </w:tcMar>
            <w:vAlign w:val="bottom"/>
            <w:hideMark/>
          </w:tcPr>
          <w:p w14:paraId="7C37A9E0" w14:textId="77777777" w:rsidR="00000000" w:rsidRDefault="000C49AD">
            <w:pPr>
              <w:spacing w:after="100"/>
              <w:rPr>
                <w:rFonts w:eastAsia="Times New Roman"/>
              </w:rPr>
            </w:pPr>
            <w:r>
              <w:rPr>
                <w:rFonts w:eastAsia="Times New Roman"/>
                <w:color w:val="000000"/>
                <w:sz w:val="18"/>
                <w:szCs w:val="18"/>
              </w:rPr>
              <w:t>Less: interest</w:t>
            </w:r>
          </w:p>
        </w:tc>
        <w:tc>
          <w:tcPr>
            <w:tcW w:w="0" w:type="auto"/>
            <w:gridSpan w:val="3"/>
            <w:shd w:val="clear" w:color="auto" w:fill="FFFFFF"/>
            <w:tcMar>
              <w:top w:w="0" w:type="dxa"/>
              <w:left w:w="20" w:type="dxa"/>
              <w:bottom w:w="0" w:type="dxa"/>
              <w:right w:w="20" w:type="dxa"/>
            </w:tcMar>
            <w:vAlign w:val="center"/>
            <w:hideMark/>
          </w:tcPr>
          <w:p w14:paraId="7E7CF9F2"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8DB79F" w14:textId="77777777" w:rsidR="00000000" w:rsidRDefault="000C49AD">
            <w:pPr>
              <w:spacing w:after="100"/>
              <w:jc w:val="right"/>
              <w:rPr>
                <w:rFonts w:eastAsia="Times New Roman"/>
              </w:rPr>
            </w:pPr>
            <w:r>
              <w:rPr>
                <w:rFonts w:eastAsia="Times New Roman"/>
                <w:color w:val="000000"/>
                <w:sz w:val="18"/>
                <w:szCs w:val="18"/>
              </w:rPr>
              <w:t>200 </w:t>
            </w:r>
          </w:p>
        </w:tc>
        <w:tc>
          <w:tcPr>
            <w:tcW w:w="0" w:type="auto"/>
            <w:shd w:val="clear" w:color="auto" w:fill="FFFFFF"/>
            <w:tcMar>
              <w:top w:w="30" w:type="dxa"/>
              <w:left w:w="0" w:type="dxa"/>
              <w:bottom w:w="30" w:type="dxa"/>
              <w:right w:w="20" w:type="dxa"/>
            </w:tcMar>
            <w:vAlign w:val="bottom"/>
            <w:hideMark/>
          </w:tcPr>
          <w:p w14:paraId="26CA083C" w14:textId="77777777" w:rsidR="00000000" w:rsidRDefault="000C49AD">
            <w:pPr>
              <w:spacing w:after="100"/>
              <w:jc w:val="right"/>
              <w:rPr>
                <w:rFonts w:eastAsia="Times New Roman"/>
              </w:rPr>
            </w:pPr>
          </w:p>
        </w:tc>
      </w:tr>
      <w:tr w:rsidR="00000000" w14:paraId="37993942" w14:textId="77777777">
        <w:trPr>
          <w:jc w:val="center"/>
        </w:trPr>
        <w:tc>
          <w:tcPr>
            <w:tcW w:w="0" w:type="auto"/>
            <w:gridSpan w:val="3"/>
            <w:shd w:val="clear" w:color="auto" w:fill="CCEEFF"/>
            <w:tcMar>
              <w:top w:w="30" w:type="dxa"/>
              <w:left w:w="20" w:type="dxa"/>
              <w:bottom w:w="30" w:type="dxa"/>
              <w:right w:w="20" w:type="dxa"/>
            </w:tcMar>
            <w:vAlign w:val="bottom"/>
            <w:hideMark/>
          </w:tcPr>
          <w:p w14:paraId="409B6F06" w14:textId="77777777" w:rsidR="00000000" w:rsidRDefault="000C49AD">
            <w:pPr>
              <w:spacing w:after="100"/>
              <w:rPr>
                <w:rFonts w:eastAsia="Times New Roman"/>
              </w:rPr>
            </w:pPr>
            <w:r>
              <w:rPr>
                <w:rFonts w:eastAsia="Times New Roman"/>
                <w:color w:val="000000"/>
                <w:sz w:val="18"/>
                <w:szCs w:val="18"/>
              </w:rPr>
              <w:t>Present value of lease liabilities</w:t>
            </w:r>
          </w:p>
        </w:tc>
        <w:tc>
          <w:tcPr>
            <w:tcW w:w="0" w:type="auto"/>
            <w:gridSpan w:val="3"/>
            <w:shd w:val="clear" w:color="auto" w:fill="CCEEFF"/>
            <w:tcMar>
              <w:top w:w="0" w:type="dxa"/>
              <w:left w:w="20" w:type="dxa"/>
              <w:bottom w:w="0" w:type="dxa"/>
              <w:right w:w="20" w:type="dxa"/>
            </w:tcMar>
            <w:vAlign w:val="center"/>
            <w:hideMark/>
          </w:tcPr>
          <w:p w14:paraId="25FEFF04"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89FB05"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6FBBFE" w14:textId="77777777" w:rsidR="00000000" w:rsidRDefault="000C49AD">
            <w:pPr>
              <w:spacing w:after="100"/>
              <w:jc w:val="right"/>
              <w:rPr>
                <w:rFonts w:eastAsia="Times New Roman"/>
              </w:rPr>
            </w:pPr>
            <w:r>
              <w:rPr>
                <w:rFonts w:eastAsia="Times New Roman"/>
                <w:color w:val="000000"/>
                <w:sz w:val="18"/>
                <w:szCs w:val="18"/>
              </w:rPr>
              <w:t>2,607 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38BDC8F" w14:textId="77777777" w:rsidR="00000000" w:rsidRDefault="000C49AD">
            <w:pPr>
              <w:spacing w:after="100"/>
              <w:jc w:val="right"/>
              <w:rPr>
                <w:rFonts w:eastAsia="Times New Roman"/>
              </w:rPr>
            </w:pPr>
          </w:p>
        </w:tc>
      </w:tr>
    </w:tbl>
    <w:p w14:paraId="0C36749E" w14:textId="77777777" w:rsidR="00000000" w:rsidRDefault="000C49AD">
      <w:pPr>
        <w:jc w:val="center"/>
        <w:rPr>
          <w:rFonts w:eastAsia="Times New Roman"/>
        </w:rPr>
      </w:pPr>
    </w:p>
    <w:p w14:paraId="20248A7F" w14:textId="77777777" w:rsidR="00000000" w:rsidRDefault="000C49AD">
      <w:pPr>
        <w:jc w:val="center"/>
        <w:divId w:val="164513498"/>
        <w:rPr>
          <w:rFonts w:eastAsia="Times New Roman"/>
        </w:rPr>
      </w:pPr>
      <w:r>
        <w:rPr>
          <w:rFonts w:eastAsia="Times New Roman"/>
          <w:color w:val="000000"/>
          <w:sz w:val="20"/>
          <w:szCs w:val="20"/>
        </w:rPr>
        <w:t>-89-</w:t>
      </w:r>
    </w:p>
    <w:p w14:paraId="34E1ED59" w14:textId="77777777" w:rsidR="00000000" w:rsidRDefault="000C49AD">
      <w:pPr>
        <w:rPr>
          <w:rFonts w:eastAsia="Times New Roman"/>
        </w:rPr>
      </w:pPr>
      <w:r>
        <w:rPr>
          <w:rFonts w:eastAsia="Times New Roman"/>
        </w:rPr>
        <w:pict w14:anchorId="1B14A84C">
          <v:rect id="_x0000_i1114" style="width:0;height:1.5pt" o:hralign="center" o:hrstd="t" o:hr="t" fillcolor="#a0a0a0" stroked="f"/>
        </w:pict>
      </w:r>
    </w:p>
    <w:p w14:paraId="5A5B468C" w14:textId="77777777" w:rsidR="00000000" w:rsidRDefault="000C49AD">
      <w:pPr>
        <w:divId w:val="820853742"/>
        <w:rPr>
          <w:rFonts w:eastAsia="Times New Roman"/>
        </w:rPr>
      </w:pPr>
    </w:p>
    <w:p w14:paraId="7AAE532E" w14:textId="77777777" w:rsidR="00000000" w:rsidRDefault="000C49AD">
      <w:pPr>
        <w:jc w:val="both"/>
        <w:divId w:val="1591743631"/>
        <w:rPr>
          <w:rFonts w:eastAsia="Times New Roman"/>
        </w:rPr>
      </w:pPr>
      <w:r>
        <w:rPr>
          <w:rFonts w:eastAsia="Times New Roman"/>
          <w:b/>
          <w:bCs/>
          <w:color w:val="000000"/>
          <w:sz w:val="20"/>
          <w:szCs w:val="20"/>
        </w:rPr>
        <w:t>NOTE 11:</w:t>
      </w:r>
      <w:r>
        <w:rPr>
          <w:rFonts w:eastAsia="Times New Roman"/>
          <w:color w:val="000000"/>
          <w:sz w:val="20"/>
          <w:szCs w:val="20"/>
        </w:rPr>
        <w:t xml:space="preserve"> </w:t>
      </w:r>
      <w:r>
        <w:rPr>
          <w:rFonts w:eastAsia="Times New Roman"/>
          <w:b/>
          <w:bCs/>
          <w:color w:val="000000"/>
          <w:sz w:val="20"/>
          <w:szCs w:val="20"/>
        </w:rPr>
        <w:t>Long-Term Debt</w:t>
      </w:r>
      <w:r>
        <w:rPr>
          <w:rFonts w:eastAsia="Times New Roman"/>
          <w:color w:val="000000"/>
          <w:sz w:val="20"/>
          <w:szCs w:val="20"/>
        </w:rPr>
        <w:t> </w:t>
      </w:r>
    </w:p>
    <w:p w14:paraId="0CBA0240" w14:textId="77777777" w:rsidR="00000000" w:rsidRDefault="000C49AD">
      <w:pPr>
        <w:divId w:val="1361979684"/>
        <w:rPr>
          <w:rFonts w:eastAsia="Times New Roman"/>
        </w:rPr>
      </w:pPr>
      <w:r>
        <w:rPr>
          <w:rFonts w:eastAsia="Times New Roman"/>
          <w:color w:val="000000"/>
          <w:sz w:val="20"/>
          <w:szCs w:val="20"/>
        </w:rPr>
        <w:t>Long-term debt is summarized as follows:</w:t>
      </w:r>
    </w:p>
    <w:tbl>
      <w:tblPr>
        <w:tblW w:w="4963" w:type="pct"/>
        <w:jc w:val="center"/>
        <w:tblCellMar>
          <w:top w:w="15" w:type="dxa"/>
          <w:left w:w="15" w:type="dxa"/>
          <w:bottom w:w="15" w:type="dxa"/>
          <w:right w:w="15" w:type="dxa"/>
        </w:tblCellMar>
        <w:tblLook w:val="04A0" w:firstRow="1" w:lastRow="0" w:firstColumn="1" w:lastColumn="0" w:noHBand="0" w:noVBand="1"/>
      </w:tblPr>
      <w:tblGrid>
        <w:gridCol w:w="40"/>
        <w:gridCol w:w="4763"/>
        <w:gridCol w:w="36"/>
        <w:gridCol w:w="36"/>
        <w:gridCol w:w="36"/>
        <w:gridCol w:w="36"/>
        <w:gridCol w:w="111"/>
        <w:gridCol w:w="1448"/>
        <w:gridCol w:w="36"/>
        <w:gridCol w:w="36"/>
        <w:gridCol w:w="36"/>
        <w:gridCol w:w="36"/>
        <w:gridCol w:w="111"/>
        <w:gridCol w:w="1448"/>
        <w:gridCol w:w="36"/>
      </w:tblGrid>
      <w:tr w:rsidR="00000000" w14:paraId="18333AE9" w14:textId="77777777">
        <w:trPr>
          <w:divId w:val="1075664291"/>
          <w:jc w:val="center"/>
        </w:trPr>
        <w:tc>
          <w:tcPr>
            <w:tcW w:w="50" w:type="pct"/>
            <w:vAlign w:val="center"/>
            <w:hideMark/>
          </w:tcPr>
          <w:p w14:paraId="56F51283" w14:textId="77777777" w:rsidR="00000000" w:rsidRDefault="000C49AD">
            <w:pPr>
              <w:rPr>
                <w:rFonts w:eastAsia="Times New Roman"/>
              </w:rPr>
            </w:pPr>
          </w:p>
        </w:tc>
        <w:tc>
          <w:tcPr>
            <w:tcW w:w="2912" w:type="pct"/>
            <w:vAlign w:val="center"/>
            <w:hideMark/>
          </w:tcPr>
          <w:p w14:paraId="12D40D73" w14:textId="77777777" w:rsidR="00000000" w:rsidRDefault="000C49AD">
            <w:pPr>
              <w:spacing w:after="100"/>
              <w:rPr>
                <w:rFonts w:eastAsia="Times New Roman"/>
                <w:sz w:val="20"/>
                <w:szCs w:val="20"/>
              </w:rPr>
            </w:pPr>
          </w:p>
        </w:tc>
        <w:tc>
          <w:tcPr>
            <w:tcW w:w="5" w:type="pct"/>
            <w:vAlign w:val="center"/>
            <w:hideMark/>
          </w:tcPr>
          <w:p w14:paraId="6C14B0CB" w14:textId="77777777" w:rsidR="00000000" w:rsidRDefault="000C49AD">
            <w:pPr>
              <w:spacing w:after="100"/>
              <w:rPr>
                <w:rFonts w:eastAsia="Times New Roman"/>
                <w:sz w:val="20"/>
                <w:szCs w:val="20"/>
              </w:rPr>
            </w:pPr>
          </w:p>
        </w:tc>
        <w:tc>
          <w:tcPr>
            <w:tcW w:w="5" w:type="pct"/>
            <w:vAlign w:val="center"/>
            <w:hideMark/>
          </w:tcPr>
          <w:p w14:paraId="70CF488A" w14:textId="77777777" w:rsidR="00000000" w:rsidRDefault="000C49AD">
            <w:pPr>
              <w:spacing w:after="100"/>
              <w:rPr>
                <w:rFonts w:eastAsia="Times New Roman"/>
                <w:sz w:val="20"/>
                <w:szCs w:val="20"/>
              </w:rPr>
            </w:pPr>
          </w:p>
        </w:tc>
        <w:tc>
          <w:tcPr>
            <w:tcW w:w="26" w:type="pct"/>
            <w:vAlign w:val="center"/>
            <w:hideMark/>
          </w:tcPr>
          <w:p w14:paraId="5B1ECC71" w14:textId="77777777" w:rsidR="00000000" w:rsidRDefault="000C49AD">
            <w:pPr>
              <w:spacing w:after="100"/>
              <w:rPr>
                <w:rFonts w:eastAsia="Times New Roman"/>
                <w:sz w:val="20"/>
                <w:szCs w:val="20"/>
              </w:rPr>
            </w:pPr>
          </w:p>
        </w:tc>
        <w:tc>
          <w:tcPr>
            <w:tcW w:w="5" w:type="pct"/>
            <w:vAlign w:val="center"/>
            <w:hideMark/>
          </w:tcPr>
          <w:p w14:paraId="4796040F" w14:textId="77777777" w:rsidR="00000000" w:rsidRDefault="000C49AD">
            <w:pPr>
              <w:spacing w:after="100"/>
              <w:rPr>
                <w:rFonts w:eastAsia="Times New Roman"/>
                <w:sz w:val="20"/>
                <w:szCs w:val="20"/>
              </w:rPr>
            </w:pPr>
          </w:p>
        </w:tc>
        <w:tc>
          <w:tcPr>
            <w:tcW w:w="50" w:type="pct"/>
            <w:vAlign w:val="center"/>
            <w:hideMark/>
          </w:tcPr>
          <w:p w14:paraId="61269AB3" w14:textId="77777777" w:rsidR="00000000" w:rsidRDefault="000C49AD">
            <w:pPr>
              <w:spacing w:after="100"/>
              <w:rPr>
                <w:rFonts w:eastAsia="Times New Roman"/>
                <w:sz w:val="20"/>
                <w:szCs w:val="20"/>
              </w:rPr>
            </w:pPr>
          </w:p>
        </w:tc>
        <w:tc>
          <w:tcPr>
            <w:tcW w:w="924" w:type="pct"/>
            <w:vAlign w:val="center"/>
            <w:hideMark/>
          </w:tcPr>
          <w:p w14:paraId="2109AA68" w14:textId="77777777" w:rsidR="00000000" w:rsidRDefault="000C49AD">
            <w:pPr>
              <w:spacing w:after="100"/>
              <w:rPr>
                <w:rFonts w:eastAsia="Times New Roman"/>
                <w:sz w:val="20"/>
                <w:szCs w:val="20"/>
              </w:rPr>
            </w:pPr>
          </w:p>
        </w:tc>
        <w:tc>
          <w:tcPr>
            <w:tcW w:w="5" w:type="pct"/>
            <w:vAlign w:val="center"/>
            <w:hideMark/>
          </w:tcPr>
          <w:p w14:paraId="0ADB2868" w14:textId="77777777" w:rsidR="00000000" w:rsidRDefault="000C49AD">
            <w:pPr>
              <w:spacing w:after="100"/>
              <w:rPr>
                <w:rFonts w:eastAsia="Times New Roman"/>
                <w:sz w:val="20"/>
                <w:szCs w:val="20"/>
              </w:rPr>
            </w:pPr>
          </w:p>
        </w:tc>
        <w:tc>
          <w:tcPr>
            <w:tcW w:w="5" w:type="pct"/>
            <w:vAlign w:val="center"/>
            <w:hideMark/>
          </w:tcPr>
          <w:p w14:paraId="14A9E258" w14:textId="77777777" w:rsidR="00000000" w:rsidRDefault="000C49AD">
            <w:pPr>
              <w:spacing w:after="100"/>
              <w:rPr>
                <w:rFonts w:eastAsia="Times New Roman"/>
                <w:sz w:val="20"/>
                <w:szCs w:val="20"/>
              </w:rPr>
            </w:pPr>
          </w:p>
        </w:tc>
        <w:tc>
          <w:tcPr>
            <w:tcW w:w="26" w:type="pct"/>
            <w:vAlign w:val="center"/>
            <w:hideMark/>
          </w:tcPr>
          <w:p w14:paraId="545D0529" w14:textId="77777777" w:rsidR="00000000" w:rsidRDefault="000C49AD">
            <w:pPr>
              <w:spacing w:after="100"/>
              <w:rPr>
                <w:rFonts w:eastAsia="Times New Roman"/>
                <w:sz w:val="20"/>
                <w:szCs w:val="20"/>
              </w:rPr>
            </w:pPr>
          </w:p>
        </w:tc>
        <w:tc>
          <w:tcPr>
            <w:tcW w:w="5" w:type="pct"/>
            <w:vAlign w:val="center"/>
            <w:hideMark/>
          </w:tcPr>
          <w:p w14:paraId="0F9BE2C5" w14:textId="77777777" w:rsidR="00000000" w:rsidRDefault="000C49AD">
            <w:pPr>
              <w:spacing w:after="100"/>
              <w:rPr>
                <w:rFonts w:eastAsia="Times New Roman"/>
                <w:sz w:val="20"/>
                <w:szCs w:val="20"/>
              </w:rPr>
            </w:pPr>
          </w:p>
        </w:tc>
        <w:tc>
          <w:tcPr>
            <w:tcW w:w="50" w:type="pct"/>
            <w:vAlign w:val="center"/>
            <w:hideMark/>
          </w:tcPr>
          <w:p w14:paraId="6A57501E" w14:textId="77777777" w:rsidR="00000000" w:rsidRDefault="000C49AD">
            <w:pPr>
              <w:spacing w:after="100"/>
              <w:rPr>
                <w:rFonts w:eastAsia="Times New Roman"/>
                <w:sz w:val="20"/>
                <w:szCs w:val="20"/>
              </w:rPr>
            </w:pPr>
          </w:p>
        </w:tc>
        <w:tc>
          <w:tcPr>
            <w:tcW w:w="924" w:type="pct"/>
            <w:vAlign w:val="center"/>
            <w:hideMark/>
          </w:tcPr>
          <w:p w14:paraId="32A983B6" w14:textId="77777777" w:rsidR="00000000" w:rsidRDefault="000C49AD">
            <w:pPr>
              <w:spacing w:after="100"/>
              <w:rPr>
                <w:rFonts w:eastAsia="Times New Roman"/>
                <w:sz w:val="20"/>
                <w:szCs w:val="20"/>
              </w:rPr>
            </w:pPr>
          </w:p>
        </w:tc>
        <w:tc>
          <w:tcPr>
            <w:tcW w:w="5" w:type="pct"/>
            <w:vAlign w:val="center"/>
            <w:hideMark/>
          </w:tcPr>
          <w:p w14:paraId="2C2EBDC7" w14:textId="77777777" w:rsidR="00000000" w:rsidRDefault="000C49AD">
            <w:pPr>
              <w:spacing w:after="100"/>
              <w:rPr>
                <w:rFonts w:eastAsia="Times New Roman"/>
                <w:sz w:val="20"/>
                <w:szCs w:val="20"/>
              </w:rPr>
            </w:pPr>
          </w:p>
        </w:tc>
      </w:tr>
      <w:tr w:rsidR="00000000" w14:paraId="7F1CAD82" w14:textId="77777777">
        <w:trPr>
          <w:divId w:val="1075664291"/>
          <w:jc w:val="center"/>
        </w:trPr>
        <w:tc>
          <w:tcPr>
            <w:tcW w:w="0" w:type="auto"/>
            <w:gridSpan w:val="3"/>
            <w:tcMar>
              <w:top w:w="0" w:type="dxa"/>
              <w:left w:w="20" w:type="dxa"/>
              <w:bottom w:w="0" w:type="dxa"/>
              <w:right w:w="20" w:type="dxa"/>
            </w:tcMar>
            <w:vAlign w:val="center"/>
            <w:hideMark/>
          </w:tcPr>
          <w:p w14:paraId="0067B84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15B8D7" w14:textId="77777777" w:rsidR="00000000" w:rsidRDefault="000C49A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A60CE4D" w14:textId="77777777" w:rsidR="00000000" w:rsidRDefault="000C49AD">
            <w:pPr>
              <w:spacing w:after="100"/>
              <w:jc w:val="center"/>
              <w:rPr>
                <w:rFonts w:eastAsia="Times New Roman"/>
              </w:rPr>
            </w:pPr>
            <w:r>
              <w:rPr>
                <w:rFonts w:eastAsia="Times New Roman"/>
                <w:b/>
                <w:bCs/>
                <w:color w:val="000000"/>
                <w:sz w:val="18"/>
                <w:szCs w:val="18"/>
              </w:rPr>
              <w:t>December 31, 2021</w:t>
            </w:r>
          </w:p>
        </w:tc>
        <w:tc>
          <w:tcPr>
            <w:tcW w:w="0" w:type="auto"/>
            <w:gridSpan w:val="3"/>
            <w:tcMar>
              <w:top w:w="0" w:type="dxa"/>
              <w:left w:w="20" w:type="dxa"/>
              <w:bottom w:w="0" w:type="dxa"/>
              <w:right w:w="20" w:type="dxa"/>
            </w:tcMar>
            <w:vAlign w:val="center"/>
            <w:hideMark/>
          </w:tcPr>
          <w:p w14:paraId="5ED718B1"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DB2B65" w14:textId="77777777" w:rsidR="00000000" w:rsidRDefault="000C49AD">
            <w:pPr>
              <w:spacing w:after="100"/>
              <w:jc w:val="center"/>
              <w:rPr>
                <w:rFonts w:eastAsia="Times New Roman"/>
              </w:rPr>
            </w:pPr>
            <w:r>
              <w:rPr>
                <w:rFonts w:eastAsia="Times New Roman"/>
                <w:b/>
                <w:bCs/>
                <w:color w:val="000000"/>
                <w:sz w:val="18"/>
                <w:szCs w:val="18"/>
              </w:rPr>
              <w:t>December 31, 2020</w:t>
            </w:r>
          </w:p>
        </w:tc>
      </w:tr>
      <w:tr w:rsidR="00000000" w14:paraId="341D515E" w14:textId="77777777">
        <w:trPr>
          <w:divId w:val="1075664291"/>
          <w:jc w:val="center"/>
        </w:trPr>
        <w:tc>
          <w:tcPr>
            <w:tcW w:w="0" w:type="auto"/>
            <w:gridSpan w:val="3"/>
            <w:shd w:val="clear" w:color="auto" w:fill="CCEEFF"/>
            <w:tcMar>
              <w:top w:w="30" w:type="dxa"/>
              <w:left w:w="20" w:type="dxa"/>
              <w:bottom w:w="30" w:type="dxa"/>
              <w:right w:w="20" w:type="dxa"/>
            </w:tcMar>
            <w:vAlign w:val="bottom"/>
            <w:hideMark/>
          </w:tcPr>
          <w:p w14:paraId="0A39631E" w14:textId="77777777" w:rsidR="00000000" w:rsidRDefault="000C49AD">
            <w:pPr>
              <w:spacing w:after="100"/>
              <w:divId w:val="1668553147"/>
              <w:rPr>
                <w:rFonts w:eastAsia="Times New Roman"/>
              </w:rPr>
            </w:pPr>
            <w:r>
              <w:rPr>
                <w:rFonts w:eastAsia="Times New Roman"/>
                <w:color w:val="000000"/>
                <w:sz w:val="18"/>
                <w:szCs w:val="18"/>
              </w:rPr>
              <w:t>Principal amount of 4.50</w:t>
            </w:r>
            <w:r>
              <w:rPr>
                <w:rFonts w:eastAsia="Times New Roman"/>
                <w:color w:val="000000"/>
                <w:sz w:val="18"/>
                <w:szCs w:val="18"/>
              </w:rPr>
              <w:t xml:space="preserve">% exchangeable senior notes due 2023 </w:t>
            </w:r>
          </w:p>
        </w:tc>
        <w:tc>
          <w:tcPr>
            <w:tcW w:w="0" w:type="auto"/>
            <w:gridSpan w:val="3"/>
            <w:shd w:val="clear" w:color="auto" w:fill="CCEEFF"/>
            <w:tcMar>
              <w:top w:w="0" w:type="dxa"/>
              <w:left w:w="20" w:type="dxa"/>
              <w:bottom w:w="0" w:type="dxa"/>
              <w:right w:w="20" w:type="dxa"/>
            </w:tcMar>
            <w:vAlign w:val="center"/>
            <w:hideMark/>
          </w:tcPr>
          <w:p w14:paraId="569C385C" w14:textId="77777777" w:rsidR="00000000" w:rsidRDefault="000C49A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2AFFAF"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9FA363" w14:textId="77777777" w:rsidR="00000000" w:rsidRDefault="000C49AD">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54BB30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FF7DF"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75082B"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9C73183" w14:textId="77777777" w:rsidR="00000000" w:rsidRDefault="000C49AD">
            <w:pPr>
              <w:spacing w:after="100"/>
              <w:jc w:val="right"/>
              <w:rPr>
                <w:rFonts w:eastAsia="Times New Roman"/>
              </w:rPr>
            </w:pPr>
            <w:r>
              <w:rPr>
                <w:rFonts w:eastAsia="Times New Roman"/>
                <w:color w:val="000000"/>
                <w:sz w:val="18"/>
                <w:szCs w:val="18"/>
              </w:rPr>
              <w:t>143,750 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C34AE6" w14:textId="77777777" w:rsidR="00000000" w:rsidRDefault="000C49AD">
            <w:pPr>
              <w:spacing w:after="100"/>
              <w:jc w:val="right"/>
              <w:rPr>
                <w:rFonts w:eastAsia="Times New Roman"/>
              </w:rPr>
            </w:pPr>
          </w:p>
        </w:tc>
      </w:tr>
      <w:tr w:rsidR="00000000" w14:paraId="02095E14" w14:textId="77777777">
        <w:trPr>
          <w:divId w:val="1075664291"/>
          <w:jc w:val="center"/>
        </w:trPr>
        <w:tc>
          <w:tcPr>
            <w:tcW w:w="0" w:type="auto"/>
            <w:gridSpan w:val="3"/>
            <w:shd w:val="clear" w:color="auto" w:fill="FFFFFF"/>
            <w:tcMar>
              <w:top w:w="30" w:type="dxa"/>
              <w:left w:w="20" w:type="dxa"/>
              <w:bottom w:w="30" w:type="dxa"/>
              <w:right w:w="20" w:type="dxa"/>
            </w:tcMar>
            <w:vAlign w:val="bottom"/>
            <w:hideMark/>
          </w:tcPr>
          <w:p w14:paraId="63C747A2" w14:textId="77777777" w:rsidR="00000000" w:rsidRDefault="000C49AD">
            <w:pPr>
              <w:spacing w:after="100"/>
              <w:rPr>
                <w:rFonts w:eastAsia="Times New Roman"/>
              </w:rPr>
            </w:pPr>
            <w:r>
              <w:rPr>
                <w:rFonts w:eastAsia="Times New Roman"/>
                <w:color w:val="000000"/>
                <w:sz w:val="18"/>
                <w:szCs w:val="18"/>
              </w:rPr>
              <w:t xml:space="preserve">Less: unamortized debt discount and issuance costs, net </w:t>
            </w:r>
          </w:p>
        </w:tc>
        <w:tc>
          <w:tcPr>
            <w:tcW w:w="0" w:type="auto"/>
            <w:gridSpan w:val="3"/>
            <w:shd w:val="clear" w:color="auto" w:fill="FFFFFF"/>
            <w:tcMar>
              <w:top w:w="0" w:type="dxa"/>
              <w:left w:w="20" w:type="dxa"/>
              <w:bottom w:w="0" w:type="dxa"/>
              <w:right w:w="20" w:type="dxa"/>
            </w:tcMar>
            <w:vAlign w:val="center"/>
            <w:hideMark/>
          </w:tcPr>
          <w:p w14:paraId="6F13EC70"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6275AD" w14:textId="77777777" w:rsidR="00000000" w:rsidRDefault="000C49AD">
            <w:pPr>
              <w:spacing w:after="100"/>
              <w:jc w:val="right"/>
              <w:rPr>
                <w:rFonts w:eastAsia="Times New Roman"/>
              </w:rPr>
            </w:pPr>
            <w:r>
              <w:rPr>
                <w:rFonts w:eastAsia="Times New Roman"/>
                <w:color w:val="000000"/>
                <w:sz w:val="18"/>
                <w:szCs w:val="18"/>
              </w:rPr>
              <w:t>(1,353)</w:t>
            </w:r>
          </w:p>
        </w:tc>
        <w:tc>
          <w:tcPr>
            <w:tcW w:w="0" w:type="auto"/>
            <w:shd w:val="clear" w:color="auto" w:fill="FFFFFF"/>
            <w:tcMar>
              <w:top w:w="30" w:type="dxa"/>
              <w:left w:w="0" w:type="dxa"/>
              <w:bottom w:w="30" w:type="dxa"/>
              <w:right w:w="20" w:type="dxa"/>
            </w:tcMar>
            <w:vAlign w:val="bottom"/>
            <w:hideMark/>
          </w:tcPr>
          <w:p w14:paraId="5E496AC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91401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545AE3" w14:textId="77777777" w:rsidR="00000000" w:rsidRDefault="000C49AD">
            <w:pPr>
              <w:spacing w:after="100"/>
              <w:jc w:val="right"/>
              <w:rPr>
                <w:rFonts w:eastAsia="Times New Roman"/>
              </w:rPr>
            </w:pPr>
            <w:r>
              <w:rPr>
                <w:rFonts w:eastAsia="Times New Roman"/>
                <w:color w:val="000000"/>
                <w:sz w:val="18"/>
                <w:szCs w:val="18"/>
              </w:rPr>
              <w:t>(15,540)</w:t>
            </w:r>
          </w:p>
        </w:tc>
        <w:tc>
          <w:tcPr>
            <w:tcW w:w="0" w:type="auto"/>
            <w:shd w:val="clear" w:color="auto" w:fill="FFFFFF"/>
            <w:tcMar>
              <w:top w:w="30" w:type="dxa"/>
              <w:left w:w="0" w:type="dxa"/>
              <w:bottom w:w="30" w:type="dxa"/>
              <w:right w:w="20" w:type="dxa"/>
            </w:tcMar>
            <w:vAlign w:val="bottom"/>
            <w:hideMark/>
          </w:tcPr>
          <w:p w14:paraId="4B2FC0EF" w14:textId="77777777" w:rsidR="00000000" w:rsidRDefault="000C49AD">
            <w:pPr>
              <w:spacing w:after="100"/>
              <w:jc w:val="right"/>
              <w:rPr>
                <w:rFonts w:eastAsia="Times New Roman"/>
              </w:rPr>
            </w:pPr>
          </w:p>
        </w:tc>
      </w:tr>
      <w:tr w:rsidR="00000000" w14:paraId="32A8DF27" w14:textId="77777777">
        <w:trPr>
          <w:divId w:val="1075664291"/>
          <w:jc w:val="center"/>
        </w:trPr>
        <w:tc>
          <w:tcPr>
            <w:tcW w:w="0" w:type="auto"/>
            <w:gridSpan w:val="3"/>
            <w:shd w:val="clear" w:color="auto" w:fill="CCEEFF"/>
            <w:tcMar>
              <w:top w:w="30" w:type="dxa"/>
              <w:left w:w="20" w:type="dxa"/>
              <w:bottom w:w="30" w:type="dxa"/>
              <w:right w:w="20" w:type="dxa"/>
            </w:tcMar>
            <w:vAlign w:val="bottom"/>
            <w:hideMark/>
          </w:tcPr>
          <w:p w14:paraId="3C6AE328" w14:textId="77777777" w:rsidR="00000000" w:rsidRDefault="000C49AD">
            <w:pPr>
              <w:spacing w:after="100"/>
              <w:rPr>
                <w:rFonts w:eastAsia="Times New Roman"/>
              </w:rPr>
            </w:pPr>
            <w:r>
              <w:rPr>
                <w:rFonts w:eastAsia="Times New Roman"/>
                <w:color w:val="000000"/>
                <w:sz w:val="18"/>
                <w:szCs w:val="18"/>
              </w:rPr>
              <w:t>Net carrying amount of liability component</w:t>
            </w:r>
          </w:p>
        </w:tc>
        <w:tc>
          <w:tcPr>
            <w:tcW w:w="0" w:type="auto"/>
            <w:gridSpan w:val="3"/>
            <w:shd w:val="clear" w:color="auto" w:fill="CCEEFF"/>
            <w:tcMar>
              <w:top w:w="0" w:type="dxa"/>
              <w:left w:w="20" w:type="dxa"/>
              <w:bottom w:w="0" w:type="dxa"/>
              <w:right w:w="20" w:type="dxa"/>
            </w:tcMar>
            <w:vAlign w:val="center"/>
            <w:hideMark/>
          </w:tcPr>
          <w:p w14:paraId="6B9950B8"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3BA95DB" w14:textId="77777777" w:rsidR="00000000" w:rsidRDefault="000C49AD">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813EBD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4C807D"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4E9F0EA" w14:textId="77777777" w:rsidR="00000000" w:rsidRDefault="000C49AD">
            <w:pPr>
              <w:spacing w:after="100"/>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DCBE8A6" w14:textId="77777777" w:rsidR="00000000" w:rsidRDefault="000C49AD">
            <w:pPr>
              <w:spacing w:after="100"/>
              <w:jc w:val="right"/>
              <w:rPr>
                <w:rFonts w:eastAsia="Times New Roman"/>
              </w:rPr>
            </w:pPr>
          </w:p>
        </w:tc>
      </w:tr>
      <w:tr w:rsidR="00000000" w14:paraId="2C8A221D" w14:textId="77777777">
        <w:trPr>
          <w:divId w:val="1075664291"/>
          <w:jc w:val="center"/>
        </w:trPr>
        <w:tc>
          <w:tcPr>
            <w:tcW w:w="0" w:type="auto"/>
            <w:gridSpan w:val="3"/>
            <w:shd w:val="clear" w:color="auto" w:fill="FFFFFF"/>
            <w:tcMar>
              <w:top w:w="30" w:type="dxa"/>
              <w:left w:w="20" w:type="dxa"/>
              <w:bottom w:w="30" w:type="dxa"/>
              <w:right w:w="20" w:type="dxa"/>
            </w:tcMar>
            <w:vAlign w:val="bottom"/>
            <w:hideMark/>
          </w:tcPr>
          <w:p w14:paraId="1385B383" w14:textId="77777777" w:rsidR="00000000" w:rsidRDefault="000C49AD">
            <w:pPr>
              <w:spacing w:after="100"/>
              <w:rPr>
                <w:rFonts w:eastAsia="Times New Roman"/>
              </w:rPr>
            </w:pPr>
            <w:r>
              <w:rPr>
                <w:rFonts w:eastAsia="Times New Roman"/>
                <w:color w:val="000000"/>
                <w:sz w:val="18"/>
                <w:szCs w:val="18"/>
              </w:rPr>
              <w:t>Less: current maturities</w:t>
            </w:r>
          </w:p>
        </w:tc>
        <w:tc>
          <w:tcPr>
            <w:tcW w:w="0" w:type="auto"/>
            <w:gridSpan w:val="3"/>
            <w:shd w:val="clear" w:color="auto" w:fill="FFFFFF"/>
            <w:tcMar>
              <w:top w:w="0" w:type="dxa"/>
              <w:left w:w="20" w:type="dxa"/>
              <w:bottom w:w="0" w:type="dxa"/>
              <w:right w:w="20" w:type="dxa"/>
            </w:tcMar>
            <w:vAlign w:val="center"/>
            <w:hideMark/>
          </w:tcPr>
          <w:p w14:paraId="0B4461F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6FDFA1"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3E3109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000FF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70C5BB"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B5E525A" w14:textId="77777777" w:rsidR="00000000" w:rsidRDefault="000C49AD">
            <w:pPr>
              <w:spacing w:after="100"/>
              <w:jc w:val="right"/>
              <w:rPr>
                <w:rFonts w:eastAsia="Times New Roman"/>
              </w:rPr>
            </w:pPr>
          </w:p>
        </w:tc>
      </w:tr>
      <w:tr w:rsidR="00000000" w14:paraId="3651311C" w14:textId="77777777">
        <w:trPr>
          <w:divId w:val="1075664291"/>
          <w:jc w:val="center"/>
        </w:trPr>
        <w:tc>
          <w:tcPr>
            <w:tcW w:w="0" w:type="auto"/>
            <w:gridSpan w:val="3"/>
            <w:shd w:val="clear" w:color="auto" w:fill="CCEEFF"/>
            <w:tcMar>
              <w:top w:w="30" w:type="dxa"/>
              <w:left w:w="20" w:type="dxa"/>
              <w:bottom w:w="30" w:type="dxa"/>
              <w:right w:w="20" w:type="dxa"/>
            </w:tcMar>
            <w:vAlign w:val="bottom"/>
            <w:hideMark/>
          </w:tcPr>
          <w:p w14:paraId="4A4B6DBA" w14:textId="77777777" w:rsidR="00000000" w:rsidRDefault="000C49AD">
            <w:pPr>
              <w:spacing w:after="100"/>
              <w:rPr>
                <w:rFonts w:eastAsia="Times New Roman"/>
              </w:rPr>
            </w:pPr>
            <w:r>
              <w:rPr>
                <w:rFonts w:eastAsia="Times New Roman"/>
                <w:color w:val="000000"/>
                <w:sz w:val="18"/>
                <w:szCs w:val="18"/>
              </w:rPr>
              <w:t>     Long-term debt</w:t>
            </w:r>
          </w:p>
        </w:tc>
        <w:tc>
          <w:tcPr>
            <w:tcW w:w="0" w:type="auto"/>
            <w:gridSpan w:val="3"/>
            <w:shd w:val="clear" w:color="auto" w:fill="CCEEFF"/>
            <w:tcMar>
              <w:top w:w="0" w:type="dxa"/>
              <w:left w:w="20" w:type="dxa"/>
              <w:bottom w:w="0" w:type="dxa"/>
              <w:right w:w="20" w:type="dxa"/>
            </w:tcMar>
            <w:vAlign w:val="center"/>
            <w:hideMark/>
          </w:tcPr>
          <w:p w14:paraId="4ABD6571" w14:textId="77777777" w:rsidR="00000000" w:rsidRDefault="000C49A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E976F7"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D85D68B" w14:textId="77777777" w:rsidR="00000000" w:rsidRDefault="000C49AD">
            <w:pPr>
              <w:spacing w:after="100"/>
              <w:jc w:val="right"/>
              <w:rPr>
                <w:rFonts w:eastAsia="Times New Roman"/>
              </w:rPr>
            </w:pPr>
            <w:r>
              <w:rPr>
                <w:rFonts w:eastAsia="Times New Roman"/>
                <w:color w:val="000000"/>
                <w:sz w:val="18"/>
                <w:szCs w:val="18"/>
              </w:rPr>
              <w:t>142,397 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84732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428525"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8FABE73"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6690BBB" w14:textId="77777777" w:rsidR="00000000" w:rsidRDefault="000C49AD">
            <w:pPr>
              <w:spacing w:after="100"/>
              <w:jc w:val="right"/>
              <w:rPr>
                <w:rFonts w:eastAsia="Times New Roman"/>
              </w:rPr>
            </w:pPr>
            <w:r>
              <w:rPr>
                <w:rFonts w:eastAsia="Times New Roman"/>
                <w:color w:val="000000"/>
                <w:sz w:val="18"/>
                <w:szCs w:val="18"/>
              </w:rPr>
              <w:t>128,210 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6F3E97C" w14:textId="77777777" w:rsidR="00000000" w:rsidRDefault="000C49AD">
            <w:pPr>
              <w:spacing w:after="100"/>
              <w:jc w:val="right"/>
              <w:rPr>
                <w:rFonts w:eastAsia="Times New Roman"/>
              </w:rPr>
            </w:pPr>
          </w:p>
        </w:tc>
      </w:tr>
      <w:tr w:rsidR="00000000" w14:paraId="147225A8" w14:textId="77777777">
        <w:trPr>
          <w:divId w:val="1075664291"/>
          <w:trHeight w:val="300"/>
          <w:jc w:val="center"/>
        </w:trPr>
        <w:tc>
          <w:tcPr>
            <w:tcW w:w="0" w:type="auto"/>
            <w:gridSpan w:val="3"/>
            <w:shd w:val="clear" w:color="auto" w:fill="FFFFFF"/>
            <w:tcMar>
              <w:top w:w="0" w:type="dxa"/>
              <w:left w:w="20" w:type="dxa"/>
              <w:bottom w:w="0" w:type="dxa"/>
              <w:right w:w="20" w:type="dxa"/>
            </w:tcMar>
            <w:vAlign w:val="center"/>
            <w:hideMark/>
          </w:tcPr>
          <w:p w14:paraId="63D5CAB3"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CE1277"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BA7261D"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6DF9EE"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19FFAC" w14:textId="77777777" w:rsidR="00000000" w:rsidRDefault="000C49AD">
            <w:pPr>
              <w:spacing w:after="100"/>
              <w:rPr>
                <w:rFonts w:eastAsia="Times New Roman"/>
                <w:sz w:val="20"/>
                <w:szCs w:val="20"/>
              </w:rPr>
            </w:pPr>
          </w:p>
        </w:tc>
      </w:tr>
      <w:tr w:rsidR="00000000" w14:paraId="3F011E64" w14:textId="77777777">
        <w:trPr>
          <w:divId w:val="1075664291"/>
          <w:jc w:val="center"/>
        </w:trPr>
        <w:tc>
          <w:tcPr>
            <w:tcW w:w="0" w:type="auto"/>
            <w:gridSpan w:val="3"/>
            <w:shd w:val="clear" w:color="auto" w:fill="CCEEFF"/>
            <w:tcMar>
              <w:top w:w="30" w:type="dxa"/>
              <w:left w:w="20" w:type="dxa"/>
              <w:bottom w:w="30" w:type="dxa"/>
              <w:right w:w="20" w:type="dxa"/>
            </w:tcMar>
            <w:vAlign w:val="bottom"/>
            <w:hideMark/>
          </w:tcPr>
          <w:p w14:paraId="7A1B4C09" w14:textId="77777777" w:rsidR="00000000" w:rsidRDefault="000C49AD">
            <w:pPr>
              <w:spacing w:after="100"/>
              <w:rPr>
                <w:rFonts w:eastAsia="Times New Roman"/>
              </w:rPr>
            </w:pPr>
            <w:r>
              <w:rPr>
                <w:rFonts w:eastAsia="Times New Roman"/>
                <w:color w:val="000000"/>
                <w:sz w:val="18"/>
                <w:szCs w:val="18"/>
              </w:rPr>
              <w:t>Equity component:</w:t>
            </w:r>
          </w:p>
        </w:tc>
        <w:tc>
          <w:tcPr>
            <w:tcW w:w="0" w:type="auto"/>
            <w:gridSpan w:val="3"/>
            <w:shd w:val="clear" w:color="auto" w:fill="CCEEFF"/>
            <w:tcMar>
              <w:top w:w="0" w:type="dxa"/>
              <w:left w:w="20" w:type="dxa"/>
              <w:bottom w:w="0" w:type="dxa"/>
              <w:right w:w="20" w:type="dxa"/>
            </w:tcMar>
            <w:vAlign w:val="center"/>
            <w:hideMark/>
          </w:tcPr>
          <w:p w14:paraId="0440E358" w14:textId="77777777" w:rsidR="00000000" w:rsidRDefault="000C49AD">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E5400"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C96435"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1627C8" w14:textId="77777777" w:rsidR="00000000" w:rsidRDefault="000C49AD">
            <w:pPr>
              <w:spacing w:after="100"/>
              <w:rPr>
                <w:rFonts w:eastAsia="Times New Roman"/>
                <w:sz w:val="20"/>
                <w:szCs w:val="20"/>
              </w:rPr>
            </w:pPr>
          </w:p>
        </w:tc>
      </w:tr>
      <w:tr w:rsidR="00000000" w14:paraId="71D80B92" w14:textId="77777777">
        <w:trPr>
          <w:divId w:val="1075664291"/>
          <w:jc w:val="center"/>
        </w:trPr>
        <w:tc>
          <w:tcPr>
            <w:tcW w:w="0" w:type="auto"/>
            <w:gridSpan w:val="3"/>
            <w:shd w:val="clear" w:color="auto" w:fill="FFFFFF"/>
            <w:tcMar>
              <w:top w:w="30" w:type="dxa"/>
              <w:left w:w="20" w:type="dxa"/>
              <w:bottom w:w="30" w:type="dxa"/>
              <w:right w:w="20" w:type="dxa"/>
            </w:tcMar>
            <w:vAlign w:val="bottom"/>
            <w:hideMark/>
          </w:tcPr>
          <w:p w14:paraId="28F7AA30" w14:textId="77777777" w:rsidR="00000000" w:rsidRDefault="000C49AD">
            <w:pPr>
              <w:spacing w:after="100"/>
              <w:rPr>
                <w:rFonts w:eastAsia="Times New Roman"/>
              </w:rPr>
            </w:pPr>
            <w:r>
              <w:rPr>
                <w:rFonts w:eastAsia="Times New Roman"/>
                <w:color w:val="000000"/>
                <w:sz w:val="18"/>
                <w:szCs w:val="18"/>
              </w:rPr>
              <w:t>Equity component of exchangeable notes, net of issuance costs</w:t>
            </w:r>
          </w:p>
        </w:tc>
        <w:tc>
          <w:tcPr>
            <w:tcW w:w="0" w:type="auto"/>
            <w:gridSpan w:val="3"/>
            <w:shd w:val="clear" w:color="auto" w:fill="FFFFFF"/>
            <w:tcMar>
              <w:top w:w="0" w:type="dxa"/>
              <w:left w:w="20" w:type="dxa"/>
              <w:bottom w:w="0" w:type="dxa"/>
              <w:right w:w="20" w:type="dxa"/>
            </w:tcMar>
            <w:vAlign w:val="center"/>
            <w:hideMark/>
          </w:tcPr>
          <w:p w14:paraId="4048AE55" w14:textId="77777777" w:rsidR="00000000" w:rsidRDefault="000C49A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3F54C3E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1EB4FC7"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2B60523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400345"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7CA336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321C463" w14:textId="77777777" w:rsidR="00000000" w:rsidRDefault="000C49AD">
            <w:pPr>
              <w:spacing w:after="100"/>
              <w:jc w:val="right"/>
              <w:rPr>
                <w:rFonts w:eastAsia="Times New Roman"/>
              </w:rPr>
            </w:pPr>
            <w:r>
              <w:rPr>
                <w:rFonts w:eastAsia="Times New Roman"/>
                <w:color w:val="000000"/>
                <w:sz w:val="18"/>
                <w:szCs w:val="18"/>
              </w:rPr>
              <w:t>(26,699)</w:t>
            </w:r>
          </w:p>
        </w:tc>
        <w:tc>
          <w:tcPr>
            <w:tcW w:w="0" w:type="auto"/>
            <w:shd w:val="clear" w:color="auto" w:fill="FFFFFF"/>
            <w:tcMar>
              <w:top w:w="30" w:type="dxa"/>
              <w:left w:w="0" w:type="dxa"/>
              <w:bottom w:w="30" w:type="dxa"/>
              <w:right w:w="20" w:type="dxa"/>
            </w:tcMar>
            <w:vAlign w:val="bottom"/>
            <w:hideMark/>
          </w:tcPr>
          <w:p w14:paraId="0177F3FE" w14:textId="77777777" w:rsidR="00000000" w:rsidRDefault="000C49AD">
            <w:pPr>
              <w:spacing w:after="100"/>
              <w:jc w:val="right"/>
              <w:rPr>
                <w:rFonts w:eastAsia="Times New Roman"/>
              </w:rPr>
            </w:pPr>
          </w:p>
        </w:tc>
      </w:tr>
    </w:tbl>
    <w:p w14:paraId="0840D801" w14:textId="77777777" w:rsidR="00000000" w:rsidRDefault="000C49AD">
      <w:pPr>
        <w:jc w:val="both"/>
        <w:rPr>
          <w:rFonts w:eastAsia="Times New Roman"/>
        </w:rPr>
      </w:pPr>
    </w:p>
    <w:p w14:paraId="3AAB5609" w14:textId="77777777" w:rsidR="00000000" w:rsidRDefault="000C49AD">
      <w:pPr>
        <w:jc w:val="both"/>
        <w:rPr>
          <w:rFonts w:eastAsia="Times New Roman"/>
        </w:rPr>
      </w:pPr>
      <w:r>
        <w:rPr>
          <w:rFonts w:eastAsia="Times New Roman"/>
          <w:color w:val="000000"/>
          <w:sz w:val="20"/>
          <w:szCs w:val="20"/>
        </w:rPr>
        <w:t>For the years ended December 31, 2021, 2020 and 2019, the total interest expense was $9,942, $12,994 and $12,464</w:t>
      </w:r>
      <w:r>
        <w:rPr>
          <w:rFonts w:eastAsia="Times New Roman"/>
          <w:color w:val="000000"/>
          <w:sz w:val="20"/>
          <w:szCs w:val="20"/>
        </w:rPr>
        <w:t>, respectively, with coupon interest expense of $6,469 for each period and the amortization of debt issuance costs and debt discount of $1,248, $6,525 and $5,995, respectively. Current period interest expense also included $2,225 of additional interest exp</w:t>
      </w:r>
      <w:r>
        <w:rPr>
          <w:rFonts w:eastAsia="Times New Roman"/>
          <w:color w:val="000000"/>
          <w:sz w:val="20"/>
          <w:szCs w:val="20"/>
        </w:rPr>
        <w:t xml:space="preserve">ense owed as a result of not removing a restrictive legend from the 2023 Notes 365 days following original issuance of the 2023 Notes on February 16, 2018. See </w:t>
      </w:r>
      <w:r>
        <w:rPr>
          <w:rFonts w:eastAsia="Times New Roman"/>
          <w:i/>
          <w:iCs/>
          <w:color w:val="000000"/>
          <w:sz w:val="20"/>
          <w:szCs w:val="20"/>
        </w:rPr>
        <w:t xml:space="preserve">Note 1: Background and Basis of Presentation </w:t>
      </w:r>
      <w:r>
        <w:rPr>
          <w:rFonts w:eastAsia="Times New Roman"/>
          <w:color w:val="000000"/>
          <w:sz w:val="20"/>
          <w:szCs w:val="20"/>
        </w:rPr>
        <w:t>for further details.</w:t>
      </w:r>
    </w:p>
    <w:p w14:paraId="5A106F89" w14:textId="77777777" w:rsidR="00000000" w:rsidRDefault="000C49AD">
      <w:pPr>
        <w:jc w:val="both"/>
        <w:rPr>
          <w:rFonts w:eastAsia="Times New Roman"/>
        </w:rPr>
      </w:pPr>
    </w:p>
    <w:p w14:paraId="4393B38F" w14:textId="77777777" w:rsidR="00000000" w:rsidRDefault="000C49AD">
      <w:pPr>
        <w:jc w:val="both"/>
        <w:rPr>
          <w:rFonts w:eastAsia="Times New Roman"/>
        </w:rPr>
      </w:pPr>
      <w:r>
        <w:rPr>
          <w:rFonts w:eastAsia="Times New Roman"/>
          <w:color w:val="000000"/>
          <w:sz w:val="20"/>
          <w:szCs w:val="20"/>
        </w:rPr>
        <w:t xml:space="preserve">As described in </w:t>
      </w:r>
      <w:r>
        <w:rPr>
          <w:rFonts w:eastAsia="Times New Roman"/>
          <w:i/>
          <w:iCs/>
          <w:color w:val="000000"/>
          <w:sz w:val="20"/>
          <w:szCs w:val="20"/>
        </w:rPr>
        <w:t>Note 2: Newly Issued Accounting Standards</w:t>
      </w:r>
      <w:r>
        <w:rPr>
          <w:rFonts w:eastAsia="Times New Roman"/>
          <w:color w:val="000000"/>
          <w:sz w:val="20"/>
          <w:szCs w:val="20"/>
        </w:rPr>
        <w:t>, the Company elected to early adopt ASU 2020-06 as of January 1, 2021 using a modified retrospective method. The adoption resulted in a $12,939 increase in long-term debt and a $26,699 decrease in t</w:t>
      </w:r>
      <w:r>
        <w:rPr>
          <w:rFonts w:eastAsia="Times New Roman"/>
          <w:color w:val="000000"/>
          <w:sz w:val="20"/>
          <w:szCs w:val="20"/>
        </w:rPr>
        <w:t>he equity component of the 2023 Notes.</w:t>
      </w:r>
    </w:p>
    <w:p w14:paraId="145C5828" w14:textId="77777777" w:rsidR="00000000" w:rsidRDefault="000C49AD">
      <w:pPr>
        <w:divId w:val="1852912894"/>
        <w:rPr>
          <w:rFonts w:eastAsia="Times New Roman"/>
        </w:rPr>
      </w:pPr>
    </w:p>
    <w:p w14:paraId="35AEBCE4" w14:textId="77777777" w:rsidR="00000000" w:rsidRDefault="000C49AD">
      <w:pPr>
        <w:jc w:val="both"/>
        <w:rPr>
          <w:rFonts w:eastAsia="Times New Roman"/>
        </w:rPr>
      </w:pPr>
      <w:r>
        <w:rPr>
          <w:rFonts w:eastAsia="Times New Roman"/>
          <w:i/>
          <w:iCs/>
          <w:color w:val="000000"/>
          <w:sz w:val="20"/>
          <w:szCs w:val="20"/>
        </w:rPr>
        <w:t>2023 Notes</w:t>
      </w:r>
    </w:p>
    <w:p w14:paraId="0B913FD0" w14:textId="77777777" w:rsidR="00000000" w:rsidRDefault="000C49AD">
      <w:pPr>
        <w:jc w:val="both"/>
        <w:rPr>
          <w:rFonts w:eastAsia="Times New Roman"/>
        </w:rPr>
      </w:pPr>
    </w:p>
    <w:p w14:paraId="5E49BEE4" w14:textId="77777777" w:rsidR="00000000" w:rsidRDefault="000C49AD">
      <w:pPr>
        <w:jc w:val="both"/>
        <w:rPr>
          <w:rFonts w:eastAsia="Times New Roman"/>
        </w:rPr>
      </w:pPr>
      <w:r>
        <w:rPr>
          <w:rFonts w:eastAsia="Times New Roman"/>
          <w:color w:val="000000"/>
          <w:sz w:val="20"/>
          <w:szCs w:val="20"/>
        </w:rPr>
        <w:t>On February 16, 2018, Avadel Finance Cayman Limited, a Cayman Islands exempted company and an indirect wholly-owned subsidiary of the Company (the “Issuer”), issued $125,000 aggregate principal amount o</w:t>
      </w:r>
      <w:r>
        <w:rPr>
          <w:rFonts w:eastAsia="Times New Roman"/>
          <w:color w:val="000000"/>
          <w:sz w:val="20"/>
          <w:szCs w:val="20"/>
        </w:rPr>
        <w:t>f 4.50% exchangeable senior notes due 2023 (the “2023 Notes”) in a private placement (the “Offering”) to qualified institutional buyers pursuant to Rule 144A under the Securities Act. In connection with the Offering, the Issuer granted the initial purchase</w:t>
      </w:r>
      <w:r>
        <w:rPr>
          <w:rFonts w:eastAsia="Times New Roman"/>
          <w:color w:val="000000"/>
          <w:sz w:val="20"/>
          <w:szCs w:val="20"/>
        </w:rPr>
        <w:t>rs of the 2023 Notes a 30-day option to purchase up to an additional $18,750 aggregate principal amount of the 2023 Notes, which was fully exercised on February 16, 2018. Net proceeds received by the Company, after issuance costs and discounts, were approx</w:t>
      </w:r>
      <w:r>
        <w:rPr>
          <w:rFonts w:eastAsia="Times New Roman"/>
          <w:color w:val="000000"/>
          <w:sz w:val="20"/>
          <w:szCs w:val="20"/>
        </w:rPr>
        <w:t>imately $137,560. The 2023 Notes are the Company’s senior unsecured obligations and rank equally in right of payment with all of the Company’s existing and future senior unsecured indebtedness and effectively junior to any of the Company’s existing and fut</w:t>
      </w:r>
      <w:r>
        <w:rPr>
          <w:rFonts w:eastAsia="Times New Roman"/>
          <w:color w:val="000000"/>
          <w:sz w:val="20"/>
          <w:szCs w:val="20"/>
        </w:rPr>
        <w:t>ure secured indebtedness, to the extent of the value of the assets securing such indebtedness.</w:t>
      </w:r>
    </w:p>
    <w:p w14:paraId="4E2D10BC" w14:textId="77777777" w:rsidR="00000000" w:rsidRDefault="000C49AD">
      <w:pPr>
        <w:jc w:val="both"/>
        <w:rPr>
          <w:rFonts w:eastAsia="Times New Roman"/>
        </w:rPr>
      </w:pPr>
    </w:p>
    <w:p w14:paraId="31E7E952" w14:textId="77777777" w:rsidR="00000000" w:rsidRDefault="000C49AD">
      <w:pPr>
        <w:jc w:val="both"/>
        <w:rPr>
          <w:rFonts w:eastAsia="Times New Roman"/>
        </w:rPr>
      </w:pPr>
      <w:r>
        <w:rPr>
          <w:rFonts w:eastAsia="Times New Roman"/>
          <w:color w:val="000000"/>
          <w:sz w:val="20"/>
          <w:szCs w:val="20"/>
        </w:rPr>
        <w:t>The 2023 Notes will be exchangeable at the option of the holders at an initial exchange rate of 92.6956 ADSs per $1 principal amount of 2023 Notes, which is eq</w:t>
      </w:r>
      <w:r>
        <w:rPr>
          <w:rFonts w:eastAsia="Times New Roman"/>
          <w:color w:val="000000"/>
          <w:sz w:val="20"/>
          <w:szCs w:val="20"/>
        </w:rPr>
        <w:t xml:space="preserve">uivalent to an initial exchange price of approximately $10.79 per ADS. Such initial exchange price represents a premium of approximately 20% to the $8.99 per ADS closing price on The Nasdaq Global Market on February 13, 2018. Upon the exchange of any 2023 </w:t>
      </w:r>
      <w:r>
        <w:rPr>
          <w:rFonts w:eastAsia="Times New Roman"/>
          <w:color w:val="000000"/>
          <w:sz w:val="20"/>
          <w:szCs w:val="20"/>
        </w:rPr>
        <w:t>Notes, the Issuer will pay or cause to be delivered, as the case may be, cash, ADSs or a combination of cash and ADSs, at the Issuer’s election. Holders of the 2023 Notes may convert their 2023 Notes, at their option, only under the following circumstances</w:t>
      </w:r>
      <w:r>
        <w:rPr>
          <w:rFonts w:eastAsia="Times New Roman"/>
          <w:color w:val="000000"/>
          <w:sz w:val="20"/>
          <w:szCs w:val="20"/>
        </w:rPr>
        <w:t xml:space="preserve"> prior to the close of business on the business day immediately preceding August 1, 2022, under the circumstances and during the periods set forth below and regardless of the conditions described below, on or after August 1, 2022 and prior to the close of </w:t>
      </w:r>
      <w:r>
        <w:rPr>
          <w:rFonts w:eastAsia="Times New Roman"/>
          <w:color w:val="000000"/>
          <w:sz w:val="20"/>
          <w:szCs w:val="20"/>
        </w:rPr>
        <w:t>business on the business day immediately preceding the maturity date:</w:t>
      </w:r>
    </w:p>
    <w:p w14:paraId="28EEAD48" w14:textId="77777777" w:rsidR="00000000" w:rsidRDefault="000C49AD">
      <w:pPr>
        <w:divId w:val="2027713471"/>
        <w:rPr>
          <w:rFonts w:eastAsia="Times New Roman"/>
        </w:rPr>
      </w:pPr>
    </w:p>
    <w:p w14:paraId="677A695D" w14:textId="77777777" w:rsidR="00000000" w:rsidRDefault="000C49AD">
      <w:pPr>
        <w:ind w:hanging="360"/>
        <w:jc w:val="both"/>
        <w:rPr>
          <w:rFonts w:eastAsia="Times New Roman"/>
        </w:rPr>
      </w:pPr>
      <w:r>
        <w:rPr>
          <w:rFonts w:eastAsia="Times New Roman"/>
          <w:color w:val="000000"/>
          <w:sz w:val="20"/>
          <w:szCs w:val="20"/>
        </w:rPr>
        <w:t xml:space="preserve">•Prior to the close of business on the business day immediately preceding August 1, 2022, a holder of the 2023 Notes may surrender all or any portion of its 2023 Notes for exchange at </w:t>
      </w:r>
      <w:r>
        <w:rPr>
          <w:rFonts w:eastAsia="Times New Roman"/>
          <w:color w:val="000000"/>
          <w:sz w:val="20"/>
          <w:szCs w:val="20"/>
        </w:rPr>
        <w:t>any time during the</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business day period immediately after any</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consecutive trading day period (the “Measurement Period”) in which the trading price per $1 principal amount of 2023 Notes, as determined following a request by a holder of the 2023 No</w:t>
      </w:r>
      <w:r>
        <w:rPr>
          <w:rFonts w:eastAsia="Times New Roman"/>
          <w:color w:val="000000"/>
          <w:sz w:val="20"/>
          <w:szCs w:val="20"/>
        </w:rPr>
        <w:t>tes, for each trading day of the measurement period was less than 98% of the product of the last reported sale price of the ADSs and the exchange rate on each such trading day.</w:t>
      </w:r>
    </w:p>
    <w:p w14:paraId="5E28F631" w14:textId="77777777" w:rsidR="00000000" w:rsidRDefault="000C49AD">
      <w:pPr>
        <w:jc w:val="both"/>
        <w:rPr>
          <w:rFonts w:eastAsia="Times New Roman"/>
        </w:rPr>
      </w:pPr>
    </w:p>
    <w:p w14:paraId="647994BC" w14:textId="77777777" w:rsidR="00000000" w:rsidRDefault="000C49AD">
      <w:pPr>
        <w:ind w:hanging="360"/>
        <w:jc w:val="both"/>
        <w:rPr>
          <w:rFonts w:eastAsia="Times New Roman"/>
        </w:rPr>
      </w:pPr>
      <w:r>
        <w:rPr>
          <w:rFonts w:eastAsia="Times New Roman"/>
          <w:color w:val="000000"/>
          <w:sz w:val="20"/>
          <w:szCs w:val="20"/>
        </w:rPr>
        <w:t>•If a transaction or event that constitutes a fundamental change or a make-wh</w:t>
      </w:r>
      <w:r>
        <w:rPr>
          <w:rFonts w:eastAsia="Times New Roman"/>
          <w:color w:val="000000"/>
          <w:sz w:val="20"/>
          <w:szCs w:val="20"/>
        </w:rPr>
        <w:t>ole fundamental change occurs prior to the close of business on the business day immediately preceding August 1, 2022, regardless of whether a holder of the 2023 Notes has the right to require the Company to repurchase the 2023 Notes, or if Avadel is a par</w:t>
      </w:r>
      <w:r>
        <w:rPr>
          <w:rFonts w:eastAsia="Times New Roman"/>
          <w:color w:val="000000"/>
          <w:sz w:val="20"/>
          <w:szCs w:val="20"/>
        </w:rPr>
        <w:t xml:space="preserve">ty to a merger </w:t>
      </w:r>
    </w:p>
    <w:p w14:paraId="274BCF75" w14:textId="77777777" w:rsidR="00000000" w:rsidRDefault="000C49AD">
      <w:pPr>
        <w:jc w:val="center"/>
        <w:divId w:val="209340156"/>
        <w:rPr>
          <w:rFonts w:eastAsia="Times New Roman"/>
        </w:rPr>
      </w:pPr>
      <w:r>
        <w:rPr>
          <w:rFonts w:eastAsia="Times New Roman"/>
          <w:color w:val="000000"/>
          <w:sz w:val="20"/>
          <w:szCs w:val="20"/>
        </w:rPr>
        <w:t>-90-</w:t>
      </w:r>
    </w:p>
    <w:p w14:paraId="22628935" w14:textId="77777777" w:rsidR="00000000" w:rsidRDefault="000C49AD">
      <w:pPr>
        <w:rPr>
          <w:rFonts w:eastAsia="Times New Roman"/>
        </w:rPr>
      </w:pPr>
      <w:r>
        <w:rPr>
          <w:rFonts w:eastAsia="Times New Roman"/>
        </w:rPr>
        <w:pict w14:anchorId="028930D9">
          <v:rect id="_x0000_i1115" style="width:0;height:1.5pt" o:hralign="center" o:hrstd="t" o:hr="t" fillcolor="#a0a0a0" stroked="f"/>
        </w:pict>
      </w:r>
    </w:p>
    <w:p w14:paraId="39367798" w14:textId="77777777" w:rsidR="00000000" w:rsidRDefault="000C49AD">
      <w:pPr>
        <w:divId w:val="1028947403"/>
        <w:rPr>
          <w:rFonts w:eastAsia="Times New Roman"/>
        </w:rPr>
      </w:pPr>
    </w:p>
    <w:p w14:paraId="7996C4AD" w14:textId="77777777" w:rsidR="00000000" w:rsidRDefault="000C49AD">
      <w:pPr>
        <w:jc w:val="both"/>
        <w:rPr>
          <w:rFonts w:eastAsia="Times New Roman"/>
        </w:rPr>
      </w:pPr>
      <w:r>
        <w:rPr>
          <w:rFonts w:eastAsia="Times New Roman"/>
          <w:color w:val="000000"/>
          <w:sz w:val="20"/>
          <w:szCs w:val="20"/>
        </w:rPr>
        <w:t xml:space="preserve">event that occurs prior to the close of business on the business day immediately preceding August 1, 2022, all or any portion of a the holder’s 2023 Notes may be surrendered for exchange at any time from or after the date that is 95 scheduled trading days </w:t>
      </w:r>
      <w:r>
        <w:rPr>
          <w:rFonts w:eastAsia="Times New Roman"/>
          <w:color w:val="000000"/>
          <w:sz w:val="20"/>
          <w:szCs w:val="20"/>
        </w:rPr>
        <w:t>prior to the anticipated effective date of the transaction (or, if later, the earlier of (x) the business day after the Company gives notice of such transaction and (y) the actual effective date of such transaction) until 35 trading days after the actual e</w:t>
      </w:r>
      <w:r>
        <w:rPr>
          <w:rFonts w:eastAsia="Times New Roman"/>
          <w:color w:val="000000"/>
          <w:sz w:val="20"/>
          <w:szCs w:val="20"/>
        </w:rPr>
        <w:t xml:space="preserve">ffective date of such transaction or, if such transaction also constitutes a fundamental change, until the related fundamental change repurchase date. </w:t>
      </w:r>
    </w:p>
    <w:p w14:paraId="28042579" w14:textId="77777777" w:rsidR="00000000" w:rsidRDefault="000C49AD">
      <w:pPr>
        <w:jc w:val="both"/>
        <w:rPr>
          <w:rFonts w:eastAsia="Times New Roman"/>
        </w:rPr>
      </w:pPr>
    </w:p>
    <w:p w14:paraId="421E59EA" w14:textId="77777777" w:rsidR="00000000" w:rsidRDefault="000C49AD">
      <w:pPr>
        <w:ind w:hanging="360"/>
        <w:jc w:val="both"/>
        <w:rPr>
          <w:rFonts w:eastAsia="Times New Roman"/>
        </w:rPr>
      </w:pPr>
      <w:r>
        <w:rPr>
          <w:rFonts w:eastAsia="Times New Roman"/>
          <w:color w:val="000000"/>
          <w:sz w:val="20"/>
          <w:szCs w:val="20"/>
        </w:rPr>
        <w:t xml:space="preserve">•Prior to the close of business on the business day immediately preceding August 1, 2022, a holder of </w:t>
      </w:r>
      <w:r>
        <w:rPr>
          <w:rFonts w:eastAsia="Times New Roman"/>
          <w:color w:val="000000"/>
          <w:sz w:val="20"/>
          <w:szCs w:val="20"/>
        </w:rPr>
        <w:t>the 2023 Notes may surrender all or any portion of its 2023 Notes for exchange at any time during any calendar quarter commencing after the calendar quarter ending on June 30, 2018 (and only during such calendar quarter), if the last reported sale price of</w:t>
      </w:r>
      <w:r>
        <w:rPr>
          <w:rFonts w:eastAsia="Times New Roman"/>
          <w:color w:val="000000"/>
          <w:sz w:val="20"/>
          <w:szCs w:val="20"/>
        </w:rPr>
        <w:t xml:space="preserve"> the ADSs for at least 20 trading days (whether or not consecutive) during the period of 30 consecutive trading days ending on, and including, the last trading day of the immediately preceding calendar quarter is greater than or equal to 130% of the exchan</w:t>
      </w:r>
      <w:r>
        <w:rPr>
          <w:rFonts w:eastAsia="Times New Roman"/>
          <w:color w:val="000000"/>
          <w:sz w:val="20"/>
          <w:szCs w:val="20"/>
        </w:rPr>
        <w:t xml:space="preserve">ge price on each applicable trading day. </w:t>
      </w:r>
    </w:p>
    <w:p w14:paraId="216C4060" w14:textId="77777777" w:rsidR="00000000" w:rsidRDefault="000C49AD">
      <w:pPr>
        <w:jc w:val="both"/>
        <w:rPr>
          <w:rFonts w:eastAsia="Times New Roman"/>
        </w:rPr>
      </w:pPr>
    </w:p>
    <w:p w14:paraId="50EE5899" w14:textId="77777777" w:rsidR="00000000" w:rsidRDefault="000C49AD">
      <w:pPr>
        <w:ind w:hanging="360"/>
        <w:jc w:val="both"/>
        <w:rPr>
          <w:rFonts w:eastAsia="Times New Roman"/>
        </w:rPr>
      </w:pPr>
      <w:r>
        <w:rPr>
          <w:rFonts w:eastAsia="Times New Roman"/>
          <w:color w:val="000000"/>
          <w:sz w:val="20"/>
          <w:szCs w:val="20"/>
        </w:rPr>
        <w:t>•If the Company calls the 2023 Notes for redemption pursuant to Article 16 to the Indenture prior to the close of business on the business day immediately preceding August 1, 2022, then a holder of the 2023 Notes</w:t>
      </w:r>
      <w:r>
        <w:rPr>
          <w:rFonts w:eastAsia="Times New Roman"/>
          <w:color w:val="000000"/>
          <w:sz w:val="20"/>
          <w:szCs w:val="20"/>
        </w:rPr>
        <w:t xml:space="preserve"> may surrender all or any portion of its 2023 Notes for exchange at any time prior to the close of business on the second business day prior to the redemption date, even if the 2023 Notes are not otherwise exchangeable at such time. After that time, the ri</w:t>
      </w:r>
      <w:r>
        <w:rPr>
          <w:rFonts w:eastAsia="Times New Roman"/>
          <w:color w:val="000000"/>
          <w:sz w:val="20"/>
          <w:szCs w:val="20"/>
        </w:rPr>
        <w:t>ght to exchange shall expire, unless the Company defaults in the payment of the redemption price, in which case a holder of the 2023 Notes may exchange its 2023 Notes until the redemption price has been paid or duly provided for.</w:t>
      </w:r>
    </w:p>
    <w:p w14:paraId="62C9C87C" w14:textId="77777777" w:rsidR="00000000" w:rsidRDefault="000C49AD">
      <w:pPr>
        <w:jc w:val="both"/>
        <w:rPr>
          <w:rFonts w:eastAsia="Times New Roman"/>
        </w:rPr>
      </w:pPr>
    </w:p>
    <w:p w14:paraId="721D3441" w14:textId="77777777" w:rsidR="00000000" w:rsidRDefault="000C49AD">
      <w:pPr>
        <w:jc w:val="both"/>
        <w:rPr>
          <w:rFonts w:eastAsia="Times New Roman"/>
        </w:rPr>
      </w:pPr>
      <w:r>
        <w:rPr>
          <w:rFonts w:eastAsia="Times New Roman"/>
          <w:color w:val="000000"/>
          <w:sz w:val="20"/>
          <w:szCs w:val="20"/>
        </w:rPr>
        <w:t>The Company considered t</w:t>
      </w:r>
      <w:r>
        <w:rPr>
          <w:rFonts w:eastAsia="Times New Roman"/>
          <w:color w:val="000000"/>
          <w:sz w:val="20"/>
          <w:szCs w:val="20"/>
        </w:rPr>
        <w:t xml:space="preserve">he guidance in ASC 815-15, </w:t>
      </w:r>
      <w:r>
        <w:rPr>
          <w:rFonts w:eastAsia="Times New Roman"/>
          <w:i/>
          <w:iCs/>
          <w:color w:val="000000"/>
          <w:sz w:val="20"/>
          <w:szCs w:val="20"/>
        </w:rPr>
        <w:t>Embedded Derivatives</w:t>
      </w:r>
      <w:r>
        <w:rPr>
          <w:rFonts w:eastAsia="Times New Roman"/>
          <w:color w:val="000000"/>
          <w:sz w:val="20"/>
          <w:szCs w:val="20"/>
        </w:rPr>
        <w:t>, to determine if this instrument contains an embedded feature that should be separately accounted for as a derivative. ASC 815 provides for an exception to this rule when convertible notes, as host instrument</w:t>
      </w:r>
      <w:r>
        <w:rPr>
          <w:rFonts w:eastAsia="Times New Roman"/>
          <w:color w:val="000000"/>
          <w:sz w:val="20"/>
          <w:szCs w:val="20"/>
        </w:rPr>
        <w:t xml:space="preserve">s, are deemed to be conventional, as defined by ASC 815-40. The Company determined that this exception applies due, in part, to its ability to settle the 2023 Notes in cash, ADSs or a combination of cash and ADSs, at the Company’s option. The Company have </w:t>
      </w:r>
      <w:r>
        <w:rPr>
          <w:rFonts w:eastAsia="Times New Roman"/>
          <w:color w:val="000000"/>
          <w:sz w:val="20"/>
          <w:szCs w:val="20"/>
        </w:rPr>
        <w:t xml:space="preserve">therefore applied the guidance provided by ASC 470-20, </w:t>
      </w:r>
      <w:r>
        <w:rPr>
          <w:rFonts w:eastAsia="Times New Roman"/>
          <w:i/>
          <w:iCs/>
          <w:color w:val="000000"/>
          <w:sz w:val="20"/>
          <w:szCs w:val="20"/>
        </w:rPr>
        <w:t xml:space="preserve">Debt with Conversion and Other Options, </w:t>
      </w:r>
      <w:r>
        <w:rPr>
          <w:rFonts w:eastAsia="Times New Roman"/>
          <w:color w:val="000000"/>
          <w:sz w:val="20"/>
          <w:szCs w:val="20"/>
        </w:rPr>
        <w:t xml:space="preserve">as amended by ASU 2020-06. </w:t>
      </w:r>
    </w:p>
    <w:p w14:paraId="656AA170" w14:textId="77777777" w:rsidR="00000000" w:rsidRDefault="000C49AD">
      <w:pPr>
        <w:divId w:val="1234897718"/>
        <w:rPr>
          <w:rFonts w:eastAsia="Times New Roman"/>
        </w:rPr>
      </w:pPr>
    </w:p>
    <w:p w14:paraId="46C04165" w14:textId="77777777" w:rsidR="00000000" w:rsidRDefault="000C49AD">
      <w:pPr>
        <w:jc w:val="both"/>
        <w:divId w:val="323437780"/>
        <w:rPr>
          <w:rFonts w:eastAsia="Times New Roman"/>
        </w:rPr>
      </w:pPr>
      <w:r>
        <w:rPr>
          <w:rFonts w:eastAsia="Times New Roman"/>
          <w:b/>
          <w:bCs/>
          <w:color w:val="000000"/>
          <w:sz w:val="20"/>
          <w:szCs w:val="20"/>
        </w:rPr>
        <w:t>NOTE 12:</w:t>
      </w:r>
      <w:r>
        <w:rPr>
          <w:rFonts w:eastAsia="Times New Roman"/>
          <w:color w:val="000000"/>
          <w:sz w:val="20"/>
          <w:szCs w:val="20"/>
        </w:rPr>
        <w:t xml:space="preserve"> </w:t>
      </w:r>
      <w:r>
        <w:rPr>
          <w:rFonts w:eastAsia="Times New Roman"/>
          <w:b/>
          <w:bCs/>
          <w:color w:val="000000"/>
          <w:sz w:val="20"/>
          <w:szCs w:val="20"/>
        </w:rPr>
        <w:t>Contingent Consideration Payable</w:t>
      </w:r>
      <w:r>
        <w:rPr>
          <w:rFonts w:eastAsia="Times New Roman"/>
          <w:color w:val="000000"/>
          <w:sz w:val="20"/>
          <w:szCs w:val="20"/>
        </w:rPr>
        <w:t> </w:t>
      </w:r>
    </w:p>
    <w:p w14:paraId="58999542" w14:textId="77777777" w:rsidR="00000000" w:rsidRDefault="000C49AD">
      <w:pPr>
        <w:jc w:val="both"/>
        <w:divId w:val="151603265"/>
        <w:rPr>
          <w:rFonts w:eastAsia="Times New Roman"/>
        </w:rPr>
      </w:pPr>
      <w:r>
        <w:rPr>
          <w:rFonts w:eastAsia="Times New Roman"/>
          <w:color w:val="000000"/>
          <w:sz w:val="20"/>
          <w:szCs w:val="20"/>
        </w:rPr>
        <w:t>Prior to the sale of the Hospital Products on June 30, 2020, the Company computed the fa</w:t>
      </w:r>
      <w:r>
        <w:rPr>
          <w:rFonts w:eastAsia="Times New Roman"/>
          <w:color w:val="000000"/>
          <w:sz w:val="20"/>
          <w:szCs w:val="20"/>
        </w:rPr>
        <w:t>ir value of the contingent consideration using several significant assumptions and when those assumptions changed, due to underlying market conditions, the fair value of these liabilities changed as well. Prior to the sale of the Hospital Products, these c</w:t>
      </w:r>
      <w:r>
        <w:rPr>
          <w:rFonts w:eastAsia="Times New Roman"/>
          <w:color w:val="000000"/>
          <w:sz w:val="20"/>
          <w:szCs w:val="20"/>
        </w:rPr>
        <w:t>hanges had a material impact on the Company’s consolidated statements of (loss) income and balance sheets. As part of the sale of the Hospital Products on June 30, 2020, the Exela Buyer assumed and will pay, perform, satisfy and discharge the liabilities a</w:t>
      </w:r>
      <w:r>
        <w:rPr>
          <w:rFonts w:eastAsia="Times New Roman"/>
          <w:color w:val="000000"/>
          <w:sz w:val="20"/>
          <w:szCs w:val="20"/>
        </w:rPr>
        <w:t>nd obligations of Avadel Legacy and the Company under the Deerfield Royalty Agreement and the Broadfin Royalty Agreement. As of December 31, 2021 and 2020, the balance of the contingent consideration payable is $0.</w:t>
      </w:r>
    </w:p>
    <w:p w14:paraId="16FFEF74" w14:textId="77777777" w:rsidR="00000000" w:rsidRDefault="000C49AD">
      <w:pPr>
        <w:divId w:val="108818718"/>
        <w:rPr>
          <w:rFonts w:eastAsia="Times New Roman"/>
        </w:rPr>
      </w:pPr>
      <w:r>
        <w:rPr>
          <w:rFonts w:eastAsia="Times New Roman"/>
          <w:color w:val="000000"/>
          <w:sz w:val="20"/>
          <w:szCs w:val="20"/>
        </w:rPr>
        <w:t>The following table summarizes changes to</w:t>
      </w:r>
      <w:r>
        <w:rPr>
          <w:rFonts w:eastAsia="Times New Roman"/>
          <w:color w:val="000000"/>
          <w:sz w:val="20"/>
          <w:szCs w:val="20"/>
        </w:rPr>
        <w:t xml:space="preserve"> the contingent consideration payables, a recurring Level 3 measurement, for the twelve-month periods ended December 31, 2020 and 2019:</w:t>
      </w:r>
    </w:p>
    <w:p w14:paraId="7391ECE2" w14:textId="77777777" w:rsidR="00000000" w:rsidRDefault="000C49AD">
      <w:pPr>
        <w:divId w:val="1151598741"/>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48"/>
        <w:gridCol w:w="6480"/>
        <w:gridCol w:w="36"/>
        <w:gridCol w:w="36"/>
        <w:gridCol w:w="36"/>
        <w:gridCol w:w="36"/>
        <w:gridCol w:w="110"/>
        <w:gridCol w:w="1463"/>
        <w:gridCol w:w="36"/>
      </w:tblGrid>
      <w:tr w:rsidR="00000000" w14:paraId="64752801" w14:textId="77777777">
        <w:trPr>
          <w:divId w:val="1620332678"/>
        </w:trPr>
        <w:tc>
          <w:tcPr>
            <w:tcW w:w="50" w:type="pct"/>
            <w:vAlign w:val="center"/>
            <w:hideMark/>
          </w:tcPr>
          <w:p w14:paraId="40399FB3" w14:textId="77777777" w:rsidR="00000000" w:rsidRDefault="000C49AD">
            <w:pPr>
              <w:rPr>
                <w:rFonts w:eastAsia="Times New Roman"/>
              </w:rPr>
            </w:pPr>
          </w:p>
        </w:tc>
        <w:tc>
          <w:tcPr>
            <w:tcW w:w="3933" w:type="pct"/>
            <w:vAlign w:val="center"/>
            <w:hideMark/>
          </w:tcPr>
          <w:p w14:paraId="7DB06AC5" w14:textId="77777777" w:rsidR="00000000" w:rsidRDefault="000C49AD">
            <w:pPr>
              <w:spacing w:after="100"/>
              <w:rPr>
                <w:rFonts w:eastAsia="Times New Roman"/>
                <w:sz w:val="20"/>
                <w:szCs w:val="20"/>
              </w:rPr>
            </w:pPr>
          </w:p>
        </w:tc>
        <w:tc>
          <w:tcPr>
            <w:tcW w:w="5" w:type="pct"/>
            <w:vAlign w:val="center"/>
            <w:hideMark/>
          </w:tcPr>
          <w:p w14:paraId="73FCF21D" w14:textId="77777777" w:rsidR="00000000" w:rsidRDefault="000C49AD">
            <w:pPr>
              <w:spacing w:after="100"/>
              <w:rPr>
                <w:rFonts w:eastAsia="Times New Roman"/>
                <w:sz w:val="20"/>
                <w:szCs w:val="20"/>
              </w:rPr>
            </w:pPr>
          </w:p>
        </w:tc>
        <w:tc>
          <w:tcPr>
            <w:tcW w:w="5" w:type="pct"/>
            <w:vAlign w:val="center"/>
            <w:hideMark/>
          </w:tcPr>
          <w:p w14:paraId="49E127C3" w14:textId="77777777" w:rsidR="00000000" w:rsidRDefault="000C49AD">
            <w:pPr>
              <w:spacing w:after="100"/>
              <w:rPr>
                <w:rFonts w:eastAsia="Times New Roman"/>
                <w:sz w:val="20"/>
                <w:szCs w:val="20"/>
              </w:rPr>
            </w:pPr>
          </w:p>
        </w:tc>
        <w:tc>
          <w:tcPr>
            <w:tcW w:w="26" w:type="pct"/>
            <w:vAlign w:val="center"/>
            <w:hideMark/>
          </w:tcPr>
          <w:p w14:paraId="5DBF4CF6" w14:textId="77777777" w:rsidR="00000000" w:rsidRDefault="000C49AD">
            <w:pPr>
              <w:spacing w:after="100"/>
              <w:rPr>
                <w:rFonts w:eastAsia="Times New Roman"/>
                <w:sz w:val="20"/>
                <w:szCs w:val="20"/>
              </w:rPr>
            </w:pPr>
          </w:p>
        </w:tc>
        <w:tc>
          <w:tcPr>
            <w:tcW w:w="5" w:type="pct"/>
            <w:vAlign w:val="center"/>
            <w:hideMark/>
          </w:tcPr>
          <w:p w14:paraId="0EF87381" w14:textId="77777777" w:rsidR="00000000" w:rsidRDefault="000C49AD">
            <w:pPr>
              <w:spacing w:after="100"/>
              <w:rPr>
                <w:rFonts w:eastAsia="Times New Roman"/>
                <w:sz w:val="20"/>
                <w:szCs w:val="20"/>
              </w:rPr>
            </w:pPr>
          </w:p>
        </w:tc>
        <w:tc>
          <w:tcPr>
            <w:tcW w:w="50" w:type="pct"/>
            <w:vAlign w:val="center"/>
            <w:hideMark/>
          </w:tcPr>
          <w:p w14:paraId="6C73D22F" w14:textId="77777777" w:rsidR="00000000" w:rsidRDefault="000C49AD">
            <w:pPr>
              <w:spacing w:after="100"/>
              <w:rPr>
                <w:rFonts w:eastAsia="Times New Roman"/>
                <w:sz w:val="20"/>
                <w:szCs w:val="20"/>
              </w:rPr>
            </w:pPr>
          </w:p>
        </w:tc>
        <w:tc>
          <w:tcPr>
            <w:tcW w:w="920" w:type="pct"/>
            <w:vAlign w:val="center"/>
            <w:hideMark/>
          </w:tcPr>
          <w:p w14:paraId="3253495D" w14:textId="77777777" w:rsidR="00000000" w:rsidRDefault="000C49AD">
            <w:pPr>
              <w:spacing w:after="100"/>
              <w:rPr>
                <w:rFonts w:eastAsia="Times New Roman"/>
                <w:sz w:val="20"/>
                <w:szCs w:val="20"/>
              </w:rPr>
            </w:pPr>
          </w:p>
        </w:tc>
        <w:tc>
          <w:tcPr>
            <w:tcW w:w="5" w:type="pct"/>
            <w:vAlign w:val="center"/>
            <w:hideMark/>
          </w:tcPr>
          <w:p w14:paraId="40324B07" w14:textId="77777777" w:rsidR="00000000" w:rsidRDefault="000C49AD">
            <w:pPr>
              <w:spacing w:after="100"/>
              <w:rPr>
                <w:rFonts w:eastAsia="Times New Roman"/>
                <w:sz w:val="20"/>
                <w:szCs w:val="20"/>
              </w:rPr>
            </w:pPr>
          </w:p>
        </w:tc>
      </w:tr>
      <w:tr w:rsidR="00000000" w14:paraId="3B3FB39F" w14:textId="77777777">
        <w:trPr>
          <w:divId w:val="1620332678"/>
        </w:trPr>
        <w:tc>
          <w:tcPr>
            <w:tcW w:w="0" w:type="auto"/>
            <w:gridSpan w:val="3"/>
            <w:tcMar>
              <w:top w:w="30" w:type="dxa"/>
              <w:left w:w="20" w:type="dxa"/>
              <w:bottom w:w="30" w:type="dxa"/>
              <w:right w:w="20" w:type="dxa"/>
            </w:tcMar>
            <w:vAlign w:val="bottom"/>
            <w:hideMark/>
          </w:tcPr>
          <w:p w14:paraId="7D8C8DBE" w14:textId="77777777" w:rsidR="00000000" w:rsidRDefault="000C49AD">
            <w:pPr>
              <w:spacing w:after="100"/>
              <w:rPr>
                <w:rFonts w:eastAsia="Times New Roman"/>
              </w:rPr>
            </w:pPr>
            <w:r>
              <w:rPr>
                <w:rFonts w:eastAsia="Times New Roman"/>
                <w:b/>
                <w:bCs/>
                <w:color w:val="000000"/>
                <w:sz w:val="18"/>
                <w:szCs w:val="18"/>
              </w:rPr>
              <w:t>Contingent Consideration Payable:</w:t>
            </w:r>
          </w:p>
        </w:tc>
        <w:tc>
          <w:tcPr>
            <w:tcW w:w="0" w:type="auto"/>
            <w:gridSpan w:val="3"/>
            <w:tcMar>
              <w:top w:w="0" w:type="dxa"/>
              <w:left w:w="20" w:type="dxa"/>
              <w:bottom w:w="0" w:type="dxa"/>
              <w:right w:w="20" w:type="dxa"/>
            </w:tcMar>
            <w:vAlign w:val="center"/>
            <w:hideMark/>
          </w:tcPr>
          <w:p w14:paraId="1426BAFF"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2CE07D9D" w14:textId="77777777" w:rsidR="00000000" w:rsidRDefault="000C49AD">
            <w:pPr>
              <w:spacing w:after="100"/>
              <w:jc w:val="center"/>
              <w:rPr>
                <w:rFonts w:eastAsia="Times New Roman"/>
              </w:rPr>
            </w:pPr>
            <w:r>
              <w:rPr>
                <w:rFonts w:eastAsia="Times New Roman"/>
                <w:b/>
                <w:bCs/>
                <w:color w:val="000000"/>
                <w:sz w:val="18"/>
                <w:szCs w:val="18"/>
              </w:rPr>
              <w:t>Balance</w:t>
            </w:r>
          </w:p>
        </w:tc>
      </w:tr>
      <w:tr w:rsidR="00000000" w14:paraId="250761FC" w14:textId="77777777">
        <w:trPr>
          <w:divId w:val="1620332678"/>
          <w:trHeight w:val="60"/>
        </w:trPr>
        <w:tc>
          <w:tcPr>
            <w:tcW w:w="0" w:type="auto"/>
            <w:gridSpan w:val="3"/>
            <w:tcBorders>
              <w:top w:val="single" w:sz="8" w:space="0" w:color="000000"/>
            </w:tcBorders>
            <w:tcMar>
              <w:top w:w="0" w:type="dxa"/>
              <w:left w:w="20" w:type="dxa"/>
              <w:bottom w:w="0" w:type="dxa"/>
              <w:right w:w="20" w:type="dxa"/>
            </w:tcMar>
            <w:vAlign w:val="center"/>
            <w:hideMark/>
          </w:tcPr>
          <w:p w14:paraId="15DAAE76"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163943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43A20C0" w14:textId="77777777" w:rsidR="00000000" w:rsidRDefault="000C49AD">
            <w:pPr>
              <w:spacing w:after="100"/>
              <w:rPr>
                <w:rFonts w:eastAsia="Times New Roman"/>
                <w:sz w:val="20"/>
                <w:szCs w:val="20"/>
              </w:rPr>
            </w:pPr>
          </w:p>
        </w:tc>
      </w:tr>
      <w:tr w:rsidR="00000000" w14:paraId="7DF87192" w14:textId="77777777">
        <w:trPr>
          <w:divId w:val="1620332678"/>
        </w:trPr>
        <w:tc>
          <w:tcPr>
            <w:tcW w:w="0" w:type="auto"/>
            <w:gridSpan w:val="3"/>
            <w:shd w:val="clear" w:color="auto" w:fill="CCEEFF"/>
            <w:tcMar>
              <w:top w:w="30" w:type="dxa"/>
              <w:left w:w="20" w:type="dxa"/>
              <w:bottom w:w="30" w:type="dxa"/>
              <w:right w:w="20" w:type="dxa"/>
            </w:tcMar>
            <w:vAlign w:val="bottom"/>
            <w:hideMark/>
          </w:tcPr>
          <w:p w14:paraId="2746C5A2" w14:textId="77777777" w:rsidR="00000000" w:rsidRDefault="000C49AD">
            <w:pPr>
              <w:spacing w:after="100"/>
              <w:rPr>
                <w:rFonts w:eastAsia="Times New Roman"/>
              </w:rPr>
            </w:pPr>
            <w:r>
              <w:rPr>
                <w:rFonts w:eastAsia="Times New Roman"/>
                <w:color w:val="000000"/>
                <w:sz w:val="18"/>
                <w:szCs w:val="18"/>
              </w:rPr>
              <w:t>Balance at December 31, 2018</w:t>
            </w:r>
          </w:p>
        </w:tc>
        <w:tc>
          <w:tcPr>
            <w:tcW w:w="0" w:type="auto"/>
            <w:gridSpan w:val="3"/>
            <w:shd w:val="clear" w:color="auto" w:fill="CCEEFF"/>
            <w:tcMar>
              <w:top w:w="0" w:type="dxa"/>
              <w:left w:w="20" w:type="dxa"/>
              <w:bottom w:w="0" w:type="dxa"/>
              <w:right w:w="20" w:type="dxa"/>
            </w:tcMar>
            <w:vAlign w:val="center"/>
            <w:hideMark/>
          </w:tcPr>
          <w:p w14:paraId="61189D75"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85D87E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7330F5F" w14:textId="77777777" w:rsidR="00000000" w:rsidRDefault="000C49AD">
            <w:pPr>
              <w:spacing w:after="100"/>
              <w:jc w:val="right"/>
              <w:rPr>
                <w:rFonts w:eastAsia="Times New Roman"/>
              </w:rPr>
            </w:pPr>
            <w:r>
              <w:rPr>
                <w:rFonts w:eastAsia="Times New Roman"/>
                <w:color w:val="000000"/>
                <w:sz w:val="18"/>
                <w:szCs w:val="18"/>
              </w:rPr>
              <w:t>28,840 </w:t>
            </w:r>
          </w:p>
        </w:tc>
        <w:tc>
          <w:tcPr>
            <w:tcW w:w="0" w:type="auto"/>
            <w:shd w:val="clear" w:color="auto" w:fill="CCEEFF"/>
            <w:tcMar>
              <w:top w:w="30" w:type="dxa"/>
              <w:left w:w="0" w:type="dxa"/>
              <w:bottom w:w="30" w:type="dxa"/>
              <w:right w:w="20" w:type="dxa"/>
            </w:tcMar>
            <w:vAlign w:val="bottom"/>
            <w:hideMark/>
          </w:tcPr>
          <w:p w14:paraId="4CE1654F" w14:textId="77777777" w:rsidR="00000000" w:rsidRDefault="000C49AD">
            <w:pPr>
              <w:spacing w:after="100"/>
              <w:jc w:val="right"/>
              <w:rPr>
                <w:rFonts w:eastAsia="Times New Roman"/>
              </w:rPr>
            </w:pPr>
          </w:p>
        </w:tc>
      </w:tr>
      <w:tr w:rsidR="00000000" w14:paraId="3F3787D1" w14:textId="77777777">
        <w:trPr>
          <w:divId w:val="1620332678"/>
        </w:trPr>
        <w:tc>
          <w:tcPr>
            <w:tcW w:w="0" w:type="auto"/>
            <w:gridSpan w:val="3"/>
            <w:shd w:val="clear" w:color="auto" w:fill="FFFFFF"/>
            <w:tcMar>
              <w:top w:w="30" w:type="dxa"/>
              <w:left w:w="155" w:type="dxa"/>
              <w:bottom w:w="30" w:type="dxa"/>
              <w:right w:w="20" w:type="dxa"/>
            </w:tcMar>
            <w:vAlign w:val="bottom"/>
            <w:hideMark/>
          </w:tcPr>
          <w:p w14:paraId="3F29E121" w14:textId="77777777" w:rsidR="00000000" w:rsidRDefault="000C49AD">
            <w:pPr>
              <w:spacing w:after="100"/>
              <w:rPr>
                <w:rFonts w:eastAsia="Times New Roman"/>
              </w:rPr>
            </w:pPr>
            <w:r>
              <w:rPr>
                <w:rFonts w:eastAsia="Times New Roman"/>
                <w:color w:val="000000"/>
                <w:sz w:val="18"/>
                <w:szCs w:val="18"/>
              </w:rPr>
              <w:t>Payments of related party payable</w:t>
            </w:r>
          </w:p>
        </w:tc>
        <w:tc>
          <w:tcPr>
            <w:tcW w:w="0" w:type="auto"/>
            <w:gridSpan w:val="3"/>
            <w:shd w:val="clear" w:color="auto" w:fill="FFFFFF"/>
            <w:tcMar>
              <w:top w:w="0" w:type="dxa"/>
              <w:left w:w="20" w:type="dxa"/>
              <w:bottom w:w="0" w:type="dxa"/>
              <w:right w:w="20" w:type="dxa"/>
            </w:tcMar>
            <w:vAlign w:val="center"/>
            <w:hideMark/>
          </w:tcPr>
          <w:p w14:paraId="44AE88D4"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C3FEAF" w14:textId="77777777" w:rsidR="00000000" w:rsidRDefault="000C49AD">
            <w:pPr>
              <w:spacing w:after="100"/>
              <w:jc w:val="right"/>
              <w:rPr>
                <w:rFonts w:eastAsia="Times New Roman"/>
              </w:rPr>
            </w:pPr>
            <w:r>
              <w:rPr>
                <w:rFonts w:eastAsia="Times New Roman"/>
                <w:color w:val="000000"/>
                <w:sz w:val="18"/>
                <w:szCs w:val="18"/>
              </w:rPr>
              <w:t>(12,736)</w:t>
            </w:r>
          </w:p>
        </w:tc>
        <w:tc>
          <w:tcPr>
            <w:tcW w:w="0" w:type="auto"/>
            <w:shd w:val="clear" w:color="auto" w:fill="FFFFFF"/>
            <w:tcMar>
              <w:top w:w="30" w:type="dxa"/>
              <w:left w:w="0" w:type="dxa"/>
              <w:bottom w:w="30" w:type="dxa"/>
              <w:right w:w="20" w:type="dxa"/>
            </w:tcMar>
            <w:vAlign w:val="bottom"/>
            <w:hideMark/>
          </w:tcPr>
          <w:p w14:paraId="580E7F53" w14:textId="77777777" w:rsidR="00000000" w:rsidRDefault="000C49AD">
            <w:pPr>
              <w:spacing w:after="100"/>
              <w:jc w:val="right"/>
              <w:rPr>
                <w:rFonts w:eastAsia="Times New Roman"/>
              </w:rPr>
            </w:pPr>
          </w:p>
        </w:tc>
      </w:tr>
      <w:tr w:rsidR="00000000" w14:paraId="695BF4A8" w14:textId="77777777">
        <w:trPr>
          <w:divId w:val="1620332678"/>
        </w:trPr>
        <w:tc>
          <w:tcPr>
            <w:tcW w:w="0" w:type="auto"/>
            <w:gridSpan w:val="3"/>
            <w:shd w:val="clear" w:color="auto" w:fill="CCEEFF"/>
            <w:tcMar>
              <w:top w:w="30" w:type="dxa"/>
              <w:left w:w="20" w:type="dxa"/>
              <w:bottom w:w="30" w:type="dxa"/>
              <w:right w:w="20" w:type="dxa"/>
            </w:tcMar>
            <w:vAlign w:val="bottom"/>
            <w:hideMark/>
          </w:tcPr>
          <w:p w14:paraId="50622FA5" w14:textId="77777777" w:rsidR="00000000" w:rsidRDefault="000C49AD">
            <w:pPr>
              <w:spacing w:after="100"/>
              <w:divId w:val="1527450857"/>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14:paraId="61CABB29"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97AF527" w14:textId="77777777" w:rsidR="00000000" w:rsidRDefault="000C49AD">
            <w:pPr>
              <w:spacing w:after="100"/>
              <w:jc w:val="right"/>
              <w:rPr>
                <w:rFonts w:eastAsia="Times New Roman"/>
              </w:rPr>
            </w:pPr>
            <w:r>
              <w:rPr>
                <w:rFonts w:eastAsia="Times New Roman"/>
                <w:color w:val="000000"/>
                <w:sz w:val="18"/>
                <w:szCs w:val="18"/>
              </w:rPr>
              <w:t>1,223 </w:t>
            </w:r>
          </w:p>
        </w:tc>
        <w:tc>
          <w:tcPr>
            <w:tcW w:w="0" w:type="auto"/>
            <w:shd w:val="clear" w:color="auto" w:fill="CCEEFF"/>
            <w:tcMar>
              <w:top w:w="30" w:type="dxa"/>
              <w:left w:w="0" w:type="dxa"/>
              <w:bottom w:w="30" w:type="dxa"/>
              <w:right w:w="20" w:type="dxa"/>
            </w:tcMar>
            <w:vAlign w:val="bottom"/>
            <w:hideMark/>
          </w:tcPr>
          <w:p w14:paraId="3D1BAA2A" w14:textId="77777777" w:rsidR="00000000" w:rsidRDefault="000C49AD">
            <w:pPr>
              <w:spacing w:after="100"/>
              <w:jc w:val="right"/>
              <w:rPr>
                <w:rFonts w:eastAsia="Times New Roman"/>
              </w:rPr>
            </w:pPr>
          </w:p>
        </w:tc>
      </w:tr>
      <w:tr w:rsidR="00000000" w14:paraId="01729138" w14:textId="77777777">
        <w:trPr>
          <w:divId w:val="1620332678"/>
        </w:trPr>
        <w:tc>
          <w:tcPr>
            <w:tcW w:w="0" w:type="auto"/>
            <w:gridSpan w:val="3"/>
            <w:shd w:val="clear" w:color="auto" w:fill="FFFFFF"/>
            <w:tcMar>
              <w:top w:w="30" w:type="dxa"/>
              <w:left w:w="20" w:type="dxa"/>
              <w:bottom w:w="30" w:type="dxa"/>
              <w:right w:w="20" w:type="dxa"/>
            </w:tcMar>
            <w:vAlign w:val="bottom"/>
            <w:hideMark/>
          </w:tcPr>
          <w:p w14:paraId="07C5C45A" w14:textId="77777777" w:rsidR="00000000" w:rsidRDefault="000C49AD">
            <w:pPr>
              <w:spacing w:after="100"/>
              <w:rPr>
                <w:rFonts w:eastAsia="Times New Roman"/>
              </w:rPr>
            </w:pPr>
            <w:r>
              <w:rPr>
                <w:rFonts w:eastAsia="Times New Roman"/>
                <w:color w:val="000000"/>
                <w:sz w:val="18"/>
                <w:szCs w:val="18"/>
              </w:rPr>
              <w:t>Balance at December 31, 2019</w:t>
            </w:r>
          </w:p>
        </w:tc>
        <w:tc>
          <w:tcPr>
            <w:tcW w:w="0" w:type="auto"/>
            <w:gridSpan w:val="3"/>
            <w:shd w:val="clear" w:color="auto" w:fill="FFFFFF"/>
            <w:tcMar>
              <w:top w:w="0" w:type="dxa"/>
              <w:left w:w="20" w:type="dxa"/>
              <w:bottom w:w="0" w:type="dxa"/>
              <w:right w:w="20" w:type="dxa"/>
            </w:tcMar>
            <w:vAlign w:val="center"/>
            <w:hideMark/>
          </w:tcPr>
          <w:p w14:paraId="490A52B6"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C13FBCA" w14:textId="77777777" w:rsidR="00000000" w:rsidRDefault="000C49AD">
            <w:pPr>
              <w:spacing w:after="100"/>
              <w:jc w:val="right"/>
              <w:rPr>
                <w:rFonts w:eastAsia="Times New Roman"/>
              </w:rPr>
            </w:pPr>
            <w:r>
              <w:rPr>
                <w:rFonts w:eastAsia="Times New Roman"/>
                <w:color w:val="000000"/>
                <w:sz w:val="18"/>
                <w:szCs w:val="18"/>
              </w:rPr>
              <w:t>17,327 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AF4EE6" w14:textId="77777777" w:rsidR="00000000" w:rsidRDefault="000C49AD">
            <w:pPr>
              <w:spacing w:after="100"/>
              <w:jc w:val="right"/>
              <w:rPr>
                <w:rFonts w:eastAsia="Times New Roman"/>
              </w:rPr>
            </w:pPr>
          </w:p>
        </w:tc>
      </w:tr>
      <w:tr w:rsidR="00000000" w14:paraId="3C11AB5B" w14:textId="77777777">
        <w:trPr>
          <w:divId w:val="1620332678"/>
        </w:trPr>
        <w:tc>
          <w:tcPr>
            <w:tcW w:w="0" w:type="auto"/>
            <w:gridSpan w:val="3"/>
            <w:shd w:val="clear" w:color="auto" w:fill="CCEEFF"/>
            <w:tcMar>
              <w:top w:w="30" w:type="dxa"/>
              <w:left w:w="155" w:type="dxa"/>
              <w:bottom w:w="30" w:type="dxa"/>
              <w:right w:w="20" w:type="dxa"/>
            </w:tcMar>
            <w:vAlign w:val="bottom"/>
            <w:hideMark/>
          </w:tcPr>
          <w:p w14:paraId="2339C5A5" w14:textId="77777777" w:rsidR="00000000" w:rsidRDefault="000C49AD">
            <w:pPr>
              <w:spacing w:after="100"/>
              <w:rPr>
                <w:rFonts w:eastAsia="Times New Roman"/>
              </w:rPr>
            </w:pPr>
            <w:r>
              <w:rPr>
                <w:rFonts w:eastAsia="Times New Roman"/>
                <w:color w:val="000000"/>
                <w:sz w:val="18"/>
                <w:szCs w:val="18"/>
              </w:rPr>
              <w:t>Payments of contingent consideration payable</w:t>
            </w:r>
          </w:p>
        </w:tc>
        <w:tc>
          <w:tcPr>
            <w:tcW w:w="0" w:type="auto"/>
            <w:gridSpan w:val="3"/>
            <w:shd w:val="clear" w:color="auto" w:fill="CCEEFF"/>
            <w:tcMar>
              <w:top w:w="0" w:type="dxa"/>
              <w:left w:w="20" w:type="dxa"/>
              <w:bottom w:w="0" w:type="dxa"/>
              <w:right w:w="20" w:type="dxa"/>
            </w:tcMar>
            <w:vAlign w:val="center"/>
            <w:hideMark/>
          </w:tcPr>
          <w:p w14:paraId="7A601C89"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33B80E" w14:textId="77777777" w:rsidR="00000000" w:rsidRDefault="000C49AD">
            <w:pPr>
              <w:spacing w:after="100"/>
              <w:jc w:val="right"/>
              <w:rPr>
                <w:rFonts w:eastAsia="Times New Roman"/>
              </w:rPr>
            </w:pPr>
            <w:r>
              <w:rPr>
                <w:rFonts w:eastAsia="Times New Roman"/>
                <w:color w:val="000000"/>
                <w:sz w:val="18"/>
                <w:szCs w:val="18"/>
              </w:rPr>
              <w:t>(6,189)</w:t>
            </w:r>
          </w:p>
        </w:tc>
        <w:tc>
          <w:tcPr>
            <w:tcW w:w="0" w:type="auto"/>
            <w:shd w:val="clear" w:color="auto" w:fill="CCEEFF"/>
            <w:tcMar>
              <w:top w:w="30" w:type="dxa"/>
              <w:left w:w="0" w:type="dxa"/>
              <w:bottom w:w="30" w:type="dxa"/>
              <w:right w:w="20" w:type="dxa"/>
            </w:tcMar>
            <w:vAlign w:val="bottom"/>
            <w:hideMark/>
          </w:tcPr>
          <w:p w14:paraId="5F28D21E" w14:textId="77777777" w:rsidR="00000000" w:rsidRDefault="000C49AD">
            <w:pPr>
              <w:spacing w:after="100"/>
              <w:jc w:val="right"/>
              <w:rPr>
                <w:rFonts w:eastAsia="Times New Roman"/>
              </w:rPr>
            </w:pPr>
          </w:p>
        </w:tc>
      </w:tr>
      <w:tr w:rsidR="00000000" w14:paraId="0C987839" w14:textId="77777777">
        <w:trPr>
          <w:divId w:val="1620332678"/>
        </w:trPr>
        <w:tc>
          <w:tcPr>
            <w:tcW w:w="0" w:type="auto"/>
            <w:gridSpan w:val="3"/>
            <w:shd w:val="clear" w:color="auto" w:fill="FFFFFF"/>
            <w:tcMar>
              <w:top w:w="30" w:type="dxa"/>
              <w:left w:w="20" w:type="dxa"/>
              <w:bottom w:w="30" w:type="dxa"/>
              <w:right w:w="20" w:type="dxa"/>
            </w:tcMar>
            <w:vAlign w:val="bottom"/>
            <w:hideMark/>
          </w:tcPr>
          <w:p w14:paraId="0CE78F77" w14:textId="77777777" w:rsidR="00000000" w:rsidRDefault="000C49AD">
            <w:pPr>
              <w:spacing w:after="100"/>
              <w:divId w:val="1642467198"/>
              <w:rPr>
                <w:rFonts w:eastAsia="Times New Roman"/>
              </w:rPr>
            </w:pPr>
            <w:r>
              <w:rPr>
                <w:rFonts w:eastAsia="Times New Roman"/>
                <w:color w:val="000000"/>
                <w:sz w:val="18"/>
                <w:szCs w:val="18"/>
              </w:rPr>
              <w:t>Fair value adjustments</w:t>
            </w:r>
            <w:r>
              <w:rPr>
                <w:rFonts w:eastAsia="Times New Roman"/>
                <w:color w:val="000000"/>
                <w:sz w:val="18"/>
                <w:szCs w:val="18"/>
              </w:rPr>
              <w:t xml:space="preserve"> </w:t>
            </w:r>
            <w:r>
              <w:rPr>
                <w:rFonts w:eastAsia="Times New Roman"/>
                <w:color w:val="000000"/>
                <w:sz w:val="12"/>
                <w:szCs w:val="12"/>
              </w:rPr>
              <w:t>(1</w:t>
            </w:r>
            <w:r>
              <w:rPr>
                <w:rFonts w:eastAsia="Times New Roman"/>
                <w:color w:val="000000"/>
                <w:sz w:val="12"/>
                <w:szCs w:val="12"/>
              </w:rPr>
              <w:t>)</w:t>
            </w:r>
          </w:p>
        </w:tc>
        <w:tc>
          <w:tcPr>
            <w:tcW w:w="0" w:type="auto"/>
            <w:gridSpan w:val="3"/>
            <w:shd w:val="clear" w:color="auto" w:fill="FFFFFF"/>
            <w:tcMar>
              <w:top w:w="0" w:type="dxa"/>
              <w:left w:w="20" w:type="dxa"/>
              <w:bottom w:w="0" w:type="dxa"/>
              <w:right w:w="20" w:type="dxa"/>
            </w:tcMar>
            <w:vAlign w:val="center"/>
            <w:hideMark/>
          </w:tcPr>
          <w:p w14:paraId="2A776DB2"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B8189C" w14:textId="77777777" w:rsidR="00000000" w:rsidRDefault="000C49AD">
            <w:pPr>
              <w:spacing w:after="100"/>
              <w:jc w:val="right"/>
              <w:rPr>
                <w:rFonts w:eastAsia="Times New Roman"/>
              </w:rPr>
            </w:pPr>
            <w:r>
              <w:rPr>
                <w:rFonts w:eastAsia="Times New Roman"/>
                <w:color w:val="000000"/>
                <w:sz w:val="18"/>
                <w:szCs w:val="18"/>
              </w:rPr>
              <w:t>3,762 </w:t>
            </w:r>
          </w:p>
        </w:tc>
        <w:tc>
          <w:tcPr>
            <w:tcW w:w="0" w:type="auto"/>
            <w:shd w:val="clear" w:color="auto" w:fill="FFFFFF"/>
            <w:tcMar>
              <w:top w:w="30" w:type="dxa"/>
              <w:left w:w="0" w:type="dxa"/>
              <w:bottom w:w="30" w:type="dxa"/>
              <w:right w:w="20" w:type="dxa"/>
            </w:tcMar>
            <w:vAlign w:val="bottom"/>
            <w:hideMark/>
          </w:tcPr>
          <w:p w14:paraId="2B94F56F" w14:textId="77777777" w:rsidR="00000000" w:rsidRDefault="000C49AD">
            <w:pPr>
              <w:spacing w:after="100"/>
              <w:jc w:val="right"/>
              <w:rPr>
                <w:rFonts w:eastAsia="Times New Roman"/>
              </w:rPr>
            </w:pPr>
          </w:p>
        </w:tc>
      </w:tr>
      <w:tr w:rsidR="00000000" w14:paraId="14A16D24" w14:textId="77777777">
        <w:trPr>
          <w:divId w:val="1620332678"/>
        </w:trPr>
        <w:tc>
          <w:tcPr>
            <w:tcW w:w="0" w:type="auto"/>
            <w:gridSpan w:val="3"/>
            <w:shd w:val="clear" w:color="auto" w:fill="CCEEFF"/>
            <w:tcMar>
              <w:top w:w="30" w:type="dxa"/>
              <w:left w:w="155" w:type="dxa"/>
              <w:bottom w:w="30" w:type="dxa"/>
              <w:right w:w="20" w:type="dxa"/>
            </w:tcMar>
            <w:vAlign w:val="bottom"/>
            <w:hideMark/>
          </w:tcPr>
          <w:p w14:paraId="5048CE77" w14:textId="77777777" w:rsidR="00000000" w:rsidRDefault="000C49AD">
            <w:pPr>
              <w:spacing w:after="100"/>
              <w:rPr>
                <w:rFonts w:eastAsia="Times New Roman"/>
              </w:rPr>
            </w:pPr>
            <w:r>
              <w:rPr>
                <w:rFonts w:eastAsia="Times New Roman"/>
                <w:color w:val="000000"/>
                <w:sz w:val="18"/>
                <w:szCs w:val="18"/>
              </w:rPr>
              <w:t>Disposition of the Hospital Products</w:t>
            </w:r>
          </w:p>
        </w:tc>
        <w:tc>
          <w:tcPr>
            <w:tcW w:w="0" w:type="auto"/>
            <w:gridSpan w:val="3"/>
            <w:shd w:val="clear" w:color="auto" w:fill="CCEEFF"/>
            <w:tcMar>
              <w:top w:w="0" w:type="dxa"/>
              <w:left w:w="20" w:type="dxa"/>
              <w:bottom w:w="0" w:type="dxa"/>
              <w:right w:w="20" w:type="dxa"/>
            </w:tcMar>
            <w:vAlign w:val="center"/>
            <w:hideMark/>
          </w:tcPr>
          <w:p w14:paraId="14258812"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E1D009" w14:textId="77777777" w:rsidR="00000000" w:rsidRDefault="000C49AD">
            <w:pPr>
              <w:spacing w:after="100"/>
              <w:jc w:val="right"/>
              <w:rPr>
                <w:rFonts w:eastAsia="Times New Roman"/>
              </w:rPr>
            </w:pPr>
            <w:r>
              <w:rPr>
                <w:rFonts w:eastAsia="Times New Roman"/>
                <w:color w:val="000000"/>
                <w:sz w:val="18"/>
                <w:szCs w:val="18"/>
              </w:rPr>
              <w:t>(14,900)</w:t>
            </w:r>
          </w:p>
        </w:tc>
        <w:tc>
          <w:tcPr>
            <w:tcW w:w="0" w:type="auto"/>
            <w:shd w:val="clear" w:color="auto" w:fill="CCEEFF"/>
            <w:tcMar>
              <w:top w:w="30" w:type="dxa"/>
              <w:left w:w="0" w:type="dxa"/>
              <w:bottom w:w="30" w:type="dxa"/>
              <w:right w:w="20" w:type="dxa"/>
            </w:tcMar>
            <w:vAlign w:val="bottom"/>
            <w:hideMark/>
          </w:tcPr>
          <w:p w14:paraId="37F6DDA2" w14:textId="77777777" w:rsidR="00000000" w:rsidRDefault="000C49AD">
            <w:pPr>
              <w:spacing w:after="100"/>
              <w:jc w:val="right"/>
              <w:rPr>
                <w:rFonts w:eastAsia="Times New Roman"/>
              </w:rPr>
            </w:pPr>
          </w:p>
        </w:tc>
      </w:tr>
      <w:tr w:rsidR="00000000" w14:paraId="6825B1A2" w14:textId="77777777">
        <w:trPr>
          <w:divId w:val="1620332678"/>
        </w:trPr>
        <w:tc>
          <w:tcPr>
            <w:tcW w:w="0" w:type="auto"/>
            <w:gridSpan w:val="3"/>
            <w:shd w:val="clear" w:color="auto" w:fill="FFFFFF"/>
            <w:tcMar>
              <w:top w:w="30" w:type="dxa"/>
              <w:left w:w="20" w:type="dxa"/>
              <w:bottom w:w="30" w:type="dxa"/>
              <w:right w:w="20" w:type="dxa"/>
            </w:tcMar>
            <w:vAlign w:val="bottom"/>
            <w:hideMark/>
          </w:tcPr>
          <w:p w14:paraId="0FE4B707" w14:textId="77777777" w:rsidR="00000000" w:rsidRDefault="000C49AD">
            <w:pPr>
              <w:spacing w:after="100"/>
              <w:rPr>
                <w:rFonts w:eastAsia="Times New Roman"/>
              </w:rPr>
            </w:pPr>
            <w:r>
              <w:rPr>
                <w:rFonts w:eastAsia="Times New Roman"/>
                <w:color w:val="000000"/>
                <w:sz w:val="18"/>
                <w:szCs w:val="18"/>
              </w:rPr>
              <w:t>Balance at December 31, 2020</w:t>
            </w:r>
          </w:p>
        </w:tc>
        <w:tc>
          <w:tcPr>
            <w:tcW w:w="0" w:type="auto"/>
            <w:gridSpan w:val="3"/>
            <w:shd w:val="clear" w:color="auto" w:fill="FFFFFF"/>
            <w:tcMar>
              <w:top w:w="0" w:type="dxa"/>
              <w:left w:w="20" w:type="dxa"/>
              <w:bottom w:w="0" w:type="dxa"/>
              <w:right w:w="20" w:type="dxa"/>
            </w:tcMar>
            <w:vAlign w:val="center"/>
            <w:hideMark/>
          </w:tcPr>
          <w:p w14:paraId="544E3CD1"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87FFD62"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28822D" w14:textId="77777777" w:rsidR="00000000" w:rsidRDefault="000C49AD">
            <w:pPr>
              <w:spacing w:after="100"/>
              <w:jc w:val="right"/>
              <w:rPr>
                <w:rFonts w:eastAsia="Times New Roman"/>
              </w:rPr>
            </w:pP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A16CF90" w14:textId="77777777" w:rsidR="00000000" w:rsidRDefault="000C49AD">
            <w:pPr>
              <w:spacing w:after="100"/>
              <w:jc w:val="right"/>
              <w:rPr>
                <w:rFonts w:eastAsia="Times New Roman"/>
              </w:rPr>
            </w:pPr>
          </w:p>
        </w:tc>
      </w:tr>
    </w:tbl>
    <w:p w14:paraId="091C8A64" w14:textId="77777777" w:rsidR="00000000" w:rsidRDefault="000C49AD">
      <w:pPr>
        <w:ind w:hanging="180"/>
        <w:jc w:val="both"/>
        <w:rPr>
          <w:rFonts w:eastAsia="Times New Roman"/>
        </w:rPr>
      </w:pPr>
      <w:r>
        <w:rPr>
          <w:rFonts w:eastAsia="Times New Roman"/>
          <w:color w:val="000000"/>
          <w:sz w:val="13"/>
          <w:szCs w:val="13"/>
        </w:rPr>
        <w:t>(1)</w:t>
      </w:r>
      <w:r>
        <w:rPr>
          <w:rFonts w:eastAsia="Times New Roman"/>
          <w:color w:val="000000"/>
          <w:sz w:val="13"/>
          <w:szCs w:val="13"/>
        </w:rPr>
        <w:t xml:space="preserve"> </w:t>
      </w:r>
      <w:r>
        <w:rPr>
          <w:rFonts w:eastAsia="Times New Roman"/>
          <w:color w:val="000000"/>
          <w:sz w:val="20"/>
          <w:szCs w:val="20"/>
        </w:rPr>
        <w:t xml:space="preserve">Fair value adjustments are reported as changes in fair value of contingent consideration and other expense - changes in fair value of contingent consideration payable in the consolidated statements of (loss) income. </w:t>
      </w:r>
      <w:r>
        <w:rPr>
          <w:rFonts w:eastAsia="Times New Roman"/>
          <w:b/>
          <w:bCs/>
          <w:color w:val="000000"/>
          <w:sz w:val="20"/>
          <w:szCs w:val="20"/>
        </w:rPr>
        <w:t> </w:t>
      </w:r>
    </w:p>
    <w:p w14:paraId="26F5DF71" w14:textId="77777777" w:rsidR="00000000" w:rsidRDefault="000C49AD">
      <w:pPr>
        <w:ind w:hanging="180"/>
        <w:jc w:val="both"/>
        <w:rPr>
          <w:rFonts w:eastAsia="Times New Roman"/>
        </w:rPr>
      </w:pPr>
    </w:p>
    <w:p w14:paraId="4189C5F8" w14:textId="77777777" w:rsidR="00000000" w:rsidRDefault="000C49AD">
      <w:pPr>
        <w:jc w:val="center"/>
        <w:divId w:val="1093285223"/>
        <w:rPr>
          <w:rFonts w:eastAsia="Times New Roman"/>
        </w:rPr>
      </w:pPr>
      <w:r>
        <w:rPr>
          <w:rFonts w:eastAsia="Times New Roman"/>
          <w:color w:val="000000"/>
          <w:sz w:val="20"/>
          <w:szCs w:val="20"/>
        </w:rPr>
        <w:t>-91-</w:t>
      </w:r>
    </w:p>
    <w:p w14:paraId="5D7CA5B7" w14:textId="77777777" w:rsidR="00000000" w:rsidRDefault="000C49AD">
      <w:pPr>
        <w:rPr>
          <w:rFonts w:eastAsia="Times New Roman"/>
        </w:rPr>
      </w:pPr>
      <w:r>
        <w:rPr>
          <w:rFonts w:eastAsia="Times New Roman"/>
        </w:rPr>
        <w:pict w14:anchorId="6423A203">
          <v:rect id="_x0000_i1116" style="width:0;height:1.5pt" o:hralign="center" o:hrstd="t" o:hr="t" fillcolor="#a0a0a0" stroked="f"/>
        </w:pict>
      </w:r>
    </w:p>
    <w:p w14:paraId="11EE4988" w14:textId="77777777" w:rsidR="00000000" w:rsidRDefault="000C49AD">
      <w:pPr>
        <w:divId w:val="1278952413"/>
        <w:rPr>
          <w:rFonts w:eastAsia="Times New Roman"/>
        </w:rPr>
      </w:pPr>
    </w:p>
    <w:p w14:paraId="7D879708" w14:textId="77777777" w:rsidR="00000000" w:rsidRDefault="000C49AD">
      <w:pPr>
        <w:jc w:val="both"/>
        <w:divId w:val="1226642651"/>
        <w:rPr>
          <w:rFonts w:eastAsia="Times New Roman"/>
        </w:rPr>
      </w:pPr>
      <w:r>
        <w:rPr>
          <w:rFonts w:eastAsia="Times New Roman"/>
          <w:b/>
          <w:bCs/>
          <w:color w:val="000000"/>
          <w:sz w:val="20"/>
          <w:szCs w:val="20"/>
        </w:rPr>
        <w:t>NOTE 13:</w:t>
      </w:r>
      <w:r>
        <w:rPr>
          <w:rFonts w:eastAsia="Times New Roman"/>
          <w:color w:val="000000"/>
          <w:sz w:val="20"/>
          <w:szCs w:val="20"/>
        </w:rPr>
        <w:t xml:space="preserve"> </w:t>
      </w:r>
      <w:r>
        <w:rPr>
          <w:rFonts w:eastAsia="Times New Roman"/>
          <w:b/>
          <w:bCs/>
          <w:color w:val="000000"/>
          <w:sz w:val="20"/>
          <w:szCs w:val="20"/>
        </w:rPr>
        <w:t>Income Taxes</w:t>
      </w:r>
    </w:p>
    <w:p w14:paraId="55BA09B0" w14:textId="77777777" w:rsidR="00000000" w:rsidRDefault="000C49AD">
      <w:pPr>
        <w:jc w:val="both"/>
        <w:divId w:val="562328502"/>
        <w:rPr>
          <w:rFonts w:eastAsia="Times New Roman"/>
        </w:rPr>
      </w:pPr>
      <w:r>
        <w:rPr>
          <w:rFonts w:eastAsia="Times New Roman"/>
          <w:color w:val="000000"/>
          <w:sz w:val="20"/>
          <w:szCs w:val="20"/>
        </w:rPr>
        <w:t>The components of loss before income taxes for the years ended twelve months ended December 31, are as follows: </w:t>
      </w:r>
    </w:p>
    <w:tbl>
      <w:tblPr>
        <w:tblW w:w="4978" w:type="pct"/>
        <w:tblCellMar>
          <w:top w:w="15" w:type="dxa"/>
          <w:left w:w="15" w:type="dxa"/>
          <w:bottom w:w="15" w:type="dxa"/>
          <w:right w:w="15" w:type="dxa"/>
        </w:tblCellMar>
        <w:tblLook w:val="04A0" w:firstRow="1" w:lastRow="0" w:firstColumn="1" w:lastColumn="0" w:noHBand="0" w:noVBand="1"/>
      </w:tblPr>
      <w:tblGrid>
        <w:gridCol w:w="39"/>
        <w:gridCol w:w="3979"/>
        <w:gridCol w:w="38"/>
        <w:gridCol w:w="36"/>
        <w:gridCol w:w="36"/>
        <w:gridCol w:w="36"/>
        <w:gridCol w:w="110"/>
        <w:gridCol w:w="1149"/>
        <w:gridCol w:w="36"/>
        <w:gridCol w:w="36"/>
        <w:gridCol w:w="36"/>
        <w:gridCol w:w="36"/>
        <w:gridCol w:w="110"/>
        <w:gridCol w:w="1151"/>
        <w:gridCol w:w="36"/>
        <w:gridCol w:w="36"/>
        <w:gridCol w:w="36"/>
        <w:gridCol w:w="36"/>
        <w:gridCol w:w="110"/>
        <w:gridCol w:w="1151"/>
        <w:gridCol w:w="36"/>
      </w:tblGrid>
      <w:tr w:rsidR="00000000" w14:paraId="6BAD1CF7" w14:textId="77777777">
        <w:trPr>
          <w:divId w:val="1331250883"/>
        </w:trPr>
        <w:tc>
          <w:tcPr>
            <w:tcW w:w="50" w:type="pct"/>
            <w:vAlign w:val="center"/>
            <w:hideMark/>
          </w:tcPr>
          <w:p w14:paraId="5D128179" w14:textId="77777777" w:rsidR="00000000" w:rsidRDefault="000C49AD">
            <w:pPr>
              <w:jc w:val="both"/>
              <w:rPr>
                <w:rFonts w:eastAsia="Times New Roman"/>
              </w:rPr>
            </w:pPr>
          </w:p>
        </w:tc>
        <w:tc>
          <w:tcPr>
            <w:tcW w:w="2433" w:type="pct"/>
            <w:vAlign w:val="center"/>
            <w:hideMark/>
          </w:tcPr>
          <w:p w14:paraId="29FDE550" w14:textId="77777777" w:rsidR="00000000" w:rsidRDefault="000C49AD">
            <w:pPr>
              <w:spacing w:after="100"/>
              <w:rPr>
                <w:rFonts w:eastAsia="Times New Roman"/>
                <w:sz w:val="20"/>
                <w:szCs w:val="20"/>
              </w:rPr>
            </w:pPr>
          </w:p>
        </w:tc>
        <w:tc>
          <w:tcPr>
            <w:tcW w:w="5" w:type="pct"/>
            <w:vAlign w:val="center"/>
            <w:hideMark/>
          </w:tcPr>
          <w:p w14:paraId="0C52E630" w14:textId="77777777" w:rsidR="00000000" w:rsidRDefault="000C49AD">
            <w:pPr>
              <w:spacing w:after="100"/>
              <w:rPr>
                <w:rFonts w:eastAsia="Times New Roman"/>
                <w:sz w:val="20"/>
                <w:szCs w:val="20"/>
              </w:rPr>
            </w:pPr>
          </w:p>
        </w:tc>
        <w:tc>
          <w:tcPr>
            <w:tcW w:w="5" w:type="pct"/>
            <w:vAlign w:val="center"/>
            <w:hideMark/>
          </w:tcPr>
          <w:p w14:paraId="635574C9" w14:textId="77777777" w:rsidR="00000000" w:rsidRDefault="000C49AD">
            <w:pPr>
              <w:spacing w:after="100"/>
              <w:rPr>
                <w:rFonts w:eastAsia="Times New Roman"/>
                <w:sz w:val="20"/>
                <w:szCs w:val="20"/>
              </w:rPr>
            </w:pPr>
          </w:p>
        </w:tc>
        <w:tc>
          <w:tcPr>
            <w:tcW w:w="26" w:type="pct"/>
            <w:vAlign w:val="center"/>
            <w:hideMark/>
          </w:tcPr>
          <w:p w14:paraId="606E2972" w14:textId="77777777" w:rsidR="00000000" w:rsidRDefault="000C49AD">
            <w:pPr>
              <w:spacing w:after="100"/>
              <w:rPr>
                <w:rFonts w:eastAsia="Times New Roman"/>
                <w:sz w:val="20"/>
                <w:szCs w:val="20"/>
              </w:rPr>
            </w:pPr>
          </w:p>
        </w:tc>
        <w:tc>
          <w:tcPr>
            <w:tcW w:w="5" w:type="pct"/>
            <w:vAlign w:val="center"/>
            <w:hideMark/>
          </w:tcPr>
          <w:p w14:paraId="7D38DFDD" w14:textId="77777777" w:rsidR="00000000" w:rsidRDefault="000C49AD">
            <w:pPr>
              <w:spacing w:after="100"/>
              <w:rPr>
                <w:rFonts w:eastAsia="Times New Roman"/>
                <w:sz w:val="20"/>
                <w:szCs w:val="20"/>
              </w:rPr>
            </w:pPr>
          </w:p>
        </w:tc>
        <w:tc>
          <w:tcPr>
            <w:tcW w:w="50" w:type="pct"/>
            <w:vAlign w:val="center"/>
            <w:hideMark/>
          </w:tcPr>
          <w:p w14:paraId="09F11F3E" w14:textId="77777777" w:rsidR="00000000" w:rsidRDefault="000C49AD">
            <w:pPr>
              <w:spacing w:after="100"/>
              <w:rPr>
                <w:rFonts w:eastAsia="Times New Roman"/>
                <w:sz w:val="20"/>
                <w:szCs w:val="20"/>
              </w:rPr>
            </w:pPr>
          </w:p>
        </w:tc>
        <w:tc>
          <w:tcPr>
            <w:tcW w:w="745" w:type="pct"/>
            <w:vAlign w:val="center"/>
            <w:hideMark/>
          </w:tcPr>
          <w:p w14:paraId="02484E0A" w14:textId="77777777" w:rsidR="00000000" w:rsidRDefault="000C49AD">
            <w:pPr>
              <w:spacing w:after="100"/>
              <w:rPr>
                <w:rFonts w:eastAsia="Times New Roman"/>
                <w:sz w:val="20"/>
                <w:szCs w:val="20"/>
              </w:rPr>
            </w:pPr>
          </w:p>
        </w:tc>
        <w:tc>
          <w:tcPr>
            <w:tcW w:w="5" w:type="pct"/>
            <w:vAlign w:val="center"/>
            <w:hideMark/>
          </w:tcPr>
          <w:p w14:paraId="2AE6982C" w14:textId="77777777" w:rsidR="00000000" w:rsidRDefault="000C49AD">
            <w:pPr>
              <w:spacing w:after="100"/>
              <w:rPr>
                <w:rFonts w:eastAsia="Times New Roman"/>
                <w:sz w:val="20"/>
                <w:szCs w:val="20"/>
              </w:rPr>
            </w:pPr>
          </w:p>
        </w:tc>
        <w:tc>
          <w:tcPr>
            <w:tcW w:w="5" w:type="pct"/>
            <w:vAlign w:val="center"/>
            <w:hideMark/>
          </w:tcPr>
          <w:p w14:paraId="6B688ED9" w14:textId="77777777" w:rsidR="00000000" w:rsidRDefault="000C49AD">
            <w:pPr>
              <w:spacing w:after="100"/>
              <w:rPr>
                <w:rFonts w:eastAsia="Times New Roman"/>
                <w:sz w:val="20"/>
                <w:szCs w:val="20"/>
              </w:rPr>
            </w:pPr>
          </w:p>
        </w:tc>
        <w:tc>
          <w:tcPr>
            <w:tcW w:w="26" w:type="pct"/>
            <w:vAlign w:val="center"/>
            <w:hideMark/>
          </w:tcPr>
          <w:p w14:paraId="253D1AE3" w14:textId="77777777" w:rsidR="00000000" w:rsidRDefault="000C49AD">
            <w:pPr>
              <w:spacing w:after="100"/>
              <w:rPr>
                <w:rFonts w:eastAsia="Times New Roman"/>
                <w:sz w:val="20"/>
                <w:szCs w:val="20"/>
              </w:rPr>
            </w:pPr>
          </w:p>
        </w:tc>
        <w:tc>
          <w:tcPr>
            <w:tcW w:w="5" w:type="pct"/>
            <w:vAlign w:val="center"/>
            <w:hideMark/>
          </w:tcPr>
          <w:p w14:paraId="343D3A47" w14:textId="77777777" w:rsidR="00000000" w:rsidRDefault="000C49AD">
            <w:pPr>
              <w:spacing w:after="100"/>
              <w:rPr>
                <w:rFonts w:eastAsia="Times New Roman"/>
                <w:sz w:val="20"/>
                <w:szCs w:val="20"/>
              </w:rPr>
            </w:pPr>
          </w:p>
        </w:tc>
        <w:tc>
          <w:tcPr>
            <w:tcW w:w="50" w:type="pct"/>
            <w:vAlign w:val="center"/>
            <w:hideMark/>
          </w:tcPr>
          <w:p w14:paraId="2BF17808" w14:textId="77777777" w:rsidR="00000000" w:rsidRDefault="000C49AD">
            <w:pPr>
              <w:spacing w:after="100"/>
              <w:rPr>
                <w:rFonts w:eastAsia="Times New Roman"/>
                <w:sz w:val="20"/>
                <w:szCs w:val="20"/>
              </w:rPr>
            </w:pPr>
          </w:p>
        </w:tc>
        <w:tc>
          <w:tcPr>
            <w:tcW w:w="745" w:type="pct"/>
            <w:vAlign w:val="center"/>
            <w:hideMark/>
          </w:tcPr>
          <w:p w14:paraId="69969442" w14:textId="77777777" w:rsidR="00000000" w:rsidRDefault="000C49AD">
            <w:pPr>
              <w:spacing w:after="100"/>
              <w:rPr>
                <w:rFonts w:eastAsia="Times New Roman"/>
                <w:sz w:val="20"/>
                <w:szCs w:val="20"/>
              </w:rPr>
            </w:pPr>
          </w:p>
        </w:tc>
        <w:tc>
          <w:tcPr>
            <w:tcW w:w="5" w:type="pct"/>
            <w:vAlign w:val="center"/>
            <w:hideMark/>
          </w:tcPr>
          <w:p w14:paraId="50C2A182" w14:textId="77777777" w:rsidR="00000000" w:rsidRDefault="000C49AD">
            <w:pPr>
              <w:spacing w:after="100"/>
              <w:rPr>
                <w:rFonts w:eastAsia="Times New Roman"/>
                <w:sz w:val="20"/>
                <w:szCs w:val="20"/>
              </w:rPr>
            </w:pPr>
          </w:p>
        </w:tc>
        <w:tc>
          <w:tcPr>
            <w:tcW w:w="5" w:type="pct"/>
            <w:vAlign w:val="center"/>
            <w:hideMark/>
          </w:tcPr>
          <w:p w14:paraId="55BAE9E4" w14:textId="77777777" w:rsidR="00000000" w:rsidRDefault="000C49AD">
            <w:pPr>
              <w:spacing w:after="100"/>
              <w:rPr>
                <w:rFonts w:eastAsia="Times New Roman"/>
                <w:sz w:val="20"/>
                <w:szCs w:val="20"/>
              </w:rPr>
            </w:pPr>
          </w:p>
        </w:tc>
        <w:tc>
          <w:tcPr>
            <w:tcW w:w="26" w:type="pct"/>
            <w:vAlign w:val="center"/>
            <w:hideMark/>
          </w:tcPr>
          <w:p w14:paraId="7EABBEB8" w14:textId="77777777" w:rsidR="00000000" w:rsidRDefault="000C49AD">
            <w:pPr>
              <w:spacing w:after="100"/>
              <w:rPr>
                <w:rFonts w:eastAsia="Times New Roman"/>
                <w:sz w:val="20"/>
                <w:szCs w:val="20"/>
              </w:rPr>
            </w:pPr>
          </w:p>
        </w:tc>
        <w:tc>
          <w:tcPr>
            <w:tcW w:w="5" w:type="pct"/>
            <w:vAlign w:val="center"/>
            <w:hideMark/>
          </w:tcPr>
          <w:p w14:paraId="1DC09274" w14:textId="77777777" w:rsidR="00000000" w:rsidRDefault="000C49AD">
            <w:pPr>
              <w:spacing w:after="100"/>
              <w:rPr>
                <w:rFonts w:eastAsia="Times New Roman"/>
                <w:sz w:val="20"/>
                <w:szCs w:val="20"/>
              </w:rPr>
            </w:pPr>
          </w:p>
        </w:tc>
        <w:tc>
          <w:tcPr>
            <w:tcW w:w="50" w:type="pct"/>
            <w:vAlign w:val="center"/>
            <w:hideMark/>
          </w:tcPr>
          <w:p w14:paraId="7FBF3E7C" w14:textId="77777777" w:rsidR="00000000" w:rsidRDefault="000C49AD">
            <w:pPr>
              <w:spacing w:after="100"/>
              <w:rPr>
                <w:rFonts w:eastAsia="Times New Roman"/>
                <w:sz w:val="20"/>
                <w:szCs w:val="20"/>
              </w:rPr>
            </w:pPr>
          </w:p>
        </w:tc>
        <w:tc>
          <w:tcPr>
            <w:tcW w:w="745" w:type="pct"/>
            <w:vAlign w:val="center"/>
            <w:hideMark/>
          </w:tcPr>
          <w:p w14:paraId="66CD0CC9" w14:textId="77777777" w:rsidR="00000000" w:rsidRDefault="000C49AD">
            <w:pPr>
              <w:spacing w:after="100"/>
              <w:rPr>
                <w:rFonts w:eastAsia="Times New Roman"/>
                <w:sz w:val="20"/>
                <w:szCs w:val="20"/>
              </w:rPr>
            </w:pPr>
          </w:p>
        </w:tc>
        <w:tc>
          <w:tcPr>
            <w:tcW w:w="5" w:type="pct"/>
            <w:vAlign w:val="center"/>
            <w:hideMark/>
          </w:tcPr>
          <w:p w14:paraId="63707108" w14:textId="77777777" w:rsidR="00000000" w:rsidRDefault="000C49AD">
            <w:pPr>
              <w:spacing w:after="100"/>
              <w:rPr>
                <w:rFonts w:eastAsia="Times New Roman"/>
                <w:sz w:val="20"/>
                <w:szCs w:val="20"/>
              </w:rPr>
            </w:pPr>
          </w:p>
        </w:tc>
      </w:tr>
      <w:tr w:rsidR="00000000" w14:paraId="231DB9EA" w14:textId="77777777">
        <w:trPr>
          <w:divId w:val="1331250883"/>
        </w:trPr>
        <w:tc>
          <w:tcPr>
            <w:tcW w:w="0" w:type="auto"/>
            <w:gridSpan w:val="3"/>
            <w:tcMar>
              <w:top w:w="30" w:type="dxa"/>
              <w:left w:w="20" w:type="dxa"/>
              <w:bottom w:w="30" w:type="dxa"/>
              <w:right w:w="20" w:type="dxa"/>
            </w:tcMar>
            <w:vAlign w:val="bottom"/>
            <w:hideMark/>
          </w:tcPr>
          <w:p w14:paraId="6B3D207F" w14:textId="77777777" w:rsidR="00000000" w:rsidRDefault="000C49AD">
            <w:pPr>
              <w:spacing w:after="100"/>
              <w:rPr>
                <w:rFonts w:eastAsia="Times New Roman"/>
              </w:rPr>
            </w:pPr>
            <w:r>
              <w:rPr>
                <w:rFonts w:eastAsia="Times New Roman"/>
                <w:b/>
                <w:bCs/>
                <w:color w:val="000000"/>
                <w:sz w:val="18"/>
                <w:szCs w:val="18"/>
              </w:rPr>
              <w:t>Loss Before Income Taxes:</w:t>
            </w:r>
          </w:p>
        </w:tc>
        <w:tc>
          <w:tcPr>
            <w:tcW w:w="0" w:type="auto"/>
            <w:gridSpan w:val="3"/>
            <w:tcMar>
              <w:top w:w="0" w:type="dxa"/>
              <w:left w:w="20" w:type="dxa"/>
              <w:bottom w:w="0" w:type="dxa"/>
              <w:right w:w="20" w:type="dxa"/>
            </w:tcMar>
            <w:vAlign w:val="center"/>
            <w:hideMark/>
          </w:tcPr>
          <w:p w14:paraId="23149037"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66ED4CFE"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8AFA343"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51705E6"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1F4A2A1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B3E610A"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755214E4" w14:textId="77777777">
        <w:trPr>
          <w:divId w:val="1331250883"/>
          <w:trHeight w:val="60"/>
        </w:trPr>
        <w:tc>
          <w:tcPr>
            <w:tcW w:w="0" w:type="auto"/>
            <w:gridSpan w:val="3"/>
            <w:tcBorders>
              <w:top w:val="single" w:sz="8" w:space="0" w:color="000000"/>
            </w:tcBorders>
            <w:tcMar>
              <w:top w:w="0" w:type="dxa"/>
              <w:left w:w="20" w:type="dxa"/>
              <w:bottom w:w="0" w:type="dxa"/>
              <w:right w:w="20" w:type="dxa"/>
            </w:tcMar>
            <w:vAlign w:val="center"/>
            <w:hideMark/>
          </w:tcPr>
          <w:p w14:paraId="46721475"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187AD2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0AE3D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D4C404"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E70BDC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2D131F"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A435CF6" w14:textId="77777777" w:rsidR="00000000" w:rsidRDefault="000C49AD">
            <w:pPr>
              <w:spacing w:after="100"/>
              <w:rPr>
                <w:rFonts w:eastAsia="Times New Roman"/>
                <w:sz w:val="20"/>
                <w:szCs w:val="20"/>
              </w:rPr>
            </w:pPr>
          </w:p>
        </w:tc>
      </w:tr>
      <w:tr w:rsidR="00000000" w14:paraId="4EC1352B" w14:textId="77777777">
        <w:trPr>
          <w:divId w:val="1331250883"/>
        </w:trPr>
        <w:tc>
          <w:tcPr>
            <w:tcW w:w="0" w:type="auto"/>
            <w:gridSpan w:val="3"/>
            <w:shd w:val="clear" w:color="auto" w:fill="CCEEFF"/>
            <w:tcMar>
              <w:top w:w="30" w:type="dxa"/>
              <w:left w:w="155" w:type="dxa"/>
              <w:bottom w:w="30" w:type="dxa"/>
              <w:right w:w="20" w:type="dxa"/>
            </w:tcMar>
            <w:vAlign w:val="bottom"/>
            <w:hideMark/>
          </w:tcPr>
          <w:p w14:paraId="68F872A0" w14:textId="77777777" w:rsidR="00000000" w:rsidRDefault="000C49AD">
            <w:pPr>
              <w:spacing w:after="100"/>
              <w:rPr>
                <w:rFonts w:eastAsia="Times New Roman"/>
              </w:rPr>
            </w:pPr>
            <w:r>
              <w:rPr>
                <w:rFonts w:eastAsia="Times New Roman"/>
                <w:color w:val="000000"/>
                <w:sz w:val="18"/>
                <w:szCs w:val="18"/>
              </w:rPr>
              <w:t>Ireland</w:t>
            </w:r>
          </w:p>
        </w:tc>
        <w:tc>
          <w:tcPr>
            <w:tcW w:w="0" w:type="auto"/>
            <w:gridSpan w:val="3"/>
            <w:shd w:val="clear" w:color="auto" w:fill="CCEEFF"/>
            <w:tcMar>
              <w:top w:w="0" w:type="dxa"/>
              <w:left w:w="20" w:type="dxa"/>
              <w:bottom w:w="0" w:type="dxa"/>
              <w:right w:w="20" w:type="dxa"/>
            </w:tcMar>
            <w:vAlign w:val="center"/>
            <w:hideMark/>
          </w:tcPr>
          <w:p w14:paraId="1E525173"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70B5CC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9F31A61" w14:textId="77777777" w:rsidR="00000000" w:rsidRDefault="000C49AD">
            <w:pPr>
              <w:spacing w:after="100"/>
              <w:jc w:val="right"/>
              <w:rPr>
                <w:rFonts w:eastAsia="Times New Roman"/>
              </w:rPr>
            </w:pPr>
            <w:r>
              <w:rPr>
                <w:rFonts w:eastAsia="Times New Roman"/>
                <w:color w:val="000000"/>
                <w:sz w:val="18"/>
                <w:szCs w:val="18"/>
              </w:rPr>
              <w:t>(36,631)</w:t>
            </w:r>
          </w:p>
        </w:tc>
        <w:tc>
          <w:tcPr>
            <w:tcW w:w="0" w:type="auto"/>
            <w:shd w:val="clear" w:color="auto" w:fill="CCEEFF"/>
            <w:tcMar>
              <w:top w:w="30" w:type="dxa"/>
              <w:left w:w="0" w:type="dxa"/>
              <w:bottom w:w="30" w:type="dxa"/>
              <w:right w:w="20" w:type="dxa"/>
            </w:tcMar>
            <w:vAlign w:val="bottom"/>
            <w:hideMark/>
          </w:tcPr>
          <w:p w14:paraId="2E47DE2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22024B"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BEAA5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A99ED86" w14:textId="77777777" w:rsidR="00000000" w:rsidRDefault="000C49AD">
            <w:pPr>
              <w:spacing w:after="100"/>
              <w:jc w:val="right"/>
              <w:rPr>
                <w:rFonts w:eastAsia="Times New Roman"/>
              </w:rPr>
            </w:pPr>
            <w:r>
              <w:rPr>
                <w:rFonts w:eastAsia="Times New Roman"/>
                <w:color w:val="000000"/>
                <w:sz w:val="18"/>
                <w:szCs w:val="18"/>
              </w:rPr>
              <w:t>(27,205)</w:t>
            </w:r>
          </w:p>
        </w:tc>
        <w:tc>
          <w:tcPr>
            <w:tcW w:w="0" w:type="auto"/>
            <w:shd w:val="clear" w:color="auto" w:fill="CCEEFF"/>
            <w:tcMar>
              <w:top w:w="30" w:type="dxa"/>
              <w:left w:w="0" w:type="dxa"/>
              <w:bottom w:w="30" w:type="dxa"/>
              <w:right w:w="20" w:type="dxa"/>
            </w:tcMar>
            <w:vAlign w:val="bottom"/>
            <w:hideMark/>
          </w:tcPr>
          <w:p w14:paraId="7E3A1BA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48834"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29E9F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9016F9E" w14:textId="77777777" w:rsidR="00000000" w:rsidRDefault="000C49AD">
            <w:pPr>
              <w:spacing w:after="100"/>
              <w:jc w:val="right"/>
              <w:rPr>
                <w:rFonts w:eastAsia="Times New Roman"/>
              </w:rPr>
            </w:pPr>
            <w:r>
              <w:rPr>
                <w:rFonts w:eastAsia="Times New Roman"/>
                <w:color w:val="000000"/>
                <w:sz w:val="18"/>
                <w:szCs w:val="18"/>
              </w:rPr>
              <w:t>(50,134)</w:t>
            </w:r>
          </w:p>
        </w:tc>
        <w:tc>
          <w:tcPr>
            <w:tcW w:w="0" w:type="auto"/>
            <w:shd w:val="clear" w:color="auto" w:fill="CCEEFF"/>
            <w:tcMar>
              <w:top w:w="30" w:type="dxa"/>
              <w:left w:w="0" w:type="dxa"/>
              <w:bottom w:w="30" w:type="dxa"/>
              <w:right w:w="20" w:type="dxa"/>
            </w:tcMar>
            <w:vAlign w:val="bottom"/>
            <w:hideMark/>
          </w:tcPr>
          <w:p w14:paraId="1723AD6F" w14:textId="77777777" w:rsidR="00000000" w:rsidRDefault="000C49AD">
            <w:pPr>
              <w:spacing w:after="100"/>
              <w:jc w:val="right"/>
              <w:rPr>
                <w:rFonts w:eastAsia="Times New Roman"/>
              </w:rPr>
            </w:pPr>
          </w:p>
        </w:tc>
      </w:tr>
      <w:tr w:rsidR="00000000" w14:paraId="330E3E19" w14:textId="77777777">
        <w:trPr>
          <w:divId w:val="1331250883"/>
        </w:trPr>
        <w:tc>
          <w:tcPr>
            <w:tcW w:w="0" w:type="auto"/>
            <w:gridSpan w:val="3"/>
            <w:shd w:val="clear" w:color="auto" w:fill="FFFFFF"/>
            <w:tcMar>
              <w:top w:w="30" w:type="dxa"/>
              <w:left w:w="155" w:type="dxa"/>
              <w:bottom w:w="30" w:type="dxa"/>
              <w:right w:w="20" w:type="dxa"/>
            </w:tcMar>
            <w:vAlign w:val="bottom"/>
            <w:hideMark/>
          </w:tcPr>
          <w:p w14:paraId="65219526" w14:textId="77777777" w:rsidR="00000000" w:rsidRDefault="000C49AD">
            <w:pPr>
              <w:spacing w:after="100"/>
              <w:rPr>
                <w:rFonts w:eastAsia="Times New Roman"/>
              </w:rPr>
            </w:pPr>
            <w:r>
              <w:rPr>
                <w:rFonts w:eastAsia="Times New Roman"/>
                <w:color w:val="000000"/>
                <w:sz w:val="18"/>
                <w:szCs w:val="18"/>
              </w:rPr>
              <w:t>U.S.</w:t>
            </w:r>
          </w:p>
        </w:tc>
        <w:tc>
          <w:tcPr>
            <w:tcW w:w="0" w:type="auto"/>
            <w:gridSpan w:val="3"/>
            <w:shd w:val="clear" w:color="auto" w:fill="FFFFFF"/>
            <w:tcMar>
              <w:top w:w="0" w:type="dxa"/>
              <w:left w:w="20" w:type="dxa"/>
              <w:bottom w:w="0" w:type="dxa"/>
              <w:right w:w="20" w:type="dxa"/>
            </w:tcMar>
            <w:vAlign w:val="center"/>
            <w:hideMark/>
          </w:tcPr>
          <w:p w14:paraId="5463CD8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3D0EED8" w14:textId="77777777" w:rsidR="00000000" w:rsidRDefault="000C49AD">
            <w:pPr>
              <w:spacing w:after="100"/>
              <w:jc w:val="right"/>
              <w:rPr>
                <w:rFonts w:eastAsia="Times New Roman"/>
              </w:rPr>
            </w:pPr>
            <w:r>
              <w:rPr>
                <w:rFonts w:eastAsia="Times New Roman"/>
                <w:color w:val="000000"/>
                <w:sz w:val="18"/>
                <w:szCs w:val="18"/>
              </w:rPr>
              <w:t>(56,687)</w:t>
            </w:r>
          </w:p>
        </w:tc>
        <w:tc>
          <w:tcPr>
            <w:tcW w:w="0" w:type="auto"/>
            <w:shd w:val="clear" w:color="auto" w:fill="FFFFFF"/>
            <w:tcMar>
              <w:top w:w="30" w:type="dxa"/>
              <w:left w:w="0" w:type="dxa"/>
              <w:bottom w:w="30" w:type="dxa"/>
              <w:right w:w="20" w:type="dxa"/>
            </w:tcMar>
            <w:vAlign w:val="bottom"/>
            <w:hideMark/>
          </w:tcPr>
          <w:p w14:paraId="5167816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DD0BD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1BF764" w14:textId="77777777" w:rsidR="00000000" w:rsidRDefault="000C49AD">
            <w:pPr>
              <w:spacing w:after="100"/>
              <w:jc w:val="right"/>
              <w:rPr>
                <w:rFonts w:eastAsia="Times New Roman"/>
              </w:rPr>
            </w:pPr>
            <w:r>
              <w:rPr>
                <w:rFonts w:eastAsia="Times New Roman"/>
                <w:color w:val="000000"/>
                <w:sz w:val="18"/>
                <w:szCs w:val="18"/>
              </w:rPr>
              <w:t>22,335 </w:t>
            </w:r>
          </w:p>
        </w:tc>
        <w:tc>
          <w:tcPr>
            <w:tcW w:w="0" w:type="auto"/>
            <w:shd w:val="clear" w:color="auto" w:fill="FFFFFF"/>
            <w:tcMar>
              <w:top w:w="30" w:type="dxa"/>
              <w:left w:w="0" w:type="dxa"/>
              <w:bottom w:w="30" w:type="dxa"/>
              <w:right w:w="20" w:type="dxa"/>
            </w:tcMar>
            <w:vAlign w:val="bottom"/>
            <w:hideMark/>
          </w:tcPr>
          <w:p w14:paraId="14EEB1B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23782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C5CB2E" w14:textId="77777777" w:rsidR="00000000" w:rsidRDefault="000C49AD">
            <w:pPr>
              <w:spacing w:after="100"/>
              <w:jc w:val="right"/>
              <w:rPr>
                <w:rFonts w:eastAsia="Times New Roman"/>
              </w:rPr>
            </w:pPr>
            <w:r>
              <w:rPr>
                <w:rFonts w:eastAsia="Times New Roman"/>
                <w:color w:val="000000"/>
                <w:sz w:val="18"/>
                <w:szCs w:val="18"/>
              </w:rPr>
              <w:t>10,401 </w:t>
            </w:r>
          </w:p>
        </w:tc>
        <w:tc>
          <w:tcPr>
            <w:tcW w:w="0" w:type="auto"/>
            <w:shd w:val="clear" w:color="auto" w:fill="FFFFFF"/>
            <w:tcMar>
              <w:top w:w="30" w:type="dxa"/>
              <w:left w:w="0" w:type="dxa"/>
              <w:bottom w:w="30" w:type="dxa"/>
              <w:right w:w="20" w:type="dxa"/>
            </w:tcMar>
            <w:vAlign w:val="bottom"/>
            <w:hideMark/>
          </w:tcPr>
          <w:p w14:paraId="6210A170" w14:textId="77777777" w:rsidR="00000000" w:rsidRDefault="000C49AD">
            <w:pPr>
              <w:spacing w:after="100"/>
              <w:jc w:val="right"/>
              <w:rPr>
                <w:rFonts w:eastAsia="Times New Roman"/>
              </w:rPr>
            </w:pPr>
          </w:p>
        </w:tc>
      </w:tr>
      <w:tr w:rsidR="00000000" w14:paraId="3CF65076" w14:textId="77777777">
        <w:trPr>
          <w:divId w:val="1331250883"/>
        </w:trPr>
        <w:tc>
          <w:tcPr>
            <w:tcW w:w="0" w:type="auto"/>
            <w:gridSpan w:val="3"/>
            <w:shd w:val="clear" w:color="auto" w:fill="CCEEFF"/>
            <w:tcMar>
              <w:top w:w="30" w:type="dxa"/>
              <w:left w:w="155" w:type="dxa"/>
              <w:bottom w:w="30" w:type="dxa"/>
              <w:right w:w="20" w:type="dxa"/>
            </w:tcMar>
            <w:vAlign w:val="bottom"/>
            <w:hideMark/>
          </w:tcPr>
          <w:p w14:paraId="44711AF3" w14:textId="77777777" w:rsidR="00000000" w:rsidRDefault="000C49AD">
            <w:pPr>
              <w:spacing w:after="100"/>
              <w:rPr>
                <w:rFonts w:eastAsia="Times New Roman"/>
              </w:rPr>
            </w:pPr>
            <w:r>
              <w:rPr>
                <w:rFonts w:eastAsia="Times New Roman"/>
                <w:color w:val="000000"/>
                <w:sz w:val="18"/>
                <w:szCs w:val="18"/>
              </w:rPr>
              <w:t>France</w:t>
            </w:r>
          </w:p>
        </w:tc>
        <w:tc>
          <w:tcPr>
            <w:tcW w:w="0" w:type="auto"/>
            <w:gridSpan w:val="3"/>
            <w:shd w:val="clear" w:color="auto" w:fill="CCEEFF"/>
            <w:tcMar>
              <w:top w:w="0" w:type="dxa"/>
              <w:left w:w="20" w:type="dxa"/>
              <w:bottom w:w="0" w:type="dxa"/>
              <w:right w:w="20" w:type="dxa"/>
            </w:tcMar>
            <w:vAlign w:val="center"/>
            <w:hideMark/>
          </w:tcPr>
          <w:p w14:paraId="4223BC43"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FA23F7" w14:textId="77777777" w:rsidR="00000000" w:rsidRDefault="000C49AD">
            <w:pPr>
              <w:spacing w:after="100"/>
              <w:jc w:val="right"/>
              <w:rPr>
                <w:rFonts w:eastAsia="Times New Roman"/>
              </w:rPr>
            </w:pPr>
            <w:r>
              <w:rPr>
                <w:rFonts w:eastAsia="Times New Roman"/>
                <w:color w:val="000000"/>
                <w:sz w:val="18"/>
                <w:szCs w:val="18"/>
              </w:rPr>
              <w:t>173 </w:t>
            </w:r>
          </w:p>
        </w:tc>
        <w:tc>
          <w:tcPr>
            <w:tcW w:w="0" w:type="auto"/>
            <w:shd w:val="clear" w:color="auto" w:fill="CCEEFF"/>
            <w:tcMar>
              <w:top w:w="30" w:type="dxa"/>
              <w:left w:w="0" w:type="dxa"/>
              <w:bottom w:w="30" w:type="dxa"/>
              <w:right w:w="20" w:type="dxa"/>
            </w:tcMar>
            <w:vAlign w:val="bottom"/>
            <w:hideMark/>
          </w:tcPr>
          <w:p w14:paraId="6A429B7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52EAE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09EB52" w14:textId="77777777" w:rsidR="00000000" w:rsidRDefault="000C49AD">
            <w:pPr>
              <w:spacing w:after="100"/>
              <w:jc w:val="right"/>
              <w:rPr>
                <w:rFonts w:eastAsia="Times New Roman"/>
              </w:rPr>
            </w:pPr>
            <w:r>
              <w:rPr>
                <w:rFonts w:eastAsia="Times New Roman"/>
                <w:color w:val="000000"/>
                <w:sz w:val="18"/>
                <w:szCs w:val="18"/>
              </w:rPr>
              <w:t>(212)</w:t>
            </w:r>
          </w:p>
        </w:tc>
        <w:tc>
          <w:tcPr>
            <w:tcW w:w="0" w:type="auto"/>
            <w:shd w:val="clear" w:color="auto" w:fill="CCEEFF"/>
            <w:tcMar>
              <w:top w:w="30" w:type="dxa"/>
              <w:left w:w="0" w:type="dxa"/>
              <w:bottom w:w="30" w:type="dxa"/>
              <w:right w:w="20" w:type="dxa"/>
            </w:tcMar>
            <w:vAlign w:val="bottom"/>
            <w:hideMark/>
          </w:tcPr>
          <w:p w14:paraId="57956EF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D00E0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B79AEE" w14:textId="77777777" w:rsidR="00000000" w:rsidRDefault="000C49AD">
            <w:pPr>
              <w:spacing w:after="100"/>
              <w:jc w:val="right"/>
              <w:rPr>
                <w:rFonts w:eastAsia="Times New Roman"/>
              </w:rPr>
            </w:pPr>
            <w:r>
              <w:rPr>
                <w:rFonts w:eastAsia="Times New Roman"/>
                <w:color w:val="000000"/>
                <w:sz w:val="18"/>
                <w:szCs w:val="18"/>
              </w:rPr>
              <w:t>1,151 </w:t>
            </w:r>
          </w:p>
        </w:tc>
        <w:tc>
          <w:tcPr>
            <w:tcW w:w="0" w:type="auto"/>
            <w:shd w:val="clear" w:color="auto" w:fill="CCEEFF"/>
            <w:tcMar>
              <w:top w:w="30" w:type="dxa"/>
              <w:left w:w="0" w:type="dxa"/>
              <w:bottom w:w="30" w:type="dxa"/>
              <w:right w:w="20" w:type="dxa"/>
            </w:tcMar>
            <w:vAlign w:val="bottom"/>
            <w:hideMark/>
          </w:tcPr>
          <w:p w14:paraId="30BF7B9F" w14:textId="77777777" w:rsidR="00000000" w:rsidRDefault="000C49AD">
            <w:pPr>
              <w:spacing w:after="100"/>
              <w:jc w:val="right"/>
              <w:rPr>
                <w:rFonts w:eastAsia="Times New Roman"/>
              </w:rPr>
            </w:pPr>
          </w:p>
        </w:tc>
      </w:tr>
      <w:tr w:rsidR="00000000" w14:paraId="3792B81F" w14:textId="77777777">
        <w:trPr>
          <w:divId w:val="1331250883"/>
        </w:trPr>
        <w:tc>
          <w:tcPr>
            <w:tcW w:w="0" w:type="auto"/>
            <w:gridSpan w:val="3"/>
            <w:shd w:val="clear" w:color="auto" w:fill="FFFFFF"/>
            <w:tcMar>
              <w:top w:w="30" w:type="dxa"/>
              <w:left w:w="245" w:type="dxa"/>
              <w:bottom w:w="30" w:type="dxa"/>
              <w:right w:w="20" w:type="dxa"/>
            </w:tcMar>
            <w:vAlign w:val="bottom"/>
            <w:hideMark/>
          </w:tcPr>
          <w:p w14:paraId="5079A691" w14:textId="77777777" w:rsidR="00000000" w:rsidRDefault="000C49AD">
            <w:pPr>
              <w:spacing w:after="100"/>
              <w:rPr>
                <w:rFonts w:eastAsia="Times New Roman"/>
              </w:rPr>
            </w:pPr>
            <w:r>
              <w:rPr>
                <w:rFonts w:eastAsia="Times New Roman"/>
                <w:color w:val="000000"/>
                <w:sz w:val="18"/>
                <w:szCs w:val="18"/>
              </w:rPr>
              <w:t>Total loss before income taxes</w:t>
            </w:r>
          </w:p>
        </w:tc>
        <w:tc>
          <w:tcPr>
            <w:tcW w:w="0" w:type="auto"/>
            <w:gridSpan w:val="3"/>
            <w:shd w:val="clear" w:color="auto" w:fill="FFFFFF"/>
            <w:tcMar>
              <w:top w:w="0" w:type="dxa"/>
              <w:left w:w="20" w:type="dxa"/>
              <w:bottom w:w="0" w:type="dxa"/>
              <w:right w:w="20" w:type="dxa"/>
            </w:tcMar>
            <w:vAlign w:val="center"/>
            <w:hideMark/>
          </w:tcPr>
          <w:p w14:paraId="65F7F180"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3F899C2"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2F94A6" w14:textId="77777777" w:rsidR="00000000" w:rsidRDefault="000C49AD">
            <w:pPr>
              <w:spacing w:after="100"/>
              <w:jc w:val="right"/>
              <w:rPr>
                <w:rFonts w:eastAsia="Times New Roman"/>
              </w:rPr>
            </w:pPr>
            <w:r>
              <w:rPr>
                <w:rFonts w:eastAsia="Times New Roman"/>
                <w:color w:val="000000"/>
                <w:sz w:val="18"/>
                <w:szCs w:val="18"/>
              </w:rPr>
              <w:t>(93,145)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36670C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27A22"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144863"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329D63C" w14:textId="77777777" w:rsidR="00000000" w:rsidRDefault="000C49AD">
            <w:pPr>
              <w:spacing w:after="100"/>
              <w:jc w:val="right"/>
              <w:rPr>
                <w:rFonts w:eastAsia="Times New Roman"/>
              </w:rPr>
            </w:pPr>
            <w:r>
              <w:rPr>
                <w:rFonts w:eastAsia="Times New Roman"/>
                <w:color w:val="000000"/>
                <w:sz w:val="18"/>
                <w:szCs w:val="18"/>
              </w:rPr>
              <w:t>(5,082)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70C6E3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D63EA"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81ECE5E"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0DFB521" w14:textId="77777777" w:rsidR="00000000" w:rsidRDefault="000C49AD">
            <w:pPr>
              <w:spacing w:after="100"/>
              <w:jc w:val="right"/>
              <w:rPr>
                <w:rFonts w:eastAsia="Times New Roman"/>
              </w:rPr>
            </w:pPr>
            <w:r>
              <w:rPr>
                <w:rFonts w:eastAsia="Times New Roman"/>
                <w:color w:val="000000"/>
                <w:sz w:val="18"/>
                <w:szCs w:val="18"/>
              </w:rPr>
              <w:t>(38,582)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13489AE" w14:textId="77777777" w:rsidR="00000000" w:rsidRDefault="000C49AD">
            <w:pPr>
              <w:spacing w:after="100"/>
              <w:jc w:val="right"/>
              <w:rPr>
                <w:rFonts w:eastAsia="Times New Roman"/>
              </w:rPr>
            </w:pPr>
          </w:p>
        </w:tc>
      </w:tr>
    </w:tbl>
    <w:p w14:paraId="12AE43EC" w14:textId="77777777" w:rsidR="00000000" w:rsidRDefault="000C49AD">
      <w:pPr>
        <w:jc w:val="both"/>
        <w:rPr>
          <w:rFonts w:eastAsia="Times New Roman"/>
        </w:rPr>
      </w:pPr>
    </w:p>
    <w:p w14:paraId="4270733A" w14:textId="77777777" w:rsidR="00000000" w:rsidRDefault="000C49AD">
      <w:pPr>
        <w:jc w:val="both"/>
        <w:rPr>
          <w:rFonts w:eastAsia="Times New Roman"/>
        </w:rPr>
      </w:pPr>
      <w:r>
        <w:rPr>
          <w:rFonts w:eastAsia="Times New Roman"/>
          <w:color w:val="000000"/>
          <w:sz w:val="20"/>
          <w:szCs w:val="20"/>
        </w:rPr>
        <w:t>The income tax benefit consists of the following for the years ended December 31:  </w:t>
      </w:r>
    </w:p>
    <w:p w14:paraId="6F013E47" w14:textId="77777777" w:rsidR="00000000" w:rsidRDefault="000C49AD">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3979"/>
        <w:gridCol w:w="38"/>
        <w:gridCol w:w="36"/>
        <w:gridCol w:w="36"/>
        <w:gridCol w:w="36"/>
        <w:gridCol w:w="110"/>
        <w:gridCol w:w="1149"/>
        <w:gridCol w:w="36"/>
        <w:gridCol w:w="36"/>
        <w:gridCol w:w="36"/>
        <w:gridCol w:w="36"/>
        <w:gridCol w:w="110"/>
        <w:gridCol w:w="1151"/>
        <w:gridCol w:w="36"/>
        <w:gridCol w:w="36"/>
        <w:gridCol w:w="36"/>
        <w:gridCol w:w="36"/>
        <w:gridCol w:w="110"/>
        <w:gridCol w:w="1151"/>
        <w:gridCol w:w="36"/>
      </w:tblGrid>
      <w:tr w:rsidR="00000000" w14:paraId="05C81008" w14:textId="77777777">
        <w:tc>
          <w:tcPr>
            <w:tcW w:w="50" w:type="pct"/>
            <w:vAlign w:val="center"/>
            <w:hideMark/>
          </w:tcPr>
          <w:p w14:paraId="1DBF0B34" w14:textId="77777777" w:rsidR="00000000" w:rsidRDefault="000C49AD">
            <w:pPr>
              <w:jc w:val="both"/>
              <w:rPr>
                <w:rFonts w:eastAsia="Times New Roman"/>
              </w:rPr>
            </w:pPr>
          </w:p>
        </w:tc>
        <w:tc>
          <w:tcPr>
            <w:tcW w:w="2433" w:type="pct"/>
            <w:vAlign w:val="center"/>
            <w:hideMark/>
          </w:tcPr>
          <w:p w14:paraId="451D8276" w14:textId="77777777" w:rsidR="00000000" w:rsidRDefault="000C49AD">
            <w:pPr>
              <w:spacing w:after="100"/>
              <w:rPr>
                <w:rFonts w:eastAsia="Times New Roman"/>
                <w:sz w:val="20"/>
                <w:szCs w:val="20"/>
              </w:rPr>
            </w:pPr>
          </w:p>
        </w:tc>
        <w:tc>
          <w:tcPr>
            <w:tcW w:w="5" w:type="pct"/>
            <w:vAlign w:val="center"/>
            <w:hideMark/>
          </w:tcPr>
          <w:p w14:paraId="1822C807" w14:textId="77777777" w:rsidR="00000000" w:rsidRDefault="000C49AD">
            <w:pPr>
              <w:spacing w:after="100"/>
              <w:rPr>
                <w:rFonts w:eastAsia="Times New Roman"/>
                <w:sz w:val="20"/>
                <w:szCs w:val="20"/>
              </w:rPr>
            </w:pPr>
          </w:p>
        </w:tc>
        <w:tc>
          <w:tcPr>
            <w:tcW w:w="5" w:type="pct"/>
            <w:vAlign w:val="center"/>
            <w:hideMark/>
          </w:tcPr>
          <w:p w14:paraId="0960823F" w14:textId="77777777" w:rsidR="00000000" w:rsidRDefault="000C49AD">
            <w:pPr>
              <w:spacing w:after="100"/>
              <w:rPr>
                <w:rFonts w:eastAsia="Times New Roman"/>
                <w:sz w:val="20"/>
                <w:szCs w:val="20"/>
              </w:rPr>
            </w:pPr>
          </w:p>
        </w:tc>
        <w:tc>
          <w:tcPr>
            <w:tcW w:w="26" w:type="pct"/>
            <w:vAlign w:val="center"/>
            <w:hideMark/>
          </w:tcPr>
          <w:p w14:paraId="56716C39" w14:textId="77777777" w:rsidR="00000000" w:rsidRDefault="000C49AD">
            <w:pPr>
              <w:spacing w:after="100"/>
              <w:rPr>
                <w:rFonts w:eastAsia="Times New Roman"/>
                <w:sz w:val="20"/>
                <w:szCs w:val="20"/>
              </w:rPr>
            </w:pPr>
          </w:p>
        </w:tc>
        <w:tc>
          <w:tcPr>
            <w:tcW w:w="5" w:type="pct"/>
            <w:vAlign w:val="center"/>
            <w:hideMark/>
          </w:tcPr>
          <w:p w14:paraId="5851AF88" w14:textId="77777777" w:rsidR="00000000" w:rsidRDefault="000C49AD">
            <w:pPr>
              <w:spacing w:after="100"/>
              <w:rPr>
                <w:rFonts w:eastAsia="Times New Roman"/>
                <w:sz w:val="20"/>
                <w:szCs w:val="20"/>
              </w:rPr>
            </w:pPr>
          </w:p>
        </w:tc>
        <w:tc>
          <w:tcPr>
            <w:tcW w:w="50" w:type="pct"/>
            <w:vAlign w:val="center"/>
            <w:hideMark/>
          </w:tcPr>
          <w:p w14:paraId="50C7D2AA" w14:textId="77777777" w:rsidR="00000000" w:rsidRDefault="000C49AD">
            <w:pPr>
              <w:spacing w:after="100"/>
              <w:rPr>
                <w:rFonts w:eastAsia="Times New Roman"/>
                <w:sz w:val="20"/>
                <w:szCs w:val="20"/>
              </w:rPr>
            </w:pPr>
          </w:p>
        </w:tc>
        <w:tc>
          <w:tcPr>
            <w:tcW w:w="745" w:type="pct"/>
            <w:vAlign w:val="center"/>
            <w:hideMark/>
          </w:tcPr>
          <w:p w14:paraId="1CE9B0EE" w14:textId="77777777" w:rsidR="00000000" w:rsidRDefault="000C49AD">
            <w:pPr>
              <w:spacing w:after="100"/>
              <w:rPr>
                <w:rFonts w:eastAsia="Times New Roman"/>
                <w:sz w:val="20"/>
                <w:szCs w:val="20"/>
              </w:rPr>
            </w:pPr>
          </w:p>
        </w:tc>
        <w:tc>
          <w:tcPr>
            <w:tcW w:w="5" w:type="pct"/>
            <w:vAlign w:val="center"/>
            <w:hideMark/>
          </w:tcPr>
          <w:p w14:paraId="4C3566E3" w14:textId="77777777" w:rsidR="00000000" w:rsidRDefault="000C49AD">
            <w:pPr>
              <w:spacing w:after="100"/>
              <w:rPr>
                <w:rFonts w:eastAsia="Times New Roman"/>
                <w:sz w:val="20"/>
                <w:szCs w:val="20"/>
              </w:rPr>
            </w:pPr>
          </w:p>
        </w:tc>
        <w:tc>
          <w:tcPr>
            <w:tcW w:w="5" w:type="pct"/>
            <w:vAlign w:val="center"/>
            <w:hideMark/>
          </w:tcPr>
          <w:p w14:paraId="37B8F6CB" w14:textId="77777777" w:rsidR="00000000" w:rsidRDefault="000C49AD">
            <w:pPr>
              <w:spacing w:after="100"/>
              <w:rPr>
                <w:rFonts w:eastAsia="Times New Roman"/>
                <w:sz w:val="20"/>
                <w:szCs w:val="20"/>
              </w:rPr>
            </w:pPr>
          </w:p>
        </w:tc>
        <w:tc>
          <w:tcPr>
            <w:tcW w:w="26" w:type="pct"/>
            <w:vAlign w:val="center"/>
            <w:hideMark/>
          </w:tcPr>
          <w:p w14:paraId="4DE0ABE7" w14:textId="77777777" w:rsidR="00000000" w:rsidRDefault="000C49AD">
            <w:pPr>
              <w:spacing w:after="100"/>
              <w:rPr>
                <w:rFonts w:eastAsia="Times New Roman"/>
                <w:sz w:val="20"/>
                <w:szCs w:val="20"/>
              </w:rPr>
            </w:pPr>
          </w:p>
        </w:tc>
        <w:tc>
          <w:tcPr>
            <w:tcW w:w="5" w:type="pct"/>
            <w:vAlign w:val="center"/>
            <w:hideMark/>
          </w:tcPr>
          <w:p w14:paraId="3F2F94CF" w14:textId="77777777" w:rsidR="00000000" w:rsidRDefault="000C49AD">
            <w:pPr>
              <w:spacing w:after="100"/>
              <w:rPr>
                <w:rFonts w:eastAsia="Times New Roman"/>
                <w:sz w:val="20"/>
                <w:szCs w:val="20"/>
              </w:rPr>
            </w:pPr>
          </w:p>
        </w:tc>
        <w:tc>
          <w:tcPr>
            <w:tcW w:w="50" w:type="pct"/>
            <w:vAlign w:val="center"/>
            <w:hideMark/>
          </w:tcPr>
          <w:p w14:paraId="1F6CA583" w14:textId="77777777" w:rsidR="00000000" w:rsidRDefault="000C49AD">
            <w:pPr>
              <w:spacing w:after="100"/>
              <w:rPr>
                <w:rFonts w:eastAsia="Times New Roman"/>
                <w:sz w:val="20"/>
                <w:szCs w:val="20"/>
              </w:rPr>
            </w:pPr>
          </w:p>
        </w:tc>
        <w:tc>
          <w:tcPr>
            <w:tcW w:w="745" w:type="pct"/>
            <w:vAlign w:val="center"/>
            <w:hideMark/>
          </w:tcPr>
          <w:p w14:paraId="2616640A" w14:textId="77777777" w:rsidR="00000000" w:rsidRDefault="000C49AD">
            <w:pPr>
              <w:spacing w:after="100"/>
              <w:rPr>
                <w:rFonts w:eastAsia="Times New Roman"/>
                <w:sz w:val="20"/>
                <w:szCs w:val="20"/>
              </w:rPr>
            </w:pPr>
          </w:p>
        </w:tc>
        <w:tc>
          <w:tcPr>
            <w:tcW w:w="5" w:type="pct"/>
            <w:vAlign w:val="center"/>
            <w:hideMark/>
          </w:tcPr>
          <w:p w14:paraId="4408981E" w14:textId="77777777" w:rsidR="00000000" w:rsidRDefault="000C49AD">
            <w:pPr>
              <w:spacing w:after="100"/>
              <w:rPr>
                <w:rFonts w:eastAsia="Times New Roman"/>
                <w:sz w:val="20"/>
                <w:szCs w:val="20"/>
              </w:rPr>
            </w:pPr>
          </w:p>
        </w:tc>
        <w:tc>
          <w:tcPr>
            <w:tcW w:w="5" w:type="pct"/>
            <w:vAlign w:val="center"/>
            <w:hideMark/>
          </w:tcPr>
          <w:p w14:paraId="18C0917D" w14:textId="77777777" w:rsidR="00000000" w:rsidRDefault="000C49AD">
            <w:pPr>
              <w:spacing w:after="100"/>
              <w:rPr>
                <w:rFonts w:eastAsia="Times New Roman"/>
                <w:sz w:val="20"/>
                <w:szCs w:val="20"/>
              </w:rPr>
            </w:pPr>
          </w:p>
        </w:tc>
        <w:tc>
          <w:tcPr>
            <w:tcW w:w="26" w:type="pct"/>
            <w:vAlign w:val="center"/>
            <w:hideMark/>
          </w:tcPr>
          <w:p w14:paraId="2E9A330A" w14:textId="77777777" w:rsidR="00000000" w:rsidRDefault="000C49AD">
            <w:pPr>
              <w:spacing w:after="100"/>
              <w:rPr>
                <w:rFonts w:eastAsia="Times New Roman"/>
                <w:sz w:val="20"/>
                <w:szCs w:val="20"/>
              </w:rPr>
            </w:pPr>
          </w:p>
        </w:tc>
        <w:tc>
          <w:tcPr>
            <w:tcW w:w="5" w:type="pct"/>
            <w:vAlign w:val="center"/>
            <w:hideMark/>
          </w:tcPr>
          <w:p w14:paraId="6CA4DD2C" w14:textId="77777777" w:rsidR="00000000" w:rsidRDefault="000C49AD">
            <w:pPr>
              <w:spacing w:after="100"/>
              <w:rPr>
                <w:rFonts w:eastAsia="Times New Roman"/>
                <w:sz w:val="20"/>
                <w:szCs w:val="20"/>
              </w:rPr>
            </w:pPr>
          </w:p>
        </w:tc>
        <w:tc>
          <w:tcPr>
            <w:tcW w:w="50" w:type="pct"/>
            <w:vAlign w:val="center"/>
            <w:hideMark/>
          </w:tcPr>
          <w:p w14:paraId="0BC5D953" w14:textId="77777777" w:rsidR="00000000" w:rsidRDefault="000C49AD">
            <w:pPr>
              <w:spacing w:after="100"/>
              <w:rPr>
                <w:rFonts w:eastAsia="Times New Roman"/>
                <w:sz w:val="20"/>
                <w:szCs w:val="20"/>
              </w:rPr>
            </w:pPr>
          </w:p>
        </w:tc>
        <w:tc>
          <w:tcPr>
            <w:tcW w:w="745" w:type="pct"/>
            <w:vAlign w:val="center"/>
            <w:hideMark/>
          </w:tcPr>
          <w:p w14:paraId="402EEDD7" w14:textId="77777777" w:rsidR="00000000" w:rsidRDefault="000C49AD">
            <w:pPr>
              <w:spacing w:after="100"/>
              <w:rPr>
                <w:rFonts w:eastAsia="Times New Roman"/>
                <w:sz w:val="20"/>
                <w:szCs w:val="20"/>
              </w:rPr>
            </w:pPr>
          </w:p>
        </w:tc>
        <w:tc>
          <w:tcPr>
            <w:tcW w:w="5" w:type="pct"/>
            <w:vAlign w:val="center"/>
            <w:hideMark/>
          </w:tcPr>
          <w:p w14:paraId="63671CC8" w14:textId="77777777" w:rsidR="00000000" w:rsidRDefault="000C49AD">
            <w:pPr>
              <w:spacing w:after="100"/>
              <w:rPr>
                <w:rFonts w:eastAsia="Times New Roman"/>
                <w:sz w:val="20"/>
                <w:szCs w:val="20"/>
              </w:rPr>
            </w:pPr>
          </w:p>
        </w:tc>
      </w:tr>
      <w:tr w:rsidR="00000000" w14:paraId="72EA5730" w14:textId="77777777">
        <w:tc>
          <w:tcPr>
            <w:tcW w:w="0" w:type="auto"/>
            <w:gridSpan w:val="3"/>
            <w:tcMar>
              <w:top w:w="30" w:type="dxa"/>
              <w:left w:w="20" w:type="dxa"/>
              <w:bottom w:w="30" w:type="dxa"/>
              <w:right w:w="20" w:type="dxa"/>
            </w:tcMar>
            <w:vAlign w:val="bottom"/>
            <w:hideMark/>
          </w:tcPr>
          <w:p w14:paraId="671BC18B" w14:textId="77777777" w:rsidR="00000000" w:rsidRDefault="000C49AD">
            <w:pPr>
              <w:spacing w:after="100"/>
              <w:rPr>
                <w:rFonts w:eastAsia="Times New Roman"/>
              </w:rPr>
            </w:pPr>
            <w:r>
              <w:rPr>
                <w:rFonts w:eastAsia="Times New Roman"/>
                <w:b/>
                <w:bCs/>
                <w:color w:val="000000"/>
                <w:sz w:val="18"/>
                <w:szCs w:val="18"/>
              </w:rPr>
              <w:t> Income Tax Benefit:</w:t>
            </w:r>
          </w:p>
        </w:tc>
        <w:tc>
          <w:tcPr>
            <w:tcW w:w="0" w:type="auto"/>
            <w:gridSpan w:val="3"/>
            <w:tcMar>
              <w:top w:w="0" w:type="dxa"/>
              <w:left w:w="20" w:type="dxa"/>
              <w:bottom w:w="0" w:type="dxa"/>
              <w:right w:w="20" w:type="dxa"/>
            </w:tcMar>
            <w:vAlign w:val="center"/>
            <w:hideMark/>
          </w:tcPr>
          <w:p w14:paraId="2EDCEC01"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6C56BB87"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66509BA"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D32FCC2"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281796AA"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FBB8B9"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6BE116B3"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231FBF4E"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3FAD859"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4A8CFA"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0F009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696ED1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132ADB"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55FEBAD" w14:textId="77777777" w:rsidR="00000000" w:rsidRDefault="000C49AD">
            <w:pPr>
              <w:spacing w:after="100"/>
              <w:rPr>
                <w:rFonts w:eastAsia="Times New Roman"/>
                <w:sz w:val="20"/>
                <w:szCs w:val="20"/>
              </w:rPr>
            </w:pPr>
          </w:p>
        </w:tc>
      </w:tr>
      <w:tr w:rsidR="00000000" w14:paraId="1635F0DC" w14:textId="77777777">
        <w:tc>
          <w:tcPr>
            <w:tcW w:w="0" w:type="auto"/>
            <w:gridSpan w:val="3"/>
            <w:tcMar>
              <w:top w:w="30" w:type="dxa"/>
              <w:left w:w="155" w:type="dxa"/>
              <w:bottom w:w="30" w:type="dxa"/>
              <w:right w:w="20" w:type="dxa"/>
            </w:tcMar>
            <w:vAlign w:val="bottom"/>
            <w:hideMark/>
          </w:tcPr>
          <w:p w14:paraId="3530BC7A" w14:textId="77777777" w:rsidR="00000000" w:rsidRDefault="000C49AD">
            <w:pPr>
              <w:spacing w:after="100"/>
              <w:rPr>
                <w:rFonts w:eastAsia="Times New Roman"/>
              </w:rPr>
            </w:pPr>
            <w:r>
              <w:rPr>
                <w:rFonts w:eastAsia="Times New Roman"/>
                <w:color w:val="000000"/>
                <w:sz w:val="18"/>
                <w:szCs w:val="18"/>
              </w:rPr>
              <w:t>Current:</w:t>
            </w:r>
          </w:p>
        </w:tc>
        <w:tc>
          <w:tcPr>
            <w:tcW w:w="0" w:type="auto"/>
            <w:gridSpan w:val="3"/>
            <w:tcMar>
              <w:top w:w="0" w:type="dxa"/>
              <w:left w:w="20" w:type="dxa"/>
              <w:bottom w:w="0" w:type="dxa"/>
              <w:right w:w="20" w:type="dxa"/>
            </w:tcMar>
            <w:vAlign w:val="center"/>
            <w:hideMark/>
          </w:tcPr>
          <w:p w14:paraId="29BB5A15"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137B8F3B"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0632755F" w14:textId="77777777" w:rsidR="00000000" w:rsidRDefault="000C49A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8CD740F"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CEA4647" w14:textId="77777777" w:rsidR="00000000" w:rsidRDefault="000C49A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297020A" w14:textId="77777777" w:rsidR="00000000" w:rsidRDefault="000C49AD">
            <w:pPr>
              <w:spacing w:after="100"/>
              <w:jc w:val="right"/>
              <w:rPr>
                <w:rFonts w:eastAsia="Times New Roman"/>
              </w:rPr>
            </w:pPr>
            <w:r>
              <w:rPr>
                <w:rFonts w:eastAsia="Times New Roman"/>
                <w:color w:val="000000"/>
                <w:sz w:val="18"/>
                <w:szCs w:val="18"/>
              </w:rPr>
              <w:t> </w:t>
            </w:r>
          </w:p>
        </w:tc>
      </w:tr>
      <w:tr w:rsidR="00000000" w14:paraId="423CAC26" w14:textId="77777777">
        <w:tc>
          <w:tcPr>
            <w:tcW w:w="0" w:type="auto"/>
            <w:gridSpan w:val="3"/>
            <w:shd w:val="clear" w:color="auto" w:fill="CCEEFF"/>
            <w:tcMar>
              <w:top w:w="30" w:type="dxa"/>
              <w:left w:w="245" w:type="dxa"/>
              <w:bottom w:w="30" w:type="dxa"/>
              <w:right w:w="20" w:type="dxa"/>
            </w:tcMar>
            <w:vAlign w:val="bottom"/>
            <w:hideMark/>
          </w:tcPr>
          <w:p w14:paraId="2E65D661" w14:textId="77777777" w:rsidR="00000000" w:rsidRDefault="000C49AD">
            <w:pPr>
              <w:spacing w:after="100"/>
              <w:rPr>
                <w:rFonts w:eastAsia="Times New Roman"/>
              </w:rPr>
            </w:pPr>
            <w:r>
              <w:rPr>
                <w:rFonts w:eastAsia="Times New Roman"/>
                <w:color w:val="000000"/>
                <w:sz w:val="18"/>
                <w:szCs w:val="18"/>
              </w:rPr>
              <w:t>U.S. - Federal</w:t>
            </w:r>
          </w:p>
        </w:tc>
        <w:tc>
          <w:tcPr>
            <w:tcW w:w="0" w:type="auto"/>
            <w:gridSpan w:val="3"/>
            <w:shd w:val="clear" w:color="auto" w:fill="CCEEFF"/>
            <w:tcMar>
              <w:top w:w="0" w:type="dxa"/>
              <w:left w:w="20" w:type="dxa"/>
              <w:bottom w:w="0" w:type="dxa"/>
              <w:right w:w="20" w:type="dxa"/>
            </w:tcMar>
            <w:vAlign w:val="center"/>
            <w:hideMark/>
          </w:tcPr>
          <w:p w14:paraId="13DE1265"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974674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1AB3703"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706A193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5777B4"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980AF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AE844CB" w14:textId="77777777" w:rsidR="00000000" w:rsidRDefault="000C49AD">
            <w:pPr>
              <w:spacing w:after="100"/>
              <w:jc w:val="right"/>
              <w:rPr>
                <w:rFonts w:eastAsia="Times New Roman"/>
              </w:rPr>
            </w:pPr>
            <w:r>
              <w:rPr>
                <w:rFonts w:eastAsia="Times New Roman"/>
                <w:color w:val="000000"/>
                <w:sz w:val="18"/>
                <w:szCs w:val="18"/>
              </w:rPr>
              <w:t>(12,810)</w:t>
            </w:r>
          </w:p>
        </w:tc>
        <w:tc>
          <w:tcPr>
            <w:tcW w:w="0" w:type="auto"/>
            <w:shd w:val="clear" w:color="auto" w:fill="CCEEFF"/>
            <w:tcMar>
              <w:top w:w="30" w:type="dxa"/>
              <w:left w:w="0" w:type="dxa"/>
              <w:bottom w:w="30" w:type="dxa"/>
              <w:right w:w="20" w:type="dxa"/>
            </w:tcMar>
            <w:vAlign w:val="bottom"/>
            <w:hideMark/>
          </w:tcPr>
          <w:p w14:paraId="3BA4150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6D1E8"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6F858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F615FA1"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59EA56A" w14:textId="77777777" w:rsidR="00000000" w:rsidRDefault="000C49AD">
            <w:pPr>
              <w:spacing w:after="100"/>
              <w:jc w:val="right"/>
              <w:rPr>
                <w:rFonts w:eastAsia="Times New Roman"/>
              </w:rPr>
            </w:pPr>
          </w:p>
        </w:tc>
      </w:tr>
      <w:tr w:rsidR="00000000" w14:paraId="7850D722" w14:textId="77777777">
        <w:tc>
          <w:tcPr>
            <w:tcW w:w="0" w:type="auto"/>
            <w:gridSpan w:val="3"/>
            <w:shd w:val="clear" w:color="auto" w:fill="FFFFFF"/>
            <w:tcMar>
              <w:top w:w="30" w:type="dxa"/>
              <w:left w:w="245" w:type="dxa"/>
              <w:bottom w:w="30" w:type="dxa"/>
              <w:right w:w="20" w:type="dxa"/>
            </w:tcMar>
            <w:vAlign w:val="bottom"/>
            <w:hideMark/>
          </w:tcPr>
          <w:p w14:paraId="2CA50313" w14:textId="77777777" w:rsidR="00000000" w:rsidRDefault="000C49AD">
            <w:pPr>
              <w:spacing w:after="100"/>
              <w:rPr>
                <w:rFonts w:eastAsia="Times New Roman"/>
              </w:rPr>
            </w:pPr>
            <w:r>
              <w:rPr>
                <w:rFonts w:eastAsia="Times New Roman"/>
                <w:color w:val="000000"/>
                <w:sz w:val="18"/>
                <w:szCs w:val="18"/>
              </w:rPr>
              <w:t>U.S. - State</w:t>
            </w:r>
          </w:p>
        </w:tc>
        <w:tc>
          <w:tcPr>
            <w:tcW w:w="0" w:type="auto"/>
            <w:gridSpan w:val="3"/>
            <w:shd w:val="clear" w:color="auto" w:fill="FFFFFF"/>
            <w:tcMar>
              <w:top w:w="0" w:type="dxa"/>
              <w:left w:w="20" w:type="dxa"/>
              <w:bottom w:w="0" w:type="dxa"/>
              <w:right w:w="20" w:type="dxa"/>
            </w:tcMar>
            <w:vAlign w:val="center"/>
            <w:hideMark/>
          </w:tcPr>
          <w:p w14:paraId="5173BE80"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0602318" w14:textId="77777777" w:rsidR="00000000" w:rsidRDefault="000C49AD">
            <w:pPr>
              <w:spacing w:after="100"/>
              <w:jc w:val="right"/>
              <w:rPr>
                <w:rFonts w:eastAsia="Times New Roman"/>
              </w:rPr>
            </w:pPr>
            <w:r>
              <w:rPr>
                <w:rFonts w:eastAsia="Times New Roman"/>
                <w:color w:val="000000"/>
                <w:sz w:val="18"/>
                <w:szCs w:val="18"/>
              </w:rPr>
              <w:t>60 </w:t>
            </w:r>
          </w:p>
        </w:tc>
        <w:tc>
          <w:tcPr>
            <w:tcW w:w="0" w:type="auto"/>
            <w:shd w:val="clear" w:color="auto" w:fill="FFFFFF"/>
            <w:tcMar>
              <w:top w:w="30" w:type="dxa"/>
              <w:left w:w="0" w:type="dxa"/>
              <w:bottom w:w="30" w:type="dxa"/>
              <w:right w:w="20" w:type="dxa"/>
            </w:tcMar>
            <w:vAlign w:val="bottom"/>
            <w:hideMark/>
          </w:tcPr>
          <w:p w14:paraId="632F2D7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EF9DE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894377" w14:textId="77777777" w:rsidR="00000000" w:rsidRDefault="000C49AD">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14:paraId="3EEE0DF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9984A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820987" w14:textId="77777777" w:rsidR="00000000" w:rsidRDefault="000C49AD">
            <w:pPr>
              <w:spacing w:after="100"/>
              <w:jc w:val="right"/>
              <w:rPr>
                <w:rFonts w:eastAsia="Times New Roman"/>
              </w:rPr>
            </w:pPr>
            <w:r>
              <w:rPr>
                <w:rFonts w:eastAsia="Times New Roman"/>
                <w:color w:val="000000"/>
                <w:sz w:val="18"/>
                <w:szCs w:val="18"/>
              </w:rPr>
              <w:t>97 </w:t>
            </w:r>
          </w:p>
        </w:tc>
        <w:tc>
          <w:tcPr>
            <w:tcW w:w="0" w:type="auto"/>
            <w:shd w:val="clear" w:color="auto" w:fill="FFFFFF"/>
            <w:tcMar>
              <w:top w:w="30" w:type="dxa"/>
              <w:left w:w="0" w:type="dxa"/>
              <w:bottom w:w="30" w:type="dxa"/>
              <w:right w:w="20" w:type="dxa"/>
            </w:tcMar>
            <w:vAlign w:val="bottom"/>
            <w:hideMark/>
          </w:tcPr>
          <w:p w14:paraId="38B44F3E" w14:textId="77777777" w:rsidR="00000000" w:rsidRDefault="000C49AD">
            <w:pPr>
              <w:spacing w:after="100"/>
              <w:jc w:val="right"/>
              <w:rPr>
                <w:rFonts w:eastAsia="Times New Roman"/>
              </w:rPr>
            </w:pPr>
          </w:p>
        </w:tc>
      </w:tr>
      <w:tr w:rsidR="00000000" w14:paraId="22EBBCAD" w14:textId="77777777">
        <w:tc>
          <w:tcPr>
            <w:tcW w:w="0" w:type="auto"/>
            <w:gridSpan w:val="3"/>
            <w:vAlign w:val="center"/>
            <w:hideMark/>
          </w:tcPr>
          <w:p w14:paraId="505A3CD8" w14:textId="77777777" w:rsidR="00000000" w:rsidRDefault="000C49AD">
            <w:pPr>
              <w:spacing w:after="100"/>
              <w:jc w:val="right"/>
              <w:rPr>
                <w:rFonts w:eastAsia="Times New Roman"/>
                <w:sz w:val="20"/>
                <w:szCs w:val="20"/>
              </w:rPr>
            </w:pPr>
          </w:p>
        </w:tc>
        <w:tc>
          <w:tcPr>
            <w:tcW w:w="0" w:type="auto"/>
            <w:gridSpan w:val="3"/>
            <w:vAlign w:val="center"/>
            <w:hideMark/>
          </w:tcPr>
          <w:p w14:paraId="30DD104C" w14:textId="77777777" w:rsidR="00000000" w:rsidRDefault="000C49AD">
            <w:pPr>
              <w:spacing w:after="100"/>
              <w:rPr>
                <w:rFonts w:eastAsia="Times New Roman"/>
                <w:sz w:val="20"/>
                <w:szCs w:val="20"/>
              </w:rPr>
            </w:pPr>
          </w:p>
        </w:tc>
        <w:tc>
          <w:tcPr>
            <w:tcW w:w="0" w:type="auto"/>
            <w:gridSpan w:val="3"/>
            <w:vAlign w:val="center"/>
            <w:hideMark/>
          </w:tcPr>
          <w:p w14:paraId="2BC707AE" w14:textId="77777777" w:rsidR="00000000" w:rsidRDefault="000C49AD">
            <w:pPr>
              <w:spacing w:after="100"/>
              <w:rPr>
                <w:rFonts w:eastAsia="Times New Roman"/>
                <w:sz w:val="20"/>
                <w:szCs w:val="20"/>
              </w:rPr>
            </w:pPr>
          </w:p>
        </w:tc>
        <w:tc>
          <w:tcPr>
            <w:tcW w:w="0" w:type="auto"/>
            <w:gridSpan w:val="3"/>
            <w:vAlign w:val="center"/>
            <w:hideMark/>
          </w:tcPr>
          <w:p w14:paraId="0D7E7069" w14:textId="77777777" w:rsidR="00000000" w:rsidRDefault="000C49AD">
            <w:pPr>
              <w:spacing w:after="100"/>
              <w:rPr>
                <w:rFonts w:eastAsia="Times New Roman"/>
                <w:sz w:val="20"/>
                <w:szCs w:val="20"/>
              </w:rPr>
            </w:pPr>
          </w:p>
        </w:tc>
        <w:tc>
          <w:tcPr>
            <w:tcW w:w="0" w:type="auto"/>
            <w:gridSpan w:val="3"/>
            <w:vAlign w:val="center"/>
            <w:hideMark/>
          </w:tcPr>
          <w:p w14:paraId="46AB2996" w14:textId="77777777" w:rsidR="00000000" w:rsidRDefault="000C49AD">
            <w:pPr>
              <w:spacing w:after="100"/>
              <w:rPr>
                <w:rFonts w:eastAsia="Times New Roman"/>
                <w:sz w:val="20"/>
                <w:szCs w:val="20"/>
              </w:rPr>
            </w:pPr>
          </w:p>
        </w:tc>
        <w:tc>
          <w:tcPr>
            <w:tcW w:w="0" w:type="auto"/>
            <w:gridSpan w:val="3"/>
            <w:vAlign w:val="center"/>
            <w:hideMark/>
          </w:tcPr>
          <w:p w14:paraId="2F67373C" w14:textId="77777777" w:rsidR="00000000" w:rsidRDefault="000C49AD">
            <w:pPr>
              <w:spacing w:after="100"/>
              <w:rPr>
                <w:rFonts w:eastAsia="Times New Roman"/>
                <w:sz w:val="20"/>
                <w:szCs w:val="20"/>
              </w:rPr>
            </w:pPr>
          </w:p>
        </w:tc>
        <w:tc>
          <w:tcPr>
            <w:tcW w:w="0" w:type="auto"/>
            <w:gridSpan w:val="3"/>
            <w:vAlign w:val="center"/>
            <w:hideMark/>
          </w:tcPr>
          <w:p w14:paraId="25BEC72C" w14:textId="77777777" w:rsidR="00000000" w:rsidRDefault="000C49AD">
            <w:pPr>
              <w:spacing w:after="100"/>
              <w:rPr>
                <w:rFonts w:eastAsia="Times New Roman"/>
                <w:sz w:val="20"/>
                <w:szCs w:val="20"/>
              </w:rPr>
            </w:pPr>
          </w:p>
        </w:tc>
      </w:tr>
      <w:tr w:rsidR="00000000" w14:paraId="07DDCE10" w14:textId="77777777">
        <w:tc>
          <w:tcPr>
            <w:tcW w:w="0" w:type="auto"/>
            <w:gridSpan w:val="3"/>
            <w:shd w:val="clear" w:color="auto" w:fill="CCEEFF"/>
            <w:tcMar>
              <w:top w:w="30" w:type="dxa"/>
              <w:left w:w="155" w:type="dxa"/>
              <w:bottom w:w="30" w:type="dxa"/>
              <w:right w:w="20" w:type="dxa"/>
            </w:tcMar>
            <w:vAlign w:val="bottom"/>
            <w:hideMark/>
          </w:tcPr>
          <w:p w14:paraId="48B1FC95" w14:textId="77777777" w:rsidR="00000000" w:rsidRDefault="000C49AD">
            <w:pPr>
              <w:spacing w:after="100"/>
              <w:rPr>
                <w:rFonts w:eastAsia="Times New Roman"/>
              </w:rPr>
            </w:pPr>
            <w:r>
              <w:rPr>
                <w:rFonts w:eastAsia="Times New Roman"/>
                <w:color w:val="000000"/>
                <w:sz w:val="18"/>
                <w:szCs w:val="18"/>
              </w:rPr>
              <w:t>Total current</w:t>
            </w:r>
          </w:p>
        </w:tc>
        <w:tc>
          <w:tcPr>
            <w:tcW w:w="0" w:type="auto"/>
            <w:gridSpan w:val="3"/>
            <w:shd w:val="clear" w:color="auto" w:fill="CCEEFF"/>
            <w:tcMar>
              <w:top w:w="0" w:type="dxa"/>
              <w:left w:w="20" w:type="dxa"/>
              <w:bottom w:w="0" w:type="dxa"/>
              <w:right w:w="20" w:type="dxa"/>
            </w:tcMar>
            <w:vAlign w:val="center"/>
            <w:hideMark/>
          </w:tcPr>
          <w:p w14:paraId="6F33C1C2"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F9D2351" w14:textId="77777777" w:rsidR="00000000" w:rsidRDefault="000C49AD">
            <w:pPr>
              <w:spacing w:after="100"/>
              <w:jc w:val="right"/>
              <w:rPr>
                <w:rFonts w:eastAsia="Times New Roman"/>
              </w:rPr>
            </w:pPr>
            <w:r>
              <w:rPr>
                <w:rFonts w:eastAsia="Times New Roman"/>
                <w:color w:val="000000"/>
                <w:sz w:val="18"/>
                <w:szCs w:val="18"/>
              </w:rPr>
              <w:t>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60AD5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E7F246"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2463C53" w14:textId="77777777" w:rsidR="00000000" w:rsidRDefault="000C49AD">
            <w:pPr>
              <w:spacing w:after="100"/>
              <w:jc w:val="right"/>
              <w:rPr>
                <w:rFonts w:eastAsia="Times New Roman"/>
              </w:rPr>
            </w:pPr>
            <w:r>
              <w:rPr>
                <w:rFonts w:eastAsia="Times New Roman"/>
                <w:color w:val="000000"/>
                <w:sz w:val="18"/>
                <w:szCs w:val="18"/>
              </w:rPr>
              <w:t>(12,790)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B850E4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817044"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BCBC91" w14:textId="77777777" w:rsidR="00000000" w:rsidRDefault="000C49AD">
            <w:pPr>
              <w:spacing w:after="100"/>
              <w:jc w:val="right"/>
              <w:rPr>
                <w:rFonts w:eastAsia="Times New Roman"/>
              </w:rPr>
            </w:pPr>
            <w:r>
              <w:rPr>
                <w:rFonts w:eastAsia="Times New Roman"/>
                <w:color w:val="000000"/>
                <w:sz w:val="18"/>
                <w:szCs w:val="18"/>
              </w:rPr>
              <w:t>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D9AD4AE" w14:textId="77777777" w:rsidR="00000000" w:rsidRDefault="000C49AD">
            <w:pPr>
              <w:spacing w:after="100"/>
              <w:jc w:val="right"/>
              <w:rPr>
                <w:rFonts w:eastAsia="Times New Roman"/>
              </w:rPr>
            </w:pPr>
          </w:p>
        </w:tc>
      </w:tr>
      <w:tr w:rsidR="00000000" w14:paraId="13102204" w14:textId="77777777">
        <w:trPr>
          <w:trHeight w:val="280"/>
        </w:trPr>
        <w:tc>
          <w:tcPr>
            <w:tcW w:w="0" w:type="auto"/>
            <w:gridSpan w:val="3"/>
            <w:shd w:val="clear" w:color="auto" w:fill="FFFFFF"/>
            <w:tcMar>
              <w:top w:w="0" w:type="dxa"/>
              <w:left w:w="20" w:type="dxa"/>
              <w:bottom w:w="0" w:type="dxa"/>
              <w:right w:w="20" w:type="dxa"/>
            </w:tcMar>
            <w:vAlign w:val="center"/>
            <w:hideMark/>
          </w:tcPr>
          <w:p w14:paraId="6336EDCA"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4D3E24"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55CA2A"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3973FE"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239CBC"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409A62"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6F8362" w14:textId="77777777" w:rsidR="00000000" w:rsidRDefault="000C49AD">
            <w:pPr>
              <w:spacing w:after="100"/>
              <w:rPr>
                <w:rFonts w:eastAsia="Times New Roman"/>
                <w:sz w:val="20"/>
                <w:szCs w:val="20"/>
              </w:rPr>
            </w:pPr>
          </w:p>
        </w:tc>
      </w:tr>
      <w:tr w:rsidR="00000000" w14:paraId="0D42E310" w14:textId="77777777">
        <w:tc>
          <w:tcPr>
            <w:tcW w:w="0" w:type="auto"/>
            <w:gridSpan w:val="3"/>
            <w:shd w:val="clear" w:color="auto" w:fill="CCEEFF"/>
            <w:tcMar>
              <w:top w:w="30" w:type="dxa"/>
              <w:left w:w="155" w:type="dxa"/>
              <w:bottom w:w="30" w:type="dxa"/>
              <w:right w:w="20" w:type="dxa"/>
            </w:tcMar>
            <w:vAlign w:val="bottom"/>
            <w:hideMark/>
          </w:tcPr>
          <w:p w14:paraId="6CF5BE01" w14:textId="77777777" w:rsidR="00000000" w:rsidRDefault="000C49AD">
            <w:pPr>
              <w:spacing w:after="100"/>
              <w:rPr>
                <w:rFonts w:eastAsia="Times New Roman"/>
              </w:rPr>
            </w:pPr>
            <w:r>
              <w:rPr>
                <w:rFonts w:eastAsia="Times New Roman"/>
                <w:color w:val="000000"/>
                <w:sz w:val="18"/>
                <w:szCs w:val="18"/>
              </w:rPr>
              <w:t>Deferred:</w:t>
            </w:r>
          </w:p>
        </w:tc>
        <w:tc>
          <w:tcPr>
            <w:tcW w:w="0" w:type="auto"/>
            <w:gridSpan w:val="3"/>
            <w:shd w:val="clear" w:color="auto" w:fill="CCEEFF"/>
            <w:tcMar>
              <w:top w:w="0" w:type="dxa"/>
              <w:left w:w="20" w:type="dxa"/>
              <w:bottom w:w="0" w:type="dxa"/>
              <w:right w:w="20" w:type="dxa"/>
            </w:tcMar>
            <w:vAlign w:val="center"/>
            <w:hideMark/>
          </w:tcPr>
          <w:p w14:paraId="2A87224D"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D3BBA38"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763AC72"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5DB4A6F"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8C366EE"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B5093CC" w14:textId="77777777" w:rsidR="00000000" w:rsidRDefault="000C49AD">
            <w:pPr>
              <w:spacing w:after="100"/>
              <w:jc w:val="right"/>
              <w:rPr>
                <w:rFonts w:eastAsia="Times New Roman"/>
              </w:rPr>
            </w:pPr>
            <w:r>
              <w:rPr>
                <w:rFonts w:eastAsia="Times New Roman"/>
                <w:color w:val="000000"/>
                <w:sz w:val="18"/>
                <w:szCs w:val="18"/>
              </w:rPr>
              <w:t> </w:t>
            </w:r>
          </w:p>
        </w:tc>
      </w:tr>
      <w:tr w:rsidR="00000000" w14:paraId="6FA380A9" w14:textId="77777777">
        <w:tc>
          <w:tcPr>
            <w:tcW w:w="0" w:type="auto"/>
            <w:gridSpan w:val="3"/>
            <w:shd w:val="clear" w:color="auto" w:fill="FFFFFF"/>
            <w:tcMar>
              <w:top w:w="30" w:type="dxa"/>
              <w:left w:w="245" w:type="dxa"/>
              <w:bottom w:w="30" w:type="dxa"/>
              <w:right w:w="20" w:type="dxa"/>
            </w:tcMar>
            <w:vAlign w:val="bottom"/>
            <w:hideMark/>
          </w:tcPr>
          <w:p w14:paraId="5A0D8A4B" w14:textId="77777777" w:rsidR="00000000" w:rsidRDefault="000C49AD">
            <w:pPr>
              <w:spacing w:after="100"/>
              <w:rPr>
                <w:rFonts w:eastAsia="Times New Roman"/>
              </w:rPr>
            </w:pPr>
            <w:r>
              <w:rPr>
                <w:rFonts w:eastAsia="Times New Roman"/>
                <w:color w:val="000000"/>
                <w:sz w:val="18"/>
                <w:szCs w:val="18"/>
              </w:rPr>
              <w:t>Ireland</w:t>
            </w:r>
          </w:p>
        </w:tc>
        <w:tc>
          <w:tcPr>
            <w:tcW w:w="0" w:type="auto"/>
            <w:gridSpan w:val="3"/>
            <w:shd w:val="clear" w:color="auto" w:fill="FFFFFF"/>
            <w:tcMar>
              <w:top w:w="0" w:type="dxa"/>
              <w:left w:w="20" w:type="dxa"/>
              <w:bottom w:w="0" w:type="dxa"/>
              <w:right w:w="20" w:type="dxa"/>
            </w:tcMar>
            <w:vAlign w:val="center"/>
            <w:hideMark/>
          </w:tcPr>
          <w:p w14:paraId="547F42E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13661B9"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E4FCCD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71939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37F8FF"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458331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ADCFB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060316" w14:textId="77777777" w:rsidR="00000000" w:rsidRDefault="000C49AD">
            <w:pPr>
              <w:spacing w:after="100"/>
              <w:jc w:val="right"/>
              <w:rPr>
                <w:rFonts w:eastAsia="Times New Roman"/>
              </w:rPr>
            </w:pPr>
            <w:r>
              <w:rPr>
                <w:rFonts w:eastAsia="Times New Roman"/>
                <w:color w:val="000000"/>
                <w:sz w:val="18"/>
                <w:szCs w:val="18"/>
              </w:rPr>
              <w:t>(1,256)</w:t>
            </w:r>
          </w:p>
        </w:tc>
        <w:tc>
          <w:tcPr>
            <w:tcW w:w="0" w:type="auto"/>
            <w:shd w:val="clear" w:color="auto" w:fill="FFFFFF"/>
            <w:tcMar>
              <w:top w:w="30" w:type="dxa"/>
              <w:left w:w="0" w:type="dxa"/>
              <w:bottom w:w="30" w:type="dxa"/>
              <w:right w:w="20" w:type="dxa"/>
            </w:tcMar>
            <w:vAlign w:val="bottom"/>
            <w:hideMark/>
          </w:tcPr>
          <w:p w14:paraId="52B11C9C" w14:textId="77777777" w:rsidR="00000000" w:rsidRDefault="000C49AD">
            <w:pPr>
              <w:spacing w:after="100"/>
              <w:jc w:val="right"/>
              <w:rPr>
                <w:rFonts w:eastAsia="Times New Roman"/>
              </w:rPr>
            </w:pPr>
          </w:p>
        </w:tc>
      </w:tr>
      <w:tr w:rsidR="00000000" w14:paraId="6B1692A8" w14:textId="77777777">
        <w:tc>
          <w:tcPr>
            <w:tcW w:w="0" w:type="auto"/>
            <w:gridSpan w:val="3"/>
            <w:shd w:val="clear" w:color="auto" w:fill="CCEEFF"/>
            <w:tcMar>
              <w:top w:w="30" w:type="dxa"/>
              <w:left w:w="245" w:type="dxa"/>
              <w:bottom w:w="30" w:type="dxa"/>
              <w:right w:w="20" w:type="dxa"/>
            </w:tcMar>
            <w:vAlign w:val="bottom"/>
            <w:hideMark/>
          </w:tcPr>
          <w:p w14:paraId="6E8BB420" w14:textId="77777777" w:rsidR="00000000" w:rsidRDefault="000C49AD">
            <w:pPr>
              <w:spacing w:after="100"/>
              <w:rPr>
                <w:rFonts w:eastAsia="Times New Roman"/>
              </w:rPr>
            </w:pPr>
            <w:r>
              <w:rPr>
                <w:rFonts w:eastAsia="Times New Roman"/>
                <w:color w:val="000000"/>
                <w:sz w:val="18"/>
                <w:szCs w:val="18"/>
              </w:rPr>
              <w:t>U.S. - Federal</w:t>
            </w:r>
          </w:p>
        </w:tc>
        <w:tc>
          <w:tcPr>
            <w:tcW w:w="0" w:type="auto"/>
            <w:gridSpan w:val="3"/>
            <w:shd w:val="clear" w:color="auto" w:fill="CCEEFF"/>
            <w:tcMar>
              <w:top w:w="0" w:type="dxa"/>
              <w:left w:w="20" w:type="dxa"/>
              <w:bottom w:w="0" w:type="dxa"/>
              <w:right w:w="20" w:type="dxa"/>
            </w:tcMar>
            <w:vAlign w:val="center"/>
            <w:hideMark/>
          </w:tcPr>
          <w:p w14:paraId="008A1CA6"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79CADF" w14:textId="77777777" w:rsidR="00000000" w:rsidRDefault="000C49AD">
            <w:pPr>
              <w:spacing w:after="100"/>
              <w:jc w:val="right"/>
              <w:rPr>
                <w:rFonts w:eastAsia="Times New Roman"/>
              </w:rPr>
            </w:pPr>
            <w:r>
              <w:rPr>
                <w:rFonts w:eastAsia="Times New Roman"/>
                <w:color w:val="000000"/>
                <w:sz w:val="18"/>
                <w:szCs w:val="18"/>
              </w:rPr>
              <w:t>(15,876)</w:t>
            </w:r>
          </w:p>
        </w:tc>
        <w:tc>
          <w:tcPr>
            <w:tcW w:w="0" w:type="auto"/>
            <w:shd w:val="clear" w:color="auto" w:fill="CCEEFF"/>
            <w:tcMar>
              <w:top w:w="30" w:type="dxa"/>
              <w:left w:w="0" w:type="dxa"/>
              <w:bottom w:w="30" w:type="dxa"/>
              <w:right w:w="20" w:type="dxa"/>
            </w:tcMar>
            <w:vAlign w:val="bottom"/>
            <w:hideMark/>
          </w:tcPr>
          <w:p w14:paraId="54689A3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00C3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1064BA" w14:textId="77777777" w:rsidR="00000000" w:rsidRDefault="000C49AD">
            <w:pPr>
              <w:spacing w:after="100"/>
              <w:jc w:val="right"/>
              <w:rPr>
                <w:rFonts w:eastAsia="Times New Roman"/>
              </w:rPr>
            </w:pPr>
            <w:r>
              <w:rPr>
                <w:rFonts w:eastAsia="Times New Roman"/>
                <w:color w:val="000000"/>
                <w:sz w:val="18"/>
                <w:szCs w:val="18"/>
              </w:rPr>
              <w:t>680 </w:t>
            </w:r>
          </w:p>
        </w:tc>
        <w:tc>
          <w:tcPr>
            <w:tcW w:w="0" w:type="auto"/>
            <w:shd w:val="clear" w:color="auto" w:fill="CCEEFF"/>
            <w:tcMar>
              <w:top w:w="30" w:type="dxa"/>
              <w:left w:w="0" w:type="dxa"/>
              <w:bottom w:w="30" w:type="dxa"/>
              <w:right w:w="20" w:type="dxa"/>
            </w:tcMar>
            <w:vAlign w:val="bottom"/>
            <w:hideMark/>
          </w:tcPr>
          <w:p w14:paraId="36F524D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93FE5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911118" w14:textId="77777777" w:rsidR="00000000" w:rsidRDefault="000C49AD">
            <w:pPr>
              <w:spacing w:after="100"/>
              <w:jc w:val="right"/>
              <w:rPr>
                <w:rFonts w:eastAsia="Times New Roman"/>
              </w:rPr>
            </w:pPr>
            <w:r>
              <w:rPr>
                <w:rFonts w:eastAsia="Times New Roman"/>
                <w:color w:val="000000"/>
                <w:sz w:val="18"/>
                <w:szCs w:val="18"/>
              </w:rPr>
              <w:t>(4,093)</w:t>
            </w:r>
          </w:p>
        </w:tc>
        <w:tc>
          <w:tcPr>
            <w:tcW w:w="0" w:type="auto"/>
            <w:shd w:val="clear" w:color="auto" w:fill="CCEEFF"/>
            <w:tcMar>
              <w:top w:w="30" w:type="dxa"/>
              <w:left w:w="0" w:type="dxa"/>
              <w:bottom w:w="30" w:type="dxa"/>
              <w:right w:w="20" w:type="dxa"/>
            </w:tcMar>
            <w:vAlign w:val="bottom"/>
            <w:hideMark/>
          </w:tcPr>
          <w:p w14:paraId="5D499644" w14:textId="77777777" w:rsidR="00000000" w:rsidRDefault="000C49AD">
            <w:pPr>
              <w:spacing w:after="100"/>
              <w:jc w:val="right"/>
              <w:rPr>
                <w:rFonts w:eastAsia="Times New Roman"/>
              </w:rPr>
            </w:pPr>
          </w:p>
        </w:tc>
      </w:tr>
      <w:tr w:rsidR="00000000" w14:paraId="1AF8E883" w14:textId="77777777">
        <w:tc>
          <w:tcPr>
            <w:tcW w:w="0" w:type="auto"/>
            <w:gridSpan w:val="3"/>
            <w:shd w:val="clear" w:color="auto" w:fill="FFFFFF"/>
            <w:tcMar>
              <w:top w:w="30" w:type="dxa"/>
              <w:left w:w="245" w:type="dxa"/>
              <w:bottom w:w="30" w:type="dxa"/>
              <w:right w:w="20" w:type="dxa"/>
            </w:tcMar>
            <w:vAlign w:val="bottom"/>
            <w:hideMark/>
          </w:tcPr>
          <w:p w14:paraId="5C051CB5" w14:textId="77777777" w:rsidR="00000000" w:rsidRDefault="000C49AD">
            <w:pPr>
              <w:spacing w:after="100"/>
              <w:rPr>
                <w:rFonts w:eastAsia="Times New Roman"/>
              </w:rPr>
            </w:pPr>
            <w:r>
              <w:rPr>
                <w:rFonts w:eastAsia="Times New Roman"/>
                <w:color w:val="000000"/>
                <w:sz w:val="18"/>
                <w:szCs w:val="18"/>
              </w:rPr>
              <w:t>U.S. - State</w:t>
            </w:r>
          </w:p>
        </w:tc>
        <w:tc>
          <w:tcPr>
            <w:tcW w:w="0" w:type="auto"/>
            <w:gridSpan w:val="3"/>
            <w:shd w:val="clear" w:color="auto" w:fill="FFFFFF"/>
            <w:tcMar>
              <w:top w:w="0" w:type="dxa"/>
              <w:left w:w="20" w:type="dxa"/>
              <w:bottom w:w="0" w:type="dxa"/>
              <w:right w:w="20" w:type="dxa"/>
            </w:tcMar>
            <w:vAlign w:val="center"/>
            <w:hideMark/>
          </w:tcPr>
          <w:p w14:paraId="4B2B3853"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1CA98F"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AA1B1E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20A4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07A0B"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D16B95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D0DAB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6309BA" w14:textId="77777777" w:rsidR="00000000" w:rsidRDefault="000C49AD">
            <w:pPr>
              <w:spacing w:after="100"/>
              <w:jc w:val="right"/>
              <w:rPr>
                <w:rFonts w:eastAsia="Times New Roman"/>
              </w:rPr>
            </w:pPr>
            <w:r>
              <w:rPr>
                <w:rFonts w:eastAsia="Times New Roman"/>
                <w:color w:val="000000"/>
                <w:sz w:val="18"/>
                <w:szCs w:val="18"/>
              </w:rPr>
              <w:t>(104)</w:t>
            </w:r>
          </w:p>
        </w:tc>
        <w:tc>
          <w:tcPr>
            <w:tcW w:w="0" w:type="auto"/>
            <w:shd w:val="clear" w:color="auto" w:fill="FFFFFF"/>
            <w:tcMar>
              <w:top w:w="30" w:type="dxa"/>
              <w:left w:w="0" w:type="dxa"/>
              <w:bottom w:w="30" w:type="dxa"/>
              <w:right w:w="20" w:type="dxa"/>
            </w:tcMar>
            <w:vAlign w:val="bottom"/>
            <w:hideMark/>
          </w:tcPr>
          <w:p w14:paraId="6078F26B" w14:textId="77777777" w:rsidR="00000000" w:rsidRDefault="000C49AD">
            <w:pPr>
              <w:spacing w:after="100"/>
              <w:jc w:val="right"/>
              <w:rPr>
                <w:rFonts w:eastAsia="Times New Roman"/>
              </w:rPr>
            </w:pPr>
          </w:p>
        </w:tc>
      </w:tr>
      <w:tr w:rsidR="00000000" w14:paraId="552419E1" w14:textId="77777777">
        <w:tc>
          <w:tcPr>
            <w:tcW w:w="0" w:type="auto"/>
            <w:gridSpan w:val="3"/>
            <w:vAlign w:val="center"/>
            <w:hideMark/>
          </w:tcPr>
          <w:p w14:paraId="59FCA3CF" w14:textId="77777777" w:rsidR="00000000" w:rsidRDefault="000C49AD">
            <w:pPr>
              <w:spacing w:after="100"/>
              <w:jc w:val="right"/>
              <w:rPr>
                <w:rFonts w:eastAsia="Times New Roman"/>
                <w:sz w:val="20"/>
                <w:szCs w:val="20"/>
              </w:rPr>
            </w:pPr>
          </w:p>
        </w:tc>
        <w:tc>
          <w:tcPr>
            <w:tcW w:w="0" w:type="auto"/>
            <w:gridSpan w:val="3"/>
            <w:vAlign w:val="center"/>
            <w:hideMark/>
          </w:tcPr>
          <w:p w14:paraId="4C251B35" w14:textId="77777777" w:rsidR="00000000" w:rsidRDefault="000C49AD">
            <w:pPr>
              <w:spacing w:after="100"/>
              <w:rPr>
                <w:rFonts w:eastAsia="Times New Roman"/>
                <w:sz w:val="20"/>
                <w:szCs w:val="20"/>
              </w:rPr>
            </w:pPr>
          </w:p>
        </w:tc>
        <w:tc>
          <w:tcPr>
            <w:tcW w:w="0" w:type="auto"/>
            <w:gridSpan w:val="3"/>
            <w:vAlign w:val="center"/>
            <w:hideMark/>
          </w:tcPr>
          <w:p w14:paraId="4691A662" w14:textId="77777777" w:rsidR="00000000" w:rsidRDefault="000C49AD">
            <w:pPr>
              <w:spacing w:after="100"/>
              <w:rPr>
                <w:rFonts w:eastAsia="Times New Roman"/>
                <w:sz w:val="20"/>
                <w:szCs w:val="20"/>
              </w:rPr>
            </w:pPr>
          </w:p>
        </w:tc>
        <w:tc>
          <w:tcPr>
            <w:tcW w:w="0" w:type="auto"/>
            <w:gridSpan w:val="3"/>
            <w:vAlign w:val="center"/>
            <w:hideMark/>
          </w:tcPr>
          <w:p w14:paraId="5CA8C72E" w14:textId="77777777" w:rsidR="00000000" w:rsidRDefault="000C49AD">
            <w:pPr>
              <w:spacing w:after="100"/>
              <w:rPr>
                <w:rFonts w:eastAsia="Times New Roman"/>
                <w:sz w:val="20"/>
                <w:szCs w:val="20"/>
              </w:rPr>
            </w:pPr>
          </w:p>
        </w:tc>
        <w:tc>
          <w:tcPr>
            <w:tcW w:w="0" w:type="auto"/>
            <w:gridSpan w:val="3"/>
            <w:vAlign w:val="center"/>
            <w:hideMark/>
          </w:tcPr>
          <w:p w14:paraId="51EE17C9" w14:textId="77777777" w:rsidR="00000000" w:rsidRDefault="000C49AD">
            <w:pPr>
              <w:spacing w:after="100"/>
              <w:rPr>
                <w:rFonts w:eastAsia="Times New Roman"/>
                <w:sz w:val="20"/>
                <w:szCs w:val="20"/>
              </w:rPr>
            </w:pPr>
          </w:p>
        </w:tc>
        <w:tc>
          <w:tcPr>
            <w:tcW w:w="0" w:type="auto"/>
            <w:gridSpan w:val="3"/>
            <w:vAlign w:val="center"/>
            <w:hideMark/>
          </w:tcPr>
          <w:p w14:paraId="36135F53" w14:textId="77777777" w:rsidR="00000000" w:rsidRDefault="000C49AD">
            <w:pPr>
              <w:spacing w:after="100"/>
              <w:rPr>
                <w:rFonts w:eastAsia="Times New Roman"/>
                <w:sz w:val="20"/>
                <w:szCs w:val="20"/>
              </w:rPr>
            </w:pPr>
          </w:p>
        </w:tc>
        <w:tc>
          <w:tcPr>
            <w:tcW w:w="0" w:type="auto"/>
            <w:gridSpan w:val="3"/>
            <w:vAlign w:val="center"/>
            <w:hideMark/>
          </w:tcPr>
          <w:p w14:paraId="203CBCCF" w14:textId="77777777" w:rsidR="00000000" w:rsidRDefault="000C49AD">
            <w:pPr>
              <w:spacing w:after="100"/>
              <w:rPr>
                <w:rFonts w:eastAsia="Times New Roman"/>
                <w:sz w:val="20"/>
                <w:szCs w:val="20"/>
              </w:rPr>
            </w:pPr>
          </w:p>
        </w:tc>
      </w:tr>
      <w:tr w:rsidR="00000000" w14:paraId="6D83FFEC" w14:textId="77777777">
        <w:tc>
          <w:tcPr>
            <w:tcW w:w="0" w:type="auto"/>
            <w:gridSpan w:val="3"/>
            <w:shd w:val="clear" w:color="auto" w:fill="CCEEFF"/>
            <w:tcMar>
              <w:top w:w="30" w:type="dxa"/>
              <w:left w:w="155" w:type="dxa"/>
              <w:bottom w:w="30" w:type="dxa"/>
              <w:right w:w="20" w:type="dxa"/>
            </w:tcMar>
            <w:vAlign w:val="bottom"/>
            <w:hideMark/>
          </w:tcPr>
          <w:p w14:paraId="6501ADEB" w14:textId="77777777" w:rsidR="00000000" w:rsidRDefault="000C49AD">
            <w:pPr>
              <w:spacing w:after="100"/>
              <w:rPr>
                <w:rFonts w:eastAsia="Times New Roman"/>
              </w:rPr>
            </w:pPr>
            <w:r>
              <w:rPr>
                <w:rFonts w:eastAsia="Times New Roman"/>
                <w:color w:val="000000"/>
                <w:sz w:val="18"/>
                <w:szCs w:val="18"/>
              </w:rPr>
              <w:t>Total deferred</w:t>
            </w:r>
          </w:p>
        </w:tc>
        <w:tc>
          <w:tcPr>
            <w:tcW w:w="0" w:type="auto"/>
            <w:gridSpan w:val="3"/>
            <w:shd w:val="clear" w:color="auto" w:fill="CCEEFF"/>
            <w:tcMar>
              <w:top w:w="0" w:type="dxa"/>
              <w:left w:w="20" w:type="dxa"/>
              <w:bottom w:w="0" w:type="dxa"/>
              <w:right w:w="20" w:type="dxa"/>
            </w:tcMar>
            <w:vAlign w:val="center"/>
            <w:hideMark/>
          </w:tcPr>
          <w:p w14:paraId="0C7A00C4"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F7C245D" w14:textId="77777777" w:rsidR="00000000" w:rsidRDefault="000C49AD">
            <w:pPr>
              <w:spacing w:after="100"/>
              <w:jc w:val="right"/>
              <w:rPr>
                <w:rFonts w:eastAsia="Times New Roman"/>
              </w:rPr>
            </w:pPr>
            <w:r>
              <w:rPr>
                <w:rFonts w:eastAsia="Times New Roman"/>
                <w:color w:val="000000"/>
                <w:sz w:val="18"/>
                <w:szCs w:val="18"/>
              </w:rPr>
              <w:t>(15,876)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8BD05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C54BB0"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F578DB" w14:textId="77777777" w:rsidR="00000000" w:rsidRDefault="000C49AD">
            <w:pPr>
              <w:spacing w:after="100"/>
              <w:jc w:val="right"/>
              <w:rPr>
                <w:rFonts w:eastAsia="Times New Roman"/>
              </w:rPr>
            </w:pPr>
            <w:r>
              <w:rPr>
                <w:rFonts w:eastAsia="Times New Roman"/>
                <w:color w:val="000000"/>
                <w:sz w:val="18"/>
                <w:szCs w:val="18"/>
              </w:rPr>
              <w:t>680 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2A1BD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AB602"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1A55FD8" w14:textId="77777777" w:rsidR="00000000" w:rsidRDefault="000C49AD">
            <w:pPr>
              <w:spacing w:after="100"/>
              <w:jc w:val="right"/>
              <w:rPr>
                <w:rFonts w:eastAsia="Times New Roman"/>
              </w:rPr>
            </w:pPr>
            <w:r>
              <w:rPr>
                <w:rFonts w:eastAsia="Times New Roman"/>
                <w:color w:val="000000"/>
                <w:sz w:val="18"/>
                <w:szCs w:val="18"/>
              </w:rPr>
              <w:t>(5,453)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5A9146" w14:textId="77777777" w:rsidR="00000000" w:rsidRDefault="000C49AD">
            <w:pPr>
              <w:spacing w:after="100"/>
              <w:jc w:val="right"/>
              <w:rPr>
                <w:rFonts w:eastAsia="Times New Roman"/>
              </w:rPr>
            </w:pPr>
          </w:p>
        </w:tc>
      </w:tr>
      <w:tr w:rsidR="00000000" w14:paraId="2375F7D8" w14:textId="77777777">
        <w:trPr>
          <w:trHeight w:val="300"/>
        </w:trPr>
        <w:tc>
          <w:tcPr>
            <w:tcW w:w="0" w:type="auto"/>
            <w:gridSpan w:val="3"/>
            <w:shd w:val="clear" w:color="auto" w:fill="FFFFFF"/>
            <w:tcMar>
              <w:top w:w="0" w:type="dxa"/>
              <w:left w:w="20" w:type="dxa"/>
              <w:bottom w:w="0" w:type="dxa"/>
              <w:right w:w="20" w:type="dxa"/>
            </w:tcMar>
            <w:vAlign w:val="center"/>
            <w:hideMark/>
          </w:tcPr>
          <w:p w14:paraId="7BFDEFB3"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E1A6AE"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C43669"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67FB6A"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24DDDD"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601E48"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F769670" w14:textId="77777777" w:rsidR="00000000" w:rsidRDefault="000C49AD">
            <w:pPr>
              <w:spacing w:after="100"/>
              <w:rPr>
                <w:rFonts w:eastAsia="Times New Roman"/>
                <w:sz w:val="20"/>
                <w:szCs w:val="20"/>
              </w:rPr>
            </w:pPr>
          </w:p>
        </w:tc>
      </w:tr>
      <w:tr w:rsidR="00000000" w14:paraId="2C2C4D99" w14:textId="77777777">
        <w:tc>
          <w:tcPr>
            <w:tcW w:w="0" w:type="auto"/>
            <w:gridSpan w:val="3"/>
            <w:shd w:val="clear" w:color="auto" w:fill="CCEEFF"/>
            <w:tcMar>
              <w:top w:w="30" w:type="dxa"/>
              <w:left w:w="155" w:type="dxa"/>
              <w:bottom w:w="30" w:type="dxa"/>
              <w:right w:w="20" w:type="dxa"/>
            </w:tcMar>
            <w:vAlign w:val="bottom"/>
            <w:hideMark/>
          </w:tcPr>
          <w:p w14:paraId="7FB1D2EF" w14:textId="77777777" w:rsidR="00000000" w:rsidRDefault="000C49AD">
            <w:pPr>
              <w:spacing w:after="100"/>
              <w:rPr>
                <w:rFonts w:eastAsia="Times New Roman"/>
              </w:rPr>
            </w:pPr>
            <w:r>
              <w:rPr>
                <w:rFonts w:eastAsia="Times New Roman"/>
                <w:color w:val="000000"/>
                <w:sz w:val="18"/>
                <w:szCs w:val="18"/>
              </w:rPr>
              <w:t>Income tax benefit</w:t>
            </w:r>
          </w:p>
        </w:tc>
        <w:tc>
          <w:tcPr>
            <w:tcW w:w="0" w:type="auto"/>
            <w:gridSpan w:val="3"/>
            <w:shd w:val="clear" w:color="auto" w:fill="CCEEFF"/>
            <w:tcMar>
              <w:top w:w="0" w:type="dxa"/>
              <w:left w:w="20" w:type="dxa"/>
              <w:bottom w:w="0" w:type="dxa"/>
              <w:right w:w="20" w:type="dxa"/>
            </w:tcMar>
            <w:vAlign w:val="center"/>
            <w:hideMark/>
          </w:tcPr>
          <w:p w14:paraId="63F6273D" w14:textId="77777777" w:rsidR="00000000" w:rsidRDefault="000C49AD">
            <w:pPr>
              <w:spacing w:after="100"/>
              <w:rPr>
                <w:rFonts w:eastAsia="Times New Roman"/>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754C3848" w14:textId="77777777" w:rsidR="00000000" w:rsidRDefault="000C49AD">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8181C4B" w14:textId="77777777" w:rsidR="00000000" w:rsidRDefault="000C49AD">
            <w:pPr>
              <w:spacing w:after="100"/>
              <w:jc w:val="right"/>
              <w:rPr>
                <w:rFonts w:eastAsia="Times New Roman"/>
              </w:rPr>
            </w:pPr>
            <w:r>
              <w:rPr>
                <w:rFonts w:eastAsia="Times New Roman"/>
                <w:color w:val="000000"/>
                <w:sz w:val="18"/>
                <w:szCs w:val="18"/>
              </w:rPr>
              <w:t>(15,816)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20021FB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7B1B6" w14:textId="77777777" w:rsidR="00000000" w:rsidRDefault="000C49AD">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4CB93AC1" w14:textId="77777777" w:rsidR="00000000" w:rsidRDefault="000C49AD">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790FDB52" w14:textId="77777777" w:rsidR="00000000" w:rsidRDefault="000C49AD">
            <w:pPr>
              <w:spacing w:after="100"/>
              <w:jc w:val="right"/>
              <w:rPr>
                <w:rFonts w:eastAsia="Times New Roman"/>
              </w:rPr>
            </w:pPr>
            <w:r>
              <w:rPr>
                <w:rFonts w:eastAsia="Times New Roman"/>
                <w:color w:val="000000"/>
                <w:sz w:val="18"/>
                <w:szCs w:val="18"/>
              </w:rPr>
              <w:t>(12,110)</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705DD77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0DC9B" w14:textId="77777777" w:rsidR="00000000" w:rsidRDefault="000C49AD">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14:paraId="16BC0C70" w14:textId="77777777" w:rsidR="00000000" w:rsidRDefault="000C49AD">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4735EE44" w14:textId="77777777" w:rsidR="00000000" w:rsidRDefault="000C49AD">
            <w:pPr>
              <w:spacing w:after="100"/>
              <w:jc w:val="right"/>
              <w:rPr>
                <w:rFonts w:eastAsia="Times New Roman"/>
              </w:rPr>
            </w:pPr>
            <w:r>
              <w:rPr>
                <w:rFonts w:eastAsia="Times New Roman"/>
                <w:color w:val="000000"/>
                <w:sz w:val="18"/>
                <w:szCs w:val="18"/>
              </w:rPr>
              <w:t>(5,356)</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14:paraId="7B028EC6" w14:textId="77777777" w:rsidR="00000000" w:rsidRDefault="000C49AD">
            <w:pPr>
              <w:spacing w:after="100"/>
              <w:jc w:val="right"/>
              <w:rPr>
                <w:rFonts w:eastAsia="Times New Roman"/>
              </w:rPr>
            </w:pPr>
          </w:p>
        </w:tc>
      </w:tr>
    </w:tbl>
    <w:p w14:paraId="3AA9B03D" w14:textId="77777777" w:rsidR="00000000" w:rsidRDefault="000C49AD">
      <w:pPr>
        <w:jc w:val="both"/>
        <w:rPr>
          <w:rFonts w:eastAsia="Times New Roman"/>
        </w:rPr>
      </w:pPr>
    </w:p>
    <w:p w14:paraId="1ADADCD8" w14:textId="77777777" w:rsidR="00000000" w:rsidRDefault="000C49AD">
      <w:pPr>
        <w:jc w:val="both"/>
        <w:divId w:val="2109503402"/>
        <w:rPr>
          <w:rFonts w:eastAsia="Times New Roman"/>
        </w:rPr>
      </w:pPr>
      <w:r>
        <w:rPr>
          <w:rFonts w:eastAsia="Times New Roman"/>
          <w:color w:val="000000"/>
          <w:sz w:val="20"/>
          <w:szCs w:val="20"/>
        </w:rPr>
        <w:t xml:space="preserve"> The reconciliation between income taxes at the statutory rate and the Company’s benefit for income taxes is as follows for the years ended December </w:t>
      </w:r>
      <w:r>
        <w:rPr>
          <w:rFonts w:eastAsia="Times New Roman"/>
          <w:color w:val="000000"/>
          <w:sz w:val="20"/>
          <w:szCs w:val="20"/>
        </w:rPr>
        <w:t>31: </w:t>
      </w:r>
    </w:p>
    <w:tbl>
      <w:tblPr>
        <w:tblW w:w="4978" w:type="pct"/>
        <w:tblCellMar>
          <w:top w:w="15" w:type="dxa"/>
          <w:left w:w="15" w:type="dxa"/>
          <w:bottom w:w="15" w:type="dxa"/>
          <w:right w:w="15" w:type="dxa"/>
        </w:tblCellMar>
        <w:tblLook w:val="04A0" w:firstRow="1" w:lastRow="0" w:firstColumn="1" w:lastColumn="0" w:noHBand="0" w:noVBand="1"/>
      </w:tblPr>
      <w:tblGrid>
        <w:gridCol w:w="38"/>
        <w:gridCol w:w="3980"/>
        <w:gridCol w:w="37"/>
        <w:gridCol w:w="36"/>
        <w:gridCol w:w="36"/>
        <w:gridCol w:w="36"/>
        <w:gridCol w:w="110"/>
        <w:gridCol w:w="1150"/>
        <w:gridCol w:w="36"/>
        <w:gridCol w:w="36"/>
        <w:gridCol w:w="36"/>
        <w:gridCol w:w="36"/>
        <w:gridCol w:w="110"/>
        <w:gridCol w:w="1151"/>
        <w:gridCol w:w="36"/>
        <w:gridCol w:w="36"/>
        <w:gridCol w:w="36"/>
        <w:gridCol w:w="36"/>
        <w:gridCol w:w="110"/>
        <w:gridCol w:w="1151"/>
        <w:gridCol w:w="36"/>
      </w:tblGrid>
      <w:tr w:rsidR="00000000" w14:paraId="02472BA2" w14:textId="77777777">
        <w:trPr>
          <w:divId w:val="1453986440"/>
        </w:trPr>
        <w:tc>
          <w:tcPr>
            <w:tcW w:w="50" w:type="pct"/>
            <w:vAlign w:val="center"/>
            <w:hideMark/>
          </w:tcPr>
          <w:p w14:paraId="59570549" w14:textId="77777777" w:rsidR="00000000" w:rsidRDefault="000C49AD">
            <w:pPr>
              <w:jc w:val="both"/>
              <w:rPr>
                <w:rFonts w:eastAsia="Times New Roman"/>
              </w:rPr>
            </w:pPr>
          </w:p>
        </w:tc>
        <w:tc>
          <w:tcPr>
            <w:tcW w:w="2433" w:type="pct"/>
            <w:vAlign w:val="center"/>
            <w:hideMark/>
          </w:tcPr>
          <w:p w14:paraId="7A72B1E9" w14:textId="77777777" w:rsidR="00000000" w:rsidRDefault="000C49AD">
            <w:pPr>
              <w:spacing w:after="100"/>
              <w:rPr>
                <w:rFonts w:eastAsia="Times New Roman"/>
                <w:sz w:val="20"/>
                <w:szCs w:val="20"/>
              </w:rPr>
            </w:pPr>
          </w:p>
        </w:tc>
        <w:tc>
          <w:tcPr>
            <w:tcW w:w="5" w:type="pct"/>
            <w:vAlign w:val="center"/>
            <w:hideMark/>
          </w:tcPr>
          <w:p w14:paraId="1D20232B" w14:textId="77777777" w:rsidR="00000000" w:rsidRDefault="000C49AD">
            <w:pPr>
              <w:spacing w:after="100"/>
              <w:rPr>
                <w:rFonts w:eastAsia="Times New Roman"/>
                <w:sz w:val="20"/>
                <w:szCs w:val="20"/>
              </w:rPr>
            </w:pPr>
          </w:p>
        </w:tc>
        <w:tc>
          <w:tcPr>
            <w:tcW w:w="5" w:type="pct"/>
            <w:vAlign w:val="center"/>
            <w:hideMark/>
          </w:tcPr>
          <w:p w14:paraId="74F1F545" w14:textId="77777777" w:rsidR="00000000" w:rsidRDefault="000C49AD">
            <w:pPr>
              <w:spacing w:after="100"/>
              <w:rPr>
                <w:rFonts w:eastAsia="Times New Roman"/>
                <w:sz w:val="20"/>
                <w:szCs w:val="20"/>
              </w:rPr>
            </w:pPr>
          </w:p>
        </w:tc>
        <w:tc>
          <w:tcPr>
            <w:tcW w:w="26" w:type="pct"/>
            <w:vAlign w:val="center"/>
            <w:hideMark/>
          </w:tcPr>
          <w:p w14:paraId="015B514E" w14:textId="77777777" w:rsidR="00000000" w:rsidRDefault="000C49AD">
            <w:pPr>
              <w:spacing w:after="100"/>
              <w:rPr>
                <w:rFonts w:eastAsia="Times New Roman"/>
                <w:sz w:val="20"/>
                <w:szCs w:val="20"/>
              </w:rPr>
            </w:pPr>
          </w:p>
        </w:tc>
        <w:tc>
          <w:tcPr>
            <w:tcW w:w="5" w:type="pct"/>
            <w:vAlign w:val="center"/>
            <w:hideMark/>
          </w:tcPr>
          <w:p w14:paraId="274ACCEB" w14:textId="77777777" w:rsidR="00000000" w:rsidRDefault="000C49AD">
            <w:pPr>
              <w:spacing w:after="100"/>
              <w:rPr>
                <w:rFonts w:eastAsia="Times New Roman"/>
                <w:sz w:val="20"/>
                <w:szCs w:val="20"/>
              </w:rPr>
            </w:pPr>
          </w:p>
        </w:tc>
        <w:tc>
          <w:tcPr>
            <w:tcW w:w="50" w:type="pct"/>
            <w:vAlign w:val="center"/>
            <w:hideMark/>
          </w:tcPr>
          <w:p w14:paraId="7BA413F5" w14:textId="77777777" w:rsidR="00000000" w:rsidRDefault="000C49AD">
            <w:pPr>
              <w:spacing w:after="100"/>
              <w:rPr>
                <w:rFonts w:eastAsia="Times New Roman"/>
                <w:sz w:val="20"/>
                <w:szCs w:val="20"/>
              </w:rPr>
            </w:pPr>
          </w:p>
        </w:tc>
        <w:tc>
          <w:tcPr>
            <w:tcW w:w="745" w:type="pct"/>
            <w:vAlign w:val="center"/>
            <w:hideMark/>
          </w:tcPr>
          <w:p w14:paraId="609E995F" w14:textId="77777777" w:rsidR="00000000" w:rsidRDefault="000C49AD">
            <w:pPr>
              <w:spacing w:after="100"/>
              <w:rPr>
                <w:rFonts w:eastAsia="Times New Roman"/>
                <w:sz w:val="20"/>
                <w:szCs w:val="20"/>
              </w:rPr>
            </w:pPr>
          </w:p>
        </w:tc>
        <w:tc>
          <w:tcPr>
            <w:tcW w:w="5" w:type="pct"/>
            <w:vAlign w:val="center"/>
            <w:hideMark/>
          </w:tcPr>
          <w:p w14:paraId="3F6EC161" w14:textId="77777777" w:rsidR="00000000" w:rsidRDefault="000C49AD">
            <w:pPr>
              <w:spacing w:after="100"/>
              <w:rPr>
                <w:rFonts w:eastAsia="Times New Roman"/>
                <w:sz w:val="20"/>
                <w:szCs w:val="20"/>
              </w:rPr>
            </w:pPr>
          </w:p>
        </w:tc>
        <w:tc>
          <w:tcPr>
            <w:tcW w:w="5" w:type="pct"/>
            <w:vAlign w:val="center"/>
            <w:hideMark/>
          </w:tcPr>
          <w:p w14:paraId="16FD8759" w14:textId="77777777" w:rsidR="00000000" w:rsidRDefault="000C49AD">
            <w:pPr>
              <w:spacing w:after="100"/>
              <w:rPr>
                <w:rFonts w:eastAsia="Times New Roman"/>
                <w:sz w:val="20"/>
                <w:szCs w:val="20"/>
              </w:rPr>
            </w:pPr>
          </w:p>
        </w:tc>
        <w:tc>
          <w:tcPr>
            <w:tcW w:w="26" w:type="pct"/>
            <w:vAlign w:val="center"/>
            <w:hideMark/>
          </w:tcPr>
          <w:p w14:paraId="173E2465" w14:textId="77777777" w:rsidR="00000000" w:rsidRDefault="000C49AD">
            <w:pPr>
              <w:spacing w:after="100"/>
              <w:rPr>
                <w:rFonts w:eastAsia="Times New Roman"/>
                <w:sz w:val="20"/>
                <w:szCs w:val="20"/>
              </w:rPr>
            </w:pPr>
          </w:p>
        </w:tc>
        <w:tc>
          <w:tcPr>
            <w:tcW w:w="5" w:type="pct"/>
            <w:vAlign w:val="center"/>
            <w:hideMark/>
          </w:tcPr>
          <w:p w14:paraId="4606FFF9" w14:textId="77777777" w:rsidR="00000000" w:rsidRDefault="000C49AD">
            <w:pPr>
              <w:spacing w:after="100"/>
              <w:rPr>
                <w:rFonts w:eastAsia="Times New Roman"/>
                <w:sz w:val="20"/>
                <w:szCs w:val="20"/>
              </w:rPr>
            </w:pPr>
          </w:p>
        </w:tc>
        <w:tc>
          <w:tcPr>
            <w:tcW w:w="50" w:type="pct"/>
            <w:vAlign w:val="center"/>
            <w:hideMark/>
          </w:tcPr>
          <w:p w14:paraId="1596BFA9" w14:textId="77777777" w:rsidR="00000000" w:rsidRDefault="000C49AD">
            <w:pPr>
              <w:spacing w:after="100"/>
              <w:rPr>
                <w:rFonts w:eastAsia="Times New Roman"/>
                <w:sz w:val="20"/>
                <w:szCs w:val="20"/>
              </w:rPr>
            </w:pPr>
          </w:p>
        </w:tc>
        <w:tc>
          <w:tcPr>
            <w:tcW w:w="745" w:type="pct"/>
            <w:vAlign w:val="center"/>
            <w:hideMark/>
          </w:tcPr>
          <w:p w14:paraId="534385D1" w14:textId="77777777" w:rsidR="00000000" w:rsidRDefault="000C49AD">
            <w:pPr>
              <w:spacing w:after="100"/>
              <w:rPr>
                <w:rFonts w:eastAsia="Times New Roman"/>
                <w:sz w:val="20"/>
                <w:szCs w:val="20"/>
              </w:rPr>
            </w:pPr>
          </w:p>
        </w:tc>
        <w:tc>
          <w:tcPr>
            <w:tcW w:w="5" w:type="pct"/>
            <w:vAlign w:val="center"/>
            <w:hideMark/>
          </w:tcPr>
          <w:p w14:paraId="60719171" w14:textId="77777777" w:rsidR="00000000" w:rsidRDefault="000C49AD">
            <w:pPr>
              <w:spacing w:after="100"/>
              <w:rPr>
                <w:rFonts w:eastAsia="Times New Roman"/>
                <w:sz w:val="20"/>
                <w:szCs w:val="20"/>
              </w:rPr>
            </w:pPr>
          </w:p>
        </w:tc>
        <w:tc>
          <w:tcPr>
            <w:tcW w:w="5" w:type="pct"/>
            <w:vAlign w:val="center"/>
            <w:hideMark/>
          </w:tcPr>
          <w:p w14:paraId="7FE5992D" w14:textId="77777777" w:rsidR="00000000" w:rsidRDefault="000C49AD">
            <w:pPr>
              <w:spacing w:after="100"/>
              <w:rPr>
                <w:rFonts w:eastAsia="Times New Roman"/>
                <w:sz w:val="20"/>
                <w:szCs w:val="20"/>
              </w:rPr>
            </w:pPr>
          </w:p>
        </w:tc>
        <w:tc>
          <w:tcPr>
            <w:tcW w:w="26" w:type="pct"/>
            <w:vAlign w:val="center"/>
            <w:hideMark/>
          </w:tcPr>
          <w:p w14:paraId="26326097" w14:textId="77777777" w:rsidR="00000000" w:rsidRDefault="000C49AD">
            <w:pPr>
              <w:spacing w:after="100"/>
              <w:rPr>
                <w:rFonts w:eastAsia="Times New Roman"/>
                <w:sz w:val="20"/>
                <w:szCs w:val="20"/>
              </w:rPr>
            </w:pPr>
          </w:p>
        </w:tc>
        <w:tc>
          <w:tcPr>
            <w:tcW w:w="5" w:type="pct"/>
            <w:vAlign w:val="center"/>
            <w:hideMark/>
          </w:tcPr>
          <w:p w14:paraId="75B04377" w14:textId="77777777" w:rsidR="00000000" w:rsidRDefault="000C49AD">
            <w:pPr>
              <w:spacing w:after="100"/>
              <w:rPr>
                <w:rFonts w:eastAsia="Times New Roman"/>
                <w:sz w:val="20"/>
                <w:szCs w:val="20"/>
              </w:rPr>
            </w:pPr>
          </w:p>
        </w:tc>
        <w:tc>
          <w:tcPr>
            <w:tcW w:w="50" w:type="pct"/>
            <w:vAlign w:val="center"/>
            <w:hideMark/>
          </w:tcPr>
          <w:p w14:paraId="0619186E" w14:textId="77777777" w:rsidR="00000000" w:rsidRDefault="000C49AD">
            <w:pPr>
              <w:spacing w:after="100"/>
              <w:rPr>
                <w:rFonts w:eastAsia="Times New Roman"/>
                <w:sz w:val="20"/>
                <w:szCs w:val="20"/>
              </w:rPr>
            </w:pPr>
          </w:p>
        </w:tc>
        <w:tc>
          <w:tcPr>
            <w:tcW w:w="745" w:type="pct"/>
            <w:vAlign w:val="center"/>
            <w:hideMark/>
          </w:tcPr>
          <w:p w14:paraId="0BCAF288" w14:textId="77777777" w:rsidR="00000000" w:rsidRDefault="000C49AD">
            <w:pPr>
              <w:spacing w:after="100"/>
              <w:rPr>
                <w:rFonts w:eastAsia="Times New Roman"/>
                <w:sz w:val="20"/>
                <w:szCs w:val="20"/>
              </w:rPr>
            </w:pPr>
          </w:p>
        </w:tc>
        <w:tc>
          <w:tcPr>
            <w:tcW w:w="5" w:type="pct"/>
            <w:vAlign w:val="center"/>
            <w:hideMark/>
          </w:tcPr>
          <w:p w14:paraId="03C6F239" w14:textId="77777777" w:rsidR="00000000" w:rsidRDefault="000C49AD">
            <w:pPr>
              <w:spacing w:after="100"/>
              <w:rPr>
                <w:rFonts w:eastAsia="Times New Roman"/>
                <w:sz w:val="20"/>
                <w:szCs w:val="20"/>
              </w:rPr>
            </w:pPr>
          </w:p>
        </w:tc>
      </w:tr>
      <w:tr w:rsidR="00000000" w14:paraId="435D38F6" w14:textId="77777777">
        <w:trPr>
          <w:divId w:val="1453986440"/>
        </w:trPr>
        <w:tc>
          <w:tcPr>
            <w:tcW w:w="0" w:type="auto"/>
            <w:gridSpan w:val="3"/>
            <w:tcMar>
              <w:top w:w="30" w:type="dxa"/>
              <w:left w:w="20" w:type="dxa"/>
              <w:bottom w:w="30" w:type="dxa"/>
              <w:right w:w="20" w:type="dxa"/>
            </w:tcMar>
            <w:vAlign w:val="bottom"/>
            <w:hideMark/>
          </w:tcPr>
          <w:p w14:paraId="7F619ECB" w14:textId="77777777" w:rsidR="00000000" w:rsidRDefault="000C49AD">
            <w:pPr>
              <w:spacing w:after="100"/>
              <w:rPr>
                <w:rFonts w:eastAsia="Times New Roman"/>
              </w:rPr>
            </w:pPr>
            <w:r>
              <w:rPr>
                <w:rFonts w:eastAsia="Times New Roman"/>
                <w:b/>
                <w:bCs/>
                <w:color w:val="000000"/>
                <w:sz w:val="18"/>
                <w:szCs w:val="18"/>
              </w:rPr>
              <w:t> Reconciliation to Effective Income Tax Rate:</w:t>
            </w:r>
          </w:p>
        </w:tc>
        <w:tc>
          <w:tcPr>
            <w:tcW w:w="0" w:type="auto"/>
            <w:gridSpan w:val="3"/>
            <w:tcMar>
              <w:top w:w="0" w:type="dxa"/>
              <w:left w:w="20" w:type="dxa"/>
              <w:bottom w:w="0" w:type="dxa"/>
              <w:right w:w="20" w:type="dxa"/>
            </w:tcMar>
            <w:vAlign w:val="center"/>
            <w:hideMark/>
          </w:tcPr>
          <w:p w14:paraId="5F15D3BF"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63693CD9"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7503157"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A81AEA6"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1C15DA31"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D605302"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5FC90A36" w14:textId="77777777">
        <w:trPr>
          <w:divId w:val="1453986440"/>
          <w:trHeight w:val="60"/>
        </w:trPr>
        <w:tc>
          <w:tcPr>
            <w:tcW w:w="0" w:type="auto"/>
            <w:gridSpan w:val="3"/>
            <w:tcBorders>
              <w:top w:val="single" w:sz="8" w:space="0" w:color="000000"/>
            </w:tcBorders>
            <w:tcMar>
              <w:top w:w="0" w:type="dxa"/>
              <w:left w:w="20" w:type="dxa"/>
              <w:bottom w:w="0" w:type="dxa"/>
              <w:right w:w="20" w:type="dxa"/>
            </w:tcMar>
            <w:vAlign w:val="center"/>
            <w:hideMark/>
          </w:tcPr>
          <w:p w14:paraId="6A5F08E9"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AE5C0C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B21DFA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8E9E9B"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36760FA"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0000E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B308773" w14:textId="77777777" w:rsidR="00000000" w:rsidRDefault="000C49AD">
            <w:pPr>
              <w:spacing w:after="100"/>
              <w:rPr>
                <w:rFonts w:eastAsia="Times New Roman"/>
                <w:sz w:val="20"/>
                <w:szCs w:val="20"/>
              </w:rPr>
            </w:pPr>
          </w:p>
        </w:tc>
      </w:tr>
      <w:tr w:rsidR="00000000" w14:paraId="7947AD06" w14:textId="77777777">
        <w:trPr>
          <w:divId w:val="1453986440"/>
        </w:trPr>
        <w:tc>
          <w:tcPr>
            <w:tcW w:w="0" w:type="auto"/>
            <w:gridSpan w:val="3"/>
            <w:shd w:val="clear" w:color="auto" w:fill="CCEEFF"/>
            <w:tcMar>
              <w:top w:w="30" w:type="dxa"/>
              <w:left w:w="155" w:type="dxa"/>
              <w:bottom w:w="30" w:type="dxa"/>
              <w:right w:w="20" w:type="dxa"/>
            </w:tcMar>
            <w:vAlign w:val="bottom"/>
            <w:hideMark/>
          </w:tcPr>
          <w:p w14:paraId="3E99A5BD" w14:textId="77777777" w:rsidR="00000000" w:rsidRDefault="000C49AD">
            <w:pPr>
              <w:spacing w:after="100"/>
              <w:rPr>
                <w:rFonts w:eastAsia="Times New Roman"/>
              </w:rPr>
            </w:pPr>
            <w:r>
              <w:rPr>
                <w:rFonts w:eastAsia="Times New Roman"/>
                <w:color w:val="000000"/>
                <w:sz w:val="18"/>
                <w:szCs w:val="18"/>
              </w:rPr>
              <w:t>Income tax benefit - at statutory tax rate</w:t>
            </w:r>
          </w:p>
        </w:tc>
        <w:tc>
          <w:tcPr>
            <w:tcW w:w="0" w:type="auto"/>
            <w:gridSpan w:val="3"/>
            <w:shd w:val="clear" w:color="auto" w:fill="CCEEFF"/>
            <w:tcMar>
              <w:top w:w="0" w:type="dxa"/>
              <w:left w:w="20" w:type="dxa"/>
              <w:bottom w:w="0" w:type="dxa"/>
              <w:right w:w="20" w:type="dxa"/>
            </w:tcMar>
            <w:vAlign w:val="center"/>
            <w:hideMark/>
          </w:tcPr>
          <w:p w14:paraId="2778219F"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6AEA20F"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48BF65C" w14:textId="77777777" w:rsidR="00000000" w:rsidRDefault="000C49AD">
            <w:pPr>
              <w:spacing w:after="100"/>
              <w:jc w:val="right"/>
              <w:rPr>
                <w:rFonts w:eastAsia="Times New Roman"/>
              </w:rPr>
            </w:pPr>
            <w:r>
              <w:rPr>
                <w:rFonts w:eastAsia="Times New Roman"/>
                <w:color w:val="000000"/>
                <w:sz w:val="18"/>
                <w:szCs w:val="18"/>
              </w:rPr>
              <w:t>(11,642)</w:t>
            </w:r>
          </w:p>
        </w:tc>
        <w:tc>
          <w:tcPr>
            <w:tcW w:w="0" w:type="auto"/>
            <w:shd w:val="clear" w:color="auto" w:fill="CCEEFF"/>
            <w:tcMar>
              <w:top w:w="30" w:type="dxa"/>
              <w:left w:w="0" w:type="dxa"/>
              <w:bottom w:w="30" w:type="dxa"/>
              <w:right w:w="20" w:type="dxa"/>
            </w:tcMar>
            <w:vAlign w:val="bottom"/>
            <w:hideMark/>
          </w:tcPr>
          <w:p w14:paraId="78770A4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D1297F"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31A482"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380F1FB" w14:textId="77777777" w:rsidR="00000000" w:rsidRDefault="000C49AD">
            <w:pPr>
              <w:spacing w:after="100"/>
              <w:jc w:val="right"/>
              <w:rPr>
                <w:rFonts w:eastAsia="Times New Roman"/>
              </w:rPr>
            </w:pPr>
            <w:r>
              <w:rPr>
                <w:rFonts w:eastAsia="Times New Roman"/>
                <w:color w:val="000000"/>
                <w:sz w:val="18"/>
                <w:szCs w:val="18"/>
              </w:rPr>
              <w:t>(636)</w:t>
            </w:r>
          </w:p>
        </w:tc>
        <w:tc>
          <w:tcPr>
            <w:tcW w:w="0" w:type="auto"/>
            <w:shd w:val="clear" w:color="auto" w:fill="CCEEFF"/>
            <w:tcMar>
              <w:top w:w="30" w:type="dxa"/>
              <w:left w:w="0" w:type="dxa"/>
              <w:bottom w:w="30" w:type="dxa"/>
              <w:right w:w="20" w:type="dxa"/>
            </w:tcMar>
            <w:vAlign w:val="bottom"/>
            <w:hideMark/>
          </w:tcPr>
          <w:p w14:paraId="64D0137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875136"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B43590F"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1BC897E" w14:textId="77777777" w:rsidR="00000000" w:rsidRDefault="000C49AD">
            <w:pPr>
              <w:spacing w:after="100"/>
              <w:jc w:val="right"/>
              <w:rPr>
                <w:rFonts w:eastAsia="Times New Roman"/>
              </w:rPr>
            </w:pPr>
            <w:r>
              <w:rPr>
                <w:rFonts w:eastAsia="Times New Roman"/>
                <w:color w:val="000000"/>
                <w:sz w:val="18"/>
                <w:szCs w:val="18"/>
              </w:rPr>
              <w:t>(4,823)</w:t>
            </w:r>
          </w:p>
        </w:tc>
        <w:tc>
          <w:tcPr>
            <w:tcW w:w="0" w:type="auto"/>
            <w:shd w:val="clear" w:color="auto" w:fill="CCEEFF"/>
            <w:tcMar>
              <w:top w:w="30" w:type="dxa"/>
              <w:left w:w="0" w:type="dxa"/>
              <w:bottom w:w="30" w:type="dxa"/>
              <w:right w:w="20" w:type="dxa"/>
            </w:tcMar>
            <w:vAlign w:val="bottom"/>
            <w:hideMark/>
          </w:tcPr>
          <w:p w14:paraId="08F34FC3" w14:textId="77777777" w:rsidR="00000000" w:rsidRDefault="000C49AD">
            <w:pPr>
              <w:spacing w:after="100"/>
              <w:jc w:val="right"/>
              <w:rPr>
                <w:rFonts w:eastAsia="Times New Roman"/>
              </w:rPr>
            </w:pPr>
          </w:p>
        </w:tc>
      </w:tr>
      <w:tr w:rsidR="00000000" w14:paraId="5E89E47B" w14:textId="77777777">
        <w:trPr>
          <w:divId w:val="1453986440"/>
        </w:trPr>
        <w:tc>
          <w:tcPr>
            <w:tcW w:w="0" w:type="auto"/>
            <w:gridSpan w:val="3"/>
            <w:shd w:val="clear" w:color="auto" w:fill="FFFFFF"/>
            <w:tcMar>
              <w:top w:w="30" w:type="dxa"/>
              <w:left w:w="245" w:type="dxa"/>
              <w:bottom w:w="30" w:type="dxa"/>
              <w:right w:w="20" w:type="dxa"/>
            </w:tcMar>
            <w:vAlign w:val="bottom"/>
            <w:hideMark/>
          </w:tcPr>
          <w:p w14:paraId="4DC5C06E" w14:textId="77777777" w:rsidR="00000000" w:rsidRDefault="000C49AD">
            <w:pPr>
              <w:spacing w:after="100"/>
              <w:rPr>
                <w:rFonts w:eastAsia="Times New Roman"/>
              </w:rPr>
            </w:pPr>
            <w:r>
              <w:rPr>
                <w:rFonts w:eastAsia="Times New Roman"/>
                <w:color w:val="000000"/>
                <w:sz w:val="18"/>
                <w:szCs w:val="18"/>
              </w:rPr>
              <w:t>Differences in international tax rates</w:t>
            </w:r>
          </w:p>
        </w:tc>
        <w:tc>
          <w:tcPr>
            <w:tcW w:w="0" w:type="auto"/>
            <w:gridSpan w:val="3"/>
            <w:shd w:val="clear" w:color="auto" w:fill="FFFFFF"/>
            <w:tcMar>
              <w:top w:w="0" w:type="dxa"/>
              <w:left w:w="20" w:type="dxa"/>
              <w:bottom w:w="0" w:type="dxa"/>
              <w:right w:w="20" w:type="dxa"/>
            </w:tcMar>
            <w:vAlign w:val="center"/>
            <w:hideMark/>
          </w:tcPr>
          <w:p w14:paraId="3674228A"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5DD529" w14:textId="77777777" w:rsidR="00000000" w:rsidRDefault="000C49AD">
            <w:pPr>
              <w:spacing w:after="100"/>
              <w:jc w:val="right"/>
              <w:rPr>
                <w:rFonts w:eastAsia="Times New Roman"/>
              </w:rPr>
            </w:pPr>
            <w:r>
              <w:rPr>
                <w:rFonts w:eastAsia="Times New Roman"/>
                <w:color w:val="000000"/>
                <w:sz w:val="18"/>
                <w:szCs w:val="18"/>
              </w:rPr>
              <w:t>(8,950)</w:t>
            </w:r>
          </w:p>
        </w:tc>
        <w:tc>
          <w:tcPr>
            <w:tcW w:w="0" w:type="auto"/>
            <w:shd w:val="clear" w:color="auto" w:fill="FFFFFF"/>
            <w:tcMar>
              <w:top w:w="30" w:type="dxa"/>
              <w:left w:w="0" w:type="dxa"/>
              <w:bottom w:w="30" w:type="dxa"/>
              <w:right w:w="20" w:type="dxa"/>
            </w:tcMar>
            <w:vAlign w:val="bottom"/>
            <w:hideMark/>
          </w:tcPr>
          <w:p w14:paraId="4AC7553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1E131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CE9ACB" w14:textId="77777777" w:rsidR="00000000" w:rsidRDefault="000C49AD">
            <w:pPr>
              <w:spacing w:after="100"/>
              <w:jc w:val="right"/>
              <w:rPr>
                <w:rFonts w:eastAsia="Times New Roman"/>
              </w:rPr>
            </w:pPr>
            <w:r>
              <w:rPr>
                <w:rFonts w:eastAsia="Times New Roman"/>
                <w:color w:val="000000"/>
                <w:sz w:val="18"/>
                <w:szCs w:val="18"/>
              </w:rPr>
              <w:t>1,755 </w:t>
            </w:r>
          </w:p>
        </w:tc>
        <w:tc>
          <w:tcPr>
            <w:tcW w:w="0" w:type="auto"/>
            <w:shd w:val="clear" w:color="auto" w:fill="FFFFFF"/>
            <w:tcMar>
              <w:top w:w="30" w:type="dxa"/>
              <w:left w:w="0" w:type="dxa"/>
              <w:bottom w:w="30" w:type="dxa"/>
              <w:right w:w="20" w:type="dxa"/>
            </w:tcMar>
            <w:vAlign w:val="bottom"/>
            <w:hideMark/>
          </w:tcPr>
          <w:p w14:paraId="79151DE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28538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190F3A" w14:textId="77777777" w:rsidR="00000000" w:rsidRDefault="000C49AD">
            <w:pPr>
              <w:spacing w:after="100"/>
              <w:jc w:val="right"/>
              <w:rPr>
                <w:rFonts w:eastAsia="Times New Roman"/>
              </w:rPr>
            </w:pPr>
            <w:r>
              <w:rPr>
                <w:rFonts w:eastAsia="Times New Roman"/>
                <w:color w:val="000000"/>
                <w:sz w:val="18"/>
                <w:szCs w:val="18"/>
              </w:rPr>
              <w:t>(1,218)</w:t>
            </w:r>
          </w:p>
        </w:tc>
        <w:tc>
          <w:tcPr>
            <w:tcW w:w="0" w:type="auto"/>
            <w:shd w:val="clear" w:color="auto" w:fill="FFFFFF"/>
            <w:tcMar>
              <w:top w:w="30" w:type="dxa"/>
              <w:left w:w="0" w:type="dxa"/>
              <w:bottom w:w="30" w:type="dxa"/>
              <w:right w:w="20" w:type="dxa"/>
            </w:tcMar>
            <w:vAlign w:val="bottom"/>
            <w:hideMark/>
          </w:tcPr>
          <w:p w14:paraId="3469EBDA" w14:textId="77777777" w:rsidR="00000000" w:rsidRDefault="000C49AD">
            <w:pPr>
              <w:spacing w:after="100"/>
              <w:jc w:val="right"/>
              <w:rPr>
                <w:rFonts w:eastAsia="Times New Roman"/>
              </w:rPr>
            </w:pPr>
          </w:p>
        </w:tc>
      </w:tr>
      <w:tr w:rsidR="00000000" w14:paraId="3437414C" w14:textId="77777777">
        <w:trPr>
          <w:divId w:val="1453986440"/>
        </w:trPr>
        <w:tc>
          <w:tcPr>
            <w:tcW w:w="0" w:type="auto"/>
            <w:gridSpan w:val="3"/>
            <w:shd w:val="clear" w:color="auto" w:fill="CCEEFF"/>
            <w:tcMar>
              <w:top w:w="30" w:type="dxa"/>
              <w:left w:w="245" w:type="dxa"/>
              <w:bottom w:w="30" w:type="dxa"/>
              <w:right w:w="20" w:type="dxa"/>
            </w:tcMar>
            <w:vAlign w:val="bottom"/>
            <w:hideMark/>
          </w:tcPr>
          <w:p w14:paraId="6B0F3E2A" w14:textId="77777777" w:rsidR="00000000" w:rsidRDefault="000C49AD">
            <w:pPr>
              <w:spacing w:after="100"/>
              <w:rPr>
                <w:rFonts w:eastAsia="Times New Roman"/>
              </w:rPr>
            </w:pPr>
            <w:r>
              <w:rPr>
                <w:rFonts w:eastAsia="Times New Roman"/>
                <w:color w:val="000000"/>
                <w:sz w:val="18"/>
                <w:szCs w:val="18"/>
              </w:rPr>
              <w:t>Nondeductible changes in fair value of contingent consideration</w:t>
            </w:r>
          </w:p>
        </w:tc>
        <w:tc>
          <w:tcPr>
            <w:tcW w:w="0" w:type="auto"/>
            <w:gridSpan w:val="3"/>
            <w:shd w:val="clear" w:color="auto" w:fill="CCEEFF"/>
            <w:tcMar>
              <w:top w:w="0" w:type="dxa"/>
              <w:left w:w="20" w:type="dxa"/>
              <w:bottom w:w="0" w:type="dxa"/>
              <w:right w:w="20" w:type="dxa"/>
            </w:tcMar>
            <w:vAlign w:val="center"/>
            <w:hideMark/>
          </w:tcPr>
          <w:p w14:paraId="42D0B849"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C3A9911"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F0F052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44A8A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076E40" w14:textId="77777777" w:rsidR="00000000" w:rsidRDefault="000C49AD">
            <w:pPr>
              <w:spacing w:after="100"/>
              <w:jc w:val="right"/>
              <w:rPr>
                <w:rFonts w:eastAsia="Times New Roman"/>
              </w:rPr>
            </w:pPr>
            <w:r>
              <w:rPr>
                <w:rFonts w:eastAsia="Times New Roman"/>
                <w:color w:val="000000"/>
                <w:sz w:val="18"/>
                <w:szCs w:val="18"/>
              </w:rPr>
              <w:t>988 </w:t>
            </w:r>
          </w:p>
        </w:tc>
        <w:tc>
          <w:tcPr>
            <w:tcW w:w="0" w:type="auto"/>
            <w:shd w:val="clear" w:color="auto" w:fill="CCEEFF"/>
            <w:tcMar>
              <w:top w:w="30" w:type="dxa"/>
              <w:left w:w="0" w:type="dxa"/>
              <w:bottom w:w="30" w:type="dxa"/>
              <w:right w:w="20" w:type="dxa"/>
            </w:tcMar>
            <w:vAlign w:val="bottom"/>
            <w:hideMark/>
          </w:tcPr>
          <w:p w14:paraId="671D8E0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F6BD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396FF2" w14:textId="77777777" w:rsidR="00000000" w:rsidRDefault="000C49AD">
            <w:pPr>
              <w:spacing w:after="100"/>
              <w:jc w:val="right"/>
              <w:rPr>
                <w:rFonts w:eastAsia="Times New Roman"/>
              </w:rPr>
            </w:pPr>
            <w:r>
              <w:rPr>
                <w:rFonts w:eastAsia="Times New Roman"/>
                <w:color w:val="000000"/>
                <w:sz w:val="18"/>
                <w:szCs w:val="18"/>
              </w:rPr>
              <w:t>121 </w:t>
            </w:r>
          </w:p>
        </w:tc>
        <w:tc>
          <w:tcPr>
            <w:tcW w:w="0" w:type="auto"/>
            <w:shd w:val="clear" w:color="auto" w:fill="CCEEFF"/>
            <w:tcMar>
              <w:top w:w="30" w:type="dxa"/>
              <w:left w:w="0" w:type="dxa"/>
              <w:bottom w:w="30" w:type="dxa"/>
              <w:right w:w="20" w:type="dxa"/>
            </w:tcMar>
            <w:vAlign w:val="bottom"/>
            <w:hideMark/>
          </w:tcPr>
          <w:p w14:paraId="7F888A86" w14:textId="77777777" w:rsidR="00000000" w:rsidRDefault="000C49AD">
            <w:pPr>
              <w:spacing w:after="100"/>
              <w:jc w:val="right"/>
              <w:rPr>
                <w:rFonts w:eastAsia="Times New Roman"/>
              </w:rPr>
            </w:pPr>
          </w:p>
        </w:tc>
      </w:tr>
      <w:tr w:rsidR="00000000" w14:paraId="20F30148" w14:textId="77777777">
        <w:trPr>
          <w:divId w:val="1453986440"/>
        </w:trPr>
        <w:tc>
          <w:tcPr>
            <w:tcW w:w="0" w:type="auto"/>
            <w:gridSpan w:val="3"/>
            <w:shd w:val="clear" w:color="auto" w:fill="FFFFFF"/>
            <w:tcMar>
              <w:top w:w="30" w:type="dxa"/>
              <w:left w:w="245" w:type="dxa"/>
              <w:bottom w:w="30" w:type="dxa"/>
              <w:right w:w="20" w:type="dxa"/>
            </w:tcMar>
            <w:vAlign w:val="bottom"/>
            <w:hideMark/>
          </w:tcPr>
          <w:p w14:paraId="46D0DBF2" w14:textId="77777777" w:rsidR="00000000" w:rsidRDefault="000C49AD">
            <w:pPr>
              <w:spacing w:after="100"/>
              <w:rPr>
                <w:rFonts w:eastAsia="Times New Roman"/>
              </w:rPr>
            </w:pPr>
            <w:r>
              <w:rPr>
                <w:rFonts w:eastAsia="Times New Roman"/>
                <w:color w:val="000000"/>
                <w:sz w:val="18"/>
                <w:szCs w:val="18"/>
              </w:rPr>
              <w:t>Intercompany asset transfer</w:t>
            </w:r>
          </w:p>
        </w:tc>
        <w:tc>
          <w:tcPr>
            <w:tcW w:w="0" w:type="auto"/>
            <w:gridSpan w:val="3"/>
            <w:shd w:val="clear" w:color="auto" w:fill="FFFFFF"/>
            <w:tcMar>
              <w:top w:w="0" w:type="dxa"/>
              <w:left w:w="20" w:type="dxa"/>
              <w:bottom w:w="0" w:type="dxa"/>
              <w:right w:w="20" w:type="dxa"/>
            </w:tcMar>
            <w:vAlign w:val="center"/>
            <w:hideMark/>
          </w:tcPr>
          <w:p w14:paraId="5592BCD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9643DFA"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AA9BE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BBEF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49DF9A"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0713D09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35184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F222B4" w14:textId="77777777" w:rsidR="00000000" w:rsidRDefault="000C49AD">
            <w:pPr>
              <w:spacing w:after="100"/>
              <w:jc w:val="right"/>
              <w:rPr>
                <w:rFonts w:eastAsia="Times New Roman"/>
              </w:rPr>
            </w:pPr>
            <w:r>
              <w:rPr>
                <w:rFonts w:eastAsia="Times New Roman"/>
                <w:color w:val="000000"/>
                <w:sz w:val="18"/>
                <w:szCs w:val="18"/>
              </w:rPr>
              <w:t>(8,190)</w:t>
            </w:r>
          </w:p>
        </w:tc>
        <w:tc>
          <w:tcPr>
            <w:tcW w:w="0" w:type="auto"/>
            <w:shd w:val="clear" w:color="auto" w:fill="FFFFFF"/>
            <w:tcMar>
              <w:top w:w="30" w:type="dxa"/>
              <w:left w:w="0" w:type="dxa"/>
              <w:bottom w:w="30" w:type="dxa"/>
              <w:right w:w="20" w:type="dxa"/>
            </w:tcMar>
            <w:vAlign w:val="bottom"/>
            <w:hideMark/>
          </w:tcPr>
          <w:p w14:paraId="652A4056" w14:textId="77777777" w:rsidR="00000000" w:rsidRDefault="000C49AD">
            <w:pPr>
              <w:spacing w:after="100"/>
              <w:jc w:val="right"/>
              <w:rPr>
                <w:rFonts w:eastAsia="Times New Roman"/>
              </w:rPr>
            </w:pPr>
          </w:p>
        </w:tc>
      </w:tr>
      <w:tr w:rsidR="00000000" w14:paraId="4C8F97B9" w14:textId="77777777">
        <w:trPr>
          <w:divId w:val="1453986440"/>
        </w:trPr>
        <w:tc>
          <w:tcPr>
            <w:tcW w:w="0" w:type="auto"/>
            <w:gridSpan w:val="3"/>
            <w:shd w:val="clear" w:color="auto" w:fill="CCEEFF"/>
            <w:tcMar>
              <w:top w:w="30" w:type="dxa"/>
              <w:left w:w="245" w:type="dxa"/>
              <w:bottom w:w="30" w:type="dxa"/>
              <w:right w:w="20" w:type="dxa"/>
            </w:tcMar>
            <w:vAlign w:val="bottom"/>
            <w:hideMark/>
          </w:tcPr>
          <w:p w14:paraId="2584D90F" w14:textId="77777777" w:rsidR="00000000" w:rsidRDefault="000C49AD">
            <w:pPr>
              <w:spacing w:after="100"/>
              <w:rPr>
                <w:rFonts w:eastAsia="Times New Roman"/>
              </w:rPr>
            </w:pPr>
            <w:r>
              <w:rPr>
                <w:rFonts w:eastAsia="Times New Roman"/>
                <w:color w:val="000000"/>
                <w:sz w:val="18"/>
                <w:szCs w:val="18"/>
              </w:rPr>
              <w:t>Change in valuation allowances</w:t>
            </w:r>
          </w:p>
        </w:tc>
        <w:tc>
          <w:tcPr>
            <w:tcW w:w="0" w:type="auto"/>
            <w:gridSpan w:val="3"/>
            <w:shd w:val="clear" w:color="auto" w:fill="CCEEFF"/>
            <w:tcMar>
              <w:top w:w="0" w:type="dxa"/>
              <w:left w:w="20" w:type="dxa"/>
              <w:bottom w:w="0" w:type="dxa"/>
              <w:right w:w="20" w:type="dxa"/>
            </w:tcMar>
            <w:vAlign w:val="center"/>
            <w:hideMark/>
          </w:tcPr>
          <w:p w14:paraId="7487ED3D"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A5205E" w14:textId="77777777" w:rsidR="00000000" w:rsidRDefault="000C49AD">
            <w:pPr>
              <w:spacing w:after="100"/>
              <w:jc w:val="right"/>
              <w:rPr>
                <w:rFonts w:eastAsia="Times New Roman"/>
              </w:rPr>
            </w:pPr>
            <w:r>
              <w:rPr>
                <w:rFonts w:eastAsia="Times New Roman"/>
                <w:color w:val="000000"/>
                <w:sz w:val="18"/>
                <w:szCs w:val="18"/>
              </w:rPr>
              <w:t>4,296 </w:t>
            </w:r>
          </w:p>
        </w:tc>
        <w:tc>
          <w:tcPr>
            <w:tcW w:w="0" w:type="auto"/>
            <w:shd w:val="clear" w:color="auto" w:fill="CCEEFF"/>
            <w:tcMar>
              <w:top w:w="30" w:type="dxa"/>
              <w:left w:w="0" w:type="dxa"/>
              <w:bottom w:w="30" w:type="dxa"/>
              <w:right w:w="20" w:type="dxa"/>
            </w:tcMar>
            <w:vAlign w:val="bottom"/>
            <w:hideMark/>
          </w:tcPr>
          <w:p w14:paraId="62D77C8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D0503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A1D7F1" w14:textId="77777777" w:rsidR="00000000" w:rsidRDefault="000C49AD">
            <w:pPr>
              <w:spacing w:after="100"/>
              <w:jc w:val="right"/>
              <w:rPr>
                <w:rFonts w:eastAsia="Times New Roman"/>
              </w:rPr>
            </w:pPr>
            <w:r>
              <w:rPr>
                <w:rFonts w:eastAsia="Times New Roman"/>
                <w:color w:val="000000"/>
                <w:sz w:val="18"/>
                <w:szCs w:val="18"/>
              </w:rPr>
              <w:t>4,231 </w:t>
            </w:r>
          </w:p>
        </w:tc>
        <w:tc>
          <w:tcPr>
            <w:tcW w:w="0" w:type="auto"/>
            <w:shd w:val="clear" w:color="auto" w:fill="CCEEFF"/>
            <w:tcMar>
              <w:top w:w="30" w:type="dxa"/>
              <w:left w:w="0" w:type="dxa"/>
              <w:bottom w:w="30" w:type="dxa"/>
              <w:right w:w="20" w:type="dxa"/>
            </w:tcMar>
            <w:vAlign w:val="bottom"/>
            <w:hideMark/>
          </w:tcPr>
          <w:p w14:paraId="5CE63EE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07CB4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0D6451" w14:textId="77777777" w:rsidR="00000000" w:rsidRDefault="000C49AD">
            <w:pPr>
              <w:spacing w:after="100"/>
              <w:jc w:val="right"/>
              <w:rPr>
                <w:rFonts w:eastAsia="Times New Roman"/>
              </w:rPr>
            </w:pPr>
            <w:r>
              <w:rPr>
                <w:rFonts w:eastAsia="Times New Roman"/>
                <w:color w:val="000000"/>
                <w:sz w:val="18"/>
                <w:szCs w:val="18"/>
              </w:rPr>
              <w:t>7,379 </w:t>
            </w:r>
          </w:p>
        </w:tc>
        <w:tc>
          <w:tcPr>
            <w:tcW w:w="0" w:type="auto"/>
            <w:shd w:val="clear" w:color="auto" w:fill="CCEEFF"/>
            <w:tcMar>
              <w:top w:w="30" w:type="dxa"/>
              <w:left w:w="0" w:type="dxa"/>
              <w:bottom w:w="30" w:type="dxa"/>
              <w:right w:w="20" w:type="dxa"/>
            </w:tcMar>
            <w:vAlign w:val="bottom"/>
            <w:hideMark/>
          </w:tcPr>
          <w:p w14:paraId="52CE39E3" w14:textId="77777777" w:rsidR="00000000" w:rsidRDefault="000C49AD">
            <w:pPr>
              <w:spacing w:after="100"/>
              <w:jc w:val="right"/>
              <w:rPr>
                <w:rFonts w:eastAsia="Times New Roman"/>
              </w:rPr>
            </w:pPr>
          </w:p>
        </w:tc>
      </w:tr>
      <w:tr w:rsidR="00000000" w14:paraId="26446537" w14:textId="77777777">
        <w:trPr>
          <w:divId w:val="1453986440"/>
        </w:trPr>
        <w:tc>
          <w:tcPr>
            <w:tcW w:w="0" w:type="auto"/>
            <w:gridSpan w:val="3"/>
            <w:shd w:val="clear" w:color="auto" w:fill="FFFFFF"/>
            <w:tcMar>
              <w:top w:w="30" w:type="dxa"/>
              <w:left w:w="245" w:type="dxa"/>
              <w:bottom w:w="30" w:type="dxa"/>
              <w:right w:w="20" w:type="dxa"/>
            </w:tcMar>
            <w:vAlign w:val="bottom"/>
            <w:hideMark/>
          </w:tcPr>
          <w:p w14:paraId="3BBC8161" w14:textId="77777777" w:rsidR="00000000" w:rsidRDefault="000C49AD">
            <w:pPr>
              <w:spacing w:after="100"/>
              <w:rPr>
                <w:rFonts w:eastAsia="Times New Roman"/>
              </w:rPr>
            </w:pPr>
            <w:r>
              <w:rPr>
                <w:rFonts w:eastAsia="Times New Roman"/>
                <w:color w:val="000000"/>
                <w:sz w:val="18"/>
                <w:szCs w:val="18"/>
              </w:rPr>
              <w:t>Nondeductible share-based compensation</w:t>
            </w:r>
          </w:p>
        </w:tc>
        <w:tc>
          <w:tcPr>
            <w:tcW w:w="0" w:type="auto"/>
            <w:gridSpan w:val="3"/>
            <w:shd w:val="clear" w:color="auto" w:fill="FFFFFF"/>
            <w:tcMar>
              <w:top w:w="0" w:type="dxa"/>
              <w:left w:w="20" w:type="dxa"/>
              <w:bottom w:w="0" w:type="dxa"/>
              <w:right w:w="20" w:type="dxa"/>
            </w:tcMar>
            <w:vAlign w:val="center"/>
            <w:hideMark/>
          </w:tcPr>
          <w:p w14:paraId="49BC32AA"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3F08816" w14:textId="77777777" w:rsidR="00000000" w:rsidRDefault="000C49AD">
            <w:pPr>
              <w:spacing w:after="100"/>
              <w:jc w:val="right"/>
              <w:rPr>
                <w:rFonts w:eastAsia="Times New Roman"/>
              </w:rPr>
            </w:pPr>
            <w:r>
              <w:rPr>
                <w:rFonts w:eastAsia="Times New Roman"/>
                <w:color w:val="000000"/>
                <w:sz w:val="18"/>
                <w:szCs w:val="18"/>
              </w:rPr>
              <w:t>645 </w:t>
            </w:r>
          </w:p>
        </w:tc>
        <w:tc>
          <w:tcPr>
            <w:tcW w:w="0" w:type="auto"/>
            <w:shd w:val="clear" w:color="auto" w:fill="FFFFFF"/>
            <w:tcMar>
              <w:top w:w="30" w:type="dxa"/>
              <w:left w:w="0" w:type="dxa"/>
              <w:bottom w:w="30" w:type="dxa"/>
              <w:right w:w="20" w:type="dxa"/>
            </w:tcMar>
            <w:vAlign w:val="bottom"/>
            <w:hideMark/>
          </w:tcPr>
          <w:p w14:paraId="4DA1962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0A07B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D613F9" w14:textId="77777777" w:rsidR="00000000" w:rsidRDefault="000C49AD">
            <w:pPr>
              <w:spacing w:after="100"/>
              <w:jc w:val="right"/>
              <w:rPr>
                <w:rFonts w:eastAsia="Times New Roman"/>
              </w:rPr>
            </w:pPr>
            <w:r>
              <w:rPr>
                <w:rFonts w:eastAsia="Times New Roman"/>
                <w:color w:val="000000"/>
                <w:sz w:val="18"/>
                <w:szCs w:val="18"/>
              </w:rPr>
              <w:t>1,060 </w:t>
            </w:r>
          </w:p>
        </w:tc>
        <w:tc>
          <w:tcPr>
            <w:tcW w:w="0" w:type="auto"/>
            <w:shd w:val="clear" w:color="auto" w:fill="FFFFFF"/>
            <w:tcMar>
              <w:top w:w="30" w:type="dxa"/>
              <w:left w:w="0" w:type="dxa"/>
              <w:bottom w:w="30" w:type="dxa"/>
              <w:right w:w="20" w:type="dxa"/>
            </w:tcMar>
            <w:vAlign w:val="bottom"/>
            <w:hideMark/>
          </w:tcPr>
          <w:p w14:paraId="61C92F4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72E8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31B1D0" w14:textId="77777777" w:rsidR="00000000" w:rsidRDefault="000C49AD">
            <w:pPr>
              <w:spacing w:after="100"/>
              <w:jc w:val="right"/>
              <w:rPr>
                <w:rFonts w:eastAsia="Times New Roman"/>
              </w:rPr>
            </w:pPr>
            <w:r>
              <w:rPr>
                <w:rFonts w:eastAsia="Times New Roman"/>
                <w:color w:val="000000"/>
                <w:sz w:val="18"/>
                <w:szCs w:val="18"/>
              </w:rPr>
              <w:t>1,039 </w:t>
            </w:r>
          </w:p>
        </w:tc>
        <w:tc>
          <w:tcPr>
            <w:tcW w:w="0" w:type="auto"/>
            <w:shd w:val="clear" w:color="auto" w:fill="FFFFFF"/>
            <w:tcMar>
              <w:top w:w="30" w:type="dxa"/>
              <w:left w:w="0" w:type="dxa"/>
              <w:bottom w:w="30" w:type="dxa"/>
              <w:right w:w="20" w:type="dxa"/>
            </w:tcMar>
            <w:vAlign w:val="bottom"/>
            <w:hideMark/>
          </w:tcPr>
          <w:p w14:paraId="4D7F4344" w14:textId="77777777" w:rsidR="00000000" w:rsidRDefault="000C49AD">
            <w:pPr>
              <w:spacing w:after="100"/>
              <w:jc w:val="right"/>
              <w:rPr>
                <w:rFonts w:eastAsia="Times New Roman"/>
              </w:rPr>
            </w:pPr>
          </w:p>
        </w:tc>
      </w:tr>
      <w:tr w:rsidR="00000000" w14:paraId="22FA1E64" w14:textId="77777777">
        <w:trPr>
          <w:divId w:val="1453986440"/>
        </w:trPr>
        <w:tc>
          <w:tcPr>
            <w:tcW w:w="0" w:type="auto"/>
            <w:gridSpan w:val="3"/>
            <w:shd w:val="clear" w:color="auto" w:fill="CCEEFF"/>
            <w:tcMar>
              <w:top w:w="30" w:type="dxa"/>
              <w:left w:w="245" w:type="dxa"/>
              <w:bottom w:w="30" w:type="dxa"/>
              <w:right w:w="20" w:type="dxa"/>
            </w:tcMar>
            <w:vAlign w:val="bottom"/>
            <w:hideMark/>
          </w:tcPr>
          <w:p w14:paraId="28EBBCD5" w14:textId="77777777" w:rsidR="00000000" w:rsidRDefault="000C49AD">
            <w:pPr>
              <w:spacing w:after="100"/>
              <w:rPr>
                <w:rFonts w:eastAsia="Times New Roman"/>
              </w:rPr>
            </w:pPr>
            <w:r>
              <w:rPr>
                <w:rFonts w:eastAsia="Times New Roman"/>
                <w:color w:val="000000"/>
                <w:sz w:val="18"/>
                <w:szCs w:val="18"/>
              </w:rPr>
              <w:t>Hospital Products sale</w:t>
            </w:r>
          </w:p>
        </w:tc>
        <w:tc>
          <w:tcPr>
            <w:tcW w:w="0" w:type="auto"/>
            <w:gridSpan w:val="3"/>
            <w:shd w:val="clear" w:color="auto" w:fill="CCEEFF"/>
            <w:tcMar>
              <w:top w:w="0" w:type="dxa"/>
              <w:left w:w="20" w:type="dxa"/>
              <w:bottom w:w="0" w:type="dxa"/>
              <w:right w:w="20" w:type="dxa"/>
            </w:tcMar>
            <w:vAlign w:val="center"/>
            <w:hideMark/>
          </w:tcPr>
          <w:p w14:paraId="76B806A6"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CE41541"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510175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5C04F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37B047" w14:textId="77777777" w:rsidR="00000000" w:rsidRDefault="000C49AD">
            <w:pPr>
              <w:spacing w:after="100"/>
              <w:jc w:val="right"/>
              <w:rPr>
                <w:rFonts w:eastAsia="Times New Roman"/>
              </w:rPr>
            </w:pPr>
            <w:r>
              <w:rPr>
                <w:rFonts w:eastAsia="Times New Roman"/>
                <w:color w:val="000000"/>
                <w:sz w:val="18"/>
                <w:szCs w:val="18"/>
              </w:rPr>
              <w:t>(9,328)</w:t>
            </w:r>
          </w:p>
        </w:tc>
        <w:tc>
          <w:tcPr>
            <w:tcW w:w="0" w:type="auto"/>
            <w:shd w:val="clear" w:color="auto" w:fill="CCEEFF"/>
            <w:tcMar>
              <w:top w:w="30" w:type="dxa"/>
              <w:left w:w="0" w:type="dxa"/>
              <w:bottom w:w="30" w:type="dxa"/>
              <w:right w:w="20" w:type="dxa"/>
            </w:tcMar>
            <w:vAlign w:val="bottom"/>
            <w:hideMark/>
          </w:tcPr>
          <w:p w14:paraId="01727C5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18182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644DA4"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E036302" w14:textId="77777777" w:rsidR="00000000" w:rsidRDefault="000C49AD">
            <w:pPr>
              <w:spacing w:after="100"/>
              <w:jc w:val="right"/>
              <w:rPr>
                <w:rFonts w:eastAsia="Times New Roman"/>
              </w:rPr>
            </w:pPr>
          </w:p>
        </w:tc>
      </w:tr>
      <w:tr w:rsidR="00000000" w14:paraId="6D8AF8F3" w14:textId="77777777">
        <w:trPr>
          <w:divId w:val="1453986440"/>
        </w:trPr>
        <w:tc>
          <w:tcPr>
            <w:tcW w:w="0" w:type="auto"/>
            <w:gridSpan w:val="3"/>
            <w:shd w:val="clear" w:color="auto" w:fill="FFFFFF"/>
            <w:tcMar>
              <w:top w:w="30" w:type="dxa"/>
              <w:left w:w="245" w:type="dxa"/>
              <w:bottom w:w="30" w:type="dxa"/>
              <w:right w:w="20" w:type="dxa"/>
            </w:tcMar>
            <w:vAlign w:val="bottom"/>
            <w:hideMark/>
          </w:tcPr>
          <w:p w14:paraId="706CB3EC" w14:textId="77777777" w:rsidR="00000000" w:rsidRDefault="000C49AD">
            <w:pPr>
              <w:spacing w:after="100"/>
              <w:rPr>
                <w:rFonts w:eastAsia="Times New Roman"/>
              </w:rPr>
            </w:pPr>
            <w:r>
              <w:rPr>
                <w:rFonts w:eastAsia="Times New Roman"/>
                <w:color w:val="000000"/>
                <w:sz w:val="18"/>
                <w:szCs w:val="18"/>
              </w:rPr>
              <w:t>Unrealized tax benefits</w:t>
            </w:r>
          </w:p>
        </w:tc>
        <w:tc>
          <w:tcPr>
            <w:tcW w:w="0" w:type="auto"/>
            <w:gridSpan w:val="3"/>
            <w:shd w:val="clear" w:color="auto" w:fill="FFFFFF"/>
            <w:tcMar>
              <w:top w:w="0" w:type="dxa"/>
              <w:left w:w="20" w:type="dxa"/>
              <w:bottom w:w="0" w:type="dxa"/>
              <w:right w:w="20" w:type="dxa"/>
            </w:tcMar>
            <w:vAlign w:val="center"/>
            <w:hideMark/>
          </w:tcPr>
          <w:p w14:paraId="153F5D8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AF389AA" w14:textId="77777777" w:rsidR="00000000" w:rsidRDefault="000C49AD">
            <w:pPr>
              <w:spacing w:after="100"/>
              <w:jc w:val="right"/>
              <w:rPr>
                <w:rFonts w:eastAsia="Times New Roman"/>
              </w:rPr>
            </w:pPr>
            <w:r>
              <w:rPr>
                <w:rFonts w:eastAsia="Times New Roman"/>
                <w:color w:val="000000"/>
                <w:sz w:val="18"/>
                <w:szCs w:val="18"/>
              </w:rPr>
              <w:t>239 </w:t>
            </w:r>
          </w:p>
        </w:tc>
        <w:tc>
          <w:tcPr>
            <w:tcW w:w="0" w:type="auto"/>
            <w:shd w:val="clear" w:color="auto" w:fill="FFFFFF"/>
            <w:tcMar>
              <w:top w:w="30" w:type="dxa"/>
              <w:left w:w="0" w:type="dxa"/>
              <w:bottom w:w="30" w:type="dxa"/>
              <w:right w:w="20" w:type="dxa"/>
            </w:tcMar>
            <w:vAlign w:val="bottom"/>
            <w:hideMark/>
          </w:tcPr>
          <w:p w14:paraId="2BF50A2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92B03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7EFD1C" w14:textId="77777777" w:rsidR="00000000" w:rsidRDefault="000C49AD">
            <w:pPr>
              <w:spacing w:after="100"/>
              <w:jc w:val="right"/>
              <w:rPr>
                <w:rFonts w:eastAsia="Times New Roman"/>
              </w:rPr>
            </w:pPr>
            <w:r>
              <w:rPr>
                <w:rFonts w:eastAsia="Times New Roman"/>
                <w:color w:val="000000"/>
                <w:sz w:val="18"/>
                <w:szCs w:val="18"/>
              </w:rPr>
              <w:t>(274)</w:t>
            </w:r>
          </w:p>
        </w:tc>
        <w:tc>
          <w:tcPr>
            <w:tcW w:w="0" w:type="auto"/>
            <w:shd w:val="clear" w:color="auto" w:fill="FFFFFF"/>
            <w:tcMar>
              <w:top w:w="30" w:type="dxa"/>
              <w:left w:w="0" w:type="dxa"/>
              <w:bottom w:w="30" w:type="dxa"/>
              <w:right w:w="20" w:type="dxa"/>
            </w:tcMar>
            <w:vAlign w:val="bottom"/>
            <w:hideMark/>
          </w:tcPr>
          <w:p w14:paraId="22C0C77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B0946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39B136" w14:textId="77777777" w:rsidR="00000000" w:rsidRDefault="000C49AD">
            <w:pPr>
              <w:spacing w:after="100"/>
              <w:jc w:val="right"/>
              <w:rPr>
                <w:rFonts w:eastAsia="Times New Roman"/>
              </w:rPr>
            </w:pPr>
            <w:r>
              <w:rPr>
                <w:rFonts w:eastAsia="Times New Roman"/>
                <w:color w:val="000000"/>
                <w:sz w:val="18"/>
                <w:szCs w:val="18"/>
              </w:rPr>
              <w:t>(</w:t>
            </w:r>
            <w:r>
              <w:rPr>
                <w:rFonts w:eastAsia="Times New Roman"/>
                <w:color w:val="000000"/>
                <w:sz w:val="18"/>
                <w:szCs w:val="18"/>
              </w:rPr>
              <w:t>261)</w:t>
            </w:r>
          </w:p>
        </w:tc>
        <w:tc>
          <w:tcPr>
            <w:tcW w:w="0" w:type="auto"/>
            <w:shd w:val="clear" w:color="auto" w:fill="FFFFFF"/>
            <w:tcMar>
              <w:top w:w="30" w:type="dxa"/>
              <w:left w:w="0" w:type="dxa"/>
              <w:bottom w:w="30" w:type="dxa"/>
              <w:right w:w="20" w:type="dxa"/>
            </w:tcMar>
            <w:vAlign w:val="bottom"/>
            <w:hideMark/>
          </w:tcPr>
          <w:p w14:paraId="05501D91" w14:textId="77777777" w:rsidR="00000000" w:rsidRDefault="000C49AD">
            <w:pPr>
              <w:spacing w:after="100"/>
              <w:jc w:val="right"/>
              <w:rPr>
                <w:rFonts w:eastAsia="Times New Roman"/>
              </w:rPr>
            </w:pPr>
          </w:p>
        </w:tc>
      </w:tr>
      <w:tr w:rsidR="00000000" w14:paraId="6B309366" w14:textId="77777777">
        <w:trPr>
          <w:divId w:val="1453986440"/>
        </w:trPr>
        <w:tc>
          <w:tcPr>
            <w:tcW w:w="0" w:type="auto"/>
            <w:gridSpan w:val="3"/>
            <w:shd w:val="clear" w:color="auto" w:fill="CCEEFF"/>
            <w:tcMar>
              <w:top w:w="30" w:type="dxa"/>
              <w:left w:w="245" w:type="dxa"/>
              <w:bottom w:w="30" w:type="dxa"/>
              <w:right w:w="20" w:type="dxa"/>
            </w:tcMar>
            <w:vAlign w:val="bottom"/>
            <w:hideMark/>
          </w:tcPr>
          <w:p w14:paraId="077D61BD" w14:textId="77777777" w:rsidR="00000000" w:rsidRDefault="000C49AD">
            <w:pPr>
              <w:spacing w:after="100"/>
              <w:rPr>
                <w:rFonts w:eastAsia="Times New Roman"/>
              </w:rPr>
            </w:pPr>
            <w:r>
              <w:rPr>
                <w:rFonts w:eastAsia="Times New Roman"/>
                <w:color w:val="000000"/>
                <w:sz w:val="18"/>
                <w:szCs w:val="18"/>
              </w:rPr>
              <w:t>State and local taxes (net of federal)</w:t>
            </w:r>
          </w:p>
        </w:tc>
        <w:tc>
          <w:tcPr>
            <w:tcW w:w="0" w:type="auto"/>
            <w:gridSpan w:val="3"/>
            <w:shd w:val="clear" w:color="auto" w:fill="CCEEFF"/>
            <w:tcMar>
              <w:top w:w="0" w:type="dxa"/>
              <w:left w:w="20" w:type="dxa"/>
              <w:bottom w:w="0" w:type="dxa"/>
              <w:right w:w="20" w:type="dxa"/>
            </w:tcMar>
            <w:vAlign w:val="center"/>
            <w:hideMark/>
          </w:tcPr>
          <w:p w14:paraId="701B5305"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4CCBF8" w14:textId="77777777" w:rsidR="00000000" w:rsidRDefault="000C49AD">
            <w:pPr>
              <w:spacing w:after="100"/>
              <w:jc w:val="right"/>
              <w:rPr>
                <w:rFonts w:eastAsia="Times New Roman"/>
              </w:rPr>
            </w:pPr>
            <w:r>
              <w:rPr>
                <w:rFonts w:eastAsia="Times New Roman"/>
                <w:color w:val="000000"/>
                <w:sz w:val="18"/>
                <w:szCs w:val="18"/>
              </w:rPr>
              <w:t>60 </w:t>
            </w:r>
          </w:p>
        </w:tc>
        <w:tc>
          <w:tcPr>
            <w:tcW w:w="0" w:type="auto"/>
            <w:shd w:val="clear" w:color="auto" w:fill="CCEEFF"/>
            <w:tcMar>
              <w:top w:w="30" w:type="dxa"/>
              <w:left w:w="0" w:type="dxa"/>
              <w:bottom w:w="30" w:type="dxa"/>
              <w:right w:w="20" w:type="dxa"/>
            </w:tcMar>
            <w:vAlign w:val="bottom"/>
            <w:hideMark/>
          </w:tcPr>
          <w:p w14:paraId="1439CB5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3A0E0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386148" w14:textId="77777777" w:rsidR="00000000" w:rsidRDefault="000C49AD">
            <w:pPr>
              <w:spacing w:after="100"/>
              <w:jc w:val="right"/>
              <w:rPr>
                <w:rFonts w:eastAsia="Times New Roman"/>
              </w:rPr>
            </w:pPr>
            <w:r>
              <w:rPr>
                <w:rFonts w:eastAsia="Times New Roman"/>
                <w:color w:val="000000"/>
                <w:sz w:val="18"/>
                <w:szCs w:val="18"/>
              </w:rPr>
              <w:t>20 </w:t>
            </w:r>
          </w:p>
        </w:tc>
        <w:tc>
          <w:tcPr>
            <w:tcW w:w="0" w:type="auto"/>
            <w:shd w:val="clear" w:color="auto" w:fill="CCEEFF"/>
            <w:tcMar>
              <w:top w:w="30" w:type="dxa"/>
              <w:left w:w="0" w:type="dxa"/>
              <w:bottom w:w="30" w:type="dxa"/>
              <w:right w:w="20" w:type="dxa"/>
            </w:tcMar>
            <w:vAlign w:val="bottom"/>
            <w:hideMark/>
          </w:tcPr>
          <w:p w14:paraId="2BF8D8F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A8D62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2C35C9" w14:textId="77777777" w:rsidR="00000000" w:rsidRDefault="000C49AD">
            <w:pPr>
              <w:spacing w:after="100"/>
              <w:jc w:val="right"/>
              <w:rPr>
                <w:rFonts w:eastAsia="Times New Roman"/>
              </w:rPr>
            </w:pPr>
            <w:r>
              <w:rPr>
                <w:rFonts w:eastAsia="Times New Roman"/>
                <w:color w:val="000000"/>
                <w:sz w:val="18"/>
                <w:szCs w:val="18"/>
              </w:rPr>
              <w:t>(7)</w:t>
            </w:r>
          </w:p>
        </w:tc>
        <w:tc>
          <w:tcPr>
            <w:tcW w:w="0" w:type="auto"/>
            <w:shd w:val="clear" w:color="auto" w:fill="CCEEFF"/>
            <w:tcMar>
              <w:top w:w="30" w:type="dxa"/>
              <w:left w:w="0" w:type="dxa"/>
              <w:bottom w:w="30" w:type="dxa"/>
              <w:right w:w="20" w:type="dxa"/>
            </w:tcMar>
            <w:vAlign w:val="bottom"/>
            <w:hideMark/>
          </w:tcPr>
          <w:p w14:paraId="271852E3" w14:textId="77777777" w:rsidR="00000000" w:rsidRDefault="000C49AD">
            <w:pPr>
              <w:spacing w:after="100"/>
              <w:jc w:val="right"/>
              <w:rPr>
                <w:rFonts w:eastAsia="Times New Roman"/>
              </w:rPr>
            </w:pPr>
          </w:p>
        </w:tc>
      </w:tr>
      <w:tr w:rsidR="00000000" w14:paraId="181A7DA9" w14:textId="77777777">
        <w:trPr>
          <w:divId w:val="1453986440"/>
        </w:trPr>
        <w:tc>
          <w:tcPr>
            <w:tcW w:w="0" w:type="auto"/>
            <w:gridSpan w:val="3"/>
            <w:shd w:val="clear" w:color="auto" w:fill="FFFFFF"/>
            <w:tcMar>
              <w:top w:w="30" w:type="dxa"/>
              <w:left w:w="245" w:type="dxa"/>
              <w:bottom w:w="30" w:type="dxa"/>
              <w:right w:w="20" w:type="dxa"/>
            </w:tcMar>
            <w:vAlign w:val="bottom"/>
            <w:hideMark/>
          </w:tcPr>
          <w:p w14:paraId="41938E17" w14:textId="77777777" w:rsidR="00000000" w:rsidRDefault="000C49AD">
            <w:pPr>
              <w:spacing w:after="100"/>
              <w:rPr>
                <w:rFonts w:eastAsia="Times New Roman"/>
              </w:rPr>
            </w:pPr>
            <w:r>
              <w:rPr>
                <w:rFonts w:eastAsia="Times New Roman"/>
                <w:color w:val="000000"/>
                <w:sz w:val="18"/>
                <w:szCs w:val="18"/>
              </w:rPr>
              <w:t>Change in U.S. tax law</w:t>
            </w:r>
          </w:p>
        </w:tc>
        <w:tc>
          <w:tcPr>
            <w:tcW w:w="0" w:type="auto"/>
            <w:gridSpan w:val="3"/>
            <w:shd w:val="clear" w:color="auto" w:fill="FFFFFF"/>
            <w:tcMar>
              <w:top w:w="0" w:type="dxa"/>
              <w:left w:w="20" w:type="dxa"/>
              <w:bottom w:w="0" w:type="dxa"/>
              <w:right w:w="20" w:type="dxa"/>
            </w:tcMar>
            <w:vAlign w:val="center"/>
            <w:hideMark/>
          </w:tcPr>
          <w:p w14:paraId="54BEE0B2"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BEEC6C"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C80CA5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DE7286"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DC4424" w14:textId="77777777" w:rsidR="00000000" w:rsidRDefault="000C49AD">
            <w:pPr>
              <w:spacing w:after="100"/>
              <w:jc w:val="right"/>
              <w:rPr>
                <w:rFonts w:eastAsia="Times New Roman"/>
              </w:rPr>
            </w:pPr>
            <w:r>
              <w:rPr>
                <w:rFonts w:eastAsia="Times New Roman"/>
                <w:color w:val="000000"/>
                <w:sz w:val="18"/>
                <w:szCs w:val="18"/>
              </w:rPr>
              <w:t>(9,124)</w:t>
            </w:r>
          </w:p>
        </w:tc>
        <w:tc>
          <w:tcPr>
            <w:tcW w:w="0" w:type="auto"/>
            <w:shd w:val="clear" w:color="auto" w:fill="FFFFFF"/>
            <w:tcMar>
              <w:top w:w="30" w:type="dxa"/>
              <w:left w:w="0" w:type="dxa"/>
              <w:bottom w:w="30" w:type="dxa"/>
              <w:right w:w="20" w:type="dxa"/>
            </w:tcMar>
            <w:vAlign w:val="bottom"/>
            <w:hideMark/>
          </w:tcPr>
          <w:p w14:paraId="482EDB2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9ABC0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2CA70B"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31141EB" w14:textId="77777777" w:rsidR="00000000" w:rsidRDefault="000C49AD">
            <w:pPr>
              <w:spacing w:after="100"/>
              <w:jc w:val="right"/>
              <w:rPr>
                <w:rFonts w:eastAsia="Times New Roman"/>
              </w:rPr>
            </w:pPr>
          </w:p>
        </w:tc>
      </w:tr>
      <w:tr w:rsidR="00000000" w14:paraId="5B298DB8" w14:textId="77777777">
        <w:trPr>
          <w:divId w:val="1453986440"/>
        </w:trPr>
        <w:tc>
          <w:tcPr>
            <w:tcW w:w="0" w:type="auto"/>
            <w:gridSpan w:val="3"/>
            <w:shd w:val="clear" w:color="auto" w:fill="CCEEFF"/>
            <w:tcMar>
              <w:top w:w="30" w:type="dxa"/>
              <w:left w:w="245" w:type="dxa"/>
              <w:bottom w:w="30" w:type="dxa"/>
              <w:right w:w="20" w:type="dxa"/>
            </w:tcMar>
            <w:vAlign w:val="bottom"/>
            <w:hideMark/>
          </w:tcPr>
          <w:p w14:paraId="4B537318" w14:textId="77777777" w:rsidR="00000000" w:rsidRDefault="000C49AD">
            <w:pPr>
              <w:spacing w:after="100"/>
              <w:rPr>
                <w:rFonts w:eastAsia="Times New Roman"/>
              </w:rPr>
            </w:pPr>
            <w:r>
              <w:rPr>
                <w:rFonts w:eastAsia="Times New Roman"/>
                <w:color w:val="000000"/>
                <w:sz w:val="18"/>
                <w:szCs w:val="18"/>
              </w:rPr>
              <w:t>Nondeductible interest expense</w:t>
            </w:r>
          </w:p>
        </w:tc>
        <w:tc>
          <w:tcPr>
            <w:tcW w:w="0" w:type="auto"/>
            <w:gridSpan w:val="3"/>
            <w:shd w:val="clear" w:color="auto" w:fill="CCEEFF"/>
            <w:tcMar>
              <w:top w:w="0" w:type="dxa"/>
              <w:left w:w="20" w:type="dxa"/>
              <w:bottom w:w="0" w:type="dxa"/>
              <w:right w:w="20" w:type="dxa"/>
            </w:tcMar>
            <w:vAlign w:val="center"/>
            <w:hideMark/>
          </w:tcPr>
          <w:p w14:paraId="5B732A1F"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23CF43" w14:textId="77777777" w:rsidR="00000000" w:rsidRDefault="000C49AD">
            <w:pPr>
              <w:spacing w:after="100"/>
              <w:jc w:val="right"/>
              <w:rPr>
                <w:rFonts w:eastAsia="Times New Roman"/>
              </w:rPr>
            </w:pPr>
            <w:r>
              <w:rPr>
                <w:rFonts w:eastAsia="Times New Roman"/>
                <w:color w:val="000000"/>
                <w:sz w:val="18"/>
                <w:szCs w:val="18"/>
              </w:rPr>
              <w:t>2,173 </w:t>
            </w:r>
          </w:p>
        </w:tc>
        <w:tc>
          <w:tcPr>
            <w:tcW w:w="0" w:type="auto"/>
            <w:shd w:val="clear" w:color="auto" w:fill="CCEEFF"/>
            <w:tcMar>
              <w:top w:w="30" w:type="dxa"/>
              <w:left w:w="0" w:type="dxa"/>
              <w:bottom w:w="30" w:type="dxa"/>
              <w:right w:w="20" w:type="dxa"/>
            </w:tcMar>
            <w:vAlign w:val="bottom"/>
            <w:hideMark/>
          </w:tcPr>
          <w:p w14:paraId="34D31BA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989B3"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84674D" w14:textId="77777777" w:rsidR="00000000" w:rsidRDefault="000C49AD">
            <w:pPr>
              <w:spacing w:after="100"/>
              <w:jc w:val="right"/>
              <w:rPr>
                <w:rFonts w:eastAsia="Times New Roman"/>
              </w:rPr>
            </w:pPr>
            <w:r>
              <w:rPr>
                <w:rFonts w:eastAsia="Times New Roman"/>
                <w:color w:val="000000"/>
                <w:sz w:val="18"/>
                <w:szCs w:val="18"/>
              </w:rPr>
              <w:t>1,728 </w:t>
            </w:r>
          </w:p>
        </w:tc>
        <w:tc>
          <w:tcPr>
            <w:tcW w:w="0" w:type="auto"/>
            <w:shd w:val="clear" w:color="auto" w:fill="CCEEFF"/>
            <w:tcMar>
              <w:top w:w="30" w:type="dxa"/>
              <w:left w:w="0" w:type="dxa"/>
              <w:bottom w:w="30" w:type="dxa"/>
              <w:right w:w="20" w:type="dxa"/>
            </w:tcMar>
            <w:vAlign w:val="bottom"/>
            <w:hideMark/>
          </w:tcPr>
          <w:p w14:paraId="3F7BD58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C879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AAB859" w14:textId="77777777" w:rsidR="00000000" w:rsidRDefault="000C49AD">
            <w:pPr>
              <w:spacing w:after="100"/>
              <w:jc w:val="right"/>
              <w:rPr>
                <w:rFonts w:eastAsia="Times New Roman"/>
              </w:rPr>
            </w:pPr>
            <w:r>
              <w:rPr>
                <w:rFonts w:eastAsia="Times New Roman"/>
                <w:color w:val="000000"/>
                <w:sz w:val="18"/>
                <w:szCs w:val="18"/>
              </w:rPr>
              <w:t>982 </w:t>
            </w:r>
          </w:p>
        </w:tc>
        <w:tc>
          <w:tcPr>
            <w:tcW w:w="0" w:type="auto"/>
            <w:shd w:val="clear" w:color="auto" w:fill="CCEEFF"/>
            <w:tcMar>
              <w:top w:w="30" w:type="dxa"/>
              <w:left w:w="0" w:type="dxa"/>
              <w:bottom w:w="30" w:type="dxa"/>
              <w:right w:w="20" w:type="dxa"/>
            </w:tcMar>
            <w:vAlign w:val="bottom"/>
            <w:hideMark/>
          </w:tcPr>
          <w:p w14:paraId="2B6EF7EA" w14:textId="77777777" w:rsidR="00000000" w:rsidRDefault="000C49AD">
            <w:pPr>
              <w:spacing w:after="100"/>
              <w:jc w:val="right"/>
              <w:rPr>
                <w:rFonts w:eastAsia="Times New Roman"/>
              </w:rPr>
            </w:pPr>
          </w:p>
        </w:tc>
      </w:tr>
      <w:tr w:rsidR="00000000" w14:paraId="36D4D81B" w14:textId="77777777">
        <w:trPr>
          <w:divId w:val="1453986440"/>
        </w:trPr>
        <w:tc>
          <w:tcPr>
            <w:tcW w:w="0" w:type="auto"/>
            <w:gridSpan w:val="3"/>
            <w:shd w:val="clear" w:color="auto" w:fill="FFFFFF"/>
            <w:tcMar>
              <w:top w:w="30" w:type="dxa"/>
              <w:left w:w="245" w:type="dxa"/>
              <w:bottom w:w="30" w:type="dxa"/>
              <w:right w:w="20" w:type="dxa"/>
            </w:tcMar>
            <w:vAlign w:val="bottom"/>
            <w:hideMark/>
          </w:tcPr>
          <w:p w14:paraId="642EB125" w14:textId="77777777" w:rsidR="00000000" w:rsidRDefault="000C49AD">
            <w:pPr>
              <w:spacing w:after="100"/>
              <w:rPr>
                <w:rFonts w:eastAsia="Times New Roman"/>
              </w:rPr>
            </w:pPr>
            <w:r>
              <w:rPr>
                <w:rFonts w:eastAsia="Times New Roman"/>
                <w:color w:val="000000"/>
                <w:sz w:val="18"/>
                <w:szCs w:val="18"/>
              </w:rPr>
              <w:t>Orphan drug and R&amp;D tax credit</w:t>
            </w:r>
          </w:p>
        </w:tc>
        <w:tc>
          <w:tcPr>
            <w:tcW w:w="0" w:type="auto"/>
            <w:gridSpan w:val="3"/>
            <w:shd w:val="clear" w:color="auto" w:fill="FFFFFF"/>
            <w:tcMar>
              <w:top w:w="0" w:type="dxa"/>
              <w:left w:w="20" w:type="dxa"/>
              <w:bottom w:w="0" w:type="dxa"/>
              <w:right w:w="20" w:type="dxa"/>
            </w:tcMar>
            <w:vAlign w:val="center"/>
            <w:hideMark/>
          </w:tcPr>
          <w:p w14:paraId="6E4EC875"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6D1F8C" w14:textId="77777777" w:rsidR="00000000" w:rsidRDefault="000C49AD">
            <w:pPr>
              <w:spacing w:after="100"/>
              <w:jc w:val="right"/>
              <w:rPr>
                <w:rFonts w:eastAsia="Times New Roman"/>
              </w:rPr>
            </w:pPr>
            <w:r>
              <w:rPr>
                <w:rFonts w:eastAsia="Times New Roman"/>
                <w:color w:val="000000"/>
                <w:sz w:val="18"/>
                <w:szCs w:val="18"/>
              </w:rPr>
              <w:t>(1,524)</w:t>
            </w:r>
          </w:p>
        </w:tc>
        <w:tc>
          <w:tcPr>
            <w:tcW w:w="0" w:type="auto"/>
            <w:shd w:val="clear" w:color="auto" w:fill="FFFFFF"/>
            <w:tcMar>
              <w:top w:w="30" w:type="dxa"/>
              <w:left w:w="0" w:type="dxa"/>
              <w:bottom w:w="30" w:type="dxa"/>
              <w:right w:w="20" w:type="dxa"/>
            </w:tcMar>
            <w:vAlign w:val="bottom"/>
            <w:hideMark/>
          </w:tcPr>
          <w:p w14:paraId="78601F3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9972C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D4ACA3" w14:textId="77777777" w:rsidR="00000000" w:rsidRDefault="000C49AD">
            <w:pPr>
              <w:spacing w:after="100"/>
              <w:jc w:val="right"/>
              <w:rPr>
                <w:rFonts w:eastAsia="Times New Roman"/>
              </w:rPr>
            </w:pPr>
            <w:r>
              <w:rPr>
                <w:rFonts w:eastAsia="Times New Roman"/>
                <w:color w:val="000000"/>
                <w:sz w:val="18"/>
                <w:szCs w:val="18"/>
              </w:rPr>
              <w:t>(</w:t>
            </w:r>
            <w:r>
              <w:rPr>
                <w:rFonts w:eastAsia="Times New Roman"/>
                <w:color w:val="000000"/>
                <w:sz w:val="18"/>
                <w:szCs w:val="18"/>
              </w:rPr>
              <w:t>2,793)</w:t>
            </w:r>
          </w:p>
        </w:tc>
        <w:tc>
          <w:tcPr>
            <w:tcW w:w="0" w:type="auto"/>
            <w:shd w:val="clear" w:color="auto" w:fill="FFFFFF"/>
            <w:tcMar>
              <w:top w:w="30" w:type="dxa"/>
              <w:left w:w="0" w:type="dxa"/>
              <w:bottom w:w="30" w:type="dxa"/>
              <w:right w:w="20" w:type="dxa"/>
            </w:tcMar>
            <w:vAlign w:val="bottom"/>
            <w:hideMark/>
          </w:tcPr>
          <w:p w14:paraId="78EF9E1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1A18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EE1CD8"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D566C9" w14:textId="77777777" w:rsidR="00000000" w:rsidRDefault="000C49AD">
            <w:pPr>
              <w:spacing w:after="100"/>
              <w:jc w:val="right"/>
              <w:rPr>
                <w:rFonts w:eastAsia="Times New Roman"/>
              </w:rPr>
            </w:pPr>
          </w:p>
        </w:tc>
      </w:tr>
      <w:tr w:rsidR="00000000" w14:paraId="7C3F2F3E" w14:textId="77777777">
        <w:trPr>
          <w:divId w:val="1453986440"/>
        </w:trPr>
        <w:tc>
          <w:tcPr>
            <w:tcW w:w="0" w:type="auto"/>
            <w:gridSpan w:val="3"/>
            <w:shd w:val="clear" w:color="auto" w:fill="CCEEFF"/>
            <w:tcMar>
              <w:top w:w="30" w:type="dxa"/>
              <w:left w:w="245" w:type="dxa"/>
              <w:bottom w:w="30" w:type="dxa"/>
              <w:right w:w="20" w:type="dxa"/>
            </w:tcMar>
            <w:vAlign w:val="bottom"/>
            <w:hideMark/>
          </w:tcPr>
          <w:p w14:paraId="1E73484C" w14:textId="77777777" w:rsidR="00000000" w:rsidRDefault="000C49AD">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47A93FD6"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02BF5F" w14:textId="77777777" w:rsidR="00000000" w:rsidRDefault="000C49AD">
            <w:pPr>
              <w:spacing w:after="100"/>
              <w:jc w:val="right"/>
              <w:rPr>
                <w:rFonts w:eastAsia="Times New Roman"/>
              </w:rPr>
            </w:pPr>
            <w:r>
              <w:rPr>
                <w:rFonts w:eastAsia="Times New Roman"/>
                <w:color w:val="000000"/>
                <w:sz w:val="18"/>
                <w:szCs w:val="18"/>
              </w:rPr>
              <w:t>(1,113)</w:t>
            </w:r>
          </w:p>
        </w:tc>
        <w:tc>
          <w:tcPr>
            <w:tcW w:w="0" w:type="auto"/>
            <w:shd w:val="clear" w:color="auto" w:fill="CCEEFF"/>
            <w:tcMar>
              <w:top w:w="30" w:type="dxa"/>
              <w:left w:w="0" w:type="dxa"/>
              <w:bottom w:w="30" w:type="dxa"/>
              <w:right w:w="20" w:type="dxa"/>
            </w:tcMar>
            <w:vAlign w:val="bottom"/>
            <w:hideMark/>
          </w:tcPr>
          <w:p w14:paraId="5B74760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E1C90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EB1358" w14:textId="77777777" w:rsidR="00000000" w:rsidRDefault="000C49AD">
            <w:pPr>
              <w:spacing w:after="100"/>
              <w:jc w:val="right"/>
              <w:rPr>
                <w:rFonts w:eastAsia="Times New Roman"/>
              </w:rPr>
            </w:pPr>
            <w:r>
              <w:rPr>
                <w:rFonts w:eastAsia="Times New Roman"/>
                <w:color w:val="000000"/>
                <w:sz w:val="18"/>
                <w:szCs w:val="18"/>
              </w:rPr>
              <w:t>263 </w:t>
            </w:r>
          </w:p>
        </w:tc>
        <w:tc>
          <w:tcPr>
            <w:tcW w:w="0" w:type="auto"/>
            <w:shd w:val="clear" w:color="auto" w:fill="CCEEFF"/>
            <w:tcMar>
              <w:top w:w="30" w:type="dxa"/>
              <w:left w:w="0" w:type="dxa"/>
              <w:bottom w:w="30" w:type="dxa"/>
              <w:right w:w="20" w:type="dxa"/>
            </w:tcMar>
            <w:vAlign w:val="bottom"/>
            <w:hideMark/>
          </w:tcPr>
          <w:p w14:paraId="4A52217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D992F0"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E6E570" w14:textId="77777777" w:rsidR="00000000" w:rsidRDefault="000C49AD">
            <w:pPr>
              <w:spacing w:after="100"/>
              <w:jc w:val="right"/>
              <w:rPr>
                <w:rFonts w:eastAsia="Times New Roman"/>
              </w:rPr>
            </w:pPr>
            <w:r>
              <w:rPr>
                <w:rFonts w:eastAsia="Times New Roman"/>
                <w:color w:val="000000"/>
                <w:sz w:val="18"/>
                <w:szCs w:val="18"/>
              </w:rPr>
              <w:t>(378)</w:t>
            </w:r>
          </w:p>
        </w:tc>
        <w:tc>
          <w:tcPr>
            <w:tcW w:w="0" w:type="auto"/>
            <w:shd w:val="clear" w:color="auto" w:fill="CCEEFF"/>
            <w:tcMar>
              <w:top w:w="30" w:type="dxa"/>
              <w:left w:w="0" w:type="dxa"/>
              <w:bottom w:w="30" w:type="dxa"/>
              <w:right w:w="20" w:type="dxa"/>
            </w:tcMar>
            <w:vAlign w:val="bottom"/>
            <w:hideMark/>
          </w:tcPr>
          <w:p w14:paraId="58FCFB3D" w14:textId="77777777" w:rsidR="00000000" w:rsidRDefault="000C49AD">
            <w:pPr>
              <w:spacing w:after="100"/>
              <w:jc w:val="right"/>
              <w:rPr>
                <w:rFonts w:eastAsia="Times New Roman"/>
              </w:rPr>
            </w:pPr>
          </w:p>
        </w:tc>
      </w:tr>
      <w:tr w:rsidR="00000000" w14:paraId="52249B3E" w14:textId="77777777">
        <w:trPr>
          <w:divId w:val="1453986440"/>
        </w:trPr>
        <w:tc>
          <w:tcPr>
            <w:tcW w:w="0" w:type="auto"/>
            <w:gridSpan w:val="3"/>
            <w:shd w:val="clear" w:color="auto" w:fill="FFFFFF"/>
            <w:tcMar>
              <w:top w:w="30" w:type="dxa"/>
              <w:left w:w="155" w:type="dxa"/>
              <w:bottom w:w="30" w:type="dxa"/>
              <w:right w:w="20" w:type="dxa"/>
            </w:tcMar>
            <w:vAlign w:val="bottom"/>
            <w:hideMark/>
          </w:tcPr>
          <w:p w14:paraId="1F0466CB" w14:textId="77777777" w:rsidR="00000000" w:rsidRDefault="000C49AD">
            <w:pPr>
              <w:spacing w:after="100"/>
              <w:rPr>
                <w:rFonts w:eastAsia="Times New Roman"/>
              </w:rPr>
            </w:pPr>
            <w:r>
              <w:rPr>
                <w:rFonts w:eastAsia="Times New Roman"/>
                <w:color w:val="000000"/>
                <w:sz w:val="18"/>
                <w:szCs w:val="18"/>
              </w:rPr>
              <w:t>Income tax benefit - at effective income tax rate</w:t>
            </w:r>
          </w:p>
        </w:tc>
        <w:tc>
          <w:tcPr>
            <w:tcW w:w="0" w:type="auto"/>
            <w:gridSpan w:val="3"/>
            <w:shd w:val="clear" w:color="auto" w:fill="FFFFFF"/>
            <w:tcMar>
              <w:top w:w="0" w:type="dxa"/>
              <w:left w:w="20" w:type="dxa"/>
              <w:bottom w:w="0" w:type="dxa"/>
              <w:right w:w="20" w:type="dxa"/>
            </w:tcMar>
            <w:vAlign w:val="center"/>
            <w:hideMark/>
          </w:tcPr>
          <w:p w14:paraId="06E84A99"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88282B0"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1DC48C4" w14:textId="77777777" w:rsidR="00000000" w:rsidRDefault="000C49AD">
            <w:pPr>
              <w:spacing w:after="100"/>
              <w:jc w:val="right"/>
              <w:rPr>
                <w:rFonts w:eastAsia="Times New Roman"/>
              </w:rPr>
            </w:pPr>
            <w:r>
              <w:rPr>
                <w:rFonts w:eastAsia="Times New Roman"/>
                <w:color w:val="000000"/>
                <w:sz w:val="18"/>
                <w:szCs w:val="18"/>
              </w:rPr>
              <w:t>(15,816)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AE0753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FCF1E0"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D82219"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FA0FF82" w14:textId="77777777" w:rsidR="00000000" w:rsidRDefault="000C49AD">
            <w:pPr>
              <w:spacing w:after="100"/>
              <w:jc w:val="right"/>
              <w:rPr>
                <w:rFonts w:eastAsia="Times New Roman"/>
              </w:rPr>
            </w:pPr>
            <w:r>
              <w:rPr>
                <w:rFonts w:eastAsia="Times New Roman"/>
                <w:color w:val="000000"/>
                <w:sz w:val="18"/>
                <w:szCs w:val="18"/>
              </w:rPr>
              <w:t>(12,110)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E7703A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501CD"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4B2FC46"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184EB5C" w14:textId="77777777" w:rsidR="00000000" w:rsidRDefault="000C49AD">
            <w:pPr>
              <w:spacing w:after="100"/>
              <w:jc w:val="right"/>
              <w:rPr>
                <w:rFonts w:eastAsia="Times New Roman"/>
              </w:rPr>
            </w:pPr>
            <w:r>
              <w:rPr>
                <w:rFonts w:eastAsia="Times New Roman"/>
                <w:color w:val="000000"/>
                <w:sz w:val="18"/>
                <w:szCs w:val="18"/>
              </w:rPr>
              <w:t>(5,356)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34611C6" w14:textId="77777777" w:rsidR="00000000" w:rsidRDefault="000C49AD">
            <w:pPr>
              <w:spacing w:after="100"/>
              <w:jc w:val="right"/>
              <w:rPr>
                <w:rFonts w:eastAsia="Times New Roman"/>
              </w:rPr>
            </w:pPr>
          </w:p>
        </w:tc>
      </w:tr>
      <w:tr w:rsidR="00000000" w14:paraId="2D808DCD" w14:textId="77777777">
        <w:trPr>
          <w:divId w:val="1453986440"/>
        </w:trPr>
        <w:tc>
          <w:tcPr>
            <w:tcW w:w="0" w:type="auto"/>
            <w:gridSpan w:val="3"/>
            <w:vAlign w:val="center"/>
            <w:hideMark/>
          </w:tcPr>
          <w:p w14:paraId="616469D8" w14:textId="77777777" w:rsidR="00000000" w:rsidRDefault="000C49AD">
            <w:pPr>
              <w:spacing w:after="100"/>
              <w:jc w:val="right"/>
              <w:rPr>
                <w:rFonts w:eastAsia="Times New Roman"/>
                <w:sz w:val="20"/>
                <w:szCs w:val="20"/>
              </w:rPr>
            </w:pPr>
          </w:p>
        </w:tc>
        <w:tc>
          <w:tcPr>
            <w:tcW w:w="0" w:type="auto"/>
            <w:gridSpan w:val="3"/>
            <w:vAlign w:val="center"/>
            <w:hideMark/>
          </w:tcPr>
          <w:p w14:paraId="643D78E1" w14:textId="77777777" w:rsidR="00000000" w:rsidRDefault="000C49AD">
            <w:pPr>
              <w:spacing w:after="100"/>
              <w:rPr>
                <w:rFonts w:eastAsia="Times New Roman"/>
                <w:sz w:val="20"/>
                <w:szCs w:val="20"/>
              </w:rPr>
            </w:pPr>
          </w:p>
        </w:tc>
        <w:tc>
          <w:tcPr>
            <w:tcW w:w="0" w:type="auto"/>
            <w:gridSpan w:val="3"/>
            <w:vAlign w:val="center"/>
            <w:hideMark/>
          </w:tcPr>
          <w:p w14:paraId="255341C8" w14:textId="77777777" w:rsidR="00000000" w:rsidRDefault="000C49AD">
            <w:pPr>
              <w:spacing w:after="100"/>
              <w:rPr>
                <w:rFonts w:eastAsia="Times New Roman"/>
                <w:sz w:val="20"/>
                <w:szCs w:val="20"/>
              </w:rPr>
            </w:pPr>
          </w:p>
        </w:tc>
        <w:tc>
          <w:tcPr>
            <w:tcW w:w="0" w:type="auto"/>
            <w:gridSpan w:val="3"/>
            <w:vAlign w:val="center"/>
            <w:hideMark/>
          </w:tcPr>
          <w:p w14:paraId="060F5AAB" w14:textId="77777777" w:rsidR="00000000" w:rsidRDefault="000C49AD">
            <w:pPr>
              <w:spacing w:after="100"/>
              <w:rPr>
                <w:rFonts w:eastAsia="Times New Roman"/>
                <w:sz w:val="20"/>
                <w:szCs w:val="20"/>
              </w:rPr>
            </w:pPr>
          </w:p>
        </w:tc>
        <w:tc>
          <w:tcPr>
            <w:tcW w:w="0" w:type="auto"/>
            <w:gridSpan w:val="3"/>
            <w:vAlign w:val="center"/>
            <w:hideMark/>
          </w:tcPr>
          <w:p w14:paraId="161610C4" w14:textId="77777777" w:rsidR="00000000" w:rsidRDefault="000C49AD">
            <w:pPr>
              <w:spacing w:after="100"/>
              <w:rPr>
                <w:rFonts w:eastAsia="Times New Roman"/>
                <w:sz w:val="20"/>
                <w:szCs w:val="20"/>
              </w:rPr>
            </w:pPr>
          </w:p>
        </w:tc>
        <w:tc>
          <w:tcPr>
            <w:tcW w:w="0" w:type="auto"/>
            <w:gridSpan w:val="3"/>
            <w:vAlign w:val="center"/>
            <w:hideMark/>
          </w:tcPr>
          <w:p w14:paraId="678DDCFB" w14:textId="77777777" w:rsidR="00000000" w:rsidRDefault="000C49AD">
            <w:pPr>
              <w:spacing w:after="100"/>
              <w:rPr>
                <w:rFonts w:eastAsia="Times New Roman"/>
                <w:sz w:val="20"/>
                <w:szCs w:val="20"/>
              </w:rPr>
            </w:pPr>
          </w:p>
        </w:tc>
        <w:tc>
          <w:tcPr>
            <w:tcW w:w="0" w:type="auto"/>
            <w:gridSpan w:val="3"/>
            <w:vAlign w:val="center"/>
            <w:hideMark/>
          </w:tcPr>
          <w:p w14:paraId="486388B6" w14:textId="77777777" w:rsidR="00000000" w:rsidRDefault="000C49AD">
            <w:pPr>
              <w:spacing w:after="100"/>
              <w:rPr>
                <w:rFonts w:eastAsia="Times New Roman"/>
                <w:sz w:val="20"/>
                <w:szCs w:val="20"/>
              </w:rPr>
            </w:pPr>
          </w:p>
        </w:tc>
      </w:tr>
      <w:tr w:rsidR="00000000" w14:paraId="5A1201BC" w14:textId="77777777">
        <w:trPr>
          <w:divId w:val="1453986440"/>
        </w:trPr>
        <w:tc>
          <w:tcPr>
            <w:tcW w:w="0" w:type="auto"/>
            <w:gridSpan w:val="3"/>
            <w:vAlign w:val="center"/>
            <w:hideMark/>
          </w:tcPr>
          <w:p w14:paraId="37CCC997" w14:textId="77777777" w:rsidR="00000000" w:rsidRDefault="000C49AD">
            <w:pPr>
              <w:spacing w:after="100"/>
              <w:rPr>
                <w:rFonts w:eastAsia="Times New Roman"/>
                <w:sz w:val="20"/>
                <w:szCs w:val="20"/>
              </w:rPr>
            </w:pPr>
          </w:p>
        </w:tc>
        <w:tc>
          <w:tcPr>
            <w:tcW w:w="0" w:type="auto"/>
            <w:gridSpan w:val="3"/>
            <w:vAlign w:val="center"/>
            <w:hideMark/>
          </w:tcPr>
          <w:p w14:paraId="465E70B5" w14:textId="77777777" w:rsidR="00000000" w:rsidRDefault="000C49AD">
            <w:pPr>
              <w:spacing w:after="100"/>
              <w:rPr>
                <w:rFonts w:eastAsia="Times New Roman"/>
                <w:sz w:val="20"/>
                <w:szCs w:val="20"/>
              </w:rPr>
            </w:pPr>
          </w:p>
        </w:tc>
        <w:tc>
          <w:tcPr>
            <w:tcW w:w="0" w:type="auto"/>
            <w:gridSpan w:val="3"/>
            <w:vAlign w:val="center"/>
            <w:hideMark/>
          </w:tcPr>
          <w:p w14:paraId="3016BB34" w14:textId="77777777" w:rsidR="00000000" w:rsidRDefault="000C49AD">
            <w:pPr>
              <w:spacing w:after="100"/>
              <w:rPr>
                <w:rFonts w:eastAsia="Times New Roman"/>
                <w:sz w:val="20"/>
                <w:szCs w:val="20"/>
              </w:rPr>
            </w:pPr>
          </w:p>
        </w:tc>
        <w:tc>
          <w:tcPr>
            <w:tcW w:w="0" w:type="auto"/>
            <w:gridSpan w:val="3"/>
            <w:vAlign w:val="center"/>
            <w:hideMark/>
          </w:tcPr>
          <w:p w14:paraId="73187F7F" w14:textId="77777777" w:rsidR="00000000" w:rsidRDefault="000C49AD">
            <w:pPr>
              <w:spacing w:after="100"/>
              <w:rPr>
                <w:rFonts w:eastAsia="Times New Roman"/>
                <w:sz w:val="20"/>
                <w:szCs w:val="20"/>
              </w:rPr>
            </w:pPr>
          </w:p>
        </w:tc>
        <w:tc>
          <w:tcPr>
            <w:tcW w:w="0" w:type="auto"/>
            <w:gridSpan w:val="3"/>
            <w:vAlign w:val="center"/>
            <w:hideMark/>
          </w:tcPr>
          <w:p w14:paraId="0DE02187" w14:textId="77777777" w:rsidR="00000000" w:rsidRDefault="000C49AD">
            <w:pPr>
              <w:spacing w:after="100"/>
              <w:rPr>
                <w:rFonts w:eastAsia="Times New Roman"/>
                <w:sz w:val="20"/>
                <w:szCs w:val="20"/>
              </w:rPr>
            </w:pPr>
          </w:p>
        </w:tc>
        <w:tc>
          <w:tcPr>
            <w:tcW w:w="0" w:type="auto"/>
            <w:gridSpan w:val="3"/>
            <w:vAlign w:val="center"/>
            <w:hideMark/>
          </w:tcPr>
          <w:p w14:paraId="6A72EB37" w14:textId="77777777" w:rsidR="00000000" w:rsidRDefault="000C49AD">
            <w:pPr>
              <w:spacing w:after="100"/>
              <w:rPr>
                <w:rFonts w:eastAsia="Times New Roman"/>
                <w:sz w:val="20"/>
                <w:szCs w:val="20"/>
              </w:rPr>
            </w:pPr>
          </w:p>
        </w:tc>
        <w:tc>
          <w:tcPr>
            <w:tcW w:w="0" w:type="auto"/>
            <w:gridSpan w:val="3"/>
            <w:vAlign w:val="center"/>
            <w:hideMark/>
          </w:tcPr>
          <w:p w14:paraId="55B69F81" w14:textId="77777777" w:rsidR="00000000" w:rsidRDefault="000C49AD">
            <w:pPr>
              <w:spacing w:after="100"/>
              <w:rPr>
                <w:rFonts w:eastAsia="Times New Roman"/>
                <w:sz w:val="20"/>
                <w:szCs w:val="20"/>
              </w:rPr>
            </w:pPr>
          </w:p>
        </w:tc>
      </w:tr>
      <w:tr w:rsidR="00000000" w14:paraId="30E60258" w14:textId="77777777">
        <w:trPr>
          <w:divId w:val="1453986440"/>
        </w:trPr>
        <w:tc>
          <w:tcPr>
            <w:tcW w:w="0" w:type="auto"/>
            <w:gridSpan w:val="3"/>
            <w:vAlign w:val="center"/>
            <w:hideMark/>
          </w:tcPr>
          <w:p w14:paraId="7FD97C62" w14:textId="77777777" w:rsidR="00000000" w:rsidRDefault="000C49AD">
            <w:pPr>
              <w:spacing w:after="100"/>
              <w:rPr>
                <w:rFonts w:eastAsia="Times New Roman"/>
                <w:sz w:val="20"/>
                <w:szCs w:val="20"/>
              </w:rPr>
            </w:pPr>
          </w:p>
        </w:tc>
        <w:tc>
          <w:tcPr>
            <w:tcW w:w="0" w:type="auto"/>
            <w:gridSpan w:val="3"/>
            <w:vAlign w:val="center"/>
            <w:hideMark/>
          </w:tcPr>
          <w:p w14:paraId="5585BBCE" w14:textId="77777777" w:rsidR="00000000" w:rsidRDefault="000C49AD">
            <w:pPr>
              <w:spacing w:after="100"/>
              <w:rPr>
                <w:rFonts w:eastAsia="Times New Roman"/>
                <w:sz w:val="20"/>
                <w:szCs w:val="20"/>
              </w:rPr>
            </w:pPr>
          </w:p>
        </w:tc>
        <w:tc>
          <w:tcPr>
            <w:tcW w:w="0" w:type="auto"/>
            <w:gridSpan w:val="3"/>
            <w:vAlign w:val="center"/>
            <w:hideMark/>
          </w:tcPr>
          <w:p w14:paraId="06829F96" w14:textId="77777777" w:rsidR="00000000" w:rsidRDefault="000C49AD">
            <w:pPr>
              <w:spacing w:after="100"/>
              <w:rPr>
                <w:rFonts w:eastAsia="Times New Roman"/>
                <w:sz w:val="20"/>
                <w:szCs w:val="20"/>
              </w:rPr>
            </w:pPr>
          </w:p>
        </w:tc>
        <w:tc>
          <w:tcPr>
            <w:tcW w:w="0" w:type="auto"/>
            <w:gridSpan w:val="3"/>
            <w:vAlign w:val="center"/>
            <w:hideMark/>
          </w:tcPr>
          <w:p w14:paraId="5C30F77C" w14:textId="77777777" w:rsidR="00000000" w:rsidRDefault="000C49AD">
            <w:pPr>
              <w:spacing w:after="100"/>
              <w:rPr>
                <w:rFonts w:eastAsia="Times New Roman"/>
                <w:sz w:val="20"/>
                <w:szCs w:val="20"/>
              </w:rPr>
            </w:pPr>
          </w:p>
        </w:tc>
        <w:tc>
          <w:tcPr>
            <w:tcW w:w="0" w:type="auto"/>
            <w:gridSpan w:val="3"/>
            <w:vAlign w:val="center"/>
            <w:hideMark/>
          </w:tcPr>
          <w:p w14:paraId="5D934083" w14:textId="77777777" w:rsidR="00000000" w:rsidRDefault="000C49AD">
            <w:pPr>
              <w:spacing w:after="100"/>
              <w:rPr>
                <w:rFonts w:eastAsia="Times New Roman"/>
                <w:sz w:val="20"/>
                <w:szCs w:val="20"/>
              </w:rPr>
            </w:pPr>
          </w:p>
        </w:tc>
        <w:tc>
          <w:tcPr>
            <w:tcW w:w="0" w:type="auto"/>
            <w:gridSpan w:val="3"/>
            <w:vAlign w:val="center"/>
            <w:hideMark/>
          </w:tcPr>
          <w:p w14:paraId="751ED414" w14:textId="77777777" w:rsidR="00000000" w:rsidRDefault="000C49AD">
            <w:pPr>
              <w:spacing w:after="100"/>
              <w:rPr>
                <w:rFonts w:eastAsia="Times New Roman"/>
                <w:sz w:val="20"/>
                <w:szCs w:val="20"/>
              </w:rPr>
            </w:pPr>
          </w:p>
        </w:tc>
        <w:tc>
          <w:tcPr>
            <w:tcW w:w="0" w:type="auto"/>
            <w:gridSpan w:val="3"/>
            <w:vAlign w:val="center"/>
            <w:hideMark/>
          </w:tcPr>
          <w:p w14:paraId="3ABAF216" w14:textId="77777777" w:rsidR="00000000" w:rsidRDefault="000C49AD">
            <w:pPr>
              <w:spacing w:after="100"/>
              <w:rPr>
                <w:rFonts w:eastAsia="Times New Roman"/>
                <w:sz w:val="20"/>
                <w:szCs w:val="20"/>
              </w:rPr>
            </w:pPr>
          </w:p>
        </w:tc>
      </w:tr>
    </w:tbl>
    <w:p w14:paraId="02F4C755" w14:textId="77777777" w:rsidR="00000000" w:rsidRDefault="000C49AD">
      <w:pPr>
        <w:jc w:val="both"/>
        <w:rPr>
          <w:rFonts w:eastAsia="Times New Roman"/>
        </w:rPr>
      </w:pPr>
    </w:p>
    <w:p w14:paraId="038FC7CC" w14:textId="77777777" w:rsidR="00000000" w:rsidRDefault="000C49AD">
      <w:pPr>
        <w:jc w:val="both"/>
        <w:rPr>
          <w:rFonts w:eastAsia="Times New Roman"/>
        </w:rPr>
      </w:pPr>
      <w:r>
        <w:rPr>
          <w:rFonts w:eastAsia="Times New Roman"/>
          <w:color w:val="000000"/>
          <w:sz w:val="20"/>
          <w:szCs w:val="20"/>
        </w:rPr>
        <w:t xml:space="preserve">In 2021, the income tax benefit increased by $3,706 when compared to the same period in 2020. The increase in the income tax benefit in 2021 </w:t>
      </w:r>
      <w:r>
        <w:rPr>
          <w:rFonts w:eastAsia="Times New Roman"/>
          <w:color w:val="000000"/>
          <w:sz w:val="20"/>
          <w:szCs w:val="20"/>
        </w:rPr>
        <w:t xml:space="preserve">was primarily driven by the additional tax benefit from an increase in the net operating losses in the U.S. in 2021, when compared to the same period in 2020. This was partially offset by the nonrecurring nature of tax benefits recognized in 2020 from the </w:t>
      </w:r>
      <w:r>
        <w:rPr>
          <w:rFonts w:eastAsia="Times New Roman"/>
          <w:color w:val="000000"/>
          <w:sz w:val="20"/>
          <w:szCs w:val="20"/>
        </w:rPr>
        <w:t>sale of the Company’s Hospital Products and passage of the Coronavirus Aid, Relief and Economic Security Act (the “CARES Act”) in the U.S.</w:t>
      </w:r>
    </w:p>
    <w:p w14:paraId="3DF08E44" w14:textId="77777777" w:rsidR="00000000" w:rsidRDefault="000C49AD">
      <w:pPr>
        <w:jc w:val="center"/>
        <w:divId w:val="1852257919"/>
        <w:rPr>
          <w:rFonts w:eastAsia="Times New Roman"/>
        </w:rPr>
      </w:pPr>
      <w:r>
        <w:rPr>
          <w:rFonts w:eastAsia="Times New Roman"/>
          <w:color w:val="000000"/>
          <w:sz w:val="20"/>
          <w:szCs w:val="20"/>
        </w:rPr>
        <w:t>-92-</w:t>
      </w:r>
    </w:p>
    <w:p w14:paraId="508E972B" w14:textId="77777777" w:rsidR="00000000" w:rsidRDefault="000C49AD">
      <w:pPr>
        <w:rPr>
          <w:rFonts w:eastAsia="Times New Roman"/>
        </w:rPr>
      </w:pPr>
      <w:r>
        <w:rPr>
          <w:rFonts w:eastAsia="Times New Roman"/>
        </w:rPr>
        <w:pict w14:anchorId="460B3B3D">
          <v:rect id="_x0000_i1117" style="width:0;height:1.5pt" o:hralign="center" o:hrstd="t" o:hr="t" fillcolor="#a0a0a0" stroked="f"/>
        </w:pict>
      </w:r>
    </w:p>
    <w:p w14:paraId="094A1A53" w14:textId="77777777" w:rsidR="00000000" w:rsidRDefault="000C49AD">
      <w:pPr>
        <w:divId w:val="1972128634"/>
        <w:rPr>
          <w:rFonts w:eastAsia="Times New Roman"/>
        </w:rPr>
      </w:pPr>
    </w:p>
    <w:p w14:paraId="7AE0A37D" w14:textId="77777777" w:rsidR="00000000" w:rsidRDefault="000C49AD">
      <w:pPr>
        <w:jc w:val="both"/>
        <w:rPr>
          <w:rFonts w:eastAsia="Times New Roman"/>
        </w:rPr>
      </w:pPr>
    </w:p>
    <w:p w14:paraId="16ECDB3D" w14:textId="77777777" w:rsidR="00000000" w:rsidRDefault="000C49AD">
      <w:pPr>
        <w:jc w:val="both"/>
        <w:rPr>
          <w:rFonts w:eastAsia="Times New Roman"/>
        </w:rPr>
      </w:pPr>
      <w:r>
        <w:rPr>
          <w:rFonts w:eastAsia="Times New Roman"/>
          <w:color w:val="000000"/>
          <w:sz w:val="20"/>
          <w:szCs w:val="20"/>
        </w:rPr>
        <w:t>In 2020, the income tax benefit increased by $6,754 when compared to the</w:t>
      </w:r>
      <w:r>
        <w:rPr>
          <w:rFonts w:eastAsia="Times New Roman"/>
          <w:color w:val="000000"/>
          <w:sz w:val="20"/>
          <w:szCs w:val="20"/>
        </w:rPr>
        <w:t xml:space="preserve"> same period in 2019. The increase in the income tax benefit in 2020 was primarily driven by the tax benefits from the sale of the Company’s Hospital Products and passage of the CARES Act in the U.S. The Company recorded additional tax benefit in 2020 from</w:t>
      </w:r>
      <w:r>
        <w:rPr>
          <w:rFonts w:eastAsia="Times New Roman"/>
          <w:color w:val="000000"/>
          <w:sz w:val="20"/>
          <w:szCs w:val="20"/>
        </w:rPr>
        <w:t xml:space="preserve"> the Orphan Drug and R&amp;D tax credit in the U.S. Tax benefit from the intercompany asset transfer recorded in 2019 did not recur, resulting in a partial offset of tax benefits described above. </w:t>
      </w:r>
    </w:p>
    <w:p w14:paraId="17A36B22" w14:textId="77777777" w:rsidR="00000000" w:rsidRDefault="000C49AD">
      <w:pPr>
        <w:divId w:val="442237716"/>
        <w:rPr>
          <w:rFonts w:eastAsia="Times New Roman"/>
        </w:rPr>
      </w:pPr>
    </w:p>
    <w:p w14:paraId="7351C520" w14:textId="77777777" w:rsidR="00000000" w:rsidRDefault="000C49AD">
      <w:pPr>
        <w:jc w:val="both"/>
        <w:rPr>
          <w:rFonts w:eastAsia="Times New Roman"/>
        </w:rPr>
      </w:pPr>
      <w:r>
        <w:rPr>
          <w:rFonts w:eastAsia="Times New Roman"/>
          <w:b/>
          <w:bCs/>
          <w:i/>
          <w:iCs/>
          <w:color w:val="000000"/>
          <w:sz w:val="20"/>
          <w:szCs w:val="20"/>
        </w:rPr>
        <w:t>Unrecognized Tax Benefits</w:t>
      </w:r>
    </w:p>
    <w:p w14:paraId="23044B4C" w14:textId="77777777" w:rsidR="00000000" w:rsidRDefault="000C49AD">
      <w:pPr>
        <w:jc w:val="both"/>
        <w:rPr>
          <w:rFonts w:eastAsia="Times New Roman"/>
        </w:rPr>
      </w:pPr>
    </w:p>
    <w:p w14:paraId="76C96106" w14:textId="77777777" w:rsidR="00000000" w:rsidRDefault="000C49AD">
      <w:pPr>
        <w:jc w:val="both"/>
        <w:rPr>
          <w:rFonts w:eastAsia="Times New Roman"/>
        </w:rPr>
      </w:pPr>
      <w:r>
        <w:rPr>
          <w:rFonts w:eastAsia="Times New Roman"/>
          <w:color w:val="000000"/>
          <w:sz w:val="20"/>
          <w:szCs w:val="20"/>
        </w:rPr>
        <w:t>The Company or one of its subsidi</w:t>
      </w:r>
      <w:r>
        <w:rPr>
          <w:rFonts w:eastAsia="Times New Roman"/>
          <w:color w:val="000000"/>
          <w:sz w:val="20"/>
          <w:szCs w:val="20"/>
        </w:rPr>
        <w:t>aries files income tax returns in Ireland, France, U.S. and various states. The Company is no longer subject to Irish, French, U.S. Federal, and state and local examinations for years before 2017. During 2020, the Company completed the 2015 through 2017 U.</w:t>
      </w:r>
      <w:r>
        <w:rPr>
          <w:rFonts w:eastAsia="Times New Roman"/>
          <w:color w:val="000000"/>
          <w:sz w:val="20"/>
          <w:szCs w:val="20"/>
        </w:rPr>
        <w:t xml:space="preserve">S. Federal Tax Audit. Completion of the audit resulted in an assessment of $1,937 for the 2015 through 2017 U.S. Federal Tax Returns compared to the IRS Claims of $50,695 made on July 2, 2019 and the updated IRS Claims of $9,302 on October 2, 2019 made as </w:t>
      </w:r>
      <w:r>
        <w:rPr>
          <w:rFonts w:eastAsia="Times New Roman"/>
          <w:color w:val="000000"/>
          <w:sz w:val="20"/>
          <w:szCs w:val="20"/>
        </w:rPr>
        <w:t xml:space="preserve">part of the Specialty Pharma bankruptcy proceedings, which at this time does not include interest and penalties. </w:t>
      </w:r>
    </w:p>
    <w:p w14:paraId="269C08C9" w14:textId="77777777" w:rsidR="00000000" w:rsidRDefault="000C49AD">
      <w:pPr>
        <w:jc w:val="both"/>
        <w:rPr>
          <w:rFonts w:eastAsia="Times New Roman"/>
        </w:rPr>
      </w:pPr>
    </w:p>
    <w:p w14:paraId="4B09C62F" w14:textId="77777777" w:rsidR="00000000" w:rsidRDefault="000C49AD">
      <w:pPr>
        <w:jc w:val="both"/>
        <w:rPr>
          <w:rFonts w:eastAsia="Times New Roman"/>
        </w:rPr>
      </w:pPr>
      <w:r>
        <w:rPr>
          <w:rFonts w:eastAsia="Times New Roman"/>
          <w:color w:val="000000"/>
          <w:sz w:val="20"/>
          <w:szCs w:val="20"/>
        </w:rPr>
        <w:t>The following table summarizes the activity related to the Company’</w:t>
      </w:r>
      <w:r>
        <w:rPr>
          <w:rFonts w:eastAsia="Times New Roman"/>
          <w:color w:val="000000"/>
          <w:sz w:val="20"/>
          <w:szCs w:val="20"/>
        </w:rPr>
        <w:t xml:space="preserve">s unrecognized tax benefits for the twelve months ended </w:t>
      </w:r>
    </w:p>
    <w:p w14:paraId="5104D7A2" w14:textId="77777777" w:rsidR="00000000" w:rsidRDefault="000C49AD">
      <w:pPr>
        <w:jc w:val="both"/>
        <w:rPr>
          <w:rFonts w:eastAsia="Times New Roman"/>
        </w:rPr>
      </w:pPr>
      <w:r>
        <w:rPr>
          <w:rFonts w:eastAsia="Times New Roman"/>
          <w:color w:val="000000"/>
          <w:sz w:val="20"/>
          <w:szCs w:val="20"/>
        </w:rPr>
        <w:t>December 31:</w:t>
      </w:r>
    </w:p>
    <w:tbl>
      <w:tblPr>
        <w:tblW w:w="4978" w:type="pct"/>
        <w:tblCellMar>
          <w:top w:w="15" w:type="dxa"/>
          <w:left w:w="15" w:type="dxa"/>
          <w:bottom w:w="15" w:type="dxa"/>
          <w:right w:w="15" w:type="dxa"/>
        </w:tblCellMar>
        <w:tblLook w:val="04A0" w:firstRow="1" w:lastRow="0" w:firstColumn="1" w:lastColumn="0" w:noHBand="0" w:noVBand="1"/>
      </w:tblPr>
      <w:tblGrid>
        <w:gridCol w:w="37"/>
        <w:gridCol w:w="3981"/>
        <w:gridCol w:w="36"/>
        <w:gridCol w:w="36"/>
        <w:gridCol w:w="36"/>
        <w:gridCol w:w="36"/>
        <w:gridCol w:w="110"/>
        <w:gridCol w:w="1151"/>
        <w:gridCol w:w="36"/>
        <w:gridCol w:w="36"/>
        <w:gridCol w:w="36"/>
        <w:gridCol w:w="36"/>
        <w:gridCol w:w="110"/>
        <w:gridCol w:w="1151"/>
        <w:gridCol w:w="36"/>
        <w:gridCol w:w="36"/>
        <w:gridCol w:w="36"/>
        <w:gridCol w:w="36"/>
        <w:gridCol w:w="110"/>
        <w:gridCol w:w="1151"/>
        <w:gridCol w:w="36"/>
      </w:tblGrid>
      <w:tr w:rsidR="00000000" w14:paraId="51354300" w14:textId="77777777">
        <w:tc>
          <w:tcPr>
            <w:tcW w:w="50" w:type="pct"/>
            <w:vAlign w:val="center"/>
            <w:hideMark/>
          </w:tcPr>
          <w:p w14:paraId="41D14488" w14:textId="77777777" w:rsidR="00000000" w:rsidRDefault="000C49AD">
            <w:pPr>
              <w:jc w:val="both"/>
              <w:rPr>
                <w:rFonts w:eastAsia="Times New Roman"/>
              </w:rPr>
            </w:pPr>
          </w:p>
        </w:tc>
        <w:tc>
          <w:tcPr>
            <w:tcW w:w="2433" w:type="pct"/>
            <w:vAlign w:val="center"/>
            <w:hideMark/>
          </w:tcPr>
          <w:p w14:paraId="143EF7B7" w14:textId="77777777" w:rsidR="00000000" w:rsidRDefault="000C49AD">
            <w:pPr>
              <w:spacing w:after="100"/>
              <w:rPr>
                <w:rFonts w:eastAsia="Times New Roman"/>
                <w:sz w:val="20"/>
                <w:szCs w:val="20"/>
              </w:rPr>
            </w:pPr>
          </w:p>
        </w:tc>
        <w:tc>
          <w:tcPr>
            <w:tcW w:w="5" w:type="pct"/>
            <w:vAlign w:val="center"/>
            <w:hideMark/>
          </w:tcPr>
          <w:p w14:paraId="4EB1E6F2" w14:textId="77777777" w:rsidR="00000000" w:rsidRDefault="000C49AD">
            <w:pPr>
              <w:spacing w:after="100"/>
              <w:rPr>
                <w:rFonts w:eastAsia="Times New Roman"/>
                <w:sz w:val="20"/>
                <w:szCs w:val="20"/>
              </w:rPr>
            </w:pPr>
          </w:p>
        </w:tc>
        <w:tc>
          <w:tcPr>
            <w:tcW w:w="5" w:type="pct"/>
            <w:vAlign w:val="center"/>
            <w:hideMark/>
          </w:tcPr>
          <w:p w14:paraId="19F5A5FC" w14:textId="77777777" w:rsidR="00000000" w:rsidRDefault="000C49AD">
            <w:pPr>
              <w:spacing w:after="100"/>
              <w:rPr>
                <w:rFonts w:eastAsia="Times New Roman"/>
                <w:sz w:val="20"/>
                <w:szCs w:val="20"/>
              </w:rPr>
            </w:pPr>
          </w:p>
        </w:tc>
        <w:tc>
          <w:tcPr>
            <w:tcW w:w="26" w:type="pct"/>
            <w:vAlign w:val="center"/>
            <w:hideMark/>
          </w:tcPr>
          <w:p w14:paraId="7FED86BD" w14:textId="77777777" w:rsidR="00000000" w:rsidRDefault="000C49AD">
            <w:pPr>
              <w:spacing w:after="100"/>
              <w:rPr>
                <w:rFonts w:eastAsia="Times New Roman"/>
                <w:sz w:val="20"/>
                <w:szCs w:val="20"/>
              </w:rPr>
            </w:pPr>
          </w:p>
        </w:tc>
        <w:tc>
          <w:tcPr>
            <w:tcW w:w="5" w:type="pct"/>
            <w:vAlign w:val="center"/>
            <w:hideMark/>
          </w:tcPr>
          <w:p w14:paraId="56570AD4" w14:textId="77777777" w:rsidR="00000000" w:rsidRDefault="000C49AD">
            <w:pPr>
              <w:spacing w:after="100"/>
              <w:rPr>
                <w:rFonts w:eastAsia="Times New Roman"/>
                <w:sz w:val="20"/>
                <w:szCs w:val="20"/>
              </w:rPr>
            </w:pPr>
          </w:p>
        </w:tc>
        <w:tc>
          <w:tcPr>
            <w:tcW w:w="50" w:type="pct"/>
            <w:vAlign w:val="center"/>
            <w:hideMark/>
          </w:tcPr>
          <w:p w14:paraId="64473EC1" w14:textId="77777777" w:rsidR="00000000" w:rsidRDefault="000C49AD">
            <w:pPr>
              <w:spacing w:after="100"/>
              <w:rPr>
                <w:rFonts w:eastAsia="Times New Roman"/>
                <w:sz w:val="20"/>
                <w:szCs w:val="20"/>
              </w:rPr>
            </w:pPr>
          </w:p>
        </w:tc>
        <w:tc>
          <w:tcPr>
            <w:tcW w:w="745" w:type="pct"/>
            <w:vAlign w:val="center"/>
            <w:hideMark/>
          </w:tcPr>
          <w:p w14:paraId="1C3F66DB" w14:textId="77777777" w:rsidR="00000000" w:rsidRDefault="000C49AD">
            <w:pPr>
              <w:spacing w:after="100"/>
              <w:rPr>
                <w:rFonts w:eastAsia="Times New Roman"/>
                <w:sz w:val="20"/>
                <w:szCs w:val="20"/>
              </w:rPr>
            </w:pPr>
          </w:p>
        </w:tc>
        <w:tc>
          <w:tcPr>
            <w:tcW w:w="5" w:type="pct"/>
            <w:vAlign w:val="center"/>
            <w:hideMark/>
          </w:tcPr>
          <w:p w14:paraId="475992E2" w14:textId="77777777" w:rsidR="00000000" w:rsidRDefault="000C49AD">
            <w:pPr>
              <w:spacing w:after="100"/>
              <w:rPr>
                <w:rFonts w:eastAsia="Times New Roman"/>
                <w:sz w:val="20"/>
                <w:szCs w:val="20"/>
              </w:rPr>
            </w:pPr>
          </w:p>
        </w:tc>
        <w:tc>
          <w:tcPr>
            <w:tcW w:w="5" w:type="pct"/>
            <w:vAlign w:val="center"/>
            <w:hideMark/>
          </w:tcPr>
          <w:p w14:paraId="5264D233" w14:textId="77777777" w:rsidR="00000000" w:rsidRDefault="000C49AD">
            <w:pPr>
              <w:spacing w:after="100"/>
              <w:rPr>
                <w:rFonts w:eastAsia="Times New Roman"/>
                <w:sz w:val="20"/>
                <w:szCs w:val="20"/>
              </w:rPr>
            </w:pPr>
          </w:p>
        </w:tc>
        <w:tc>
          <w:tcPr>
            <w:tcW w:w="26" w:type="pct"/>
            <w:vAlign w:val="center"/>
            <w:hideMark/>
          </w:tcPr>
          <w:p w14:paraId="00E0D02A" w14:textId="77777777" w:rsidR="00000000" w:rsidRDefault="000C49AD">
            <w:pPr>
              <w:spacing w:after="100"/>
              <w:rPr>
                <w:rFonts w:eastAsia="Times New Roman"/>
                <w:sz w:val="20"/>
                <w:szCs w:val="20"/>
              </w:rPr>
            </w:pPr>
          </w:p>
        </w:tc>
        <w:tc>
          <w:tcPr>
            <w:tcW w:w="5" w:type="pct"/>
            <w:vAlign w:val="center"/>
            <w:hideMark/>
          </w:tcPr>
          <w:p w14:paraId="4B9E825F" w14:textId="77777777" w:rsidR="00000000" w:rsidRDefault="000C49AD">
            <w:pPr>
              <w:spacing w:after="100"/>
              <w:rPr>
                <w:rFonts w:eastAsia="Times New Roman"/>
                <w:sz w:val="20"/>
                <w:szCs w:val="20"/>
              </w:rPr>
            </w:pPr>
          </w:p>
        </w:tc>
        <w:tc>
          <w:tcPr>
            <w:tcW w:w="50" w:type="pct"/>
            <w:vAlign w:val="center"/>
            <w:hideMark/>
          </w:tcPr>
          <w:p w14:paraId="1AFC4950" w14:textId="77777777" w:rsidR="00000000" w:rsidRDefault="000C49AD">
            <w:pPr>
              <w:spacing w:after="100"/>
              <w:rPr>
                <w:rFonts w:eastAsia="Times New Roman"/>
                <w:sz w:val="20"/>
                <w:szCs w:val="20"/>
              </w:rPr>
            </w:pPr>
          </w:p>
        </w:tc>
        <w:tc>
          <w:tcPr>
            <w:tcW w:w="745" w:type="pct"/>
            <w:vAlign w:val="center"/>
            <w:hideMark/>
          </w:tcPr>
          <w:p w14:paraId="5B9535FD" w14:textId="77777777" w:rsidR="00000000" w:rsidRDefault="000C49AD">
            <w:pPr>
              <w:spacing w:after="100"/>
              <w:rPr>
                <w:rFonts w:eastAsia="Times New Roman"/>
                <w:sz w:val="20"/>
                <w:szCs w:val="20"/>
              </w:rPr>
            </w:pPr>
          </w:p>
        </w:tc>
        <w:tc>
          <w:tcPr>
            <w:tcW w:w="5" w:type="pct"/>
            <w:vAlign w:val="center"/>
            <w:hideMark/>
          </w:tcPr>
          <w:p w14:paraId="06450008" w14:textId="77777777" w:rsidR="00000000" w:rsidRDefault="000C49AD">
            <w:pPr>
              <w:spacing w:after="100"/>
              <w:rPr>
                <w:rFonts w:eastAsia="Times New Roman"/>
                <w:sz w:val="20"/>
                <w:szCs w:val="20"/>
              </w:rPr>
            </w:pPr>
          </w:p>
        </w:tc>
        <w:tc>
          <w:tcPr>
            <w:tcW w:w="5" w:type="pct"/>
            <w:vAlign w:val="center"/>
            <w:hideMark/>
          </w:tcPr>
          <w:p w14:paraId="201EF392" w14:textId="77777777" w:rsidR="00000000" w:rsidRDefault="000C49AD">
            <w:pPr>
              <w:spacing w:after="100"/>
              <w:rPr>
                <w:rFonts w:eastAsia="Times New Roman"/>
                <w:sz w:val="20"/>
                <w:szCs w:val="20"/>
              </w:rPr>
            </w:pPr>
          </w:p>
        </w:tc>
        <w:tc>
          <w:tcPr>
            <w:tcW w:w="26" w:type="pct"/>
            <w:vAlign w:val="center"/>
            <w:hideMark/>
          </w:tcPr>
          <w:p w14:paraId="5E72F883" w14:textId="77777777" w:rsidR="00000000" w:rsidRDefault="000C49AD">
            <w:pPr>
              <w:spacing w:after="100"/>
              <w:rPr>
                <w:rFonts w:eastAsia="Times New Roman"/>
                <w:sz w:val="20"/>
                <w:szCs w:val="20"/>
              </w:rPr>
            </w:pPr>
          </w:p>
        </w:tc>
        <w:tc>
          <w:tcPr>
            <w:tcW w:w="5" w:type="pct"/>
            <w:vAlign w:val="center"/>
            <w:hideMark/>
          </w:tcPr>
          <w:p w14:paraId="7BB49693" w14:textId="77777777" w:rsidR="00000000" w:rsidRDefault="000C49AD">
            <w:pPr>
              <w:spacing w:after="100"/>
              <w:rPr>
                <w:rFonts w:eastAsia="Times New Roman"/>
                <w:sz w:val="20"/>
                <w:szCs w:val="20"/>
              </w:rPr>
            </w:pPr>
          </w:p>
        </w:tc>
        <w:tc>
          <w:tcPr>
            <w:tcW w:w="50" w:type="pct"/>
            <w:vAlign w:val="center"/>
            <w:hideMark/>
          </w:tcPr>
          <w:p w14:paraId="5A016F33" w14:textId="77777777" w:rsidR="00000000" w:rsidRDefault="000C49AD">
            <w:pPr>
              <w:spacing w:after="100"/>
              <w:rPr>
                <w:rFonts w:eastAsia="Times New Roman"/>
                <w:sz w:val="20"/>
                <w:szCs w:val="20"/>
              </w:rPr>
            </w:pPr>
          </w:p>
        </w:tc>
        <w:tc>
          <w:tcPr>
            <w:tcW w:w="745" w:type="pct"/>
            <w:vAlign w:val="center"/>
            <w:hideMark/>
          </w:tcPr>
          <w:p w14:paraId="0413E3A7" w14:textId="77777777" w:rsidR="00000000" w:rsidRDefault="000C49AD">
            <w:pPr>
              <w:spacing w:after="100"/>
              <w:rPr>
                <w:rFonts w:eastAsia="Times New Roman"/>
                <w:sz w:val="20"/>
                <w:szCs w:val="20"/>
              </w:rPr>
            </w:pPr>
          </w:p>
        </w:tc>
        <w:tc>
          <w:tcPr>
            <w:tcW w:w="5" w:type="pct"/>
            <w:vAlign w:val="center"/>
            <w:hideMark/>
          </w:tcPr>
          <w:p w14:paraId="0A113545" w14:textId="77777777" w:rsidR="00000000" w:rsidRDefault="000C49AD">
            <w:pPr>
              <w:spacing w:after="100"/>
              <w:rPr>
                <w:rFonts w:eastAsia="Times New Roman"/>
                <w:sz w:val="20"/>
                <w:szCs w:val="20"/>
              </w:rPr>
            </w:pPr>
          </w:p>
        </w:tc>
      </w:tr>
      <w:tr w:rsidR="00000000" w14:paraId="374139E4" w14:textId="77777777">
        <w:tc>
          <w:tcPr>
            <w:tcW w:w="0" w:type="auto"/>
            <w:gridSpan w:val="3"/>
            <w:tcMar>
              <w:top w:w="30" w:type="dxa"/>
              <w:left w:w="20" w:type="dxa"/>
              <w:bottom w:w="30" w:type="dxa"/>
              <w:right w:w="20" w:type="dxa"/>
            </w:tcMar>
            <w:vAlign w:val="bottom"/>
            <w:hideMark/>
          </w:tcPr>
          <w:p w14:paraId="035833EA" w14:textId="77777777" w:rsidR="00000000" w:rsidRDefault="000C49AD">
            <w:pPr>
              <w:spacing w:after="100"/>
              <w:rPr>
                <w:rFonts w:eastAsia="Times New Roman"/>
              </w:rPr>
            </w:pPr>
            <w:r>
              <w:rPr>
                <w:rFonts w:eastAsia="Times New Roman"/>
                <w:b/>
                <w:bCs/>
                <w:color w:val="000000"/>
                <w:sz w:val="18"/>
                <w:szCs w:val="18"/>
              </w:rPr>
              <w:t> Unrecognized Tax Benefit Activity</w:t>
            </w:r>
          </w:p>
        </w:tc>
        <w:tc>
          <w:tcPr>
            <w:tcW w:w="0" w:type="auto"/>
            <w:gridSpan w:val="3"/>
            <w:tcMar>
              <w:top w:w="0" w:type="dxa"/>
              <w:left w:w="20" w:type="dxa"/>
              <w:bottom w:w="0" w:type="dxa"/>
              <w:right w:w="20" w:type="dxa"/>
            </w:tcMar>
            <w:vAlign w:val="center"/>
            <w:hideMark/>
          </w:tcPr>
          <w:p w14:paraId="69CC5479"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5ED19633"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97C001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51D2D5B"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1B61C737"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1244394"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607FAB44"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5C56B159"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4DE9527"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A0CA94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C6AD7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AF84E5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E269B3"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2FDDFCF" w14:textId="77777777" w:rsidR="00000000" w:rsidRDefault="000C49AD">
            <w:pPr>
              <w:spacing w:after="100"/>
              <w:rPr>
                <w:rFonts w:eastAsia="Times New Roman"/>
                <w:sz w:val="20"/>
                <w:szCs w:val="20"/>
              </w:rPr>
            </w:pPr>
          </w:p>
        </w:tc>
      </w:tr>
      <w:tr w:rsidR="00000000" w14:paraId="2A313F01" w14:textId="77777777">
        <w:tc>
          <w:tcPr>
            <w:tcW w:w="0" w:type="auto"/>
            <w:gridSpan w:val="3"/>
            <w:shd w:val="clear" w:color="auto" w:fill="CCEEFF"/>
            <w:tcMar>
              <w:top w:w="30" w:type="dxa"/>
              <w:left w:w="155" w:type="dxa"/>
              <w:bottom w:w="30" w:type="dxa"/>
              <w:right w:w="20" w:type="dxa"/>
            </w:tcMar>
            <w:vAlign w:val="bottom"/>
            <w:hideMark/>
          </w:tcPr>
          <w:p w14:paraId="1CDA29D9" w14:textId="77777777" w:rsidR="00000000" w:rsidRDefault="000C49AD">
            <w:pPr>
              <w:spacing w:after="100"/>
              <w:rPr>
                <w:rFonts w:eastAsia="Times New Roman"/>
              </w:rPr>
            </w:pPr>
            <w:r>
              <w:rPr>
                <w:rFonts w:eastAsia="Times New Roman"/>
                <w:color w:val="000000"/>
                <w:sz w:val="18"/>
                <w:szCs w:val="18"/>
              </w:rPr>
              <w:t xml:space="preserve">Balance at January 1: </w:t>
            </w:r>
          </w:p>
        </w:tc>
        <w:tc>
          <w:tcPr>
            <w:tcW w:w="0" w:type="auto"/>
            <w:gridSpan w:val="3"/>
            <w:shd w:val="clear" w:color="auto" w:fill="CCEEFF"/>
            <w:tcMar>
              <w:top w:w="0" w:type="dxa"/>
              <w:left w:w="20" w:type="dxa"/>
              <w:bottom w:w="0" w:type="dxa"/>
              <w:right w:w="20" w:type="dxa"/>
            </w:tcMar>
            <w:vAlign w:val="center"/>
            <w:hideMark/>
          </w:tcPr>
          <w:p w14:paraId="788421A7"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00BE9E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417E08F" w14:textId="77777777" w:rsidR="00000000" w:rsidRDefault="000C49AD">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14:paraId="030EB1E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BDE3B"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196C2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F57FD06" w14:textId="77777777" w:rsidR="00000000" w:rsidRDefault="000C49AD">
            <w:pPr>
              <w:spacing w:after="100"/>
              <w:jc w:val="right"/>
              <w:rPr>
                <w:rFonts w:eastAsia="Times New Roman"/>
              </w:rPr>
            </w:pPr>
            <w:r>
              <w:rPr>
                <w:rFonts w:eastAsia="Times New Roman"/>
                <w:color w:val="000000"/>
                <w:sz w:val="18"/>
                <w:szCs w:val="18"/>
              </w:rPr>
              <w:t>6,465 </w:t>
            </w:r>
          </w:p>
        </w:tc>
        <w:tc>
          <w:tcPr>
            <w:tcW w:w="0" w:type="auto"/>
            <w:shd w:val="clear" w:color="auto" w:fill="CCEEFF"/>
            <w:tcMar>
              <w:top w:w="30" w:type="dxa"/>
              <w:left w:w="0" w:type="dxa"/>
              <w:bottom w:w="30" w:type="dxa"/>
              <w:right w:w="20" w:type="dxa"/>
            </w:tcMar>
            <w:vAlign w:val="bottom"/>
            <w:hideMark/>
          </w:tcPr>
          <w:p w14:paraId="2D92A0A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2904F8"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B09F0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7D25A10" w14:textId="77777777" w:rsidR="00000000" w:rsidRDefault="000C49AD">
            <w:pPr>
              <w:spacing w:after="100"/>
              <w:jc w:val="right"/>
              <w:rPr>
                <w:rFonts w:eastAsia="Times New Roman"/>
              </w:rPr>
            </w:pPr>
            <w:r>
              <w:rPr>
                <w:rFonts w:eastAsia="Times New Roman"/>
                <w:color w:val="000000"/>
                <w:sz w:val="18"/>
                <w:szCs w:val="18"/>
              </w:rPr>
              <w:t>5,315 </w:t>
            </w:r>
          </w:p>
        </w:tc>
        <w:tc>
          <w:tcPr>
            <w:tcW w:w="0" w:type="auto"/>
            <w:shd w:val="clear" w:color="auto" w:fill="CCEEFF"/>
            <w:tcMar>
              <w:top w:w="30" w:type="dxa"/>
              <w:left w:w="0" w:type="dxa"/>
              <w:bottom w:w="30" w:type="dxa"/>
              <w:right w:w="20" w:type="dxa"/>
            </w:tcMar>
            <w:vAlign w:val="bottom"/>
            <w:hideMark/>
          </w:tcPr>
          <w:p w14:paraId="0BD5F554" w14:textId="77777777" w:rsidR="00000000" w:rsidRDefault="000C49AD">
            <w:pPr>
              <w:spacing w:after="100"/>
              <w:jc w:val="right"/>
              <w:rPr>
                <w:rFonts w:eastAsia="Times New Roman"/>
              </w:rPr>
            </w:pPr>
          </w:p>
        </w:tc>
      </w:tr>
      <w:tr w:rsidR="00000000" w14:paraId="051C724D" w14:textId="77777777">
        <w:tc>
          <w:tcPr>
            <w:tcW w:w="0" w:type="auto"/>
            <w:gridSpan w:val="3"/>
            <w:vAlign w:val="center"/>
            <w:hideMark/>
          </w:tcPr>
          <w:p w14:paraId="3E4AD8A3" w14:textId="77777777" w:rsidR="00000000" w:rsidRDefault="000C49AD">
            <w:pPr>
              <w:spacing w:after="100"/>
              <w:jc w:val="right"/>
              <w:rPr>
                <w:rFonts w:eastAsia="Times New Roman"/>
                <w:sz w:val="20"/>
                <w:szCs w:val="20"/>
              </w:rPr>
            </w:pPr>
          </w:p>
        </w:tc>
        <w:tc>
          <w:tcPr>
            <w:tcW w:w="0" w:type="auto"/>
            <w:gridSpan w:val="3"/>
            <w:vAlign w:val="center"/>
            <w:hideMark/>
          </w:tcPr>
          <w:p w14:paraId="5865C5CC" w14:textId="77777777" w:rsidR="00000000" w:rsidRDefault="000C49AD">
            <w:pPr>
              <w:spacing w:after="100"/>
              <w:rPr>
                <w:rFonts w:eastAsia="Times New Roman"/>
                <w:sz w:val="20"/>
                <w:szCs w:val="20"/>
              </w:rPr>
            </w:pPr>
          </w:p>
        </w:tc>
        <w:tc>
          <w:tcPr>
            <w:tcW w:w="0" w:type="auto"/>
            <w:gridSpan w:val="3"/>
            <w:vAlign w:val="center"/>
            <w:hideMark/>
          </w:tcPr>
          <w:p w14:paraId="5362021E" w14:textId="77777777" w:rsidR="00000000" w:rsidRDefault="000C49AD">
            <w:pPr>
              <w:spacing w:after="100"/>
              <w:rPr>
                <w:rFonts w:eastAsia="Times New Roman"/>
                <w:sz w:val="20"/>
                <w:szCs w:val="20"/>
              </w:rPr>
            </w:pPr>
          </w:p>
        </w:tc>
        <w:tc>
          <w:tcPr>
            <w:tcW w:w="0" w:type="auto"/>
            <w:gridSpan w:val="3"/>
            <w:vAlign w:val="center"/>
            <w:hideMark/>
          </w:tcPr>
          <w:p w14:paraId="71F81F06" w14:textId="77777777" w:rsidR="00000000" w:rsidRDefault="000C49AD">
            <w:pPr>
              <w:spacing w:after="100"/>
              <w:rPr>
                <w:rFonts w:eastAsia="Times New Roman"/>
                <w:sz w:val="20"/>
                <w:szCs w:val="20"/>
              </w:rPr>
            </w:pPr>
          </w:p>
        </w:tc>
        <w:tc>
          <w:tcPr>
            <w:tcW w:w="0" w:type="auto"/>
            <w:gridSpan w:val="3"/>
            <w:vAlign w:val="center"/>
            <w:hideMark/>
          </w:tcPr>
          <w:p w14:paraId="56CB191F" w14:textId="77777777" w:rsidR="00000000" w:rsidRDefault="000C49AD">
            <w:pPr>
              <w:spacing w:after="100"/>
              <w:rPr>
                <w:rFonts w:eastAsia="Times New Roman"/>
                <w:sz w:val="20"/>
                <w:szCs w:val="20"/>
              </w:rPr>
            </w:pPr>
          </w:p>
        </w:tc>
        <w:tc>
          <w:tcPr>
            <w:tcW w:w="0" w:type="auto"/>
            <w:gridSpan w:val="3"/>
            <w:vAlign w:val="center"/>
            <w:hideMark/>
          </w:tcPr>
          <w:p w14:paraId="488FA27D" w14:textId="77777777" w:rsidR="00000000" w:rsidRDefault="000C49AD">
            <w:pPr>
              <w:spacing w:after="100"/>
              <w:rPr>
                <w:rFonts w:eastAsia="Times New Roman"/>
                <w:sz w:val="20"/>
                <w:szCs w:val="20"/>
              </w:rPr>
            </w:pPr>
          </w:p>
        </w:tc>
        <w:tc>
          <w:tcPr>
            <w:tcW w:w="0" w:type="auto"/>
            <w:gridSpan w:val="3"/>
            <w:vAlign w:val="center"/>
            <w:hideMark/>
          </w:tcPr>
          <w:p w14:paraId="49596249" w14:textId="77777777" w:rsidR="00000000" w:rsidRDefault="000C49AD">
            <w:pPr>
              <w:spacing w:after="100"/>
              <w:rPr>
                <w:rFonts w:eastAsia="Times New Roman"/>
                <w:sz w:val="20"/>
                <w:szCs w:val="20"/>
              </w:rPr>
            </w:pPr>
          </w:p>
        </w:tc>
      </w:tr>
      <w:tr w:rsidR="00000000" w14:paraId="68FC678C" w14:textId="77777777">
        <w:tc>
          <w:tcPr>
            <w:tcW w:w="0" w:type="auto"/>
            <w:gridSpan w:val="3"/>
            <w:shd w:val="clear" w:color="auto" w:fill="FFFFFF"/>
            <w:tcMar>
              <w:top w:w="30" w:type="dxa"/>
              <w:left w:w="245" w:type="dxa"/>
              <w:bottom w:w="30" w:type="dxa"/>
              <w:right w:w="20" w:type="dxa"/>
            </w:tcMar>
            <w:vAlign w:val="bottom"/>
            <w:hideMark/>
          </w:tcPr>
          <w:p w14:paraId="2F59970A" w14:textId="77777777" w:rsidR="00000000" w:rsidRDefault="000C49AD">
            <w:pPr>
              <w:spacing w:after="100"/>
              <w:rPr>
                <w:rFonts w:eastAsia="Times New Roman"/>
              </w:rPr>
            </w:pPr>
            <w:r>
              <w:rPr>
                <w:rFonts w:eastAsia="Times New Roman"/>
                <w:color w:val="000000"/>
                <w:sz w:val="18"/>
                <w:szCs w:val="18"/>
              </w:rPr>
              <w:t>Increases for tax positions of prior years</w:t>
            </w:r>
          </w:p>
        </w:tc>
        <w:tc>
          <w:tcPr>
            <w:tcW w:w="0" w:type="auto"/>
            <w:gridSpan w:val="3"/>
            <w:shd w:val="clear" w:color="auto" w:fill="FFFFFF"/>
            <w:tcMar>
              <w:top w:w="0" w:type="dxa"/>
              <w:left w:w="20" w:type="dxa"/>
              <w:bottom w:w="0" w:type="dxa"/>
              <w:right w:w="20" w:type="dxa"/>
            </w:tcMar>
            <w:vAlign w:val="center"/>
            <w:hideMark/>
          </w:tcPr>
          <w:p w14:paraId="1B0434C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B69571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633FBC7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2D0AC7"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0331F6"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BA070A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0E78A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38861A" w14:textId="77777777" w:rsidR="00000000" w:rsidRDefault="000C49AD">
            <w:pPr>
              <w:spacing w:after="100"/>
              <w:jc w:val="right"/>
              <w:rPr>
                <w:rFonts w:eastAsia="Times New Roman"/>
              </w:rPr>
            </w:pPr>
            <w:r>
              <w:rPr>
                <w:rFonts w:eastAsia="Times New Roman"/>
                <w:color w:val="000000"/>
                <w:sz w:val="18"/>
                <w:szCs w:val="18"/>
              </w:rPr>
              <w:t>2,416 </w:t>
            </w:r>
          </w:p>
        </w:tc>
        <w:tc>
          <w:tcPr>
            <w:tcW w:w="0" w:type="auto"/>
            <w:shd w:val="clear" w:color="auto" w:fill="FFFFFF"/>
            <w:tcMar>
              <w:top w:w="30" w:type="dxa"/>
              <w:left w:w="0" w:type="dxa"/>
              <w:bottom w:w="30" w:type="dxa"/>
              <w:right w:w="20" w:type="dxa"/>
            </w:tcMar>
            <w:vAlign w:val="bottom"/>
            <w:hideMark/>
          </w:tcPr>
          <w:p w14:paraId="3E7D5396" w14:textId="77777777" w:rsidR="00000000" w:rsidRDefault="000C49AD">
            <w:pPr>
              <w:spacing w:after="100"/>
              <w:jc w:val="right"/>
              <w:rPr>
                <w:rFonts w:eastAsia="Times New Roman"/>
              </w:rPr>
            </w:pPr>
          </w:p>
        </w:tc>
      </w:tr>
      <w:tr w:rsidR="00000000" w14:paraId="7C06C9E0" w14:textId="77777777">
        <w:tc>
          <w:tcPr>
            <w:tcW w:w="0" w:type="auto"/>
            <w:gridSpan w:val="3"/>
            <w:shd w:val="clear" w:color="auto" w:fill="CCEEFF"/>
            <w:tcMar>
              <w:top w:w="30" w:type="dxa"/>
              <w:left w:w="245" w:type="dxa"/>
              <w:bottom w:w="30" w:type="dxa"/>
              <w:right w:w="20" w:type="dxa"/>
            </w:tcMar>
            <w:vAlign w:val="bottom"/>
            <w:hideMark/>
          </w:tcPr>
          <w:p w14:paraId="361D5FB2" w14:textId="77777777" w:rsidR="00000000" w:rsidRDefault="000C49AD">
            <w:pPr>
              <w:spacing w:after="100"/>
              <w:rPr>
                <w:rFonts w:eastAsia="Times New Roman"/>
              </w:rPr>
            </w:pPr>
            <w:r>
              <w:rPr>
                <w:rFonts w:eastAsia="Times New Roman"/>
                <w:color w:val="000000"/>
                <w:sz w:val="18"/>
                <w:szCs w:val="18"/>
              </w:rPr>
              <w:t>Statute of limitations expiration</w:t>
            </w:r>
          </w:p>
        </w:tc>
        <w:tc>
          <w:tcPr>
            <w:tcW w:w="0" w:type="auto"/>
            <w:gridSpan w:val="3"/>
            <w:shd w:val="clear" w:color="auto" w:fill="CCEEFF"/>
            <w:tcMar>
              <w:top w:w="0" w:type="dxa"/>
              <w:left w:w="20" w:type="dxa"/>
              <w:bottom w:w="0" w:type="dxa"/>
              <w:right w:w="20" w:type="dxa"/>
            </w:tcMar>
            <w:vAlign w:val="center"/>
            <w:hideMark/>
          </w:tcPr>
          <w:p w14:paraId="1FECF07B"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D256BA"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35618A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FD8F6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72FAC4"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00B32A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4124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5D27AD" w14:textId="77777777" w:rsidR="00000000" w:rsidRDefault="000C49AD">
            <w:pPr>
              <w:spacing w:after="100"/>
              <w:jc w:val="right"/>
              <w:rPr>
                <w:rFonts w:eastAsia="Times New Roman"/>
              </w:rPr>
            </w:pPr>
            <w:r>
              <w:rPr>
                <w:rFonts w:eastAsia="Times New Roman"/>
                <w:color w:val="000000"/>
                <w:sz w:val="18"/>
                <w:szCs w:val="18"/>
              </w:rPr>
              <w:t>(1,266)</w:t>
            </w:r>
          </w:p>
        </w:tc>
        <w:tc>
          <w:tcPr>
            <w:tcW w:w="0" w:type="auto"/>
            <w:shd w:val="clear" w:color="auto" w:fill="CCEEFF"/>
            <w:tcMar>
              <w:top w:w="30" w:type="dxa"/>
              <w:left w:w="0" w:type="dxa"/>
              <w:bottom w:w="30" w:type="dxa"/>
              <w:right w:w="20" w:type="dxa"/>
            </w:tcMar>
            <w:vAlign w:val="bottom"/>
            <w:hideMark/>
          </w:tcPr>
          <w:p w14:paraId="25C7C615" w14:textId="77777777" w:rsidR="00000000" w:rsidRDefault="000C49AD">
            <w:pPr>
              <w:spacing w:after="100"/>
              <w:jc w:val="right"/>
              <w:rPr>
                <w:rFonts w:eastAsia="Times New Roman"/>
              </w:rPr>
            </w:pPr>
          </w:p>
        </w:tc>
      </w:tr>
      <w:tr w:rsidR="00000000" w14:paraId="4372B878" w14:textId="77777777">
        <w:tc>
          <w:tcPr>
            <w:tcW w:w="0" w:type="auto"/>
            <w:gridSpan w:val="3"/>
            <w:shd w:val="clear" w:color="auto" w:fill="FFFFFF"/>
            <w:tcMar>
              <w:top w:w="30" w:type="dxa"/>
              <w:left w:w="245" w:type="dxa"/>
              <w:bottom w:w="30" w:type="dxa"/>
              <w:right w:w="20" w:type="dxa"/>
            </w:tcMar>
            <w:vAlign w:val="bottom"/>
            <w:hideMark/>
          </w:tcPr>
          <w:p w14:paraId="2B7B83B2" w14:textId="77777777" w:rsidR="00000000" w:rsidRDefault="000C49AD">
            <w:pPr>
              <w:spacing w:after="100"/>
              <w:rPr>
                <w:rFonts w:eastAsia="Times New Roman"/>
              </w:rPr>
            </w:pPr>
            <w:r>
              <w:rPr>
                <w:rFonts w:eastAsia="Times New Roman"/>
                <w:color w:val="000000"/>
                <w:sz w:val="18"/>
                <w:szCs w:val="18"/>
              </w:rPr>
              <w:t>Settlements</w:t>
            </w:r>
          </w:p>
        </w:tc>
        <w:tc>
          <w:tcPr>
            <w:tcW w:w="0" w:type="auto"/>
            <w:gridSpan w:val="3"/>
            <w:shd w:val="clear" w:color="auto" w:fill="FFFFFF"/>
            <w:tcMar>
              <w:top w:w="0" w:type="dxa"/>
              <w:left w:w="20" w:type="dxa"/>
              <w:bottom w:w="0" w:type="dxa"/>
              <w:right w:w="20" w:type="dxa"/>
            </w:tcMar>
            <w:vAlign w:val="center"/>
            <w:hideMark/>
          </w:tcPr>
          <w:p w14:paraId="3C781E1A"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27AE80"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85E434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4818B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EA06F8" w14:textId="77777777" w:rsidR="00000000" w:rsidRDefault="000C49AD">
            <w:pPr>
              <w:spacing w:after="100"/>
              <w:jc w:val="right"/>
              <w:rPr>
                <w:rFonts w:eastAsia="Times New Roman"/>
              </w:rPr>
            </w:pPr>
            <w:r>
              <w:rPr>
                <w:rFonts w:eastAsia="Times New Roman"/>
                <w:color w:val="000000"/>
                <w:sz w:val="18"/>
                <w:szCs w:val="18"/>
              </w:rPr>
              <w:t>(3,322)</w:t>
            </w:r>
          </w:p>
        </w:tc>
        <w:tc>
          <w:tcPr>
            <w:tcW w:w="0" w:type="auto"/>
            <w:shd w:val="clear" w:color="auto" w:fill="FFFFFF"/>
            <w:tcMar>
              <w:top w:w="30" w:type="dxa"/>
              <w:left w:w="0" w:type="dxa"/>
              <w:bottom w:w="30" w:type="dxa"/>
              <w:right w:w="20" w:type="dxa"/>
            </w:tcMar>
            <w:vAlign w:val="bottom"/>
            <w:hideMark/>
          </w:tcPr>
          <w:p w14:paraId="201A18A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31BB1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E2CF60"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723A58EF" w14:textId="77777777" w:rsidR="00000000" w:rsidRDefault="000C49AD">
            <w:pPr>
              <w:spacing w:after="100"/>
              <w:jc w:val="right"/>
              <w:rPr>
                <w:rFonts w:eastAsia="Times New Roman"/>
              </w:rPr>
            </w:pPr>
          </w:p>
        </w:tc>
      </w:tr>
      <w:tr w:rsidR="00000000" w14:paraId="1B897700" w14:textId="77777777">
        <w:tc>
          <w:tcPr>
            <w:tcW w:w="0" w:type="auto"/>
            <w:gridSpan w:val="3"/>
            <w:shd w:val="clear" w:color="auto" w:fill="CCEEFF"/>
            <w:tcMar>
              <w:top w:w="30" w:type="dxa"/>
              <w:left w:w="155" w:type="dxa"/>
              <w:bottom w:w="30" w:type="dxa"/>
              <w:right w:w="20" w:type="dxa"/>
            </w:tcMar>
            <w:vAlign w:val="bottom"/>
            <w:hideMark/>
          </w:tcPr>
          <w:p w14:paraId="231B9FF3" w14:textId="77777777" w:rsidR="00000000" w:rsidRDefault="000C49AD">
            <w:pPr>
              <w:spacing w:after="100"/>
              <w:rPr>
                <w:rFonts w:eastAsia="Times New Roman"/>
              </w:rPr>
            </w:pPr>
            <w:r>
              <w:rPr>
                <w:rFonts w:eastAsia="Times New Roman"/>
                <w:color w:val="000000"/>
                <w:sz w:val="18"/>
                <w:szCs w:val="18"/>
              </w:rPr>
              <w:t xml:space="preserve">Balance at December 31: </w:t>
            </w:r>
          </w:p>
        </w:tc>
        <w:tc>
          <w:tcPr>
            <w:tcW w:w="0" w:type="auto"/>
            <w:gridSpan w:val="3"/>
            <w:shd w:val="clear" w:color="auto" w:fill="CCEEFF"/>
            <w:tcMar>
              <w:top w:w="0" w:type="dxa"/>
              <w:left w:w="20" w:type="dxa"/>
              <w:bottom w:w="0" w:type="dxa"/>
              <w:right w:w="20" w:type="dxa"/>
            </w:tcMar>
            <w:vAlign w:val="center"/>
            <w:hideMark/>
          </w:tcPr>
          <w:p w14:paraId="75D3E446"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E937B5"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0AF258" w14:textId="77777777" w:rsidR="00000000" w:rsidRDefault="000C49AD">
            <w:pPr>
              <w:spacing w:after="100"/>
              <w:jc w:val="right"/>
              <w:rPr>
                <w:rFonts w:eastAsia="Times New Roman"/>
              </w:rPr>
            </w:pPr>
            <w:r>
              <w:rPr>
                <w:rFonts w:eastAsia="Times New Roman"/>
                <w:color w:val="000000"/>
                <w:sz w:val="18"/>
                <w:szCs w:val="18"/>
              </w:rPr>
              <w:t>3,143 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0000C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2A677F"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D15C7D"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D5E9BA" w14:textId="77777777" w:rsidR="00000000" w:rsidRDefault="000C49AD">
            <w:pPr>
              <w:spacing w:after="100"/>
              <w:jc w:val="right"/>
              <w:rPr>
                <w:rFonts w:eastAsia="Times New Roman"/>
              </w:rPr>
            </w:pPr>
            <w:r>
              <w:rPr>
                <w:rFonts w:eastAsia="Times New Roman"/>
                <w:color w:val="000000"/>
                <w:sz w:val="18"/>
                <w:szCs w:val="18"/>
              </w:rPr>
              <w:t>3,143 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742E8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29E675"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7AE22F"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343EA16" w14:textId="77777777" w:rsidR="00000000" w:rsidRDefault="000C49AD">
            <w:pPr>
              <w:spacing w:after="100"/>
              <w:jc w:val="right"/>
              <w:rPr>
                <w:rFonts w:eastAsia="Times New Roman"/>
              </w:rPr>
            </w:pPr>
            <w:r>
              <w:rPr>
                <w:rFonts w:eastAsia="Times New Roman"/>
                <w:color w:val="000000"/>
                <w:sz w:val="18"/>
                <w:szCs w:val="18"/>
              </w:rPr>
              <w:t>6,465 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F780CA1" w14:textId="77777777" w:rsidR="00000000" w:rsidRDefault="000C49AD">
            <w:pPr>
              <w:spacing w:after="100"/>
              <w:jc w:val="right"/>
              <w:rPr>
                <w:rFonts w:eastAsia="Times New Roman"/>
              </w:rPr>
            </w:pPr>
          </w:p>
        </w:tc>
      </w:tr>
    </w:tbl>
    <w:p w14:paraId="03A704CF" w14:textId="77777777" w:rsidR="00000000" w:rsidRDefault="000C49AD">
      <w:pPr>
        <w:jc w:val="both"/>
        <w:rPr>
          <w:rFonts w:eastAsia="Times New Roman"/>
        </w:rPr>
      </w:pPr>
    </w:p>
    <w:p w14:paraId="39702974" w14:textId="77777777" w:rsidR="00000000" w:rsidRDefault="000C49AD">
      <w:pPr>
        <w:jc w:val="both"/>
        <w:rPr>
          <w:rFonts w:eastAsia="Times New Roman"/>
        </w:rPr>
      </w:pPr>
      <w:r>
        <w:rPr>
          <w:rFonts w:eastAsia="Times New Roman"/>
          <w:color w:val="000000"/>
          <w:sz w:val="20"/>
          <w:szCs w:val="20"/>
        </w:rPr>
        <w:t>The Company expects that within the next twelve months the unrecognized tax benefits could decrease by an immaterial amount and the interest could increase by an immaterial amount.</w:t>
      </w:r>
    </w:p>
    <w:p w14:paraId="1EF32015" w14:textId="77777777" w:rsidR="00000000" w:rsidRDefault="000C49AD">
      <w:pPr>
        <w:jc w:val="both"/>
        <w:rPr>
          <w:rFonts w:eastAsia="Times New Roman"/>
        </w:rPr>
      </w:pPr>
    </w:p>
    <w:p w14:paraId="70229068" w14:textId="77777777" w:rsidR="00000000" w:rsidRDefault="000C49AD">
      <w:pPr>
        <w:jc w:val="both"/>
        <w:rPr>
          <w:rFonts w:eastAsia="Times New Roman"/>
        </w:rPr>
      </w:pPr>
      <w:r>
        <w:rPr>
          <w:rFonts w:eastAsia="Times New Roman"/>
          <w:color w:val="000000"/>
          <w:sz w:val="20"/>
          <w:szCs w:val="20"/>
        </w:rPr>
        <w:t xml:space="preserve">At December 31, 2021, 2020 and 2019, there are $2,483, $2,483 and $3,806 </w:t>
      </w:r>
      <w:r>
        <w:rPr>
          <w:rFonts w:eastAsia="Times New Roman"/>
          <w:color w:val="000000"/>
          <w:sz w:val="20"/>
          <w:szCs w:val="20"/>
        </w:rPr>
        <w:t>of unrecognized tax benefits that if recognized would affect the annual effective tax rate.</w:t>
      </w:r>
    </w:p>
    <w:p w14:paraId="790ACA42" w14:textId="77777777" w:rsidR="00000000" w:rsidRDefault="000C49AD">
      <w:pPr>
        <w:jc w:val="both"/>
        <w:rPr>
          <w:rFonts w:eastAsia="Times New Roman"/>
        </w:rPr>
      </w:pPr>
    </w:p>
    <w:p w14:paraId="2DFE3625" w14:textId="77777777" w:rsidR="00000000" w:rsidRDefault="000C49AD">
      <w:pPr>
        <w:jc w:val="both"/>
        <w:rPr>
          <w:rFonts w:eastAsia="Times New Roman"/>
        </w:rPr>
      </w:pPr>
      <w:r>
        <w:rPr>
          <w:rFonts w:eastAsia="Times New Roman"/>
          <w:color w:val="000000"/>
          <w:sz w:val="20"/>
          <w:szCs w:val="20"/>
        </w:rPr>
        <w:t>The Company recognizes interest and penalties accrued related to unrecognized tax benefits in income tax expense. During the years ended December 31, 2021, 2020 a</w:t>
      </w:r>
      <w:r>
        <w:rPr>
          <w:rFonts w:eastAsia="Times New Roman"/>
          <w:color w:val="000000"/>
          <w:sz w:val="20"/>
          <w:szCs w:val="20"/>
        </w:rPr>
        <w:t xml:space="preserve">nd 2019, the Company recognized approximately $239, $203 and $555 in interest and penalties. The Company had approximately $1,777 and $1,475 for the payment of interest and penalties accrued at December 31, 2021 and 2020, respectively. </w:t>
      </w:r>
    </w:p>
    <w:p w14:paraId="0C700023" w14:textId="77777777" w:rsidR="00000000" w:rsidRDefault="000C49AD">
      <w:pPr>
        <w:jc w:val="center"/>
        <w:divId w:val="370151940"/>
        <w:rPr>
          <w:rFonts w:eastAsia="Times New Roman"/>
        </w:rPr>
      </w:pPr>
      <w:r>
        <w:rPr>
          <w:rFonts w:eastAsia="Times New Roman"/>
          <w:color w:val="000000"/>
          <w:sz w:val="20"/>
          <w:szCs w:val="20"/>
        </w:rPr>
        <w:t>-93-</w:t>
      </w:r>
    </w:p>
    <w:p w14:paraId="3FC1F843" w14:textId="77777777" w:rsidR="00000000" w:rsidRDefault="000C49AD">
      <w:pPr>
        <w:rPr>
          <w:rFonts w:eastAsia="Times New Roman"/>
        </w:rPr>
      </w:pPr>
      <w:r>
        <w:rPr>
          <w:rFonts w:eastAsia="Times New Roman"/>
        </w:rPr>
        <w:pict w14:anchorId="37EC5E17">
          <v:rect id="_x0000_i1118" style="width:0;height:1.5pt" o:hralign="center" o:hrstd="t" o:hr="t" fillcolor="#a0a0a0" stroked="f"/>
        </w:pict>
      </w:r>
    </w:p>
    <w:p w14:paraId="0F5DE900" w14:textId="77777777" w:rsidR="00000000" w:rsidRDefault="000C49AD">
      <w:pPr>
        <w:divId w:val="1357198158"/>
        <w:rPr>
          <w:rFonts w:eastAsia="Times New Roman"/>
        </w:rPr>
      </w:pPr>
    </w:p>
    <w:p w14:paraId="20C0637E" w14:textId="77777777" w:rsidR="00000000" w:rsidRDefault="000C49AD">
      <w:pPr>
        <w:jc w:val="both"/>
        <w:rPr>
          <w:rFonts w:eastAsia="Times New Roman"/>
        </w:rPr>
      </w:pPr>
    </w:p>
    <w:p w14:paraId="0FB59EFC" w14:textId="77777777" w:rsidR="00000000" w:rsidRDefault="000C49AD">
      <w:pPr>
        <w:divId w:val="1887334107"/>
        <w:rPr>
          <w:rFonts w:eastAsia="Times New Roman"/>
        </w:rPr>
      </w:pPr>
      <w:r>
        <w:rPr>
          <w:rFonts w:eastAsia="Times New Roman"/>
          <w:b/>
          <w:bCs/>
          <w:i/>
          <w:iCs/>
          <w:color w:val="000000"/>
          <w:sz w:val="20"/>
          <w:szCs w:val="20"/>
        </w:rPr>
        <w:t>Deferred Tax Assets (Liabilities)</w:t>
      </w:r>
      <w:r>
        <w:rPr>
          <w:rFonts w:eastAsia="Times New Roman"/>
          <w:color w:val="000000"/>
          <w:sz w:val="20"/>
          <w:szCs w:val="20"/>
        </w:rPr>
        <w:t> </w:t>
      </w:r>
    </w:p>
    <w:p w14:paraId="45A0E497" w14:textId="77777777" w:rsidR="00000000" w:rsidRDefault="000C49AD">
      <w:pPr>
        <w:jc w:val="both"/>
        <w:rPr>
          <w:rFonts w:eastAsia="Times New Roman"/>
        </w:rPr>
      </w:pPr>
    </w:p>
    <w:p w14:paraId="486E53CA" w14:textId="77777777" w:rsidR="00000000" w:rsidRDefault="000C49AD">
      <w:pPr>
        <w:jc w:val="both"/>
        <w:rPr>
          <w:rFonts w:eastAsia="Times New Roman"/>
        </w:rPr>
      </w:pPr>
      <w:r>
        <w:rPr>
          <w:rFonts w:eastAsia="Times New Roman"/>
          <w:color w:val="000000"/>
          <w:sz w:val="20"/>
          <w:szCs w:val="20"/>
        </w:rPr>
        <w:t xml:space="preserve">Deferred income tax provisions reflect the effect of temporary differences between consolidated financial statement and tax reporting of income and expense items. </w:t>
      </w:r>
      <w:r>
        <w:rPr>
          <w:rFonts w:eastAsia="Times New Roman"/>
          <w:color w:val="000000"/>
          <w:sz w:val="20"/>
          <w:szCs w:val="20"/>
        </w:rPr>
        <w:t>The net deferred tax assets (liabilities) at December 31, 2021 and 2020 resulted from the following temporary differences: </w:t>
      </w:r>
    </w:p>
    <w:p w14:paraId="4B914B8B" w14:textId="77777777" w:rsidR="00000000" w:rsidRDefault="000C49AD">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3983"/>
        <w:gridCol w:w="37"/>
        <w:gridCol w:w="36"/>
        <w:gridCol w:w="36"/>
        <w:gridCol w:w="36"/>
        <w:gridCol w:w="110"/>
        <w:gridCol w:w="1862"/>
        <w:gridCol w:w="36"/>
        <w:gridCol w:w="36"/>
        <w:gridCol w:w="36"/>
        <w:gridCol w:w="36"/>
        <w:gridCol w:w="110"/>
        <w:gridCol w:w="1862"/>
        <w:gridCol w:w="36"/>
      </w:tblGrid>
      <w:tr w:rsidR="00000000" w14:paraId="455C563C" w14:textId="77777777">
        <w:tc>
          <w:tcPr>
            <w:tcW w:w="50" w:type="pct"/>
            <w:vAlign w:val="center"/>
            <w:hideMark/>
          </w:tcPr>
          <w:p w14:paraId="200BE133" w14:textId="77777777" w:rsidR="00000000" w:rsidRDefault="000C49AD">
            <w:pPr>
              <w:jc w:val="both"/>
              <w:rPr>
                <w:rFonts w:eastAsia="Times New Roman"/>
              </w:rPr>
            </w:pPr>
          </w:p>
        </w:tc>
        <w:tc>
          <w:tcPr>
            <w:tcW w:w="2426" w:type="pct"/>
            <w:vAlign w:val="center"/>
            <w:hideMark/>
          </w:tcPr>
          <w:p w14:paraId="02CB22DE" w14:textId="77777777" w:rsidR="00000000" w:rsidRDefault="000C49AD">
            <w:pPr>
              <w:spacing w:after="100"/>
              <w:rPr>
                <w:rFonts w:eastAsia="Times New Roman"/>
                <w:sz w:val="20"/>
                <w:szCs w:val="20"/>
              </w:rPr>
            </w:pPr>
          </w:p>
        </w:tc>
        <w:tc>
          <w:tcPr>
            <w:tcW w:w="5" w:type="pct"/>
            <w:vAlign w:val="center"/>
            <w:hideMark/>
          </w:tcPr>
          <w:p w14:paraId="4605611C" w14:textId="77777777" w:rsidR="00000000" w:rsidRDefault="000C49AD">
            <w:pPr>
              <w:spacing w:after="100"/>
              <w:rPr>
                <w:rFonts w:eastAsia="Times New Roman"/>
                <w:sz w:val="20"/>
                <w:szCs w:val="20"/>
              </w:rPr>
            </w:pPr>
          </w:p>
        </w:tc>
        <w:tc>
          <w:tcPr>
            <w:tcW w:w="5" w:type="pct"/>
            <w:vAlign w:val="center"/>
            <w:hideMark/>
          </w:tcPr>
          <w:p w14:paraId="576B4D6F" w14:textId="77777777" w:rsidR="00000000" w:rsidRDefault="000C49AD">
            <w:pPr>
              <w:spacing w:after="100"/>
              <w:rPr>
                <w:rFonts w:eastAsia="Times New Roman"/>
                <w:sz w:val="20"/>
                <w:szCs w:val="20"/>
              </w:rPr>
            </w:pPr>
          </w:p>
        </w:tc>
        <w:tc>
          <w:tcPr>
            <w:tcW w:w="26" w:type="pct"/>
            <w:vAlign w:val="center"/>
            <w:hideMark/>
          </w:tcPr>
          <w:p w14:paraId="4A867922" w14:textId="77777777" w:rsidR="00000000" w:rsidRDefault="000C49AD">
            <w:pPr>
              <w:spacing w:after="100"/>
              <w:rPr>
                <w:rFonts w:eastAsia="Times New Roman"/>
                <w:sz w:val="20"/>
                <w:szCs w:val="20"/>
              </w:rPr>
            </w:pPr>
          </w:p>
        </w:tc>
        <w:tc>
          <w:tcPr>
            <w:tcW w:w="5" w:type="pct"/>
            <w:vAlign w:val="center"/>
            <w:hideMark/>
          </w:tcPr>
          <w:p w14:paraId="23E1F714" w14:textId="77777777" w:rsidR="00000000" w:rsidRDefault="000C49AD">
            <w:pPr>
              <w:spacing w:after="100"/>
              <w:rPr>
                <w:rFonts w:eastAsia="Times New Roman"/>
                <w:sz w:val="20"/>
                <w:szCs w:val="20"/>
              </w:rPr>
            </w:pPr>
          </w:p>
        </w:tc>
        <w:tc>
          <w:tcPr>
            <w:tcW w:w="50" w:type="pct"/>
            <w:vAlign w:val="center"/>
            <w:hideMark/>
          </w:tcPr>
          <w:p w14:paraId="2ED0790F" w14:textId="77777777" w:rsidR="00000000" w:rsidRDefault="000C49AD">
            <w:pPr>
              <w:spacing w:after="100"/>
              <w:rPr>
                <w:rFonts w:eastAsia="Times New Roman"/>
                <w:sz w:val="20"/>
                <w:szCs w:val="20"/>
              </w:rPr>
            </w:pPr>
          </w:p>
        </w:tc>
        <w:tc>
          <w:tcPr>
            <w:tcW w:w="1167" w:type="pct"/>
            <w:vAlign w:val="center"/>
            <w:hideMark/>
          </w:tcPr>
          <w:p w14:paraId="0EC0F02C" w14:textId="77777777" w:rsidR="00000000" w:rsidRDefault="000C49AD">
            <w:pPr>
              <w:spacing w:after="100"/>
              <w:rPr>
                <w:rFonts w:eastAsia="Times New Roman"/>
                <w:sz w:val="20"/>
                <w:szCs w:val="20"/>
              </w:rPr>
            </w:pPr>
          </w:p>
        </w:tc>
        <w:tc>
          <w:tcPr>
            <w:tcW w:w="5" w:type="pct"/>
            <w:vAlign w:val="center"/>
            <w:hideMark/>
          </w:tcPr>
          <w:p w14:paraId="1ACA728C" w14:textId="77777777" w:rsidR="00000000" w:rsidRDefault="000C49AD">
            <w:pPr>
              <w:spacing w:after="100"/>
              <w:rPr>
                <w:rFonts w:eastAsia="Times New Roman"/>
                <w:sz w:val="20"/>
                <w:szCs w:val="20"/>
              </w:rPr>
            </w:pPr>
          </w:p>
        </w:tc>
        <w:tc>
          <w:tcPr>
            <w:tcW w:w="5" w:type="pct"/>
            <w:vAlign w:val="center"/>
            <w:hideMark/>
          </w:tcPr>
          <w:p w14:paraId="63991EED" w14:textId="77777777" w:rsidR="00000000" w:rsidRDefault="000C49AD">
            <w:pPr>
              <w:spacing w:after="100"/>
              <w:rPr>
                <w:rFonts w:eastAsia="Times New Roman"/>
                <w:sz w:val="20"/>
                <w:szCs w:val="20"/>
              </w:rPr>
            </w:pPr>
          </w:p>
        </w:tc>
        <w:tc>
          <w:tcPr>
            <w:tcW w:w="26" w:type="pct"/>
            <w:vAlign w:val="center"/>
            <w:hideMark/>
          </w:tcPr>
          <w:p w14:paraId="0444618A" w14:textId="77777777" w:rsidR="00000000" w:rsidRDefault="000C49AD">
            <w:pPr>
              <w:spacing w:after="100"/>
              <w:rPr>
                <w:rFonts w:eastAsia="Times New Roman"/>
                <w:sz w:val="20"/>
                <w:szCs w:val="20"/>
              </w:rPr>
            </w:pPr>
          </w:p>
        </w:tc>
        <w:tc>
          <w:tcPr>
            <w:tcW w:w="5" w:type="pct"/>
            <w:vAlign w:val="center"/>
            <w:hideMark/>
          </w:tcPr>
          <w:p w14:paraId="4E5E8CC6" w14:textId="77777777" w:rsidR="00000000" w:rsidRDefault="000C49AD">
            <w:pPr>
              <w:spacing w:after="100"/>
              <w:rPr>
                <w:rFonts w:eastAsia="Times New Roman"/>
                <w:sz w:val="20"/>
                <w:szCs w:val="20"/>
              </w:rPr>
            </w:pPr>
          </w:p>
        </w:tc>
        <w:tc>
          <w:tcPr>
            <w:tcW w:w="50" w:type="pct"/>
            <w:vAlign w:val="center"/>
            <w:hideMark/>
          </w:tcPr>
          <w:p w14:paraId="1C4B7720" w14:textId="77777777" w:rsidR="00000000" w:rsidRDefault="000C49AD">
            <w:pPr>
              <w:spacing w:after="100"/>
              <w:rPr>
                <w:rFonts w:eastAsia="Times New Roman"/>
                <w:sz w:val="20"/>
                <w:szCs w:val="20"/>
              </w:rPr>
            </w:pPr>
          </w:p>
        </w:tc>
        <w:tc>
          <w:tcPr>
            <w:tcW w:w="1167" w:type="pct"/>
            <w:vAlign w:val="center"/>
            <w:hideMark/>
          </w:tcPr>
          <w:p w14:paraId="1625CF62" w14:textId="77777777" w:rsidR="00000000" w:rsidRDefault="000C49AD">
            <w:pPr>
              <w:spacing w:after="100"/>
              <w:rPr>
                <w:rFonts w:eastAsia="Times New Roman"/>
                <w:sz w:val="20"/>
                <w:szCs w:val="20"/>
              </w:rPr>
            </w:pPr>
          </w:p>
        </w:tc>
        <w:tc>
          <w:tcPr>
            <w:tcW w:w="5" w:type="pct"/>
            <w:vAlign w:val="center"/>
            <w:hideMark/>
          </w:tcPr>
          <w:p w14:paraId="4391A464" w14:textId="77777777" w:rsidR="00000000" w:rsidRDefault="000C49AD">
            <w:pPr>
              <w:spacing w:after="100"/>
              <w:rPr>
                <w:rFonts w:eastAsia="Times New Roman"/>
                <w:sz w:val="20"/>
                <w:szCs w:val="20"/>
              </w:rPr>
            </w:pPr>
          </w:p>
        </w:tc>
      </w:tr>
      <w:tr w:rsidR="00000000" w14:paraId="3D9DF3A1" w14:textId="77777777">
        <w:tc>
          <w:tcPr>
            <w:tcW w:w="0" w:type="auto"/>
            <w:gridSpan w:val="3"/>
            <w:tcMar>
              <w:top w:w="30" w:type="dxa"/>
              <w:left w:w="20" w:type="dxa"/>
              <w:bottom w:w="30" w:type="dxa"/>
              <w:right w:w="20" w:type="dxa"/>
            </w:tcMar>
            <w:vAlign w:val="bottom"/>
            <w:hideMark/>
          </w:tcPr>
          <w:p w14:paraId="026527B3" w14:textId="77777777" w:rsidR="00000000" w:rsidRDefault="000C49AD">
            <w:pPr>
              <w:spacing w:after="100"/>
              <w:rPr>
                <w:rFonts w:eastAsia="Times New Roman"/>
              </w:rPr>
            </w:pPr>
            <w:r>
              <w:rPr>
                <w:rFonts w:eastAsia="Times New Roman"/>
                <w:b/>
                <w:bCs/>
                <w:color w:val="000000"/>
                <w:sz w:val="18"/>
                <w:szCs w:val="18"/>
              </w:rPr>
              <w:t xml:space="preserve"> Net Deferred Tax Assets and Liabilities: </w:t>
            </w:r>
          </w:p>
        </w:tc>
        <w:tc>
          <w:tcPr>
            <w:tcW w:w="0" w:type="auto"/>
            <w:gridSpan w:val="3"/>
            <w:tcMar>
              <w:top w:w="0" w:type="dxa"/>
              <w:left w:w="20" w:type="dxa"/>
              <w:bottom w:w="0" w:type="dxa"/>
              <w:right w:w="20" w:type="dxa"/>
            </w:tcMar>
            <w:vAlign w:val="center"/>
            <w:hideMark/>
          </w:tcPr>
          <w:p w14:paraId="7DB0A0B7"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7C129081"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6F3E97BA"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F4FA5F1" w14:textId="77777777" w:rsidR="00000000" w:rsidRDefault="000C49AD">
            <w:pPr>
              <w:spacing w:after="100"/>
              <w:jc w:val="center"/>
              <w:rPr>
                <w:rFonts w:eastAsia="Times New Roman"/>
              </w:rPr>
            </w:pPr>
            <w:r>
              <w:rPr>
                <w:rFonts w:eastAsia="Times New Roman"/>
                <w:b/>
                <w:bCs/>
                <w:color w:val="000000"/>
                <w:sz w:val="18"/>
                <w:szCs w:val="18"/>
              </w:rPr>
              <w:t>2020</w:t>
            </w:r>
          </w:p>
        </w:tc>
      </w:tr>
      <w:tr w:rsidR="00000000" w14:paraId="0A78E176"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6F984299"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F3FE2F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F3E40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80558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5F2771" w14:textId="77777777" w:rsidR="00000000" w:rsidRDefault="000C49AD">
            <w:pPr>
              <w:spacing w:after="100"/>
              <w:rPr>
                <w:rFonts w:eastAsia="Times New Roman"/>
                <w:sz w:val="20"/>
                <w:szCs w:val="20"/>
              </w:rPr>
            </w:pPr>
          </w:p>
        </w:tc>
      </w:tr>
      <w:tr w:rsidR="00000000" w14:paraId="174F7384" w14:textId="77777777">
        <w:tc>
          <w:tcPr>
            <w:tcW w:w="0" w:type="auto"/>
            <w:gridSpan w:val="3"/>
            <w:tcMar>
              <w:top w:w="30" w:type="dxa"/>
              <w:left w:w="155" w:type="dxa"/>
              <w:bottom w:w="30" w:type="dxa"/>
              <w:right w:w="20" w:type="dxa"/>
            </w:tcMar>
            <w:vAlign w:val="bottom"/>
            <w:hideMark/>
          </w:tcPr>
          <w:p w14:paraId="5A6E2350" w14:textId="77777777" w:rsidR="00000000" w:rsidRDefault="000C49AD">
            <w:pPr>
              <w:spacing w:after="100"/>
              <w:rPr>
                <w:rFonts w:eastAsia="Times New Roman"/>
              </w:rPr>
            </w:pPr>
            <w:r>
              <w:rPr>
                <w:rFonts w:eastAsia="Times New Roman"/>
                <w:color w:val="000000"/>
                <w:sz w:val="18"/>
                <w:szCs w:val="18"/>
              </w:rPr>
              <w:t>Deferred tax assets:</w:t>
            </w:r>
          </w:p>
        </w:tc>
        <w:tc>
          <w:tcPr>
            <w:tcW w:w="0" w:type="auto"/>
            <w:gridSpan w:val="3"/>
            <w:tcMar>
              <w:top w:w="0" w:type="dxa"/>
              <w:left w:w="20" w:type="dxa"/>
              <w:bottom w:w="0" w:type="dxa"/>
              <w:right w:w="20" w:type="dxa"/>
            </w:tcMar>
            <w:vAlign w:val="center"/>
            <w:hideMark/>
          </w:tcPr>
          <w:p w14:paraId="4E4D9DC9"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12AB0D2D"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47253311" w14:textId="77777777" w:rsidR="00000000" w:rsidRDefault="000C49A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7924E418" w14:textId="77777777" w:rsidR="00000000" w:rsidRDefault="000C49AD">
            <w:pPr>
              <w:spacing w:after="100"/>
              <w:jc w:val="right"/>
              <w:rPr>
                <w:rFonts w:eastAsia="Times New Roman"/>
              </w:rPr>
            </w:pPr>
            <w:r>
              <w:rPr>
                <w:rFonts w:eastAsia="Times New Roman"/>
                <w:color w:val="000000"/>
                <w:sz w:val="18"/>
                <w:szCs w:val="18"/>
              </w:rPr>
              <w:t> </w:t>
            </w:r>
          </w:p>
        </w:tc>
      </w:tr>
      <w:tr w:rsidR="00000000" w14:paraId="4E3D60A6" w14:textId="77777777">
        <w:tc>
          <w:tcPr>
            <w:tcW w:w="0" w:type="auto"/>
            <w:gridSpan w:val="3"/>
            <w:shd w:val="clear" w:color="auto" w:fill="CCEEFF"/>
            <w:tcMar>
              <w:top w:w="30" w:type="dxa"/>
              <w:left w:w="245" w:type="dxa"/>
              <w:bottom w:w="30" w:type="dxa"/>
              <w:right w:w="20" w:type="dxa"/>
            </w:tcMar>
            <w:vAlign w:val="bottom"/>
            <w:hideMark/>
          </w:tcPr>
          <w:p w14:paraId="5E0F6019" w14:textId="77777777" w:rsidR="00000000" w:rsidRDefault="000C49AD">
            <w:pPr>
              <w:spacing w:after="100"/>
              <w:rPr>
                <w:rFonts w:eastAsia="Times New Roman"/>
              </w:rPr>
            </w:pPr>
            <w:r>
              <w:rPr>
                <w:rFonts w:eastAsia="Times New Roman"/>
                <w:color w:val="000000"/>
                <w:sz w:val="18"/>
                <w:szCs w:val="18"/>
              </w:rPr>
              <w:t>Net operating loss carryforwards</w:t>
            </w:r>
          </w:p>
        </w:tc>
        <w:tc>
          <w:tcPr>
            <w:tcW w:w="0" w:type="auto"/>
            <w:gridSpan w:val="3"/>
            <w:shd w:val="clear" w:color="auto" w:fill="CCEEFF"/>
            <w:tcMar>
              <w:top w:w="0" w:type="dxa"/>
              <w:left w:w="20" w:type="dxa"/>
              <w:bottom w:w="0" w:type="dxa"/>
              <w:right w:w="20" w:type="dxa"/>
            </w:tcMar>
            <w:vAlign w:val="center"/>
            <w:hideMark/>
          </w:tcPr>
          <w:p w14:paraId="0EE6946C"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ED8B7F2"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15880C" w14:textId="77777777" w:rsidR="00000000" w:rsidRDefault="000C49AD">
            <w:pPr>
              <w:spacing w:after="100"/>
              <w:jc w:val="right"/>
              <w:rPr>
                <w:rFonts w:eastAsia="Times New Roman"/>
              </w:rPr>
            </w:pPr>
            <w:r>
              <w:rPr>
                <w:rFonts w:eastAsia="Times New Roman"/>
                <w:color w:val="000000"/>
                <w:sz w:val="18"/>
                <w:szCs w:val="18"/>
              </w:rPr>
              <w:t>35,990 </w:t>
            </w:r>
          </w:p>
        </w:tc>
        <w:tc>
          <w:tcPr>
            <w:tcW w:w="0" w:type="auto"/>
            <w:shd w:val="clear" w:color="auto" w:fill="CCEEFF"/>
            <w:tcMar>
              <w:top w:w="30" w:type="dxa"/>
              <w:left w:w="0" w:type="dxa"/>
              <w:bottom w:w="30" w:type="dxa"/>
              <w:right w:w="20" w:type="dxa"/>
            </w:tcMar>
            <w:vAlign w:val="bottom"/>
            <w:hideMark/>
          </w:tcPr>
          <w:p w14:paraId="2410F2A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38BBCB"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89222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7F00FFB" w14:textId="77777777" w:rsidR="00000000" w:rsidRDefault="000C49AD">
            <w:pPr>
              <w:spacing w:after="100"/>
              <w:jc w:val="right"/>
              <w:rPr>
                <w:rFonts w:eastAsia="Times New Roman"/>
              </w:rPr>
            </w:pPr>
            <w:r>
              <w:rPr>
                <w:rFonts w:eastAsia="Times New Roman"/>
                <w:color w:val="000000"/>
                <w:sz w:val="18"/>
                <w:szCs w:val="18"/>
              </w:rPr>
              <w:t>31,302 </w:t>
            </w:r>
          </w:p>
        </w:tc>
        <w:tc>
          <w:tcPr>
            <w:tcW w:w="0" w:type="auto"/>
            <w:shd w:val="clear" w:color="auto" w:fill="CCEEFF"/>
            <w:tcMar>
              <w:top w:w="30" w:type="dxa"/>
              <w:left w:w="0" w:type="dxa"/>
              <w:bottom w:w="30" w:type="dxa"/>
              <w:right w:w="20" w:type="dxa"/>
            </w:tcMar>
            <w:vAlign w:val="bottom"/>
            <w:hideMark/>
          </w:tcPr>
          <w:p w14:paraId="0FA1D38C" w14:textId="77777777" w:rsidR="00000000" w:rsidRDefault="000C49AD">
            <w:pPr>
              <w:spacing w:after="100"/>
              <w:jc w:val="right"/>
              <w:rPr>
                <w:rFonts w:eastAsia="Times New Roman"/>
              </w:rPr>
            </w:pPr>
          </w:p>
        </w:tc>
      </w:tr>
      <w:tr w:rsidR="00000000" w14:paraId="397D3622" w14:textId="77777777">
        <w:tc>
          <w:tcPr>
            <w:tcW w:w="0" w:type="auto"/>
            <w:gridSpan w:val="3"/>
            <w:shd w:val="clear" w:color="auto" w:fill="FFFFFF"/>
            <w:tcMar>
              <w:top w:w="30" w:type="dxa"/>
              <w:left w:w="245" w:type="dxa"/>
              <w:bottom w:w="30" w:type="dxa"/>
              <w:right w:w="20" w:type="dxa"/>
            </w:tcMar>
            <w:vAlign w:val="bottom"/>
            <w:hideMark/>
          </w:tcPr>
          <w:p w14:paraId="23B1A263" w14:textId="77777777" w:rsidR="00000000" w:rsidRDefault="000C49AD">
            <w:pPr>
              <w:spacing w:after="100"/>
              <w:rPr>
                <w:rFonts w:eastAsia="Times New Roman"/>
              </w:rPr>
            </w:pPr>
            <w:r>
              <w:rPr>
                <w:rFonts w:eastAsia="Times New Roman"/>
                <w:color w:val="000000"/>
                <w:sz w:val="18"/>
                <w:szCs w:val="18"/>
              </w:rPr>
              <w:t>Orphan drug and R&amp;D tax credit</w:t>
            </w:r>
          </w:p>
        </w:tc>
        <w:tc>
          <w:tcPr>
            <w:tcW w:w="0" w:type="auto"/>
            <w:gridSpan w:val="3"/>
            <w:shd w:val="clear" w:color="auto" w:fill="FFFFFF"/>
            <w:tcMar>
              <w:top w:w="0" w:type="dxa"/>
              <w:left w:w="20" w:type="dxa"/>
              <w:bottom w:w="0" w:type="dxa"/>
              <w:right w:w="20" w:type="dxa"/>
            </w:tcMar>
            <w:vAlign w:val="center"/>
            <w:hideMark/>
          </w:tcPr>
          <w:p w14:paraId="70AF80E2"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7F064E6" w14:textId="77777777" w:rsidR="00000000" w:rsidRDefault="000C49AD">
            <w:pPr>
              <w:spacing w:after="100"/>
              <w:jc w:val="right"/>
              <w:rPr>
                <w:rFonts w:eastAsia="Times New Roman"/>
              </w:rPr>
            </w:pPr>
            <w:r>
              <w:rPr>
                <w:rFonts w:eastAsia="Times New Roman"/>
                <w:color w:val="000000"/>
                <w:sz w:val="18"/>
                <w:szCs w:val="18"/>
              </w:rPr>
              <w:t>4,964 </w:t>
            </w:r>
          </w:p>
        </w:tc>
        <w:tc>
          <w:tcPr>
            <w:tcW w:w="0" w:type="auto"/>
            <w:shd w:val="clear" w:color="auto" w:fill="FFFFFF"/>
            <w:tcMar>
              <w:top w:w="30" w:type="dxa"/>
              <w:left w:w="0" w:type="dxa"/>
              <w:bottom w:w="30" w:type="dxa"/>
              <w:right w:w="20" w:type="dxa"/>
            </w:tcMar>
            <w:vAlign w:val="bottom"/>
            <w:hideMark/>
          </w:tcPr>
          <w:p w14:paraId="7C5B9CB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97745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57FF03" w14:textId="77777777" w:rsidR="00000000" w:rsidRDefault="000C49AD">
            <w:pPr>
              <w:spacing w:after="100"/>
              <w:jc w:val="right"/>
              <w:rPr>
                <w:rFonts w:eastAsia="Times New Roman"/>
              </w:rPr>
            </w:pPr>
            <w:r>
              <w:rPr>
                <w:rFonts w:eastAsia="Times New Roman"/>
                <w:color w:val="000000"/>
                <w:sz w:val="18"/>
                <w:szCs w:val="18"/>
              </w:rPr>
              <w:t>2,793 </w:t>
            </w:r>
          </w:p>
        </w:tc>
        <w:tc>
          <w:tcPr>
            <w:tcW w:w="0" w:type="auto"/>
            <w:shd w:val="clear" w:color="auto" w:fill="FFFFFF"/>
            <w:tcMar>
              <w:top w:w="30" w:type="dxa"/>
              <w:left w:w="0" w:type="dxa"/>
              <w:bottom w:w="30" w:type="dxa"/>
              <w:right w:w="20" w:type="dxa"/>
            </w:tcMar>
            <w:vAlign w:val="bottom"/>
            <w:hideMark/>
          </w:tcPr>
          <w:p w14:paraId="6CDEC6CA" w14:textId="77777777" w:rsidR="00000000" w:rsidRDefault="000C49AD">
            <w:pPr>
              <w:spacing w:after="100"/>
              <w:jc w:val="right"/>
              <w:rPr>
                <w:rFonts w:eastAsia="Times New Roman"/>
              </w:rPr>
            </w:pPr>
          </w:p>
        </w:tc>
      </w:tr>
      <w:tr w:rsidR="00000000" w14:paraId="607BCF2D" w14:textId="77777777">
        <w:tc>
          <w:tcPr>
            <w:tcW w:w="0" w:type="auto"/>
            <w:gridSpan w:val="3"/>
            <w:shd w:val="clear" w:color="auto" w:fill="CCEEFF"/>
            <w:tcMar>
              <w:top w:w="30" w:type="dxa"/>
              <w:left w:w="245" w:type="dxa"/>
              <w:bottom w:w="30" w:type="dxa"/>
              <w:right w:w="20" w:type="dxa"/>
            </w:tcMar>
            <w:vAlign w:val="bottom"/>
            <w:hideMark/>
          </w:tcPr>
          <w:p w14:paraId="13928ED8" w14:textId="77777777" w:rsidR="00000000" w:rsidRDefault="000C49AD">
            <w:pPr>
              <w:spacing w:after="100"/>
              <w:rPr>
                <w:rFonts w:eastAsia="Times New Roman"/>
              </w:rPr>
            </w:pPr>
            <w:r>
              <w:rPr>
                <w:rFonts w:eastAsia="Times New Roman"/>
                <w:color w:val="000000"/>
                <w:sz w:val="18"/>
                <w:szCs w:val="18"/>
              </w:rPr>
              <w:t>Share-based compensation</w:t>
            </w:r>
          </w:p>
        </w:tc>
        <w:tc>
          <w:tcPr>
            <w:tcW w:w="0" w:type="auto"/>
            <w:gridSpan w:val="3"/>
            <w:shd w:val="clear" w:color="auto" w:fill="CCEEFF"/>
            <w:tcMar>
              <w:top w:w="0" w:type="dxa"/>
              <w:left w:w="20" w:type="dxa"/>
              <w:bottom w:w="0" w:type="dxa"/>
              <w:right w:w="20" w:type="dxa"/>
            </w:tcMar>
            <w:vAlign w:val="center"/>
            <w:hideMark/>
          </w:tcPr>
          <w:p w14:paraId="787EBBCC"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F77E51" w14:textId="77777777" w:rsidR="00000000" w:rsidRDefault="000C49AD">
            <w:pPr>
              <w:spacing w:after="100"/>
              <w:jc w:val="right"/>
              <w:rPr>
                <w:rFonts w:eastAsia="Times New Roman"/>
              </w:rPr>
            </w:pPr>
            <w:r>
              <w:rPr>
                <w:rFonts w:eastAsia="Times New Roman"/>
                <w:color w:val="000000"/>
                <w:sz w:val="18"/>
                <w:szCs w:val="18"/>
              </w:rPr>
              <w:t>4,108 </w:t>
            </w:r>
          </w:p>
        </w:tc>
        <w:tc>
          <w:tcPr>
            <w:tcW w:w="0" w:type="auto"/>
            <w:shd w:val="clear" w:color="auto" w:fill="CCEEFF"/>
            <w:tcMar>
              <w:top w:w="30" w:type="dxa"/>
              <w:left w:w="0" w:type="dxa"/>
              <w:bottom w:w="30" w:type="dxa"/>
              <w:right w:w="20" w:type="dxa"/>
            </w:tcMar>
            <w:vAlign w:val="bottom"/>
            <w:hideMark/>
          </w:tcPr>
          <w:p w14:paraId="21B5B0F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5378E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5323F1" w14:textId="77777777" w:rsidR="00000000" w:rsidRDefault="000C49AD">
            <w:pPr>
              <w:spacing w:after="100"/>
              <w:jc w:val="right"/>
              <w:rPr>
                <w:rFonts w:eastAsia="Times New Roman"/>
              </w:rPr>
            </w:pPr>
            <w:r>
              <w:rPr>
                <w:rFonts w:eastAsia="Times New Roman"/>
                <w:color w:val="000000"/>
                <w:sz w:val="18"/>
                <w:szCs w:val="18"/>
              </w:rPr>
              <w:t>2,626 </w:t>
            </w:r>
          </w:p>
        </w:tc>
        <w:tc>
          <w:tcPr>
            <w:tcW w:w="0" w:type="auto"/>
            <w:shd w:val="clear" w:color="auto" w:fill="CCEEFF"/>
            <w:tcMar>
              <w:top w:w="30" w:type="dxa"/>
              <w:left w:w="0" w:type="dxa"/>
              <w:bottom w:w="30" w:type="dxa"/>
              <w:right w:w="20" w:type="dxa"/>
            </w:tcMar>
            <w:vAlign w:val="bottom"/>
            <w:hideMark/>
          </w:tcPr>
          <w:p w14:paraId="7B96BA73" w14:textId="77777777" w:rsidR="00000000" w:rsidRDefault="000C49AD">
            <w:pPr>
              <w:spacing w:after="100"/>
              <w:jc w:val="right"/>
              <w:rPr>
                <w:rFonts w:eastAsia="Times New Roman"/>
              </w:rPr>
            </w:pPr>
          </w:p>
        </w:tc>
      </w:tr>
      <w:tr w:rsidR="00000000" w14:paraId="6A74F856" w14:textId="77777777">
        <w:tc>
          <w:tcPr>
            <w:tcW w:w="0" w:type="auto"/>
            <w:gridSpan w:val="3"/>
            <w:shd w:val="clear" w:color="auto" w:fill="FFFFFF"/>
            <w:tcMar>
              <w:top w:w="30" w:type="dxa"/>
              <w:left w:w="245" w:type="dxa"/>
              <w:bottom w:w="30" w:type="dxa"/>
              <w:right w:w="20" w:type="dxa"/>
            </w:tcMar>
            <w:vAlign w:val="bottom"/>
            <w:hideMark/>
          </w:tcPr>
          <w:p w14:paraId="08C7E5DD" w14:textId="77777777" w:rsidR="00000000" w:rsidRDefault="000C49AD">
            <w:pPr>
              <w:spacing w:after="100"/>
              <w:rPr>
                <w:rFonts w:eastAsia="Times New Roman"/>
              </w:rPr>
            </w:pPr>
            <w:r>
              <w:rPr>
                <w:rFonts w:eastAsia="Times New Roman"/>
                <w:color w:val="000000"/>
                <w:sz w:val="18"/>
                <w:szCs w:val="18"/>
              </w:rPr>
              <w:t>Amortization</w:t>
            </w:r>
          </w:p>
        </w:tc>
        <w:tc>
          <w:tcPr>
            <w:tcW w:w="0" w:type="auto"/>
            <w:gridSpan w:val="3"/>
            <w:shd w:val="clear" w:color="auto" w:fill="FFFFFF"/>
            <w:tcMar>
              <w:top w:w="0" w:type="dxa"/>
              <w:left w:w="20" w:type="dxa"/>
              <w:bottom w:w="0" w:type="dxa"/>
              <w:right w:w="20" w:type="dxa"/>
            </w:tcMar>
            <w:vAlign w:val="center"/>
            <w:hideMark/>
          </w:tcPr>
          <w:p w14:paraId="77CA1411"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70C6A4" w14:textId="77777777" w:rsidR="00000000" w:rsidRDefault="000C49AD">
            <w:pPr>
              <w:spacing w:after="100"/>
              <w:jc w:val="right"/>
              <w:rPr>
                <w:rFonts w:eastAsia="Times New Roman"/>
              </w:rPr>
            </w:pPr>
            <w:r>
              <w:rPr>
                <w:rFonts w:eastAsia="Times New Roman"/>
                <w:color w:val="000000"/>
                <w:sz w:val="18"/>
                <w:szCs w:val="18"/>
              </w:rPr>
              <w:t>3,429 </w:t>
            </w:r>
          </w:p>
        </w:tc>
        <w:tc>
          <w:tcPr>
            <w:tcW w:w="0" w:type="auto"/>
            <w:shd w:val="clear" w:color="auto" w:fill="FFFFFF"/>
            <w:tcMar>
              <w:top w:w="30" w:type="dxa"/>
              <w:left w:w="0" w:type="dxa"/>
              <w:bottom w:w="30" w:type="dxa"/>
              <w:right w:w="20" w:type="dxa"/>
            </w:tcMar>
            <w:vAlign w:val="bottom"/>
            <w:hideMark/>
          </w:tcPr>
          <w:p w14:paraId="67813BC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FE01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A5C507" w14:textId="77777777" w:rsidR="00000000" w:rsidRDefault="000C49AD">
            <w:pPr>
              <w:spacing w:after="100"/>
              <w:jc w:val="right"/>
              <w:rPr>
                <w:rFonts w:eastAsia="Times New Roman"/>
              </w:rPr>
            </w:pPr>
            <w:r>
              <w:rPr>
                <w:rFonts w:eastAsia="Times New Roman"/>
                <w:color w:val="000000"/>
                <w:sz w:val="18"/>
                <w:szCs w:val="18"/>
              </w:rPr>
              <w:t>3,701 </w:t>
            </w:r>
          </w:p>
        </w:tc>
        <w:tc>
          <w:tcPr>
            <w:tcW w:w="0" w:type="auto"/>
            <w:shd w:val="clear" w:color="auto" w:fill="FFFFFF"/>
            <w:tcMar>
              <w:top w:w="30" w:type="dxa"/>
              <w:left w:w="0" w:type="dxa"/>
              <w:bottom w:w="30" w:type="dxa"/>
              <w:right w:w="20" w:type="dxa"/>
            </w:tcMar>
            <w:vAlign w:val="bottom"/>
            <w:hideMark/>
          </w:tcPr>
          <w:p w14:paraId="5884671F" w14:textId="77777777" w:rsidR="00000000" w:rsidRDefault="000C49AD">
            <w:pPr>
              <w:spacing w:after="100"/>
              <w:jc w:val="right"/>
              <w:rPr>
                <w:rFonts w:eastAsia="Times New Roman"/>
              </w:rPr>
            </w:pPr>
          </w:p>
        </w:tc>
      </w:tr>
      <w:tr w:rsidR="00000000" w14:paraId="25147C5E" w14:textId="77777777">
        <w:tc>
          <w:tcPr>
            <w:tcW w:w="0" w:type="auto"/>
            <w:gridSpan w:val="3"/>
            <w:shd w:val="clear" w:color="auto" w:fill="CCEEFF"/>
            <w:tcMar>
              <w:top w:w="30" w:type="dxa"/>
              <w:left w:w="245" w:type="dxa"/>
              <w:bottom w:w="30" w:type="dxa"/>
              <w:right w:w="20" w:type="dxa"/>
            </w:tcMar>
            <w:vAlign w:val="bottom"/>
            <w:hideMark/>
          </w:tcPr>
          <w:p w14:paraId="2467E08C" w14:textId="77777777" w:rsidR="00000000" w:rsidRDefault="000C49AD">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401E2484"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F6BA4A2" w14:textId="77777777" w:rsidR="00000000" w:rsidRDefault="000C49AD">
            <w:pPr>
              <w:spacing w:after="100"/>
              <w:jc w:val="right"/>
              <w:rPr>
                <w:rFonts w:eastAsia="Times New Roman"/>
              </w:rPr>
            </w:pPr>
            <w:r>
              <w:rPr>
                <w:rFonts w:eastAsia="Times New Roman"/>
                <w:color w:val="000000"/>
                <w:sz w:val="18"/>
                <w:szCs w:val="18"/>
              </w:rPr>
              <w:t>662 </w:t>
            </w:r>
          </w:p>
        </w:tc>
        <w:tc>
          <w:tcPr>
            <w:tcW w:w="0" w:type="auto"/>
            <w:shd w:val="clear" w:color="auto" w:fill="CCEEFF"/>
            <w:tcMar>
              <w:top w:w="30" w:type="dxa"/>
              <w:left w:w="0" w:type="dxa"/>
              <w:bottom w:w="30" w:type="dxa"/>
              <w:right w:w="20" w:type="dxa"/>
            </w:tcMar>
            <w:vAlign w:val="bottom"/>
            <w:hideMark/>
          </w:tcPr>
          <w:p w14:paraId="3F97BC0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156F4D"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5BA222" w14:textId="77777777" w:rsidR="00000000" w:rsidRDefault="000C49AD">
            <w:pPr>
              <w:spacing w:after="100"/>
              <w:jc w:val="right"/>
              <w:rPr>
                <w:rFonts w:eastAsia="Times New Roman"/>
              </w:rPr>
            </w:pPr>
            <w:r>
              <w:rPr>
                <w:rFonts w:eastAsia="Times New Roman"/>
                <w:color w:val="000000"/>
                <w:sz w:val="18"/>
                <w:szCs w:val="18"/>
              </w:rPr>
              <w:t>423 </w:t>
            </w:r>
          </w:p>
        </w:tc>
        <w:tc>
          <w:tcPr>
            <w:tcW w:w="0" w:type="auto"/>
            <w:shd w:val="clear" w:color="auto" w:fill="CCEEFF"/>
            <w:tcMar>
              <w:top w:w="30" w:type="dxa"/>
              <w:left w:w="0" w:type="dxa"/>
              <w:bottom w:w="30" w:type="dxa"/>
              <w:right w:w="20" w:type="dxa"/>
            </w:tcMar>
            <w:vAlign w:val="bottom"/>
            <w:hideMark/>
          </w:tcPr>
          <w:p w14:paraId="1667BEEE" w14:textId="77777777" w:rsidR="00000000" w:rsidRDefault="000C49AD">
            <w:pPr>
              <w:spacing w:after="100"/>
              <w:jc w:val="right"/>
              <w:rPr>
                <w:rFonts w:eastAsia="Times New Roman"/>
              </w:rPr>
            </w:pPr>
          </w:p>
        </w:tc>
      </w:tr>
      <w:tr w:rsidR="00000000" w14:paraId="4AA48CAB" w14:textId="77777777">
        <w:tc>
          <w:tcPr>
            <w:tcW w:w="0" w:type="auto"/>
            <w:gridSpan w:val="3"/>
            <w:shd w:val="clear" w:color="auto" w:fill="FFFFFF"/>
            <w:tcMar>
              <w:top w:w="30" w:type="dxa"/>
              <w:left w:w="155" w:type="dxa"/>
              <w:bottom w:w="30" w:type="dxa"/>
              <w:right w:w="20" w:type="dxa"/>
            </w:tcMar>
            <w:vAlign w:val="bottom"/>
            <w:hideMark/>
          </w:tcPr>
          <w:p w14:paraId="1DF3D5B4" w14:textId="77777777" w:rsidR="00000000" w:rsidRDefault="000C49AD">
            <w:pPr>
              <w:spacing w:after="100"/>
              <w:rPr>
                <w:rFonts w:eastAsia="Times New Roman"/>
              </w:rPr>
            </w:pPr>
            <w:r>
              <w:rPr>
                <w:rFonts w:eastAsia="Times New Roman"/>
                <w:color w:val="000000"/>
                <w:sz w:val="18"/>
                <w:szCs w:val="18"/>
              </w:rPr>
              <w:t>Gross deferred tax assets</w:t>
            </w:r>
          </w:p>
        </w:tc>
        <w:tc>
          <w:tcPr>
            <w:tcW w:w="0" w:type="auto"/>
            <w:gridSpan w:val="3"/>
            <w:shd w:val="clear" w:color="auto" w:fill="FFFFFF"/>
            <w:tcMar>
              <w:top w:w="0" w:type="dxa"/>
              <w:left w:w="20" w:type="dxa"/>
              <w:bottom w:w="0" w:type="dxa"/>
              <w:right w:w="20" w:type="dxa"/>
            </w:tcMar>
            <w:vAlign w:val="center"/>
            <w:hideMark/>
          </w:tcPr>
          <w:p w14:paraId="2E5A0CAB"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FA4D164" w14:textId="77777777" w:rsidR="00000000" w:rsidRDefault="000C49AD">
            <w:pPr>
              <w:spacing w:after="100"/>
              <w:jc w:val="right"/>
              <w:rPr>
                <w:rFonts w:eastAsia="Times New Roman"/>
              </w:rPr>
            </w:pPr>
            <w:r>
              <w:rPr>
                <w:rFonts w:eastAsia="Times New Roman"/>
                <w:color w:val="000000"/>
                <w:sz w:val="18"/>
                <w:szCs w:val="18"/>
              </w:rPr>
              <w:t>49,153 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101B7E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F9EDB1"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4207D0A" w14:textId="77777777" w:rsidR="00000000" w:rsidRDefault="000C49AD">
            <w:pPr>
              <w:spacing w:after="100"/>
              <w:jc w:val="right"/>
              <w:rPr>
                <w:rFonts w:eastAsia="Times New Roman"/>
              </w:rPr>
            </w:pPr>
            <w:r>
              <w:rPr>
                <w:rFonts w:eastAsia="Times New Roman"/>
                <w:color w:val="000000"/>
                <w:sz w:val="18"/>
                <w:szCs w:val="18"/>
              </w:rPr>
              <w:t>40,845 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69B07E" w14:textId="77777777" w:rsidR="00000000" w:rsidRDefault="000C49AD">
            <w:pPr>
              <w:spacing w:after="100"/>
              <w:jc w:val="right"/>
              <w:rPr>
                <w:rFonts w:eastAsia="Times New Roman"/>
              </w:rPr>
            </w:pPr>
          </w:p>
        </w:tc>
      </w:tr>
      <w:tr w:rsidR="00000000" w14:paraId="75741A86" w14:textId="77777777">
        <w:trPr>
          <w:trHeight w:val="280"/>
        </w:trPr>
        <w:tc>
          <w:tcPr>
            <w:tcW w:w="0" w:type="auto"/>
            <w:gridSpan w:val="3"/>
            <w:shd w:val="clear" w:color="auto" w:fill="CCEEFF"/>
            <w:tcMar>
              <w:top w:w="0" w:type="dxa"/>
              <w:left w:w="20" w:type="dxa"/>
              <w:bottom w:w="0" w:type="dxa"/>
              <w:right w:w="20" w:type="dxa"/>
            </w:tcMar>
            <w:vAlign w:val="center"/>
            <w:hideMark/>
          </w:tcPr>
          <w:p w14:paraId="25B54D1F" w14:textId="77777777" w:rsidR="00000000" w:rsidRDefault="000C49A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5C5F4D"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DC0D9EC"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75217B"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A923125" w14:textId="77777777" w:rsidR="00000000" w:rsidRDefault="000C49AD">
            <w:pPr>
              <w:spacing w:after="100"/>
              <w:rPr>
                <w:rFonts w:eastAsia="Times New Roman"/>
                <w:sz w:val="20"/>
                <w:szCs w:val="20"/>
              </w:rPr>
            </w:pPr>
          </w:p>
        </w:tc>
      </w:tr>
      <w:tr w:rsidR="00000000" w14:paraId="68CE541D" w14:textId="77777777">
        <w:tc>
          <w:tcPr>
            <w:tcW w:w="0" w:type="auto"/>
            <w:gridSpan w:val="3"/>
            <w:shd w:val="clear" w:color="auto" w:fill="FFFFFF"/>
            <w:tcMar>
              <w:top w:w="30" w:type="dxa"/>
              <w:left w:w="155" w:type="dxa"/>
              <w:bottom w:w="30" w:type="dxa"/>
              <w:right w:w="20" w:type="dxa"/>
            </w:tcMar>
            <w:vAlign w:val="bottom"/>
            <w:hideMark/>
          </w:tcPr>
          <w:p w14:paraId="022A8ED4" w14:textId="77777777" w:rsidR="00000000" w:rsidRDefault="000C49AD">
            <w:pPr>
              <w:spacing w:after="100"/>
              <w:rPr>
                <w:rFonts w:eastAsia="Times New Roman"/>
              </w:rPr>
            </w:pPr>
            <w:r>
              <w:rPr>
                <w:rFonts w:eastAsia="Times New Roman"/>
                <w:color w:val="000000"/>
                <w:sz w:val="18"/>
                <w:szCs w:val="18"/>
              </w:rPr>
              <w:t>Deferred tax liabilities:</w:t>
            </w:r>
          </w:p>
        </w:tc>
        <w:tc>
          <w:tcPr>
            <w:tcW w:w="0" w:type="auto"/>
            <w:gridSpan w:val="3"/>
            <w:shd w:val="clear" w:color="auto" w:fill="FFFFFF"/>
            <w:tcMar>
              <w:top w:w="0" w:type="dxa"/>
              <w:left w:w="20" w:type="dxa"/>
              <w:bottom w:w="0" w:type="dxa"/>
              <w:right w:w="20" w:type="dxa"/>
            </w:tcMar>
            <w:vAlign w:val="center"/>
            <w:hideMark/>
          </w:tcPr>
          <w:p w14:paraId="35B61024" w14:textId="77777777" w:rsidR="00000000" w:rsidRDefault="000C49A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496069B"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2A882467" w14:textId="77777777" w:rsidR="00000000" w:rsidRDefault="000C49AD">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3E950D2" w14:textId="77777777" w:rsidR="00000000" w:rsidRDefault="000C49AD">
            <w:pPr>
              <w:spacing w:after="100"/>
              <w:jc w:val="right"/>
              <w:rPr>
                <w:rFonts w:eastAsia="Times New Roman"/>
              </w:rPr>
            </w:pPr>
            <w:r>
              <w:rPr>
                <w:rFonts w:eastAsia="Times New Roman"/>
                <w:color w:val="000000"/>
                <w:sz w:val="18"/>
                <w:szCs w:val="18"/>
              </w:rPr>
              <w:t> </w:t>
            </w:r>
          </w:p>
        </w:tc>
      </w:tr>
      <w:tr w:rsidR="00000000" w14:paraId="4B3F770F" w14:textId="77777777">
        <w:tc>
          <w:tcPr>
            <w:tcW w:w="0" w:type="auto"/>
            <w:gridSpan w:val="3"/>
            <w:shd w:val="clear" w:color="auto" w:fill="CCEEFF"/>
            <w:tcMar>
              <w:top w:w="30" w:type="dxa"/>
              <w:left w:w="245" w:type="dxa"/>
              <w:bottom w:w="30" w:type="dxa"/>
              <w:right w:w="20" w:type="dxa"/>
            </w:tcMar>
            <w:vAlign w:val="bottom"/>
            <w:hideMark/>
          </w:tcPr>
          <w:p w14:paraId="4E7DD5D8" w14:textId="77777777" w:rsidR="00000000" w:rsidRDefault="000C49AD">
            <w:pPr>
              <w:spacing w:after="100"/>
              <w:rPr>
                <w:rFonts w:eastAsia="Times New Roman"/>
              </w:rPr>
            </w:pPr>
            <w:r>
              <w:rPr>
                <w:rFonts w:eastAsia="Times New Roman"/>
                <w:color w:val="000000"/>
                <w:sz w:val="18"/>
                <w:szCs w:val="18"/>
              </w:rPr>
              <w:t>Other</w:t>
            </w:r>
          </w:p>
        </w:tc>
        <w:tc>
          <w:tcPr>
            <w:tcW w:w="0" w:type="auto"/>
            <w:gridSpan w:val="3"/>
            <w:shd w:val="clear" w:color="auto" w:fill="CCEEFF"/>
            <w:tcMar>
              <w:top w:w="0" w:type="dxa"/>
              <w:left w:w="20" w:type="dxa"/>
              <w:bottom w:w="0" w:type="dxa"/>
              <w:right w:w="20" w:type="dxa"/>
            </w:tcMar>
            <w:vAlign w:val="center"/>
            <w:hideMark/>
          </w:tcPr>
          <w:p w14:paraId="4C819C3B"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3535854" w14:textId="77777777" w:rsidR="00000000" w:rsidRDefault="000C49AD">
            <w:pPr>
              <w:spacing w:after="100"/>
              <w:jc w:val="right"/>
              <w:rPr>
                <w:rFonts w:eastAsia="Times New Roman"/>
              </w:rPr>
            </w:pPr>
            <w:r>
              <w:rPr>
                <w:rFonts w:eastAsia="Times New Roman"/>
                <w:color w:val="000000"/>
                <w:sz w:val="18"/>
                <w:szCs w:val="18"/>
              </w:rPr>
              <w:t>(925)</w:t>
            </w:r>
          </w:p>
        </w:tc>
        <w:tc>
          <w:tcPr>
            <w:tcW w:w="0" w:type="auto"/>
            <w:shd w:val="clear" w:color="auto" w:fill="CCEEFF"/>
            <w:tcMar>
              <w:top w:w="30" w:type="dxa"/>
              <w:left w:w="0" w:type="dxa"/>
              <w:bottom w:w="30" w:type="dxa"/>
              <w:right w:w="20" w:type="dxa"/>
            </w:tcMar>
            <w:vAlign w:val="bottom"/>
            <w:hideMark/>
          </w:tcPr>
          <w:p w14:paraId="4F7060A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382A0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B21095" w14:textId="77777777" w:rsidR="00000000" w:rsidRDefault="000C49AD">
            <w:pPr>
              <w:spacing w:after="100"/>
              <w:jc w:val="right"/>
              <w:rPr>
                <w:rFonts w:eastAsia="Times New Roman"/>
              </w:rPr>
            </w:pPr>
            <w:r>
              <w:rPr>
                <w:rFonts w:eastAsia="Times New Roman"/>
                <w:color w:val="000000"/>
                <w:sz w:val="18"/>
                <w:szCs w:val="18"/>
              </w:rPr>
              <w:t>(890)</w:t>
            </w:r>
          </w:p>
        </w:tc>
        <w:tc>
          <w:tcPr>
            <w:tcW w:w="0" w:type="auto"/>
            <w:shd w:val="clear" w:color="auto" w:fill="CCEEFF"/>
            <w:tcMar>
              <w:top w:w="30" w:type="dxa"/>
              <w:left w:w="0" w:type="dxa"/>
              <w:bottom w:w="30" w:type="dxa"/>
              <w:right w:w="20" w:type="dxa"/>
            </w:tcMar>
            <w:vAlign w:val="bottom"/>
            <w:hideMark/>
          </w:tcPr>
          <w:p w14:paraId="2833187F" w14:textId="77777777" w:rsidR="00000000" w:rsidRDefault="000C49AD">
            <w:pPr>
              <w:spacing w:after="100"/>
              <w:jc w:val="right"/>
              <w:rPr>
                <w:rFonts w:eastAsia="Times New Roman"/>
              </w:rPr>
            </w:pPr>
          </w:p>
        </w:tc>
      </w:tr>
      <w:tr w:rsidR="00000000" w14:paraId="5FC53CDC" w14:textId="77777777">
        <w:tc>
          <w:tcPr>
            <w:tcW w:w="0" w:type="auto"/>
            <w:gridSpan w:val="3"/>
            <w:shd w:val="clear" w:color="auto" w:fill="FFFFFF"/>
            <w:tcMar>
              <w:top w:w="30" w:type="dxa"/>
              <w:left w:w="245" w:type="dxa"/>
              <w:bottom w:w="30" w:type="dxa"/>
              <w:right w:w="20" w:type="dxa"/>
            </w:tcMar>
            <w:vAlign w:val="bottom"/>
            <w:hideMark/>
          </w:tcPr>
          <w:p w14:paraId="5CC759C2" w14:textId="77777777" w:rsidR="00000000" w:rsidRDefault="000C49AD">
            <w:pPr>
              <w:spacing w:after="100"/>
              <w:rPr>
                <w:rFonts w:eastAsia="Times New Roman"/>
              </w:rPr>
            </w:pPr>
            <w:r>
              <w:rPr>
                <w:rFonts w:eastAsia="Times New Roman"/>
                <w:color w:val="000000"/>
                <w:sz w:val="18"/>
                <w:szCs w:val="18"/>
              </w:rPr>
              <w:t>Prepaid expenses</w:t>
            </w:r>
          </w:p>
        </w:tc>
        <w:tc>
          <w:tcPr>
            <w:tcW w:w="0" w:type="auto"/>
            <w:gridSpan w:val="3"/>
            <w:shd w:val="clear" w:color="auto" w:fill="FFFFFF"/>
            <w:tcMar>
              <w:top w:w="0" w:type="dxa"/>
              <w:left w:w="20" w:type="dxa"/>
              <w:bottom w:w="0" w:type="dxa"/>
              <w:right w:w="20" w:type="dxa"/>
            </w:tcMar>
            <w:vAlign w:val="center"/>
            <w:hideMark/>
          </w:tcPr>
          <w:p w14:paraId="66CB431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EDA8EFF" w14:textId="77777777" w:rsidR="00000000" w:rsidRDefault="000C49AD">
            <w:pPr>
              <w:spacing w:after="100"/>
              <w:jc w:val="right"/>
              <w:rPr>
                <w:rFonts w:eastAsia="Times New Roman"/>
              </w:rPr>
            </w:pPr>
            <w:r>
              <w:rPr>
                <w:rFonts w:eastAsia="Times New Roman"/>
                <w:color w:val="000000"/>
                <w:sz w:val="18"/>
                <w:szCs w:val="18"/>
              </w:rPr>
              <w:t>(75)</w:t>
            </w:r>
          </w:p>
        </w:tc>
        <w:tc>
          <w:tcPr>
            <w:tcW w:w="0" w:type="auto"/>
            <w:shd w:val="clear" w:color="auto" w:fill="FFFFFF"/>
            <w:tcMar>
              <w:top w:w="30" w:type="dxa"/>
              <w:left w:w="0" w:type="dxa"/>
              <w:bottom w:w="30" w:type="dxa"/>
              <w:right w:w="20" w:type="dxa"/>
            </w:tcMar>
            <w:vAlign w:val="bottom"/>
            <w:hideMark/>
          </w:tcPr>
          <w:p w14:paraId="41AC8FD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174F0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4069AE" w14:textId="77777777" w:rsidR="00000000" w:rsidRDefault="000C49AD">
            <w:pPr>
              <w:spacing w:after="100"/>
              <w:jc w:val="right"/>
              <w:rPr>
                <w:rFonts w:eastAsia="Times New Roman"/>
              </w:rPr>
            </w:pPr>
            <w:r>
              <w:rPr>
                <w:rFonts w:eastAsia="Times New Roman"/>
                <w:color w:val="000000"/>
                <w:sz w:val="18"/>
                <w:szCs w:val="18"/>
              </w:rPr>
              <w:t>(75)</w:t>
            </w:r>
          </w:p>
        </w:tc>
        <w:tc>
          <w:tcPr>
            <w:tcW w:w="0" w:type="auto"/>
            <w:shd w:val="clear" w:color="auto" w:fill="FFFFFF"/>
            <w:tcMar>
              <w:top w:w="30" w:type="dxa"/>
              <w:left w:w="0" w:type="dxa"/>
              <w:bottom w:w="30" w:type="dxa"/>
              <w:right w:w="20" w:type="dxa"/>
            </w:tcMar>
            <w:vAlign w:val="bottom"/>
            <w:hideMark/>
          </w:tcPr>
          <w:p w14:paraId="0B232EC0" w14:textId="77777777" w:rsidR="00000000" w:rsidRDefault="000C49AD">
            <w:pPr>
              <w:spacing w:after="100"/>
              <w:jc w:val="right"/>
              <w:rPr>
                <w:rFonts w:eastAsia="Times New Roman"/>
              </w:rPr>
            </w:pPr>
          </w:p>
        </w:tc>
      </w:tr>
      <w:tr w:rsidR="00000000" w14:paraId="4C1BC741" w14:textId="77777777">
        <w:tc>
          <w:tcPr>
            <w:tcW w:w="0" w:type="auto"/>
            <w:gridSpan w:val="3"/>
            <w:shd w:val="clear" w:color="auto" w:fill="CCEEFF"/>
            <w:tcMar>
              <w:top w:w="30" w:type="dxa"/>
              <w:left w:w="155" w:type="dxa"/>
              <w:bottom w:w="30" w:type="dxa"/>
              <w:right w:w="20" w:type="dxa"/>
            </w:tcMar>
            <w:vAlign w:val="bottom"/>
            <w:hideMark/>
          </w:tcPr>
          <w:p w14:paraId="2CBCBE35" w14:textId="77777777" w:rsidR="00000000" w:rsidRDefault="000C49AD">
            <w:pPr>
              <w:spacing w:after="100"/>
              <w:rPr>
                <w:rFonts w:eastAsia="Times New Roman"/>
              </w:rPr>
            </w:pPr>
            <w:r>
              <w:rPr>
                <w:rFonts w:eastAsia="Times New Roman"/>
                <w:color w:val="000000"/>
                <w:sz w:val="18"/>
                <w:szCs w:val="18"/>
              </w:rPr>
              <w:t>Gross deferred tax liabilities</w:t>
            </w:r>
          </w:p>
        </w:tc>
        <w:tc>
          <w:tcPr>
            <w:tcW w:w="0" w:type="auto"/>
            <w:gridSpan w:val="3"/>
            <w:shd w:val="clear" w:color="auto" w:fill="CCEEFF"/>
            <w:tcMar>
              <w:top w:w="0" w:type="dxa"/>
              <w:left w:w="20" w:type="dxa"/>
              <w:bottom w:w="0" w:type="dxa"/>
              <w:right w:w="20" w:type="dxa"/>
            </w:tcMar>
            <w:vAlign w:val="center"/>
            <w:hideMark/>
          </w:tcPr>
          <w:p w14:paraId="5FD9BB83"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FB7CA3" w14:textId="77777777" w:rsidR="00000000" w:rsidRDefault="000C49AD">
            <w:pPr>
              <w:spacing w:after="100"/>
              <w:jc w:val="right"/>
              <w:rPr>
                <w:rFonts w:eastAsia="Times New Roman"/>
              </w:rPr>
            </w:pPr>
            <w:r>
              <w:rPr>
                <w:rFonts w:eastAsia="Times New Roman"/>
                <w:color w:val="000000"/>
                <w:sz w:val="18"/>
                <w:szCs w:val="18"/>
              </w:rPr>
              <w:t>(1,000)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E9503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B6D6AD"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E566104" w14:textId="77777777" w:rsidR="00000000" w:rsidRDefault="000C49AD">
            <w:pPr>
              <w:spacing w:after="100"/>
              <w:jc w:val="right"/>
              <w:rPr>
                <w:rFonts w:eastAsia="Times New Roman"/>
              </w:rPr>
            </w:pPr>
            <w:r>
              <w:rPr>
                <w:rFonts w:eastAsia="Times New Roman"/>
                <w:color w:val="000000"/>
                <w:sz w:val="18"/>
                <w:szCs w:val="18"/>
              </w:rPr>
              <w:t>(965)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D4E32B" w14:textId="77777777" w:rsidR="00000000" w:rsidRDefault="000C49AD">
            <w:pPr>
              <w:spacing w:after="100"/>
              <w:jc w:val="right"/>
              <w:rPr>
                <w:rFonts w:eastAsia="Times New Roman"/>
              </w:rPr>
            </w:pPr>
          </w:p>
        </w:tc>
      </w:tr>
      <w:tr w:rsidR="00000000" w14:paraId="7D06EFA7" w14:textId="77777777">
        <w:trPr>
          <w:trHeight w:val="160"/>
        </w:trPr>
        <w:tc>
          <w:tcPr>
            <w:tcW w:w="0" w:type="auto"/>
            <w:gridSpan w:val="3"/>
            <w:shd w:val="clear" w:color="auto" w:fill="FFFFFF"/>
            <w:tcMar>
              <w:top w:w="0" w:type="dxa"/>
              <w:left w:w="20" w:type="dxa"/>
              <w:bottom w:w="0" w:type="dxa"/>
              <w:right w:w="20" w:type="dxa"/>
            </w:tcMar>
            <w:vAlign w:val="center"/>
            <w:hideMark/>
          </w:tcPr>
          <w:p w14:paraId="60B7F243"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BD5D287"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FA44E2"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3162A7"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1A25E42" w14:textId="77777777" w:rsidR="00000000" w:rsidRDefault="000C49AD">
            <w:pPr>
              <w:spacing w:after="100"/>
              <w:rPr>
                <w:rFonts w:eastAsia="Times New Roman"/>
                <w:sz w:val="20"/>
                <w:szCs w:val="20"/>
              </w:rPr>
            </w:pPr>
          </w:p>
        </w:tc>
      </w:tr>
      <w:tr w:rsidR="00000000" w14:paraId="0E4877C9" w14:textId="77777777">
        <w:tc>
          <w:tcPr>
            <w:tcW w:w="0" w:type="auto"/>
            <w:gridSpan w:val="3"/>
            <w:shd w:val="clear" w:color="auto" w:fill="CCEEFF"/>
            <w:tcMar>
              <w:top w:w="30" w:type="dxa"/>
              <w:left w:w="155" w:type="dxa"/>
              <w:bottom w:w="30" w:type="dxa"/>
              <w:right w:w="20" w:type="dxa"/>
            </w:tcMar>
            <w:vAlign w:val="bottom"/>
            <w:hideMark/>
          </w:tcPr>
          <w:p w14:paraId="0E24C63E" w14:textId="77777777" w:rsidR="00000000" w:rsidRDefault="000C49AD">
            <w:pPr>
              <w:spacing w:after="100"/>
              <w:rPr>
                <w:rFonts w:eastAsia="Times New Roman"/>
              </w:rPr>
            </w:pPr>
            <w:r>
              <w:rPr>
                <w:rFonts w:eastAsia="Times New Roman"/>
                <w:color w:val="000000"/>
                <w:sz w:val="18"/>
                <w:szCs w:val="18"/>
              </w:rPr>
              <w:t>Less: valuation allowances</w:t>
            </w:r>
          </w:p>
        </w:tc>
        <w:tc>
          <w:tcPr>
            <w:tcW w:w="0" w:type="auto"/>
            <w:gridSpan w:val="3"/>
            <w:shd w:val="clear" w:color="auto" w:fill="CCEEFF"/>
            <w:tcMar>
              <w:top w:w="0" w:type="dxa"/>
              <w:left w:w="20" w:type="dxa"/>
              <w:bottom w:w="0" w:type="dxa"/>
              <w:right w:w="20" w:type="dxa"/>
            </w:tcMar>
            <w:vAlign w:val="center"/>
            <w:hideMark/>
          </w:tcPr>
          <w:p w14:paraId="33D5F3A5"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F0C07B" w14:textId="77777777" w:rsidR="00000000" w:rsidRDefault="000C49AD">
            <w:pPr>
              <w:spacing w:after="100"/>
              <w:jc w:val="right"/>
              <w:rPr>
                <w:rFonts w:eastAsia="Times New Roman"/>
              </w:rPr>
            </w:pPr>
            <w:r>
              <w:rPr>
                <w:rFonts w:eastAsia="Times New Roman"/>
                <w:color w:val="000000"/>
                <w:sz w:val="18"/>
                <w:szCs w:val="18"/>
              </w:rPr>
              <w:t>(24,025)</w:t>
            </w:r>
          </w:p>
        </w:tc>
        <w:tc>
          <w:tcPr>
            <w:tcW w:w="0" w:type="auto"/>
            <w:shd w:val="clear" w:color="auto" w:fill="CCEEFF"/>
            <w:tcMar>
              <w:top w:w="30" w:type="dxa"/>
              <w:left w:w="0" w:type="dxa"/>
              <w:bottom w:w="30" w:type="dxa"/>
              <w:right w:w="20" w:type="dxa"/>
            </w:tcMar>
            <w:vAlign w:val="bottom"/>
            <w:hideMark/>
          </w:tcPr>
          <w:p w14:paraId="7C1509B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22CC48"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03CA7D" w14:textId="77777777" w:rsidR="00000000" w:rsidRDefault="000C49AD">
            <w:pPr>
              <w:spacing w:after="100"/>
              <w:jc w:val="right"/>
              <w:rPr>
                <w:rFonts w:eastAsia="Times New Roman"/>
              </w:rPr>
            </w:pPr>
            <w:r>
              <w:rPr>
                <w:rFonts w:eastAsia="Times New Roman"/>
                <w:color w:val="000000"/>
                <w:sz w:val="18"/>
                <w:szCs w:val="18"/>
              </w:rPr>
              <w:t>(21,624)</w:t>
            </w:r>
          </w:p>
        </w:tc>
        <w:tc>
          <w:tcPr>
            <w:tcW w:w="0" w:type="auto"/>
            <w:shd w:val="clear" w:color="auto" w:fill="CCEEFF"/>
            <w:tcMar>
              <w:top w:w="30" w:type="dxa"/>
              <w:left w:w="0" w:type="dxa"/>
              <w:bottom w:w="30" w:type="dxa"/>
              <w:right w:w="20" w:type="dxa"/>
            </w:tcMar>
            <w:vAlign w:val="bottom"/>
            <w:hideMark/>
          </w:tcPr>
          <w:p w14:paraId="347BD934" w14:textId="77777777" w:rsidR="00000000" w:rsidRDefault="000C49AD">
            <w:pPr>
              <w:spacing w:after="100"/>
              <w:jc w:val="right"/>
              <w:rPr>
                <w:rFonts w:eastAsia="Times New Roman"/>
              </w:rPr>
            </w:pPr>
          </w:p>
        </w:tc>
      </w:tr>
      <w:tr w:rsidR="00000000" w14:paraId="35DA6521" w14:textId="77777777">
        <w:trPr>
          <w:trHeight w:val="160"/>
        </w:trPr>
        <w:tc>
          <w:tcPr>
            <w:tcW w:w="0" w:type="auto"/>
            <w:gridSpan w:val="3"/>
            <w:shd w:val="clear" w:color="auto" w:fill="FFFFFF"/>
            <w:tcMar>
              <w:top w:w="0" w:type="dxa"/>
              <w:left w:w="20" w:type="dxa"/>
              <w:bottom w:w="0" w:type="dxa"/>
              <w:right w:w="20" w:type="dxa"/>
            </w:tcMar>
            <w:vAlign w:val="center"/>
            <w:hideMark/>
          </w:tcPr>
          <w:p w14:paraId="0D280FF9"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F96E8A"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128EFC"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040DC5"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912F90" w14:textId="77777777" w:rsidR="00000000" w:rsidRDefault="000C49AD">
            <w:pPr>
              <w:spacing w:after="100"/>
              <w:rPr>
                <w:rFonts w:eastAsia="Times New Roman"/>
                <w:sz w:val="20"/>
                <w:szCs w:val="20"/>
              </w:rPr>
            </w:pPr>
          </w:p>
        </w:tc>
      </w:tr>
      <w:tr w:rsidR="00000000" w14:paraId="1D27C0D9" w14:textId="77777777">
        <w:tc>
          <w:tcPr>
            <w:tcW w:w="0" w:type="auto"/>
            <w:gridSpan w:val="3"/>
            <w:shd w:val="clear" w:color="auto" w:fill="CCEEFF"/>
            <w:tcMar>
              <w:top w:w="30" w:type="dxa"/>
              <w:left w:w="155" w:type="dxa"/>
              <w:bottom w:w="30" w:type="dxa"/>
              <w:right w:w="20" w:type="dxa"/>
            </w:tcMar>
            <w:vAlign w:val="bottom"/>
            <w:hideMark/>
          </w:tcPr>
          <w:p w14:paraId="16667736" w14:textId="77777777" w:rsidR="00000000" w:rsidRDefault="000C49AD">
            <w:pPr>
              <w:spacing w:after="100"/>
              <w:rPr>
                <w:rFonts w:eastAsia="Times New Roman"/>
              </w:rPr>
            </w:pPr>
            <w:r>
              <w:rPr>
                <w:rFonts w:eastAsia="Times New Roman"/>
                <w:color w:val="000000"/>
                <w:sz w:val="18"/>
                <w:szCs w:val="18"/>
              </w:rPr>
              <w:t xml:space="preserve">Net deferred tax assets </w:t>
            </w:r>
          </w:p>
        </w:tc>
        <w:tc>
          <w:tcPr>
            <w:tcW w:w="0" w:type="auto"/>
            <w:gridSpan w:val="3"/>
            <w:shd w:val="clear" w:color="auto" w:fill="CCEEFF"/>
            <w:tcMar>
              <w:top w:w="0" w:type="dxa"/>
              <w:left w:w="20" w:type="dxa"/>
              <w:bottom w:w="0" w:type="dxa"/>
              <w:right w:w="20" w:type="dxa"/>
            </w:tcMar>
            <w:vAlign w:val="center"/>
            <w:hideMark/>
          </w:tcPr>
          <w:p w14:paraId="73F80C62"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000D88"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13CCAF" w14:textId="77777777" w:rsidR="00000000" w:rsidRDefault="000C49AD">
            <w:pPr>
              <w:spacing w:after="100"/>
              <w:jc w:val="right"/>
              <w:rPr>
                <w:rFonts w:eastAsia="Times New Roman"/>
              </w:rPr>
            </w:pPr>
            <w:r>
              <w:rPr>
                <w:rFonts w:eastAsia="Times New Roman"/>
                <w:color w:val="000000"/>
                <w:sz w:val="18"/>
                <w:szCs w:val="18"/>
              </w:rPr>
              <w:t>24,128 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9A02AD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986F12"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E9CDC5"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87DC4D" w14:textId="77777777" w:rsidR="00000000" w:rsidRDefault="000C49AD">
            <w:pPr>
              <w:spacing w:after="100"/>
              <w:jc w:val="right"/>
              <w:rPr>
                <w:rFonts w:eastAsia="Times New Roman"/>
              </w:rPr>
            </w:pPr>
            <w:r>
              <w:rPr>
                <w:rFonts w:eastAsia="Times New Roman"/>
                <w:color w:val="000000"/>
                <w:sz w:val="18"/>
                <w:szCs w:val="18"/>
              </w:rPr>
              <w:t>18,256 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D1B58BA" w14:textId="77777777" w:rsidR="00000000" w:rsidRDefault="000C49AD">
            <w:pPr>
              <w:spacing w:after="100"/>
              <w:jc w:val="right"/>
              <w:rPr>
                <w:rFonts w:eastAsia="Times New Roman"/>
              </w:rPr>
            </w:pPr>
          </w:p>
        </w:tc>
      </w:tr>
    </w:tbl>
    <w:p w14:paraId="191E0041" w14:textId="77777777" w:rsidR="00000000" w:rsidRDefault="000C49AD">
      <w:pPr>
        <w:jc w:val="both"/>
        <w:rPr>
          <w:rFonts w:eastAsia="Times New Roman"/>
        </w:rPr>
      </w:pPr>
    </w:p>
    <w:p w14:paraId="2EFC72AA" w14:textId="77777777" w:rsidR="00000000" w:rsidRDefault="000C49AD">
      <w:pPr>
        <w:jc w:val="both"/>
        <w:rPr>
          <w:rFonts w:eastAsia="Times New Roman"/>
        </w:rPr>
      </w:pPr>
      <w:r>
        <w:rPr>
          <w:rFonts w:eastAsia="Times New Roman"/>
          <w:color w:val="000000"/>
          <w:sz w:val="20"/>
          <w:szCs w:val="20"/>
        </w:rPr>
        <w:t>At December 31, 2021, the Company had $124,720 of net operating losses in Ireland that do not have an expiration date and $74,406 of net operating losses in the U.S. Of the $74,406 of net operating losses in the U.S., $10,365 were acquired due to the ac</w:t>
      </w:r>
      <w:r>
        <w:rPr>
          <w:rFonts w:eastAsia="Times New Roman"/>
          <w:color w:val="000000"/>
          <w:sz w:val="20"/>
          <w:szCs w:val="20"/>
        </w:rPr>
        <w:t xml:space="preserve">quisition of FSC Therapeutics and FSC Laboratories, Inc., (collectively “FSC”) and $64,041 are due to the losses at US Holdings. The portion due to the acquisition of FSC will expire in 2034 through 2035. A valuation allowance is recorded if, based on the </w:t>
      </w:r>
      <w:r>
        <w:rPr>
          <w:rFonts w:eastAsia="Times New Roman"/>
          <w:color w:val="000000"/>
          <w:sz w:val="20"/>
          <w:szCs w:val="20"/>
        </w:rPr>
        <w:t>weight of available evidence, it is more likely than not that a deferred tax asset will not be realized. This assessment is based on an evaluation of the level of historical taxable income and projections for future taxable income. For the year ended Decem</w:t>
      </w:r>
      <w:r>
        <w:rPr>
          <w:rFonts w:eastAsia="Times New Roman"/>
          <w:color w:val="000000"/>
          <w:sz w:val="20"/>
          <w:szCs w:val="20"/>
        </w:rPr>
        <w:t>ber 31, 2021, the Company recorded $4,045 of valuation allowances related to Irish net operating losses. The U.S. net operating losses are subject to an annual limitation as a result of the FSC acquisition under Internal Revenue Code Section 382 and will n</w:t>
      </w:r>
      <w:r>
        <w:rPr>
          <w:rFonts w:eastAsia="Times New Roman"/>
          <w:color w:val="000000"/>
          <w:sz w:val="20"/>
          <w:szCs w:val="20"/>
        </w:rPr>
        <w:t xml:space="preserve">ot be fully utilized before they expire. </w:t>
      </w:r>
    </w:p>
    <w:p w14:paraId="25C7AE50" w14:textId="77777777" w:rsidR="00000000" w:rsidRDefault="000C49AD">
      <w:pPr>
        <w:jc w:val="both"/>
        <w:rPr>
          <w:rFonts w:eastAsia="Times New Roman"/>
        </w:rPr>
      </w:pPr>
    </w:p>
    <w:p w14:paraId="787702A2" w14:textId="77777777" w:rsidR="00000000" w:rsidRDefault="000C49AD">
      <w:pPr>
        <w:jc w:val="both"/>
        <w:rPr>
          <w:rFonts w:eastAsia="Times New Roman"/>
        </w:rPr>
      </w:pPr>
      <w:r>
        <w:rPr>
          <w:rFonts w:eastAsia="Times New Roman"/>
          <w:color w:val="000000"/>
          <w:sz w:val="20"/>
          <w:szCs w:val="20"/>
        </w:rPr>
        <w:t>The Company recorded a valuation allowance against all of its net operating losses in Ireland and France as of December 31, 2021 and 2020. The Company intends to continue maintaining a full valuation allowance on</w:t>
      </w:r>
      <w:r>
        <w:rPr>
          <w:rFonts w:eastAsia="Times New Roman"/>
          <w:color w:val="000000"/>
          <w:sz w:val="20"/>
          <w:szCs w:val="20"/>
        </w:rPr>
        <w:t xml:space="preserve"> the Irish net operating losses until there is sufficient evidence to support the reversal of all or some portion of these allowances.</w:t>
      </w:r>
    </w:p>
    <w:p w14:paraId="08ACFD50" w14:textId="77777777" w:rsidR="00000000" w:rsidRDefault="000C49AD">
      <w:pPr>
        <w:jc w:val="both"/>
        <w:rPr>
          <w:rFonts w:eastAsia="Times New Roman"/>
        </w:rPr>
      </w:pPr>
    </w:p>
    <w:p w14:paraId="6F7E8E4C" w14:textId="77777777" w:rsidR="00000000" w:rsidRDefault="000C49AD">
      <w:pPr>
        <w:jc w:val="both"/>
        <w:rPr>
          <w:rFonts w:eastAsia="Times New Roman"/>
        </w:rPr>
      </w:pPr>
      <w:r>
        <w:rPr>
          <w:rFonts w:eastAsia="Times New Roman"/>
          <w:color w:val="000000"/>
          <w:sz w:val="20"/>
          <w:szCs w:val="20"/>
        </w:rPr>
        <w:t>While the Company believes it is more likely than not that it will be able to realize the deferred tax assets in the U.</w:t>
      </w:r>
      <w:r>
        <w:rPr>
          <w:rFonts w:eastAsia="Times New Roman"/>
          <w:color w:val="000000"/>
          <w:sz w:val="20"/>
          <w:szCs w:val="20"/>
        </w:rPr>
        <w:t>S., the Company continues to monitor any unfavorable changes that could ultimately impact its assessment of the realizability of the Company’s U.S. deferred tax assets. If the Company experiences an ownership change under Internal Revenue Code Section 382,</w:t>
      </w:r>
      <w:r>
        <w:rPr>
          <w:rFonts w:eastAsia="Times New Roman"/>
          <w:color w:val="000000"/>
          <w:sz w:val="20"/>
          <w:szCs w:val="20"/>
        </w:rPr>
        <w:t xml:space="preserve"> the U.S. net operating losses could also be limited in their utilization. </w:t>
      </w:r>
    </w:p>
    <w:p w14:paraId="6525E834" w14:textId="77777777" w:rsidR="00000000" w:rsidRDefault="000C49AD">
      <w:pPr>
        <w:jc w:val="both"/>
        <w:rPr>
          <w:rFonts w:eastAsia="Times New Roman"/>
        </w:rPr>
      </w:pPr>
    </w:p>
    <w:p w14:paraId="7A49F09F" w14:textId="77777777" w:rsidR="00000000" w:rsidRDefault="000C49AD">
      <w:pPr>
        <w:jc w:val="both"/>
        <w:rPr>
          <w:rFonts w:eastAsia="Times New Roman"/>
        </w:rPr>
      </w:pPr>
      <w:r>
        <w:rPr>
          <w:rFonts w:eastAsia="Times New Roman"/>
          <w:color w:val="000000"/>
          <w:sz w:val="20"/>
          <w:szCs w:val="20"/>
        </w:rPr>
        <w:t xml:space="preserve">At December 31, 2021, the Company has unremitted earnings of $3,916 outside of Ireland as measured on a U.S. GAAP basis. Whereas the measure of earnings for purposes of taxation </w:t>
      </w:r>
      <w:r>
        <w:rPr>
          <w:rFonts w:eastAsia="Times New Roman"/>
          <w:color w:val="000000"/>
          <w:sz w:val="20"/>
          <w:szCs w:val="20"/>
        </w:rPr>
        <w:t>of a distribution may be different for tax purposes, these earnings, which are considered to be invested indefinitely, would become subject to income tax if they were remitted as dividends or if the Company were to sell its stock in the subsidiaries, net o</w:t>
      </w:r>
      <w:r>
        <w:rPr>
          <w:rFonts w:eastAsia="Times New Roman"/>
          <w:color w:val="000000"/>
          <w:sz w:val="20"/>
          <w:szCs w:val="20"/>
        </w:rPr>
        <w:t>f any prior income taxes paid. It is not practicable to estimate the amount of deferred tax liability on such earnings, if any.</w:t>
      </w:r>
    </w:p>
    <w:p w14:paraId="01A10CE2" w14:textId="77777777" w:rsidR="00000000" w:rsidRDefault="000C49AD">
      <w:pPr>
        <w:jc w:val="both"/>
        <w:rPr>
          <w:rFonts w:eastAsia="Times New Roman"/>
        </w:rPr>
      </w:pPr>
    </w:p>
    <w:p w14:paraId="1A77FD2A" w14:textId="77777777" w:rsidR="00000000" w:rsidRDefault="000C49AD">
      <w:pPr>
        <w:jc w:val="both"/>
        <w:rPr>
          <w:rFonts w:eastAsia="Times New Roman"/>
        </w:rPr>
      </w:pPr>
      <w:r>
        <w:rPr>
          <w:rFonts w:eastAsia="Times New Roman"/>
          <w:b/>
          <w:bCs/>
          <w:i/>
          <w:iCs/>
          <w:color w:val="000000"/>
          <w:sz w:val="20"/>
          <w:szCs w:val="20"/>
        </w:rPr>
        <w:t>R&amp;D Tax Credits Receivable</w:t>
      </w:r>
      <w:r>
        <w:rPr>
          <w:rFonts w:eastAsia="Times New Roman"/>
          <w:color w:val="000000"/>
          <w:sz w:val="20"/>
          <w:szCs w:val="20"/>
        </w:rPr>
        <w:t> </w:t>
      </w:r>
    </w:p>
    <w:p w14:paraId="0837FD8B" w14:textId="77777777" w:rsidR="00000000" w:rsidRDefault="000C49AD">
      <w:pPr>
        <w:jc w:val="both"/>
        <w:rPr>
          <w:rFonts w:eastAsia="Times New Roman"/>
        </w:rPr>
      </w:pPr>
    </w:p>
    <w:p w14:paraId="67066ED6" w14:textId="77777777" w:rsidR="00000000" w:rsidRDefault="000C49AD">
      <w:pPr>
        <w:jc w:val="both"/>
        <w:rPr>
          <w:rFonts w:eastAsia="Times New Roman"/>
        </w:rPr>
      </w:pPr>
      <w:r>
        <w:rPr>
          <w:rFonts w:eastAsia="Times New Roman"/>
          <w:color w:val="000000"/>
          <w:sz w:val="20"/>
          <w:szCs w:val="20"/>
        </w:rPr>
        <w:t>The French and Irish governments provide tax credits to companies for spending on innovative R&amp;D</w:t>
      </w:r>
      <w:r>
        <w:rPr>
          <w:rFonts w:eastAsia="Times New Roman"/>
          <w:color w:val="000000"/>
          <w:sz w:val="20"/>
          <w:szCs w:val="20"/>
        </w:rPr>
        <w:t>. These credits are recorded as an offset of R&amp;D expenses and are credited against income taxes payable in years after being incurred or, if not so utilized, are recoverable in cash after a specified period of time, which may differ depending on the tax cr</w:t>
      </w:r>
      <w:r>
        <w:rPr>
          <w:rFonts w:eastAsia="Times New Roman"/>
          <w:color w:val="000000"/>
          <w:sz w:val="20"/>
          <w:szCs w:val="20"/>
        </w:rPr>
        <w:t xml:space="preserve">edit regime. As of December 31, 2021, the Company’s net research tax credit receivable amounts to $3,668 and represents a French gross research </w:t>
      </w:r>
    </w:p>
    <w:p w14:paraId="7CD6E5D0" w14:textId="77777777" w:rsidR="00000000" w:rsidRDefault="000C49AD">
      <w:pPr>
        <w:jc w:val="center"/>
        <w:divId w:val="1875733770"/>
        <w:rPr>
          <w:rFonts w:eastAsia="Times New Roman"/>
        </w:rPr>
      </w:pPr>
      <w:r>
        <w:rPr>
          <w:rFonts w:eastAsia="Times New Roman"/>
          <w:color w:val="000000"/>
          <w:sz w:val="20"/>
          <w:szCs w:val="20"/>
        </w:rPr>
        <w:t>-94-</w:t>
      </w:r>
    </w:p>
    <w:p w14:paraId="5B3B4B74" w14:textId="77777777" w:rsidR="00000000" w:rsidRDefault="000C49AD">
      <w:pPr>
        <w:rPr>
          <w:rFonts w:eastAsia="Times New Roman"/>
        </w:rPr>
      </w:pPr>
      <w:r>
        <w:rPr>
          <w:rFonts w:eastAsia="Times New Roman"/>
        </w:rPr>
        <w:pict w14:anchorId="01E26469">
          <v:rect id="_x0000_i1119" style="width:0;height:1.5pt" o:hralign="center" o:hrstd="t" o:hr="t" fillcolor="#a0a0a0" stroked="f"/>
        </w:pict>
      </w:r>
    </w:p>
    <w:p w14:paraId="0CCA9AC1" w14:textId="77777777" w:rsidR="00000000" w:rsidRDefault="000C49AD">
      <w:pPr>
        <w:divId w:val="1147160449"/>
        <w:rPr>
          <w:rFonts w:eastAsia="Times New Roman"/>
        </w:rPr>
      </w:pPr>
    </w:p>
    <w:p w14:paraId="539F8A05" w14:textId="77777777" w:rsidR="00000000" w:rsidRDefault="000C49AD">
      <w:pPr>
        <w:jc w:val="both"/>
        <w:rPr>
          <w:rFonts w:eastAsia="Times New Roman"/>
        </w:rPr>
      </w:pPr>
      <w:r>
        <w:rPr>
          <w:rFonts w:eastAsia="Times New Roman"/>
          <w:color w:val="000000"/>
          <w:sz w:val="20"/>
          <w:szCs w:val="20"/>
        </w:rPr>
        <w:t xml:space="preserve">tax credit of $3,139 </w:t>
      </w:r>
      <w:r>
        <w:rPr>
          <w:rFonts w:eastAsia="Times New Roman"/>
          <w:color w:val="000000"/>
          <w:sz w:val="20"/>
          <w:szCs w:val="20"/>
        </w:rPr>
        <w:t xml:space="preserve">and an Irish gross research tax credit of $529. As of December 31, 2020, the Company’s net research tax credit receivable amounts to $6,771 and represents a French gross research tax credit of $6,396 and an Irish gross research tax credit of $375. </w:t>
      </w:r>
    </w:p>
    <w:p w14:paraId="2A7ECC97" w14:textId="77777777" w:rsidR="00000000" w:rsidRDefault="000C49AD">
      <w:pPr>
        <w:jc w:val="both"/>
        <w:rPr>
          <w:rFonts w:eastAsia="Times New Roman"/>
        </w:rPr>
      </w:pPr>
    </w:p>
    <w:p w14:paraId="5D7B9079" w14:textId="77777777" w:rsidR="00000000" w:rsidRDefault="000C49AD">
      <w:pPr>
        <w:jc w:val="both"/>
        <w:rPr>
          <w:rFonts w:eastAsia="Times New Roman"/>
        </w:rPr>
      </w:pPr>
      <w:r>
        <w:rPr>
          <w:rFonts w:eastAsia="Times New Roman"/>
          <w:b/>
          <w:bCs/>
          <w:i/>
          <w:iCs/>
          <w:color w:val="000000"/>
          <w:sz w:val="20"/>
          <w:szCs w:val="20"/>
        </w:rPr>
        <w:t xml:space="preserve">2020 </w:t>
      </w:r>
      <w:r>
        <w:rPr>
          <w:rFonts w:eastAsia="Times New Roman"/>
          <w:b/>
          <w:bCs/>
          <w:i/>
          <w:iCs/>
          <w:color w:val="000000"/>
          <w:sz w:val="20"/>
          <w:szCs w:val="20"/>
        </w:rPr>
        <w:t>CARES Act</w:t>
      </w:r>
    </w:p>
    <w:p w14:paraId="68626711" w14:textId="77777777" w:rsidR="00000000" w:rsidRDefault="000C49AD">
      <w:pPr>
        <w:jc w:val="both"/>
        <w:rPr>
          <w:rFonts w:eastAsia="Times New Roman"/>
        </w:rPr>
      </w:pPr>
    </w:p>
    <w:p w14:paraId="2218F3B5" w14:textId="77777777" w:rsidR="00000000" w:rsidRDefault="000C49AD">
      <w:pPr>
        <w:jc w:val="both"/>
        <w:rPr>
          <w:rFonts w:eastAsia="Times New Roman"/>
        </w:rPr>
      </w:pPr>
      <w:r>
        <w:rPr>
          <w:rFonts w:eastAsia="Times New Roman"/>
          <w:color w:val="000000"/>
          <w:sz w:val="20"/>
          <w:szCs w:val="20"/>
        </w:rPr>
        <w:t>The CARES Act, enacted on March 27, 2020, includes significant business tax provisions. In particular, the CARES Act modified the rules associated with net operating losses. Under the temporary provisions of the CARES Act, net operating loss ca</w:t>
      </w:r>
      <w:r>
        <w:rPr>
          <w:rFonts w:eastAsia="Times New Roman"/>
          <w:color w:val="000000"/>
          <w:sz w:val="20"/>
          <w:szCs w:val="20"/>
        </w:rPr>
        <w:t>rryforwards and carrybacks may offset 100% of taxable income for taxable years beginning before 2021. In addition, net operating losses arising in 2018, 2019 and 2020 taxable years may be carried back to each of the preceding five years to generate a refun</w:t>
      </w:r>
      <w:r>
        <w:rPr>
          <w:rFonts w:eastAsia="Times New Roman"/>
          <w:color w:val="000000"/>
          <w:sz w:val="20"/>
          <w:szCs w:val="20"/>
        </w:rPr>
        <w:t>d. During the twelve months ended December 31, 2020, the income tax benefit includes a discrete tax benefit of $9,124 as a result of the Company’s ability under the CARES Act to carry back net operating losses incurred to periods when the statutory U.S. Fe</w:t>
      </w:r>
      <w:r>
        <w:rPr>
          <w:rFonts w:eastAsia="Times New Roman"/>
          <w:color w:val="000000"/>
          <w:sz w:val="20"/>
          <w:szCs w:val="20"/>
        </w:rPr>
        <w:t>deral tax rate was 35% versus the Company’s current U.S. Federal tax rate of 21%. During the twelve months ended December 31, 2020, the Company received $3,351 in cash tax refunds from carryback claims related to the CARES Act from the carryback of 2018 ta</w:t>
      </w:r>
      <w:r>
        <w:rPr>
          <w:rFonts w:eastAsia="Times New Roman"/>
          <w:color w:val="000000"/>
          <w:sz w:val="20"/>
          <w:szCs w:val="20"/>
        </w:rPr>
        <w:t>x losses. The Company filed refund claims for $18,753 associated with the carryback of 2019 tax losses and a $10,273 refund claim associated with the carryback of 2020 tax losses.</w:t>
      </w:r>
    </w:p>
    <w:p w14:paraId="324A3C40" w14:textId="77777777" w:rsidR="00000000" w:rsidRDefault="000C49AD">
      <w:pPr>
        <w:jc w:val="both"/>
        <w:rPr>
          <w:rFonts w:eastAsia="Times New Roman"/>
        </w:rPr>
      </w:pPr>
    </w:p>
    <w:p w14:paraId="64F62064" w14:textId="77777777" w:rsidR="00000000" w:rsidRDefault="000C49AD">
      <w:pPr>
        <w:jc w:val="both"/>
        <w:divId w:val="1823808926"/>
        <w:rPr>
          <w:rFonts w:eastAsia="Times New Roman"/>
        </w:rPr>
      </w:pPr>
      <w:r>
        <w:rPr>
          <w:rFonts w:eastAsia="Times New Roman"/>
          <w:b/>
          <w:bCs/>
          <w:color w:val="000000"/>
          <w:sz w:val="20"/>
          <w:szCs w:val="20"/>
        </w:rPr>
        <w:t>NOTE 14:</w:t>
      </w:r>
      <w:r>
        <w:rPr>
          <w:rFonts w:eastAsia="Times New Roman"/>
          <w:color w:val="000000"/>
          <w:sz w:val="20"/>
          <w:szCs w:val="20"/>
        </w:rPr>
        <w:t xml:space="preserve"> </w:t>
      </w:r>
      <w:r>
        <w:rPr>
          <w:rFonts w:eastAsia="Times New Roman"/>
          <w:b/>
          <w:bCs/>
          <w:color w:val="000000"/>
          <w:sz w:val="20"/>
          <w:szCs w:val="20"/>
        </w:rPr>
        <w:t>Other Assets and Liabilities</w:t>
      </w:r>
      <w:r>
        <w:rPr>
          <w:rFonts w:eastAsia="Times New Roman"/>
          <w:color w:val="000000"/>
          <w:sz w:val="20"/>
          <w:szCs w:val="20"/>
        </w:rPr>
        <w:t> </w:t>
      </w:r>
    </w:p>
    <w:p w14:paraId="51457E8F" w14:textId="77777777" w:rsidR="00000000" w:rsidRDefault="000C49AD">
      <w:pPr>
        <w:jc w:val="both"/>
        <w:divId w:val="1124466993"/>
        <w:rPr>
          <w:rFonts w:eastAsia="Times New Roman"/>
        </w:rPr>
      </w:pPr>
      <w:r>
        <w:rPr>
          <w:rFonts w:eastAsia="Times New Roman"/>
          <w:color w:val="000000"/>
          <w:sz w:val="20"/>
          <w:szCs w:val="20"/>
        </w:rPr>
        <w:t>Various other assets and liabilities are summarized for the years ended December 31, as follows: </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8"/>
        <w:gridCol w:w="36"/>
        <w:gridCol w:w="36"/>
        <w:gridCol w:w="36"/>
        <w:gridCol w:w="110"/>
        <w:gridCol w:w="1326"/>
        <w:gridCol w:w="36"/>
        <w:gridCol w:w="36"/>
        <w:gridCol w:w="36"/>
        <w:gridCol w:w="36"/>
        <w:gridCol w:w="110"/>
        <w:gridCol w:w="1327"/>
        <w:gridCol w:w="36"/>
      </w:tblGrid>
      <w:tr w:rsidR="00000000" w14:paraId="0D8D8FAA" w14:textId="77777777">
        <w:trPr>
          <w:divId w:val="476849390"/>
        </w:trPr>
        <w:tc>
          <w:tcPr>
            <w:tcW w:w="50" w:type="pct"/>
            <w:vAlign w:val="center"/>
            <w:hideMark/>
          </w:tcPr>
          <w:p w14:paraId="721512CE" w14:textId="77777777" w:rsidR="00000000" w:rsidRDefault="000C49AD">
            <w:pPr>
              <w:jc w:val="both"/>
              <w:rPr>
                <w:rFonts w:eastAsia="Times New Roman"/>
              </w:rPr>
            </w:pPr>
          </w:p>
        </w:tc>
        <w:tc>
          <w:tcPr>
            <w:tcW w:w="3070" w:type="pct"/>
            <w:vAlign w:val="center"/>
            <w:hideMark/>
          </w:tcPr>
          <w:p w14:paraId="2D7F6764" w14:textId="77777777" w:rsidR="00000000" w:rsidRDefault="000C49AD">
            <w:pPr>
              <w:spacing w:after="100"/>
              <w:rPr>
                <w:rFonts w:eastAsia="Times New Roman"/>
                <w:sz w:val="20"/>
                <w:szCs w:val="20"/>
              </w:rPr>
            </w:pPr>
          </w:p>
        </w:tc>
        <w:tc>
          <w:tcPr>
            <w:tcW w:w="5" w:type="pct"/>
            <w:vAlign w:val="center"/>
            <w:hideMark/>
          </w:tcPr>
          <w:p w14:paraId="0BAE393A" w14:textId="77777777" w:rsidR="00000000" w:rsidRDefault="000C49AD">
            <w:pPr>
              <w:spacing w:after="100"/>
              <w:rPr>
                <w:rFonts w:eastAsia="Times New Roman"/>
                <w:sz w:val="20"/>
                <w:szCs w:val="20"/>
              </w:rPr>
            </w:pPr>
          </w:p>
        </w:tc>
        <w:tc>
          <w:tcPr>
            <w:tcW w:w="5" w:type="pct"/>
            <w:vAlign w:val="center"/>
            <w:hideMark/>
          </w:tcPr>
          <w:p w14:paraId="35D62E01" w14:textId="77777777" w:rsidR="00000000" w:rsidRDefault="000C49AD">
            <w:pPr>
              <w:spacing w:after="100"/>
              <w:rPr>
                <w:rFonts w:eastAsia="Times New Roman"/>
                <w:sz w:val="20"/>
                <w:szCs w:val="20"/>
              </w:rPr>
            </w:pPr>
          </w:p>
        </w:tc>
        <w:tc>
          <w:tcPr>
            <w:tcW w:w="26" w:type="pct"/>
            <w:vAlign w:val="center"/>
            <w:hideMark/>
          </w:tcPr>
          <w:p w14:paraId="74AF9E39" w14:textId="77777777" w:rsidR="00000000" w:rsidRDefault="000C49AD">
            <w:pPr>
              <w:spacing w:after="100"/>
              <w:rPr>
                <w:rFonts w:eastAsia="Times New Roman"/>
                <w:sz w:val="20"/>
                <w:szCs w:val="20"/>
              </w:rPr>
            </w:pPr>
          </w:p>
        </w:tc>
        <w:tc>
          <w:tcPr>
            <w:tcW w:w="5" w:type="pct"/>
            <w:vAlign w:val="center"/>
            <w:hideMark/>
          </w:tcPr>
          <w:p w14:paraId="1055E3F3" w14:textId="77777777" w:rsidR="00000000" w:rsidRDefault="000C49AD">
            <w:pPr>
              <w:spacing w:after="100"/>
              <w:rPr>
                <w:rFonts w:eastAsia="Times New Roman"/>
                <w:sz w:val="20"/>
                <w:szCs w:val="20"/>
              </w:rPr>
            </w:pPr>
          </w:p>
        </w:tc>
        <w:tc>
          <w:tcPr>
            <w:tcW w:w="50" w:type="pct"/>
            <w:vAlign w:val="center"/>
            <w:hideMark/>
          </w:tcPr>
          <w:p w14:paraId="4A16A2D7" w14:textId="77777777" w:rsidR="00000000" w:rsidRDefault="000C49AD">
            <w:pPr>
              <w:spacing w:after="100"/>
              <w:rPr>
                <w:rFonts w:eastAsia="Times New Roman"/>
                <w:sz w:val="20"/>
                <w:szCs w:val="20"/>
              </w:rPr>
            </w:pPr>
          </w:p>
        </w:tc>
        <w:tc>
          <w:tcPr>
            <w:tcW w:w="845" w:type="pct"/>
            <w:vAlign w:val="center"/>
            <w:hideMark/>
          </w:tcPr>
          <w:p w14:paraId="6171E978" w14:textId="77777777" w:rsidR="00000000" w:rsidRDefault="000C49AD">
            <w:pPr>
              <w:spacing w:after="100"/>
              <w:rPr>
                <w:rFonts w:eastAsia="Times New Roman"/>
                <w:sz w:val="20"/>
                <w:szCs w:val="20"/>
              </w:rPr>
            </w:pPr>
          </w:p>
        </w:tc>
        <w:tc>
          <w:tcPr>
            <w:tcW w:w="5" w:type="pct"/>
            <w:vAlign w:val="center"/>
            <w:hideMark/>
          </w:tcPr>
          <w:p w14:paraId="6A1698DA" w14:textId="77777777" w:rsidR="00000000" w:rsidRDefault="000C49AD">
            <w:pPr>
              <w:spacing w:after="100"/>
              <w:rPr>
                <w:rFonts w:eastAsia="Times New Roman"/>
                <w:sz w:val="20"/>
                <w:szCs w:val="20"/>
              </w:rPr>
            </w:pPr>
          </w:p>
        </w:tc>
        <w:tc>
          <w:tcPr>
            <w:tcW w:w="5" w:type="pct"/>
            <w:vAlign w:val="center"/>
            <w:hideMark/>
          </w:tcPr>
          <w:p w14:paraId="7FF2D17C" w14:textId="77777777" w:rsidR="00000000" w:rsidRDefault="000C49AD">
            <w:pPr>
              <w:spacing w:after="100"/>
              <w:rPr>
                <w:rFonts w:eastAsia="Times New Roman"/>
                <w:sz w:val="20"/>
                <w:szCs w:val="20"/>
              </w:rPr>
            </w:pPr>
          </w:p>
        </w:tc>
        <w:tc>
          <w:tcPr>
            <w:tcW w:w="26" w:type="pct"/>
            <w:vAlign w:val="center"/>
            <w:hideMark/>
          </w:tcPr>
          <w:p w14:paraId="215B90A3" w14:textId="77777777" w:rsidR="00000000" w:rsidRDefault="000C49AD">
            <w:pPr>
              <w:spacing w:after="100"/>
              <w:rPr>
                <w:rFonts w:eastAsia="Times New Roman"/>
                <w:sz w:val="20"/>
                <w:szCs w:val="20"/>
              </w:rPr>
            </w:pPr>
          </w:p>
        </w:tc>
        <w:tc>
          <w:tcPr>
            <w:tcW w:w="5" w:type="pct"/>
            <w:vAlign w:val="center"/>
            <w:hideMark/>
          </w:tcPr>
          <w:p w14:paraId="50C88A2A" w14:textId="77777777" w:rsidR="00000000" w:rsidRDefault="000C49AD">
            <w:pPr>
              <w:spacing w:after="100"/>
              <w:rPr>
                <w:rFonts w:eastAsia="Times New Roman"/>
                <w:sz w:val="20"/>
                <w:szCs w:val="20"/>
              </w:rPr>
            </w:pPr>
          </w:p>
        </w:tc>
        <w:tc>
          <w:tcPr>
            <w:tcW w:w="50" w:type="pct"/>
            <w:vAlign w:val="center"/>
            <w:hideMark/>
          </w:tcPr>
          <w:p w14:paraId="38695C01" w14:textId="77777777" w:rsidR="00000000" w:rsidRDefault="000C49AD">
            <w:pPr>
              <w:spacing w:after="100"/>
              <w:rPr>
                <w:rFonts w:eastAsia="Times New Roman"/>
                <w:sz w:val="20"/>
                <w:szCs w:val="20"/>
              </w:rPr>
            </w:pPr>
          </w:p>
        </w:tc>
        <w:tc>
          <w:tcPr>
            <w:tcW w:w="845" w:type="pct"/>
            <w:vAlign w:val="center"/>
            <w:hideMark/>
          </w:tcPr>
          <w:p w14:paraId="3CFB57AC" w14:textId="77777777" w:rsidR="00000000" w:rsidRDefault="000C49AD">
            <w:pPr>
              <w:spacing w:after="100"/>
              <w:rPr>
                <w:rFonts w:eastAsia="Times New Roman"/>
                <w:sz w:val="20"/>
                <w:szCs w:val="20"/>
              </w:rPr>
            </w:pPr>
          </w:p>
        </w:tc>
        <w:tc>
          <w:tcPr>
            <w:tcW w:w="5" w:type="pct"/>
            <w:vAlign w:val="center"/>
            <w:hideMark/>
          </w:tcPr>
          <w:p w14:paraId="115F3C00" w14:textId="77777777" w:rsidR="00000000" w:rsidRDefault="000C49AD">
            <w:pPr>
              <w:spacing w:after="100"/>
              <w:rPr>
                <w:rFonts w:eastAsia="Times New Roman"/>
                <w:sz w:val="20"/>
                <w:szCs w:val="20"/>
              </w:rPr>
            </w:pPr>
          </w:p>
        </w:tc>
      </w:tr>
      <w:tr w:rsidR="00000000" w14:paraId="421BBC86" w14:textId="77777777">
        <w:trPr>
          <w:divId w:val="476849390"/>
        </w:trPr>
        <w:tc>
          <w:tcPr>
            <w:tcW w:w="0" w:type="auto"/>
            <w:gridSpan w:val="3"/>
            <w:tcMar>
              <w:top w:w="30" w:type="dxa"/>
              <w:left w:w="20" w:type="dxa"/>
              <w:bottom w:w="30" w:type="dxa"/>
              <w:right w:w="20" w:type="dxa"/>
            </w:tcMar>
            <w:vAlign w:val="bottom"/>
            <w:hideMark/>
          </w:tcPr>
          <w:p w14:paraId="0ACD2110" w14:textId="77777777" w:rsidR="00000000" w:rsidRDefault="000C49AD">
            <w:pPr>
              <w:spacing w:after="100"/>
              <w:rPr>
                <w:rFonts w:eastAsia="Times New Roman"/>
              </w:rPr>
            </w:pPr>
            <w:r>
              <w:rPr>
                <w:rFonts w:eastAsia="Times New Roman"/>
                <w:b/>
                <w:bCs/>
                <w:color w:val="000000"/>
                <w:sz w:val="18"/>
                <w:szCs w:val="18"/>
              </w:rPr>
              <w:t xml:space="preserve">Prepaid Expenses and Other Current Assets: </w:t>
            </w:r>
          </w:p>
        </w:tc>
        <w:tc>
          <w:tcPr>
            <w:tcW w:w="0" w:type="auto"/>
            <w:gridSpan w:val="3"/>
            <w:tcMar>
              <w:top w:w="0" w:type="dxa"/>
              <w:left w:w="20" w:type="dxa"/>
              <w:bottom w:w="0" w:type="dxa"/>
              <w:right w:w="20" w:type="dxa"/>
            </w:tcMar>
            <w:vAlign w:val="center"/>
            <w:hideMark/>
          </w:tcPr>
          <w:p w14:paraId="7A7A0E0B"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3779B4C8"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3192F00"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82D04BF" w14:textId="77777777" w:rsidR="00000000" w:rsidRDefault="000C49AD">
            <w:pPr>
              <w:spacing w:after="100"/>
              <w:jc w:val="center"/>
              <w:rPr>
                <w:rFonts w:eastAsia="Times New Roman"/>
              </w:rPr>
            </w:pPr>
            <w:r>
              <w:rPr>
                <w:rFonts w:eastAsia="Times New Roman"/>
                <w:b/>
                <w:bCs/>
                <w:color w:val="000000"/>
                <w:sz w:val="18"/>
                <w:szCs w:val="18"/>
              </w:rPr>
              <w:t>2020</w:t>
            </w:r>
          </w:p>
        </w:tc>
      </w:tr>
      <w:tr w:rsidR="00000000" w14:paraId="224B424C" w14:textId="77777777">
        <w:trPr>
          <w:divId w:val="476849390"/>
          <w:trHeight w:val="60"/>
        </w:trPr>
        <w:tc>
          <w:tcPr>
            <w:tcW w:w="0" w:type="auto"/>
            <w:gridSpan w:val="3"/>
            <w:tcBorders>
              <w:top w:val="single" w:sz="8" w:space="0" w:color="000000"/>
            </w:tcBorders>
            <w:tcMar>
              <w:top w:w="0" w:type="dxa"/>
              <w:left w:w="20" w:type="dxa"/>
              <w:bottom w:w="0" w:type="dxa"/>
              <w:right w:w="20" w:type="dxa"/>
            </w:tcMar>
            <w:vAlign w:val="center"/>
            <w:hideMark/>
          </w:tcPr>
          <w:p w14:paraId="3D1C2FCE"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7D62C47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1889E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707B5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390A41" w14:textId="77777777" w:rsidR="00000000" w:rsidRDefault="000C49AD">
            <w:pPr>
              <w:spacing w:after="100"/>
              <w:rPr>
                <w:rFonts w:eastAsia="Times New Roman"/>
                <w:sz w:val="20"/>
                <w:szCs w:val="20"/>
              </w:rPr>
            </w:pPr>
          </w:p>
        </w:tc>
      </w:tr>
      <w:tr w:rsidR="00000000" w14:paraId="6F91FE23" w14:textId="77777777">
        <w:trPr>
          <w:divId w:val="476849390"/>
        </w:trPr>
        <w:tc>
          <w:tcPr>
            <w:tcW w:w="0" w:type="auto"/>
            <w:gridSpan w:val="3"/>
            <w:shd w:val="clear" w:color="auto" w:fill="CCEEFF"/>
            <w:tcMar>
              <w:top w:w="30" w:type="dxa"/>
              <w:left w:w="20" w:type="dxa"/>
              <w:bottom w:w="30" w:type="dxa"/>
              <w:right w:w="20" w:type="dxa"/>
            </w:tcMar>
            <w:vAlign w:val="bottom"/>
            <w:hideMark/>
          </w:tcPr>
          <w:p w14:paraId="3C3B198D" w14:textId="77777777" w:rsidR="00000000" w:rsidRDefault="000C49AD">
            <w:pPr>
              <w:spacing w:after="100"/>
              <w:divId w:val="934675443"/>
              <w:rPr>
                <w:rFonts w:eastAsia="Times New Roman"/>
              </w:rPr>
            </w:pPr>
            <w:r>
              <w:rPr>
                <w:rFonts w:eastAsia="Times New Roman"/>
                <w:color w:val="000000"/>
                <w:sz w:val="18"/>
                <w:szCs w:val="18"/>
              </w:rPr>
              <w:t xml:space="preserve">Income tax receivable (see </w:t>
            </w:r>
            <w:r>
              <w:rPr>
                <w:rFonts w:eastAsia="Times New Roman"/>
                <w:i/>
                <w:iCs/>
                <w:color w:val="000000"/>
                <w:sz w:val="18"/>
                <w:szCs w:val="18"/>
              </w:rPr>
              <w:t>Note 13</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2501C0D"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650F2CC"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A7F27F1" w14:textId="77777777" w:rsidR="00000000" w:rsidRDefault="000C49AD">
            <w:pPr>
              <w:spacing w:after="100"/>
              <w:jc w:val="right"/>
              <w:rPr>
                <w:rFonts w:eastAsia="Times New Roman"/>
              </w:rPr>
            </w:pPr>
            <w:r>
              <w:rPr>
                <w:rFonts w:eastAsia="Times New Roman"/>
                <w:color w:val="000000"/>
                <w:sz w:val="18"/>
                <w:szCs w:val="18"/>
              </w:rPr>
              <w:t>29,097 </w:t>
            </w:r>
          </w:p>
        </w:tc>
        <w:tc>
          <w:tcPr>
            <w:tcW w:w="0" w:type="auto"/>
            <w:shd w:val="clear" w:color="auto" w:fill="CCEEFF"/>
            <w:tcMar>
              <w:top w:w="30" w:type="dxa"/>
              <w:left w:w="0" w:type="dxa"/>
              <w:bottom w:w="30" w:type="dxa"/>
              <w:right w:w="20" w:type="dxa"/>
            </w:tcMar>
            <w:vAlign w:val="bottom"/>
            <w:hideMark/>
          </w:tcPr>
          <w:p w14:paraId="3B2C2C5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AE76CD"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81064D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7F9B286" w14:textId="77777777" w:rsidR="00000000" w:rsidRDefault="000C49AD">
            <w:pPr>
              <w:spacing w:after="100"/>
              <w:jc w:val="right"/>
              <w:rPr>
                <w:rFonts w:eastAsia="Times New Roman"/>
              </w:rPr>
            </w:pPr>
            <w:r>
              <w:rPr>
                <w:rFonts w:eastAsia="Times New Roman"/>
                <w:color w:val="000000"/>
                <w:sz w:val="18"/>
                <w:szCs w:val="18"/>
              </w:rPr>
              <w:t>18,615 </w:t>
            </w:r>
          </w:p>
        </w:tc>
        <w:tc>
          <w:tcPr>
            <w:tcW w:w="0" w:type="auto"/>
            <w:shd w:val="clear" w:color="auto" w:fill="CCEEFF"/>
            <w:tcMar>
              <w:top w:w="30" w:type="dxa"/>
              <w:left w:w="0" w:type="dxa"/>
              <w:bottom w:w="30" w:type="dxa"/>
              <w:right w:w="20" w:type="dxa"/>
            </w:tcMar>
            <w:vAlign w:val="bottom"/>
            <w:hideMark/>
          </w:tcPr>
          <w:p w14:paraId="0142826B" w14:textId="77777777" w:rsidR="00000000" w:rsidRDefault="000C49AD">
            <w:pPr>
              <w:spacing w:after="100"/>
              <w:jc w:val="right"/>
              <w:rPr>
                <w:rFonts w:eastAsia="Times New Roman"/>
              </w:rPr>
            </w:pPr>
          </w:p>
        </w:tc>
      </w:tr>
      <w:tr w:rsidR="00000000" w14:paraId="1CDBBD29" w14:textId="77777777">
        <w:trPr>
          <w:divId w:val="476849390"/>
        </w:trPr>
        <w:tc>
          <w:tcPr>
            <w:tcW w:w="0" w:type="auto"/>
            <w:gridSpan w:val="3"/>
            <w:shd w:val="clear" w:color="auto" w:fill="FFFFFF"/>
            <w:tcMar>
              <w:top w:w="30" w:type="dxa"/>
              <w:left w:w="155" w:type="dxa"/>
              <w:bottom w:w="30" w:type="dxa"/>
              <w:right w:w="20" w:type="dxa"/>
            </w:tcMar>
            <w:vAlign w:val="bottom"/>
            <w:hideMark/>
          </w:tcPr>
          <w:p w14:paraId="4ECF788E" w14:textId="77777777" w:rsidR="00000000" w:rsidRDefault="000C49AD">
            <w:pPr>
              <w:spacing w:after="100"/>
              <w:rPr>
                <w:rFonts w:eastAsia="Times New Roman"/>
              </w:rPr>
            </w:pPr>
            <w:r>
              <w:rPr>
                <w:rFonts w:eastAsia="Times New Roman"/>
                <w:color w:val="000000"/>
                <w:sz w:val="18"/>
                <w:szCs w:val="18"/>
              </w:rPr>
              <w:t>Prepaid and other expenses</w:t>
            </w:r>
          </w:p>
        </w:tc>
        <w:tc>
          <w:tcPr>
            <w:tcW w:w="0" w:type="auto"/>
            <w:gridSpan w:val="3"/>
            <w:shd w:val="clear" w:color="auto" w:fill="FFFFFF"/>
            <w:tcMar>
              <w:top w:w="0" w:type="dxa"/>
              <w:left w:w="20" w:type="dxa"/>
              <w:bottom w:w="0" w:type="dxa"/>
              <w:right w:w="20" w:type="dxa"/>
            </w:tcMar>
            <w:vAlign w:val="center"/>
            <w:hideMark/>
          </w:tcPr>
          <w:p w14:paraId="0850BDED"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C92D483" w14:textId="77777777" w:rsidR="00000000" w:rsidRDefault="000C49AD">
            <w:pPr>
              <w:spacing w:after="100"/>
              <w:jc w:val="right"/>
              <w:rPr>
                <w:rFonts w:eastAsia="Times New Roman"/>
              </w:rPr>
            </w:pPr>
            <w:r>
              <w:rPr>
                <w:rFonts w:eastAsia="Times New Roman"/>
                <w:color w:val="000000"/>
                <w:sz w:val="18"/>
                <w:szCs w:val="18"/>
              </w:rPr>
              <w:t>3,179 </w:t>
            </w:r>
          </w:p>
        </w:tc>
        <w:tc>
          <w:tcPr>
            <w:tcW w:w="0" w:type="auto"/>
            <w:shd w:val="clear" w:color="auto" w:fill="FFFFFF"/>
            <w:tcMar>
              <w:top w:w="30" w:type="dxa"/>
              <w:left w:w="0" w:type="dxa"/>
              <w:bottom w:w="30" w:type="dxa"/>
              <w:right w:w="20" w:type="dxa"/>
            </w:tcMar>
            <w:vAlign w:val="bottom"/>
            <w:hideMark/>
          </w:tcPr>
          <w:p w14:paraId="47EF6DE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7CEE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A905D4" w14:textId="77777777" w:rsidR="00000000" w:rsidRDefault="000C49AD">
            <w:pPr>
              <w:spacing w:after="100"/>
              <w:jc w:val="right"/>
              <w:rPr>
                <w:rFonts w:eastAsia="Times New Roman"/>
              </w:rPr>
            </w:pPr>
            <w:r>
              <w:rPr>
                <w:rFonts w:eastAsia="Times New Roman"/>
                <w:color w:val="000000"/>
                <w:sz w:val="18"/>
                <w:szCs w:val="18"/>
              </w:rPr>
              <w:t>1,018 </w:t>
            </w:r>
          </w:p>
        </w:tc>
        <w:tc>
          <w:tcPr>
            <w:tcW w:w="0" w:type="auto"/>
            <w:shd w:val="clear" w:color="auto" w:fill="FFFFFF"/>
            <w:tcMar>
              <w:top w:w="30" w:type="dxa"/>
              <w:left w:w="0" w:type="dxa"/>
              <w:bottom w:w="30" w:type="dxa"/>
              <w:right w:w="20" w:type="dxa"/>
            </w:tcMar>
            <w:vAlign w:val="bottom"/>
            <w:hideMark/>
          </w:tcPr>
          <w:p w14:paraId="0551594E" w14:textId="77777777" w:rsidR="00000000" w:rsidRDefault="000C49AD">
            <w:pPr>
              <w:spacing w:after="100"/>
              <w:jc w:val="right"/>
              <w:rPr>
                <w:rFonts w:eastAsia="Times New Roman"/>
              </w:rPr>
            </w:pPr>
          </w:p>
        </w:tc>
      </w:tr>
      <w:tr w:rsidR="00000000" w14:paraId="6D858F82" w14:textId="77777777">
        <w:trPr>
          <w:divId w:val="476849390"/>
        </w:trPr>
        <w:tc>
          <w:tcPr>
            <w:tcW w:w="0" w:type="auto"/>
            <w:gridSpan w:val="3"/>
            <w:shd w:val="clear" w:color="auto" w:fill="CCEEFF"/>
            <w:tcMar>
              <w:top w:w="30" w:type="dxa"/>
              <w:left w:w="155" w:type="dxa"/>
              <w:bottom w:w="30" w:type="dxa"/>
              <w:right w:w="20" w:type="dxa"/>
            </w:tcMar>
            <w:vAlign w:val="bottom"/>
            <w:hideMark/>
          </w:tcPr>
          <w:p w14:paraId="34F48DBC" w14:textId="77777777" w:rsidR="00000000" w:rsidRDefault="000C49AD">
            <w:pPr>
              <w:spacing w:after="100"/>
              <w:rPr>
                <w:rFonts w:eastAsia="Times New Roman"/>
              </w:rPr>
            </w:pPr>
            <w:r>
              <w:rPr>
                <w:rFonts w:eastAsia="Times New Roman"/>
                <w:color w:val="000000"/>
                <w:sz w:val="18"/>
                <w:szCs w:val="18"/>
              </w:rPr>
              <w:t>Guarantee from Armistice</w:t>
            </w:r>
          </w:p>
        </w:tc>
        <w:tc>
          <w:tcPr>
            <w:tcW w:w="0" w:type="auto"/>
            <w:gridSpan w:val="3"/>
            <w:shd w:val="clear" w:color="auto" w:fill="CCEEFF"/>
            <w:tcMar>
              <w:top w:w="0" w:type="dxa"/>
              <w:left w:w="20" w:type="dxa"/>
              <w:bottom w:w="0" w:type="dxa"/>
              <w:right w:w="20" w:type="dxa"/>
            </w:tcMar>
            <w:vAlign w:val="center"/>
            <w:hideMark/>
          </w:tcPr>
          <w:p w14:paraId="24EE35D9"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194836C" w14:textId="77777777" w:rsidR="00000000" w:rsidRDefault="000C49AD">
            <w:pPr>
              <w:spacing w:after="100"/>
              <w:jc w:val="right"/>
              <w:rPr>
                <w:rFonts w:eastAsia="Times New Roman"/>
              </w:rPr>
            </w:pPr>
            <w:r>
              <w:rPr>
                <w:rFonts w:eastAsia="Times New Roman"/>
                <w:color w:val="000000"/>
                <w:sz w:val="18"/>
                <w:szCs w:val="18"/>
              </w:rPr>
              <w:t>279 </w:t>
            </w:r>
          </w:p>
        </w:tc>
        <w:tc>
          <w:tcPr>
            <w:tcW w:w="0" w:type="auto"/>
            <w:shd w:val="clear" w:color="auto" w:fill="CCEEFF"/>
            <w:tcMar>
              <w:top w:w="30" w:type="dxa"/>
              <w:left w:w="0" w:type="dxa"/>
              <w:bottom w:w="30" w:type="dxa"/>
              <w:right w:w="20" w:type="dxa"/>
            </w:tcMar>
            <w:vAlign w:val="bottom"/>
            <w:hideMark/>
          </w:tcPr>
          <w:p w14:paraId="1982ABE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9F62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349D85" w14:textId="77777777" w:rsidR="00000000" w:rsidRDefault="000C49AD">
            <w:pPr>
              <w:spacing w:after="100"/>
              <w:jc w:val="right"/>
              <w:rPr>
                <w:rFonts w:eastAsia="Times New Roman"/>
              </w:rPr>
            </w:pPr>
            <w:r>
              <w:rPr>
                <w:rFonts w:eastAsia="Times New Roman"/>
                <w:color w:val="000000"/>
                <w:sz w:val="18"/>
                <w:szCs w:val="18"/>
              </w:rPr>
              <w:t>318 </w:t>
            </w:r>
          </w:p>
        </w:tc>
        <w:tc>
          <w:tcPr>
            <w:tcW w:w="0" w:type="auto"/>
            <w:shd w:val="clear" w:color="auto" w:fill="CCEEFF"/>
            <w:tcMar>
              <w:top w:w="30" w:type="dxa"/>
              <w:left w:w="0" w:type="dxa"/>
              <w:bottom w:w="30" w:type="dxa"/>
              <w:right w:w="20" w:type="dxa"/>
            </w:tcMar>
            <w:vAlign w:val="bottom"/>
            <w:hideMark/>
          </w:tcPr>
          <w:p w14:paraId="3F8BB402" w14:textId="77777777" w:rsidR="00000000" w:rsidRDefault="000C49AD">
            <w:pPr>
              <w:spacing w:after="100"/>
              <w:jc w:val="right"/>
              <w:rPr>
                <w:rFonts w:eastAsia="Times New Roman"/>
              </w:rPr>
            </w:pPr>
          </w:p>
        </w:tc>
      </w:tr>
      <w:tr w:rsidR="00000000" w14:paraId="7F506024" w14:textId="77777777">
        <w:trPr>
          <w:divId w:val="476849390"/>
        </w:trPr>
        <w:tc>
          <w:tcPr>
            <w:tcW w:w="0" w:type="auto"/>
            <w:gridSpan w:val="3"/>
            <w:shd w:val="clear" w:color="auto" w:fill="FFFFFF"/>
            <w:tcMar>
              <w:top w:w="30" w:type="dxa"/>
              <w:left w:w="155" w:type="dxa"/>
              <w:bottom w:w="30" w:type="dxa"/>
              <w:right w:w="20" w:type="dxa"/>
            </w:tcMar>
            <w:vAlign w:val="bottom"/>
            <w:hideMark/>
          </w:tcPr>
          <w:p w14:paraId="37DF65D0" w14:textId="77777777" w:rsidR="00000000" w:rsidRDefault="000C49A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1051B282"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39E5D1" w14:textId="77777777" w:rsidR="00000000" w:rsidRDefault="000C49AD">
            <w:pPr>
              <w:spacing w:after="100"/>
              <w:jc w:val="right"/>
              <w:rPr>
                <w:rFonts w:eastAsia="Times New Roman"/>
              </w:rPr>
            </w:pPr>
            <w:r>
              <w:rPr>
                <w:rFonts w:eastAsia="Times New Roman"/>
                <w:color w:val="000000"/>
                <w:sz w:val="18"/>
                <w:szCs w:val="18"/>
              </w:rPr>
              <w:t>271 </w:t>
            </w:r>
          </w:p>
        </w:tc>
        <w:tc>
          <w:tcPr>
            <w:tcW w:w="0" w:type="auto"/>
            <w:shd w:val="clear" w:color="auto" w:fill="FFFFFF"/>
            <w:tcMar>
              <w:top w:w="30" w:type="dxa"/>
              <w:left w:w="0" w:type="dxa"/>
              <w:bottom w:w="30" w:type="dxa"/>
              <w:right w:w="20" w:type="dxa"/>
            </w:tcMar>
            <w:vAlign w:val="bottom"/>
            <w:hideMark/>
          </w:tcPr>
          <w:p w14:paraId="2D324C6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AF91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21EA9A" w14:textId="77777777" w:rsidR="00000000" w:rsidRDefault="000C49AD">
            <w:pPr>
              <w:spacing w:after="100"/>
              <w:jc w:val="right"/>
              <w:rPr>
                <w:rFonts w:eastAsia="Times New Roman"/>
              </w:rPr>
            </w:pPr>
            <w:r>
              <w:rPr>
                <w:rFonts w:eastAsia="Times New Roman"/>
                <w:color w:val="000000"/>
                <w:sz w:val="18"/>
                <w:szCs w:val="18"/>
              </w:rPr>
              <w:t>798 </w:t>
            </w:r>
          </w:p>
        </w:tc>
        <w:tc>
          <w:tcPr>
            <w:tcW w:w="0" w:type="auto"/>
            <w:shd w:val="clear" w:color="auto" w:fill="FFFFFF"/>
            <w:tcMar>
              <w:top w:w="30" w:type="dxa"/>
              <w:left w:w="0" w:type="dxa"/>
              <w:bottom w:w="30" w:type="dxa"/>
              <w:right w:w="20" w:type="dxa"/>
            </w:tcMar>
            <w:vAlign w:val="bottom"/>
            <w:hideMark/>
          </w:tcPr>
          <w:p w14:paraId="6731DF4C" w14:textId="77777777" w:rsidR="00000000" w:rsidRDefault="000C49AD">
            <w:pPr>
              <w:spacing w:after="100"/>
              <w:jc w:val="right"/>
              <w:rPr>
                <w:rFonts w:eastAsia="Times New Roman"/>
              </w:rPr>
            </w:pPr>
          </w:p>
        </w:tc>
      </w:tr>
      <w:tr w:rsidR="00000000" w14:paraId="4AC01996" w14:textId="77777777">
        <w:trPr>
          <w:divId w:val="476849390"/>
        </w:trPr>
        <w:tc>
          <w:tcPr>
            <w:tcW w:w="0" w:type="auto"/>
            <w:gridSpan w:val="3"/>
            <w:shd w:val="clear" w:color="auto" w:fill="CCEEFF"/>
            <w:tcMar>
              <w:top w:w="30" w:type="dxa"/>
              <w:left w:w="20" w:type="dxa"/>
              <w:bottom w:w="30" w:type="dxa"/>
              <w:right w:w="20" w:type="dxa"/>
            </w:tcMar>
            <w:vAlign w:val="bottom"/>
            <w:hideMark/>
          </w:tcPr>
          <w:p w14:paraId="498536BE" w14:textId="77777777" w:rsidR="00000000" w:rsidRDefault="000C49AD">
            <w:pPr>
              <w:spacing w:after="100"/>
              <w:divId w:val="297761167"/>
              <w:rPr>
                <w:rFonts w:eastAsia="Times New Roman"/>
              </w:rPr>
            </w:pPr>
            <w:r>
              <w:rPr>
                <w:rFonts w:eastAsia="Times New Roman"/>
                <w:color w:val="000000"/>
                <w:sz w:val="18"/>
                <w:szCs w:val="18"/>
              </w:rPr>
              <w:t xml:space="preserve">Receivable from Exela (see </w:t>
            </w:r>
            <w:r>
              <w:rPr>
                <w:rFonts w:eastAsia="Times New Roman"/>
                <w:i/>
                <w:iCs/>
                <w:color w:val="000000"/>
                <w:sz w:val="18"/>
                <w:szCs w:val="18"/>
              </w:rPr>
              <w:t>Note 4</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69205FF"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AFCBB7C"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CB1788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6AF12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B2FC0D" w14:textId="77777777" w:rsidR="00000000" w:rsidRDefault="000C49AD">
            <w:pPr>
              <w:spacing w:after="100"/>
              <w:jc w:val="right"/>
              <w:rPr>
                <w:rFonts w:eastAsia="Times New Roman"/>
              </w:rPr>
            </w:pPr>
            <w:r>
              <w:rPr>
                <w:rFonts w:eastAsia="Times New Roman"/>
                <w:color w:val="000000"/>
                <w:sz w:val="18"/>
                <w:szCs w:val="18"/>
              </w:rPr>
              <w:t>16,500 </w:t>
            </w:r>
          </w:p>
        </w:tc>
        <w:tc>
          <w:tcPr>
            <w:tcW w:w="0" w:type="auto"/>
            <w:shd w:val="clear" w:color="auto" w:fill="CCEEFF"/>
            <w:tcMar>
              <w:top w:w="30" w:type="dxa"/>
              <w:left w:w="0" w:type="dxa"/>
              <w:bottom w:w="30" w:type="dxa"/>
              <w:right w:w="20" w:type="dxa"/>
            </w:tcMar>
            <w:vAlign w:val="bottom"/>
            <w:hideMark/>
          </w:tcPr>
          <w:p w14:paraId="717C5B1B" w14:textId="77777777" w:rsidR="00000000" w:rsidRDefault="000C49AD">
            <w:pPr>
              <w:spacing w:after="100"/>
              <w:jc w:val="right"/>
              <w:rPr>
                <w:rFonts w:eastAsia="Times New Roman"/>
              </w:rPr>
            </w:pPr>
          </w:p>
        </w:tc>
      </w:tr>
      <w:tr w:rsidR="00000000" w14:paraId="79CC3B26" w14:textId="77777777">
        <w:trPr>
          <w:divId w:val="476849390"/>
        </w:trPr>
        <w:tc>
          <w:tcPr>
            <w:tcW w:w="0" w:type="auto"/>
            <w:gridSpan w:val="3"/>
            <w:shd w:val="clear" w:color="auto" w:fill="FFFFFF"/>
            <w:tcMar>
              <w:top w:w="30" w:type="dxa"/>
              <w:left w:w="155" w:type="dxa"/>
              <w:bottom w:w="30" w:type="dxa"/>
              <w:right w:w="20" w:type="dxa"/>
            </w:tcMar>
            <w:vAlign w:val="bottom"/>
            <w:hideMark/>
          </w:tcPr>
          <w:p w14:paraId="46A27638" w14:textId="77777777" w:rsidR="00000000" w:rsidRDefault="000C49AD">
            <w:pPr>
              <w:spacing w:after="100"/>
              <w:rPr>
                <w:rFonts w:eastAsia="Times New Roman"/>
              </w:rPr>
            </w:pPr>
            <w:r>
              <w:rPr>
                <w:rFonts w:eastAsia="Times New Roman"/>
                <w:color w:val="000000"/>
                <w:sz w:val="18"/>
                <w:szCs w:val="18"/>
              </w:rPr>
              <w:t>Short-term deposit</w:t>
            </w:r>
          </w:p>
        </w:tc>
        <w:tc>
          <w:tcPr>
            <w:tcW w:w="0" w:type="auto"/>
            <w:gridSpan w:val="3"/>
            <w:shd w:val="clear" w:color="auto" w:fill="FFFFFF"/>
            <w:tcMar>
              <w:top w:w="0" w:type="dxa"/>
              <w:left w:w="20" w:type="dxa"/>
              <w:bottom w:w="0" w:type="dxa"/>
              <w:right w:w="20" w:type="dxa"/>
            </w:tcMar>
            <w:vAlign w:val="center"/>
            <w:hideMark/>
          </w:tcPr>
          <w:p w14:paraId="619E1D4E"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9D726CF"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DF8952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7E338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8CD89A" w14:textId="77777777" w:rsidR="00000000" w:rsidRDefault="000C49AD">
            <w:pPr>
              <w:spacing w:after="100"/>
              <w:jc w:val="right"/>
              <w:rPr>
                <w:rFonts w:eastAsia="Times New Roman"/>
              </w:rPr>
            </w:pPr>
            <w:r>
              <w:rPr>
                <w:rFonts w:eastAsia="Times New Roman"/>
                <w:color w:val="000000"/>
                <w:sz w:val="18"/>
                <w:szCs w:val="18"/>
              </w:rPr>
              <w:t>1,477 </w:t>
            </w:r>
          </w:p>
        </w:tc>
        <w:tc>
          <w:tcPr>
            <w:tcW w:w="0" w:type="auto"/>
            <w:shd w:val="clear" w:color="auto" w:fill="FFFFFF"/>
            <w:tcMar>
              <w:top w:w="30" w:type="dxa"/>
              <w:left w:w="0" w:type="dxa"/>
              <w:bottom w:w="30" w:type="dxa"/>
              <w:right w:w="20" w:type="dxa"/>
            </w:tcMar>
            <w:vAlign w:val="bottom"/>
            <w:hideMark/>
          </w:tcPr>
          <w:p w14:paraId="2E5E7C1D" w14:textId="77777777" w:rsidR="00000000" w:rsidRDefault="000C49AD">
            <w:pPr>
              <w:spacing w:after="100"/>
              <w:jc w:val="right"/>
              <w:rPr>
                <w:rFonts w:eastAsia="Times New Roman"/>
              </w:rPr>
            </w:pPr>
          </w:p>
        </w:tc>
      </w:tr>
      <w:tr w:rsidR="00000000" w14:paraId="5C5AF2BE" w14:textId="77777777">
        <w:trPr>
          <w:divId w:val="476849390"/>
        </w:trPr>
        <w:tc>
          <w:tcPr>
            <w:tcW w:w="0" w:type="auto"/>
            <w:gridSpan w:val="3"/>
            <w:shd w:val="clear" w:color="auto" w:fill="CCEEFF"/>
            <w:tcMar>
              <w:top w:w="30" w:type="dxa"/>
              <w:left w:w="245" w:type="dxa"/>
              <w:bottom w:w="30" w:type="dxa"/>
              <w:right w:w="20" w:type="dxa"/>
            </w:tcMar>
            <w:vAlign w:val="bottom"/>
            <w:hideMark/>
          </w:tcPr>
          <w:p w14:paraId="2B06201C" w14:textId="77777777" w:rsidR="00000000" w:rsidRDefault="000C49A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250A9D07"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36DAA1"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A6E181A" w14:textId="77777777" w:rsidR="00000000" w:rsidRDefault="000C49AD">
            <w:pPr>
              <w:spacing w:after="100"/>
              <w:jc w:val="right"/>
              <w:rPr>
                <w:rFonts w:eastAsia="Times New Roman"/>
              </w:rPr>
            </w:pPr>
            <w:r>
              <w:rPr>
                <w:rFonts w:eastAsia="Times New Roman"/>
                <w:color w:val="000000"/>
                <w:sz w:val="18"/>
                <w:szCs w:val="18"/>
              </w:rPr>
              <w:t>32,826 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9F471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77B059"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B5227F"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EF925A7" w14:textId="77777777" w:rsidR="00000000" w:rsidRDefault="000C49AD">
            <w:pPr>
              <w:spacing w:after="100"/>
              <w:jc w:val="right"/>
              <w:rPr>
                <w:rFonts w:eastAsia="Times New Roman"/>
              </w:rPr>
            </w:pPr>
            <w:r>
              <w:rPr>
                <w:rFonts w:eastAsia="Times New Roman"/>
                <w:color w:val="000000"/>
                <w:sz w:val="18"/>
                <w:szCs w:val="18"/>
              </w:rPr>
              <w:t>38,726 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261E09" w14:textId="77777777" w:rsidR="00000000" w:rsidRDefault="000C49AD">
            <w:pPr>
              <w:spacing w:after="100"/>
              <w:jc w:val="right"/>
              <w:rPr>
                <w:rFonts w:eastAsia="Times New Roman"/>
              </w:rPr>
            </w:pPr>
          </w:p>
        </w:tc>
      </w:tr>
    </w:tbl>
    <w:p w14:paraId="281F5B0F" w14:textId="77777777" w:rsidR="00000000" w:rsidRDefault="000C49AD">
      <w:pPr>
        <w:jc w:val="both"/>
        <w:divId w:val="1436515581"/>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0"/>
        <w:gridCol w:w="1328"/>
        <w:gridCol w:w="36"/>
      </w:tblGrid>
      <w:tr w:rsidR="00000000" w14:paraId="2F5DDEA0" w14:textId="77777777">
        <w:tc>
          <w:tcPr>
            <w:tcW w:w="50" w:type="pct"/>
            <w:vAlign w:val="center"/>
            <w:hideMark/>
          </w:tcPr>
          <w:p w14:paraId="55F527D6" w14:textId="77777777" w:rsidR="00000000" w:rsidRDefault="000C49AD">
            <w:pPr>
              <w:jc w:val="both"/>
              <w:rPr>
                <w:rFonts w:eastAsia="Times New Roman"/>
              </w:rPr>
            </w:pPr>
          </w:p>
        </w:tc>
        <w:tc>
          <w:tcPr>
            <w:tcW w:w="3070" w:type="pct"/>
            <w:vAlign w:val="center"/>
            <w:hideMark/>
          </w:tcPr>
          <w:p w14:paraId="39063155" w14:textId="77777777" w:rsidR="00000000" w:rsidRDefault="000C49AD">
            <w:pPr>
              <w:spacing w:after="100"/>
              <w:rPr>
                <w:rFonts w:eastAsia="Times New Roman"/>
                <w:sz w:val="20"/>
                <w:szCs w:val="20"/>
              </w:rPr>
            </w:pPr>
          </w:p>
        </w:tc>
        <w:tc>
          <w:tcPr>
            <w:tcW w:w="5" w:type="pct"/>
            <w:vAlign w:val="center"/>
            <w:hideMark/>
          </w:tcPr>
          <w:p w14:paraId="3D9F55A2" w14:textId="77777777" w:rsidR="00000000" w:rsidRDefault="000C49AD">
            <w:pPr>
              <w:spacing w:after="100"/>
              <w:rPr>
                <w:rFonts w:eastAsia="Times New Roman"/>
                <w:sz w:val="20"/>
                <w:szCs w:val="20"/>
              </w:rPr>
            </w:pPr>
          </w:p>
        </w:tc>
        <w:tc>
          <w:tcPr>
            <w:tcW w:w="5" w:type="pct"/>
            <w:vAlign w:val="center"/>
            <w:hideMark/>
          </w:tcPr>
          <w:p w14:paraId="24A4F3D5" w14:textId="77777777" w:rsidR="00000000" w:rsidRDefault="000C49AD">
            <w:pPr>
              <w:spacing w:after="100"/>
              <w:rPr>
                <w:rFonts w:eastAsia="Times New Roman"/>
                <w:sz w:val="20"/>
                <w:szCs w:val="20"/>
              </w:rPr>
            </w:pPr>
          </w:p>
        </w:tc>
        <w:tc>
          <w:tcPr>
            <w:tcW w:w="26" w:type="pct"/>
            <w:vAlign w:val="center"/>
            <w:hideMark/>
          </w:tcPr>
          <w:p w14:paraId="672AECE5" w14:textId="77777777" w:rsidR="00000000" w:rsidRDefault="000C49AD">
            <w:pPr>
              <w:spacing w:after="100"/>
              <w:rPr>
                <w:rFonts w:eastAsia="Times New Roman"/>
                <w:sz w:val="20"/>
                <w:szCs w:val="20"/>
              </w:rPr>
            </w:pPr>
          </w:p>
        </w:tc>
        <w:tc>
          <w:tcPr>
            <w:tcW w:w="5" w:type="pct"/>
            <w:vAlign w:val="center"/>
            <w:hideMark/>
          </w:tcPr>
          <w:p w14:paraId="74CF0812" w14:textId="77777777" w:rsidR="00000000" w:rsidRDefault="000C49AD">
            <w:pPr>
              <w:spacing w:after="100"/>
              <w:rPr>
                <w:rFonts w:eastAsia="Times New Roman"/>
                <w:sz w:val="20"/>
                <w:szCs w:val="20"/>
              </w:rPr>
            </w:pPr>
          </w:p>
        </w:tc>
        <w:tc>
          <w:tcPr>
            <w:tcW w:w="50" w:type="pct"/>
            <w:vAlign w:val="center"/>
            <w:hideMark/>
          </w:tcPr>
          <w:p w14:paraId="4575968C" w14:textId="77777777" w:rsidR="00000000" w:rsidRDefault="000C49AD">
            <w:pPr>
              <w:spacing w:after="100"/>
              <w:rPr>
                <w:rFonts w:eastAsia="Times New Roman"/>
                <w:sz w:val="20"/>
                <w:szCs w:val="20"/>
              </w:rPr>
            </w:pPr>
          </w:p>
        </w:tc>
        <w:tc>
          <w:tcPr>
            <w:tcW w:w="845" w:type="pct"/>
            <w:vAlign w:val="center"/>
            <w:hideMark/>
          </w:tcPr>
          <w:p w14:paraId="4B1D4403" w14:textId="77777777" w:rsidR="00000000" w:rsidRDefault="000C49AD">
            <w:pPr>
              <w:spacing w:after="100"/>
              <w:rPr>
                <w:rFonts w:eastAsia="Times New Roman"/>
                <w:sz w:val="20"/>
                <w:szCs w:val="20"/>
              </w:rPr>
            </w:pPr>
          </w:p>
        </w:tc>
        <w:tc>
          <w:tcPr>
            <w:tcW w:w="5" w:type="pct"/>
            <w:vAlign w:val="center"/>
            <w:hideMark/>
          </w:tcPr>
          <w:p w14:paraId="3CC7080C" w14:textId="77777777" w:rsidR="00000000" w:rsidRDefault="000C49AD">
            <w:pPr>
              <w:spacing w:after="100"/>
              <w:rPr>
                <w:rFonts w:eastAsia="Times New Roman"/>
                <w:sz w:val="20"/>
                <w:szCs w:val="20"/>
              </w:rPr>
            </w:pPr>
          </w:p>
        </w:tc>
        <w:tc>
          <w:tcPr>
            <w:tcW w:w="5" w:type="pct"/>
            <w:vAlign w:val="center"/>
            <w:hideMark/>
          </w:tcPr>
          <w:p w14:paraId="3A8C8FD9" w14:textId="77777777" w:rsidR="00000000" w:rsidRDefault="000C49AD">
            <w:pPr>
              <w:spacing w:after="100"/>
              <w:rPr>
                <w:rFonts w:eastAsia="Times New Roman"/>
                <w:sz w:val="20"/>
                <w:szCs w:val="20"/>
              </w:rPr>
            </w:pPr>
          </w:p>
        </w:tc>
        <w:tc>
          <w:tcPr>
            <w:tcW w:w="26" w:type="pct"/>
            <w:vAlign w:val="center"/>
            <w:hideMark/>
          </w:tcPr>
          <w:p w14:paraId="3D77495B" w14:textId="77777777" w:rsidR="00000000" w:rsidRDefault="000C49AD">
            <w:pPr>
              <w:spacing w:after="100"/>
              <w:rPr>
                <w:rFonts w:eastAsia="Times New Roman"/>
                <w:sz w:val="20"/>
                <w:szCs w:val="20"/>
              </w:rPr>
            </w:pPr>
          </w:p>
        </w:tc>
        <w:tc>
          <w:tcPr>
            <w:tcW w:w="5" w:type="pct"/>
            <w:vAlign w:val="center"/>
            <w:hideMark/>
          </w:tcPr>
          <w:p w14:paraId="2445F383" w14:textId="77777777" w:rsidR="00000000" w:rsidRDefault="000C49AD">
            <w:pPr>
              <w:spacing w:after="100"/>
              <w:rPr>
                <w:rFonts w:eastAsia="Times New Roman"/>
                <w:sz w:val="20"/>
                <w:szCs w:val="20"/>
              </w:rPr>
            </w:pPr>
          </w:p>
        </w:tc>
        <w:tc>
          <w:tcPr>
            <w:tcW w:w="50" w:type="pct"/>
            <w:vAlign w:val="center"/>
            <w:hideMark/>
          </w:tcPr>
          <w:p w14:paraId="2A9BBF0F" w14:textId="77777777" w:rsidR="00000000" w:rsidRDefault="000C49AD">
            <w:pPr>
              <w:spacing w:after="100"/>
              <w:rPr>
                <w:rFonts w:eastAsia="Times New Roman"/>
                <w:sz w:val="20"/>
                <w:szCs w:val="20"/>
              </w:rPr>
            </w:pPr>
          </w:p>
        </w:tc>
        <w:tc>
          <w:tcPr>
            <w:tcW w:w="845" w:type="pct"/>
            <w:vAlign w:val="center"/>
            <w:hideMark/>
          </w:tcPr>
          <w:p w14:paraId="33FD6D74" w14:textId="77777777" w:rsidR="00000000" w:rsidRDefault="000C49AD">
            <w:pPr>
              <w:spacing w:after="100"/>
              <w:rPr>
                <w:rFonts w:eastAsia="Times New Roman"/>
                <w:sz w:val="20"/>
                <w:szCs w:val="20"/>
              </w:rPr>
            </w:pPr>
          </w:p>
        </w:tc>
        <w:tc>
          <w:tcPr>
            <w:tcW w:w="5" w:type="pct"/>
            <w:vAlign w:val="center"/>
            <w:hideMark/>
          </w:tcPr>
          <w:p w14:paraId="1C5CCE2A" w14:textId="77777777" w:rsidR="00000000" w:rsidRDefault="000C49AD">
            <w:pPr>
              <w:spacing w:after="100"/>
              <w:rPr>
                <w:rFonts w:eastAsia="Times New Roman"/>
                <w:sz w:val="20"/>
                <w:szCs w:val="20"/>
              </w:rPr>
            </w:pPr>
          </w:p>
        </w:tc>
      </w:tr>
      <w:tr w:rsidR="00000000" w14:paraId="553782DD" w14:textId="77777777">
        <w:tc>
          <w:tcPr>
            <w:tcW w:w="0" w:type="auto"/>
            <w:gridSpan w:val="3"/>
            <w:tcMar>
              <w:top w:w="30" w:type="dxa"/>
              <w:left w:w="20" w:type="dxa"/>
              <w:bottom w:w="30" w:type="dxa"/>
              <w:right w:w="20" w:type="dxa"/>
            </w:tcMar>
            <w:vAlign w:val="bottom"/>
            <w:hideMark/>
          </w:tcPr>
          <w:p w14:paraId="3F3270E6" w14:textId="77777777" w:rsidR="00000000" w:rsidRDefault="000C49AD">
            <w:pPr>
              <w:spacing w:after="100"/>
              <w:rPr>
                <w:rFonts w:eastAsia="Times New Roman"/>
              </w:rPr>
            </w:pPr>
            <w:r>
              <w:rPr>
                <w:rFonts w:eastAsia="Times New Roman"/>
                <w:b/>
                <w:bCs/>
                <w:color w:val="000000"/>
                <w:sz w:val="18"/>
                <w:szCs w:val="18"/>
              </w:rPr>
              <w:t>Other Non-Current Assets:</w:t>
            </w:r>
          </w:p>
        </w:tc>
        <w:tc>
          <w:tcPr>
            <w:tcW w:w="0" w:type="auto"/>
            <w:gridSpan w:val="3"/>
            <w:tcMar>
              <w:top w:w="0" w:type="dxa"/>
              <w:left w:w="20" w:type="dxa"/>
              <w:bottom w:w="0" w:type="dxa"/>
              <w:right w:w="20" w:type="dxa"/>
            </w:tcMar>
            <w:vAlign w:val="center"/>
            <w:hideMark/>
          </w:tcPr>
          <w:p w14:paraId="0D21FA0E"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6B829E09"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0CF5ACE5"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F676C7" w14:textId="77777777" w:rsidR="00000000" w:rsidRDefault="000C49AD">
            <w:pPr>
              <w:spacing w:after="100"/>
              <w:jc w:val="center"/>
              <w:rPr>
                <w:rFonts w:eastAsia="Times New Roman"/>
              </w:rPr>
            </w:pPr>
            <w:r>
              <w:rPr>
                <w:rFonts w:eastAsia="Times New Roman"/>
                <w:b/>
                <w:bCs/>
                <w:color w:val="000000"/>
                <w:sz w:val="18"/>
                <w:szCs w:val="18"/>
              </w:rPr>
              <w:t>2020</w:t>
            </w:r>
          </w:p>
        </w:tc>
      </w:tr>
      <w:tr w:rsidR="00000000" w14:paraId="57485695"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4DA43891"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301AFC2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6491A9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8E27AB"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94748F" w14:textId="77777777" w:rsidR="00000000" w:rsidRDefault="000C49AD">
            <w:pPr>
              <w:spacing w:after="100"/>
              <w:rPr>
                <w:rFonts w:eastAsia="Times New Roman"/>
                <w:sz w:val="20"/>
                <w:szCs w:val="20"/>
              </w:rPr>
            </w:pPr>
          </w:p>
        </w:tc>
      </w:tr>
      <w:tr w:rsidR="00000000" w14:paraId="5F576AC5" w14:textId="77777777">
        <w:tc>
          <w:tcPr>
            <w:tcW w:w="0" w:type="auto"/>
            <w:gridSpan w:val="3"/>
            <w:shd w:val="clear" w:color="auto" w:fill="CCEEFF"/>
            <w:tcMar>
              <w:top w:w="30" w:type="dxa"/>
              <w:left w:w="20" w:type="dxa"/>
              <w:bottom w:w="30" w:type="dxa"/>
              <w:right w:w="20" w:type="dxa"/>
            </w:tcMar>
            <w:vAlign w:val="bottom"/>
            <w:hideMark/>
          </w:tcPr>
          <w:p w14:paraId="0D2E7AA8" w14:textId="77777777" w:rsidR="00000000" w:rsidRDefault="000C49AD">
            <w:pPr>
              <w:spacing w:after="100"/>
              <w:divId w:val="797190625"/>
              <w:rPr>
                <w:rFonts w:eastAsia="Times New Roman"/>
              </w:rPr>
            </w:pPr>
            <w:r>
              <w:rPr>
                <w:rFonts w:eastAsia="Times New Roman"/>
                <w:color w:val="000000"/>
                <w:sz w:val="18"/>
                <w:szCs w:val="18"/>
              </w:rPr>
              <w:t xml:space="preserve">Deferred tax assets (see </w:t>
            </w:r>
            <w:r>
              <w:rPr>
                <w:rFonts w:eastAsia="Times New Roman"/>
                <w:i/>
                <w:iCs/>
                <w:color w:val="000000"/>
                <w:sz w:val="18"/>
                <w:szCs w:val="18"/>
              </w:rPr>
              <w:t>Note 13</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4B24416B"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8EE7D2A"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0447F31" w14:textId="77777777" w:rsidR="00000000" w:rsidRDefault="000C49AD">
            <w:pPr>
              <w:spacing w:after="100"/>
              <w:jc w:val="right"/>
              <w:rPr>
                <w:rFonts w:eastAsia="Times New Roman"/>
              </w:rPr>
            </w:pPr>
            <w:r>
              <w:rPr>
                <w:rFonts w:eastAsia="Times New Roman"/>
                <w:color w:val="000000"/>
                <w:sz w:val="18"/>
                <w:szCs w:val="18"/>
              </w:rPr>
              <w:t>24,128 </w:t>
            </w:r>
          </w:p>
        </w:tc>
        <w:tc>
          <w:tcPr>
            <w:tcW w:w="0" w:type="auto"/>
            <w:shd w:val="clear" w:color="auto" w:fill="CCEEFF"/>
            <w:tcMar>
              <w:top w:w="30" w:type="dxa"/>
              <w:left w:w="0" w:type="dxa"/>
              <w:bottom w:w="30" w:type="dxa"/>
              <w:right w:w="20" w:type="dxa"/>
            </w:tcMar>
            <w:vAlign w:val="bottom"/>
            <w:hideMark/>
          </w:tcPr>
          <w:p w14:paraId="5ED0207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B4342"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0D0402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038DCEB" w14:textId="77777777" w:rsidR="00000000" w:rsidRDefault="000C49AD">
            <w:pPr>
              <w:spacing w:after="100"/>
              <w:jc w:val="right"/>
              <w:rPr>
                <w:rFonts w:eastAsia="Times New Roman"/>
              </w:rPr>
            </w:pPr>
            <w:r>
              <w:rPr>
                <w:rFonts w:eastAsia="Times New Roman"/>
                <w:color w:val="000000"/>
                <w:sz w:val="18"/>
                <w:szCs w:val="18"/>
              </w:rPr>
              <w:t>18,256 </w:t>
            </w:r>
          </w:p>
        </w:tc>
        <w:tc>
          <w:tcPr>
            <w:tcW w:w="0" w:type="auto"/>
            <w:shd w:val="clear" w:color="auto" w:fill="CCEEFF"/>
            <w:tcMar>
              <w:top w:w="30" w:type="dxa"/>
              <w:left w:w="0" w:type="dxa"/>
              <w:bottom w:w="30" w:type="dxa"/>
              <w:right w:w="20" w:type="dxa"/>
            </w:tcMar>
            <w:vAlign w:val="bottom"/>
            <w:hideMark/>
          </w:tcPr>
          <w:p w14:paraId="508026A5" w14:textId="77777777" w:rsidR="00000000" w:rsidRDefault="000C49AD">
            <w:pPr>
              <w:spacing w:after="100"/>
              <w:jc w:val="right"/>
              <w:rPr>
                <w:rFonts w:eastAsia="Times New Roman"/>
              </w:rPr>
            </w:pPr>
          </w:p>
        </w:tc>
      </w:tr>
      <w:tr w:rsidR="00000000" w14:paraId="43E5CAE4" w14:textId="77777777">
        <w:tc>
          <w:tcPr>
            <w:tcW w:w="0" w:type="auto"/>
            <w:gridSpan w:val="3"/>
            <w:shd w:val="clear" w:color="auto" w:fill="FFFFFF"/>
            <w:tcMar>
              <w:top w:w="30" w:type="dxa"/>
              <w:left w:w="155" w:type="dxa"/>
              <w:bottom w:w="30" w:type="dxa"/>
              <w:right w:w="20" w:type="dxa"/>
            </w:tcMar>
            <w:vAlign w:val="bottom"/>
            <w:hideMark/>
          </w:tcPr>
          <w:p w14:paraId="37A7F7CF" w14:textId="77777777" w:rsidR="00000000" w:rsidRDefault="000C49AD">
            <w:pPr>
              <w:spacing w:after="100"/>
              <w:rPr>
                <w:rFonts w:eastAsia="Times New Roman"/>
              </w:rPr>
            </w:pPr>
            <w:r>
              <w:rPr>
                <w:rFonts w:eastAsia="Times New Roman"/>
                <w:color w:val="000000"/>
                <w:sz w:val="18"/>
                <w:szCs w:val="18"/>
              </w:rPr>
              <w:t>Right of use assets at contract manufacturing organizations</w:t>
            </w:r>
          </w:p>
        </w:tc>
        <w:tc>
          <w:tcPr>
            <w:tcW w:w="0" w:type="auto"/>
            <w:gridSpan w:val="3"/>
            <w:shd w:val="clear" w:color="auto" w:fill="FFFFFF"/>
            <w:tcMar>
              <w:top w:w="0" w:type="dxa"/>
              <w:left w:w="20" w:type="dxa"/>
              <w:bottom w:w="0" w:type="dxa"/>
              <w:right w:w="20" w:type="dxa"/>
            </w:tcMar>
            <w:vAlign w:val="center"/>
            <w:hideMark/>
          </w:tcPr>
          <w:p w14:paraId="41DA9DC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AE3FCD6" w14:textId="77777777" w:rsidR="00000000" w:rsidRDefault="000C49AD">
            <w:pPr>
              <w:spacing w:after="100"/>
              <w:jc w:val="right"/>
              <w:rPr>
                <w:rFonts w:eastAsia="Times New Roman"/>
              </w:rPr>
            </w:pPr>
            <w:r>
              <w:rPr>
                <w:rFonts w:eastAsia="Times New Roman"/>
                <w:color w:val="000000"/>
                <w:sz w:val="18"/>
                <w:szCs w:val="18"/>
              </w:rPr>
              <w:t>8,549 </w:t>
            </w:r>
          </w:p>
        </w:tc>
        <w:tc>
          <w:tcPr>
            <w:tcW w:w="0" w:type="auto"/>
            <w:shd w:val="clear" w:color="auto" w:fill="FFFFFF"/>
            <w:tcMar>
              <w:top w:w="30" w:type="dxa"/>
              <w:left w:w="0" w:type="dxa"/>
              <w:bottom w:w="30" w:type="dxa"/>
              <w:right w:w="20" w:type="dxa"/>
            </w:tcMar>
            <w:vAlign w:val="bottom"/>
            <w:hideMark/>
          </w:tcPr>
          <w:p w14:paraId="17678F4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EFB80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73072E" w14:textId="77777777" w:rsidR="00000000" w:rsidRDefault="000C49AD">
            <w:pPr>
              <w:spacing w:after="100"/>
              <w:jc w:val="right"/>
              <w:rPr>
                <w:rFonts w:eastAsia="Times New Roman"/>
              </w:rPr>
            </w:pPr>
            <w:r>
              <w:rPr>
                <w:rFonts w:eastAsia="Times New Roman"/>
                <w:color w:val="000000"/>
                <w:sz w:val="18"/>
                <w:szCs w:val="18"/>
              </w:rPr>
              <w:t>5,201 </w:t>
            </w:r>
          </w:p>
        </w:tc>
        <w:tc>
          <w:tcPr>
            <w:tcW w:w="0" w:type="auto"/>
            <w:shd w:val="clear" w:color="auto" w:fill="FFFFFF"/>
            <w:tcMar>
              <w:top w:w="30" w:type="dxa"/>
              <w:left w:w="0" w:type="dxa"/>
              <w:bottom w:w="30" w:type="dxa"/>
              <w:right w:w="20" w:type="dxa"/>
            </w:tcMar>
            <w:vAlign w:val="bottom"/>
            <w:hideMark/>
          </w:tcPr>
          <w:p w14:paraId="2CE763A0" w14:textId="77777777" w:rsidR="00000000" w:rsidRDefault="000C49AD">
            <w:pPr>
              <w:spacing w:after="100"/>
              <w:jc w:val="right"/>
              <w:rPr>
                <w:rFonts w:eastAsia="Times New Roman"/>
              </w:rPr>
            </w:pPr>
          </w:p>
        </w:tc>
      </w:tr>
      <w:tr w:rsidR="00000000" w14:paraId="539855DB" w14:textId="77777777">
        <w:tc>
          <w:tcPr>
            <w:tcW w:w="0" w:type="auto"/>
            <w:gridSpan w:val="3"/>
            <w:shd w:val="clear" w:color="auto" w:fill="CCEEFF"/>
            <w:tcMar>
              <w:top w:w="30" w:type="dxa"/>
              <w:left w:w="155" w:type="dxa"/>
              <w:bottom w:w="30" w:type="dxa"/>
              <w:right w:w="20" w:type="dxa"/>
            </w:tcMar>
            <w:vAlign w:val="bottom"/>
            <w:hideMark/>
          </w:tcPr>
          <w:p w14:paraId="61A55788" w14:textId="77777777" w:rsidR="00000000" w:rsidRDefault="000C49AD">
            <w:pPr>
              <w:spacing w:after="100"/>
              <w:rPr>
                <w:rFonts w:eastAsia="Times New Roman"/>
              </w:rPr>
            </w:pPr>
            <w:r>
              <w:rPr>
                <w:rFonts w:eastAsia="Times New Roman"/>
                <w:color w:val="000000"/>
                <w:sz w:val="18"/>
                <w:szCs w:val="18"/>
              </w:rPr>
              <w:t>Guarantee from Armistice</w:t>
            </w:r>
          </w:p>
        </w:tc>
        <w:tc>
          <w:tcPr>
            <w:tcW w:w="0" w:type="auto"/>
            <w:gridSpan w:val="3"/>
            <w:shd w:val="clear" w:color="auto" w:fill="CCEEFF"/>
            <w:tcMar>
              <w:top w:w="0" w:type="dxa"/>
              <w:left w:w="20" w:type="dxa"/>
              <w:bottom w:w="0" w:type="dxa"/>
              <w:right w:w="20" w:type="dxa"/>
            </w:tcMar>
            <w:vAlign w:val="center"/>
            <w:hideMark/>
          </w:tcPr>
          <w:p w14:paraId="1F1BD9EB"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A83DA3A" w14:textId="77777777" w:rsidR="00000000" w:rsidRDefault="000C49AD">
            <w:pPr>
              <w:spacing w:after="100"/>
              <w:jc w:val="right"/>
              <w:rPr>
                <w:rFonts w:eastAsia="Times New Roman"/>
              </w:rPr>
            </w:pPr>
            <w:r>
              <w:rPr>
                <w:rFonts w:eastAsia="Times New Roman"/>
                <w:color w:val="000000"/>
                <w:sz w:val="18"/>
                <w:szCs w:val="18"/>
              </w:rPr>
              <w:t>771 </w:t>
            </w:r>
          </w:p>
        </w:tc>
        <w:tc>
          <w:tcPr>
            <w:tcW w:w="0" w:type="auto"/>
            <w:shd w:val="clear" w:color="auto" w:fill="CCEEFF"/>
            <w:tcMar>
              <w:top w:w="30" w:type="dxa"/>
              <w:left w:w="0" w:type="dxa"/>
              <w:bottom w:w="30" w:type="dxa"/>
              <w:right w:w="20" w:type="dxa"/>
            </w:tcMar>
            <w:vAlign w:val="bottom"/>
            <w:hideMark/>
          </w:tcPr>
          <w:p w14:paraId="7F578BF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1FCC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ACA49" w14:textId="77777777" w:rsidR="00000000" w:rsidRDefault="000C49AD">
            <w:pPr>
              <w:spacing w:after="100"/>
              <w:jc w:val="right"/>
              <w:rPr>
                <w:rFonts w:eastAsia="Times New Roman"/>
              </w:rPr>
            </w:pPr>
            <w:r>
              <w:rPr>
                <w:rFonts w:eastAsia="Times New Roman"/>
                <w:color w:val="000000"/>
                <w:sz w:val="18"/>
                <w:szCs w:val="18"/>
              </w:rPr>
              <w:t>1,050 </w:t>
            </w:r>
          </w:p>
        </w:tc>
        <w:tc>
          <w:tcPr>
            <w:tcW w:w="0" w:type="auto"/>
            <w:shd w:val="clear" w:color="auto" w:fill="CCEEFF"/>
            <w:tcMar>
              <w:top w:w="30" w:type="dxa"/>
              <w:left w:w="0" w:type="dxa"/>
              <w:bottom w:w="30" w:type="dxa"/>
              <w:right w:w="20" w:type="dxa"/>
            </w:tcMar>
            <w:vAlign w:val="bottom"/>
            <w:hideMark/>
          </w:tcPr>
          <w:p w14:paraId="14DF3F9E" w14:textId="77777777" w:rsidR="00000000" w:rsidRDefault="000C49AD">
            <w:pPr>
              <w:spacing w:after="100"/>
              <w:jc w:val="right"/>
              <w:rPr>
                <w:rFonts w:eastAsia="Times New Roman"/>
              </w:rPr>
            </w:pPr>
          </w:p>
        </w:tc>
      </w:tr>
      <w:tr w:rsidR="00000000" w14:paraId="33AEAE10" w14:textId="77777777">
        <w:tc>
          <w:tcPr>
            <w:tcW w:w="0" w:type="auto"/>
            <w:gridSpan w:val="3"/>
            <w:vAlign w:val="center"/>
            <w:hideMark/>
          </w:tcPr>
          <w:p w14:paraId="16229B03" w14:textId="77777777" w:rsidR="00000000" w:rsidRDefault="000C49AD">
            <w:pPr>
              <w:spacing w:after="100"/>
              <w:jc w:val="right"/>
              <w:rPr>
                <w:rFonts w:eastAsia="Times New Roman"/>
                <w:sz w:val="20"/>
                <w:szCs w:val="20"/>
              </w:rPr>
            </w:pPr>
          </w:p>
        </w:tc>
        <w:tc>
          <w:tcPr>
            <w:tcW w:w="0" w:type="auto"/>
            <w:gridSpan w:val="3"/>
            <w:vAlign w:val="center"/>
            <w:hideMark/>
          </w:tcPr>
          <w:p w14:paraId="48A17D82" w14:textId="77777777" w:rsidR="00000000" w:rsidRDefault="000C49AD">
            <w:pPr>
              <w:spacing w:after="100"/>
              <w:rPr>
                <w:rFonts w:eastAsia="Times New Roman"/>
                <w:sz w:val="20"/>
                <w:szCs w:val="20"/>
              </w:rPr>
            </w:pPr>
          </w:p>
        </w:tc>
        <w:tc>
          <w:tcPr>
            <w:tcW w:w="0" w:type="auto"/>
            <w:gridSpan w:val="3"/>
            <w:vAlign w:val="center"/>
            <w:hideMark/>
          </w:tcPr>
          <w:p w14:paraId="7658BFA3" w14:textId="77777777" w:rsidR="00000000" w:rsidRDefault="000C49AD">
            <w:pPr>
              <w:spacing w:after="100"/>
              <w:rPr>
                <w:rFonts w:eastAsia="Times New Roman"/>
                <w:sz w:val="20"/>
                <w:szCs w:val="20"/>
              </w:rPr>
            </w:pPr>
          </w:p>
        </w:tc>
        <w:tc>
          <w:tcPr>
            <w:tcW w:w="0" w:type="auto"/>
            <w:gridSpan w:val="3"/>
            <w:vAlign w:val="center"/>
            <w:hideMark/>
          </w:tcPr>
          <w:p w14:paraId="45BCC122" w14:textId="77777777" w:rsidR="00000000" w:rsidRDefault="000C49AD">
            <w:pPr>
              <w:spacing w:after="100"/>
              <w:rPr>
                <w:rFonts w:eastAsia="Times New Roman"/>
                <w:sz w:val="20"/>
                <w:szCs w:val="20"/>
              </w:rPr>
            </w:pPr>
          </w:p>
        </w:tc>
        <w:tc>
          <w:tcPr>
            <w:tcW w:w="0" w:type="auto"/>
            <w:gridSpan w:val="3"/>
            <w:vAlign w:val="center"/>
            <w:hideMark/>
          </w:tcPr>
          <w:p w14:paraId="754A04FF" w14:textId="77777777" w:rsidR="00000000" w:rsidRDefault="000C49AD">
            <w:pPr>
              <w:spacing w:after="100"/>
              <w:rPr>
                <w:rFonts w:eastAsia="Times New Roman"/>
                <w:sz w:val="20"/>
                <w:szCs w:val="20"/>
              </w:rPr>
            </w:pPr>
          </w:p>
        </w:tc>
      </w:tr>
      <w:tr w:rsidR="00000000" w14:paraId="6A8290DD" w14:textId="77777777">
        <w:tc>
          <w:tcPr>
            <w:tcW w:w="0" w:type="auto"/>
            <w:gridSpan w:val="3"/>
            <w:shd w:val="clear" w:color="auto" w:fill="FFFFFF"/>
            <w:tcMar>
              <w:top w:w="30" w:type="dxa"/>
              <w:left w:w="155" w:type="dxa"/>
              <w:bottom w:w="30" w:type="dxa"/>
              <w:right w:w="20" w:type="dxa"/>
            </w:tcMar>
            <w:vAlign w:val="bottom"/>
            <w:hideMark/>
          </w:tcPr>
          <w:p w14:paraId="4F58665E" w14:textId="77777777" w:rsidR="00000000" w:rsidRDefault="000C49AD">
            <w:pPr>
              <w:spacing w:after="100"/>
              <w:rPr>
                <w:rFonts w:eastAsia="Times New Roman"/>
              </w:rPr>
            </w:pPr>
            <w:r>
              <w:rPr>
                <w:rFonts w:eastAsia="Times New Roman"/>
                <w:color w:val="000000"/>
                <w:sz w:val="18"/>
                <w:szCs w:val="18"/>
              </w:rPr>
              <w:t>Other</w:t>
            </w:r>
          </w:p>
        </w:tc>
        <w:tc>
          <w:tcPr>
            <w:tcW w:w="0" w:type="auto"/>
            <w:gridSpan w:val="3"/>
            <w:shd w:val="clear" w:color="auto" w:fill="FFFFFF"/>
            <w:tcMar>
              <w:top w:w="0" w:type="dxa"/>
              <w:left w:w="20" w:type="dxa"/>
              <w:bottom w:w="0" w:type="dxa"/>
              <w:right w:w="20" w:type="dxa"/>
            </w:tcMar>
            <w:vAlign w:val="center"/>
            <w:hideMark/>
          </w:tcPr>
          <w:p w14:paraId="0D5BF3BA"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A1D64D" w14:textId="77777777" w:rsidR="00000000" w:rsidRDefault="000C49AD">
            <w:pPr>
              <w:spacing w:after="100"/>
              <w:jc w:val="right"/>
              <w:rPr>
                <w:rFonts w:eastAsia="Times New Roman"/>
              </w:rPr>
            </w:pPr>
            <w:r>
              <w:rPr>
                <w:rFonts w:eastAsia="Times New Roman"/>
                <w:color w:val="000000"/>
                <w:sz w:val="18"/>
                <w:szCs w:val="18"/>
              </w:rPr>
              <w:t>329 </w:t>
            </w:r>
          </w:p>
        </w:tc>
        <w:tc>
          <w:tcPr>
            <w:tcW w:w="0" w:type="auto"/>
            <w:shd w:val="clear" w:color="auto" w:fill="FFFFFF"/>
            <w:tcMar>
              <w:top w:w="30" w:type="dxa"/>
              <w:left w:w="0" w:type="dxa"/>
              <w:bottom w:w="30" w:type="dxa"/>
              <w:right w:w="20" w:type="dxa"/>
            </w:tcMar>
            <w:vAlign w:val="bottom"/>
            <w:hideMark/>
          </w:tcPr>
          <w:p w14:paraId="2AA7168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16EDC3"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AC33B1" w14:textId="77777777" w:rsidR="00000000" w:rsidRDefault="000C49AD">
            <w:pPr>
              <w:spacing w:after="100"/>
              <w:jc w:val="right"/>
              <w:rPr>
                <w:rFonts w:eastAsia="Times New Roman"/>
              </w:rPr>
            </w:pPr>
            <w:r>
              <w:rPr>
                <w:rFonts w:eastAsia="Times New Roman"/>
                <w:color w:val="000000"/>
                <w:sz w:val="18"/>
                <w:szCs w:val="18"/>
              </w:rPr>
              <w:t>432 </w:t>
            </w:r>
          </w:p>
        </w:tc>
        <w:tc>
          <w:tcPr>
            <w:tcW w:w="0" w:type="auto"/>
            <w:shd w:val="clear" w:color="auto" w:fill="FFFFFF"/>
            <w:tcMar>
              <w:top w:w="30" w:type="dxa"/>
              <w:left w:w="0" w:type="dxa"/>
              <w:bottom w:w="30" w:type="dxa"/>
              <w:right w:w="20" w:type="dxa"/>
            </w:tcMar>
            <w:vAlign w:val="bottom"/>
            <w:hideMark/>
          </w:tcPr>
          <w:p w14:paraId="6A48160B" w14:textId="77777777" w:rsidR="00000000" w:rsidRDefault="000C49AD">
            <w:pPr>
              <w:spacing w:after="100"/>
              <w:jc w:val="right"/>
              <w:rPr>
                <w:rFonts w:eastAsia="Times New Roman"/>
              </w:rPr>
            </w:pPr>
          </w:p>
        </w:tc>
      </w:tr>
      <w:tr w:rsidR="00000000" w14:paraId="02E9A960" w14:textId="77777777">
        <w:tc>
          <w:tcPr>
            <w:tcW w:w="0" w:type="auto"/>
            <w:gridSpan w:val="3"/>
            <w:shd w:val="clear" w:color="auto" w:fill="CCEEFF"/>
            <w:tcMar>
              <w:top w:w="30" w:type="dxa"/>
              <w:left w:w="20" w:type="dxa"/>
              <w:bottom w:w="30" w:type="dxa"/>
              <w:right w:w="20" w:type="dxa"/>
            </w:tcMar>
            <w:vAlign w:val="bottom"/>
            <w:hideMark/>
          </w:tcPr>
          <w:p w14:paraId="2DFC6B91" w14:textId="77777777" w:rsidR="00000000" w:rsidRDefault="000C49AD">
            <w:pPr>
              <w:spacing w:after="100"/>
              <w:divId w:val="561865406"/>
              <w:rPr>
                <w:rFonts w:eastAsia="Times New Roman"/>
              </w:rPr>
            </w:pPr>
            <w:r>
              <w:rPr>
                <w:rFonts w:eastAsia="Times New Roman"/>
                <w:color w:val="000000"/>
                <w:sz w:val="18"/>
                <w:szCs w:val="18"/>
              </w:rPr>
              <w:t xml:space="preserve">Total </w:t>
            </w:r>
            <w:r>
              <w:rPr>
                <w:rFonts w:eastAsia="Times New Roman"/>
                <w:b/>
                <w:bCs/>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7B76820"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2227448"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D3D422" w14:textId="77777777" w:rsidR="00000000" w:rsidRDefault="000C49AD">
            <w:pPr>
              <w:spacing w:after="100"/>
              <w:jc w:val="right"/>
              <w:rPr>
                <w:rFonts w:eastAsia="Times New Roman"/>
              </w:rPr>
            </w:pPr>
            <w:r>
              <w:rPr>
                <w:rFonts w:eastAsia="Times New Roman"/>
                <w:color w:val="000000"/>
                <w:sz w:val="18"/>
                <w:szCs w:val="18"/>
              </w:rPr>
              <w:t>33,777 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7DFE5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3D961"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6071C82"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DD5887" w14:textId="77777777" w:rsidR="00000000" w:rsidRDefault="000C49AD">
            <w:pPr>
              <w:spacing w:after="100"/>
              <w:jc w:val="right"/>
              <w:rPr>
                <w:rFonts w:eastAsia="Times New Roman"/>
              </w:rPr>
            </w:pPr>
            <w:r>
              <w:rPr>
                <w:rFonts w:eastAsia="Times New Roman"/>
                <w:color w:val="000000"/>
                <w:sz w:val="18"/>
                <w:szCs w:val="18"/>
              </w:rPr>
              <w:t>24,939 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B9A20D1" w14:textId="77777777" w:rsidR="00000000" w:rsidRDefault="000C49AD">
            <w:pPr>
              <w:spacing w:after="100"/>
              <w:jc w:val="right"/>
              <w:rPr>
                <w:rFonts w:eastAsia="Times New Roman"/>
              </w:rPr>
            </w:pPr>
          </w:p>
        </w:tc>
      </w:tr>
    </w:tbl>
    <w:p w14:paraId="59138B3C" w14:textId="77777777" w:rsidR="00000000" w:rsidRDefault="000C49AD">
      <w:pPr>
        <w:jc w:val="both"/>
        <w:divId w:val="576208533"/>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41"/>
        <w:gridCol w:w="5053"/>
        <w:gridCol w:w="37"/>
        <w:gridCol w:w="36"/>
        <w:gridCol w:w="36"/>
        <w:gridCol w:w="36"/>
        <w:gridCol w:w="110"/>
        <w:gridCol w:w="1326"/>
        <w:gridCol w:w="36"/>
        <w:gridCol w:w="36"/>
        <w:gridCol w:w="36"/>
        <w:gridCol w:w="36"/>
        <w:gridCol w:w="110"/>
        <w:gridCol w:w="1328"/>
        <w:gridCol w:w="36"/>
      </w:tblGrid>
      <w:tr w:rsidR="00000000" w14:paraId="22A03E17" w14:textId="77777777">
        <w:tc>
          <w:tcPr>
            <w:tcW w:w="50" w:type="pct"/>
            <w:vAlign w:val="center"/>
            <w:hideMark/>
          </w:tcPr>
          <w:p w14:paraId="5DD161F3" w14:textId="77777777" w:rsidR="00000000" w:rsidRDefault="000C49AD">
            <w:pPr>
              <w:jc w:val="both"/>
              <w:rPr>
                <w:rFonts w:eastAsia="Times New Roman"/>
              </w:rPr>
            </w:pPr>
          </w:p>
        </w:tc>
        <w:tc>
          <w:tcPr>
            <w:tcW w:w="3070" w:type="pct"/>
            <w:vAlign w:val="center"/>
            <w:hideMark/>
          </w:tcPr>
          <w:p w14:paraId="44A7A05D" w14:textId="77777777" w:rsidR="00000000" w:rsidRDefault="000C49AD">
            <w:pPr>
              <w:spacing w:after="100"/>
              <w:rPr>
                <w:rFonts w:eastAsia="Times New Roman"/>
                <w:sz w:val="20"/>
                <w:szCs w:val="20"/>
              </w:rPr>
            </w:pPr>
          </w:p>
        </w:tc>
        <w:tc>
          <w:tcPr>
            <w:tcW w:w="5" w:type="pct"/>
            <w:vAlign w:val="center"/>
            <w:hideMark/>
          </w:tcPr>
          <w:p w14:paraId="6DBFD7A4" w14:textId="77777777" w:rsidR="00000000" w:rsidRDefault="000C49AD">
            <w:pPr>
              <w:spacing w:after="100"/>
              <w:rPr>
                <w:rFonts w:eastAsia="Times New Roman"/>
                <w:sz w:val="20"/>
                <w:szCs w:val="20"/>
              </w:rPr>
            </w:pPr>
          </w:p>
        </w:tc>
        <w:tc>
          <w:tcPr>
            <w:tcW w:w="5" w:type="pct"/>
            <w:vAlign w:val="center"/>
            <w:hideMark/>
          </w:tcPr>
          <w:p w14:paraId="73C08FD5" w14:textId="77777777" w:rsidR="00000000" w:rsidRDefault="000C49AD">
            <w:pPr>
              <w:spacing w:after="100"/>
              <w:rPr>
                <w:rFonts w:eastAsia="Times New Roman"/>
                <w:sz w:val="20"/>
                <w:szCs w:val="20"/>
              </w:rPr>
            </w:pPr>
          </w:p>
        </w:tc>
        <w:tc>
          <w:tcPr>
            <w:tcW w:w="26" w:type="pct"/>
            <w:vAlign w:val="center"/>
            <w:hideMark/>
          </w:tcPr>
          <w:p w14:paraId="3D5AD5E4" w14:textId="77777777" w:rsidR="00000000" w:rsidRDefault="000C49AD">
            <w:pPr>
              <w:spacing w:after="100"/>
              <w:rPr>
                <w:rFonts w:eastAsia="Times New Roman"/>
                <w:sz w:val="20"/>
                <w:szCs w:val="20"/>
              </w:rPr>
            </w:pPr>
          </w:p>
        </w:tc>
        <w:tc>
          <w:tcPr>
            <w:tcW w:w="5" w:type="pct"/>
            <w:vAlign w:val="center"/>
            <w:hideMark/>
          </w:tcPr>
          <w:p w14:paraId="60CC5AE0" w14:textId="77777777" w:rsidR="00000000" w:rsidRDefault="000C49AD">
            <w:pPr>
              <w:spacing w:after="100"/>
              <w:rPr>
                <w:rFonts w:eastAsia="Times New Roman"/>
                <w:sz w:val="20"/>
                <w:szCs w:val="20"/>
              </w:rPr>
            </w:pPr>
          </w:p>
        </w:tc>
        <w:tc>
          <w:tcPr>
            <w:tcW w:w="50" w:type="pct"/>
            <w:vAlign w:val="center"/>
            <w:hideMark/>
          </w:tcPr>
          <w:p w14:paraId="1AC7356B" w14:textId="77777777" w:rsidR="00000000" w:rsidRDefault="000C49AD">
            <w:pPr>
              <w:spacing w:after="100"/>
              <w:rPr>
                <w:rFonts w:eastAsia="Times New Roman"/>
                <w:sz w:val="20"/>
                <w:szCs w:val="20"/>
              </w:rPr>
            </w:pPr>
          </w:p>
        </w:tc>
        <w:tc>
          <w:tcPr>
            <w:tcW w:w="845" w:type="pct"/>
            <w:vAlign w:val="center"/>
            <w:hideMark/>
          </w:tcPr>
          <w:p w14:paraId="67590EE1" w14:textId="77777777" w:rsidR="00000000" w:rsidRDefault="000C49AD">
            <w:pPr>
              <w:spacing w:after="100"/>
              <w:rPr>
                <w:rFonts w:eastAsia="Times New Roman"/>
                <w:sz w:val="20"/>
                <w:szCs w:val="20"/>
              </w:rPr>
            </w:pPr>
          </w:p>
        </w:tc>
        <w:tc>
          <w:tcPr>
            <w:tcW w:w="5" w:type="pct"/>
            <w:vAlign w:val="center"/>
            <w:hideMark/>
          </w:tcPr>
          <w:p w14:paraId="5E9CB2BD" w14:textId="77777777" w:rsidR="00000000" w:rsidRDefault="000C49AD">
            <w:pPr>
              <w:spacing w:after="100"/>
              <w:rPr>
                <w:rFonts w:eastAsia="Times New Roman"/>
                <w:sz w:val="20"/>
                <w:szCs w:val="20"/>
              </w:rPr>
            </w:pPr>
          </w:p>
        </w:tc>
        <w:tc>
          <w:tcPr>
            <w:tcW w:w="5" w:type="pct"/>
            <w:vAlign w:val="center"/>
            <w:hideMark/>
          </w:tcPr>
          <w:p w14:paraId="3C81F72B" w14:textId="77777777" w:rsidR="00000000" w:rsidRDefault="000C49AD">
            <w:pPr>
              <w:spacing w:after="100"/>
              <w:rPr>
                <w:rFonts w:eastAsia="Times New Roman"/>
                <w:sz w:val="20"/>
                <w:szCs w:val="20"/>
              </w:rPr>
            </w:pPr>
          </w:p>
        </w:tc>
        <w:tc>
          <w:tcPr>
            <w:tcW w:w="26" w:type="pct"/>
            <w:vAlign w:val="center"/>
            <w:hideMark/>
          </w:tcPr>
          <w:p w14:paraId="60F405C9" w14:textId="77777777" w:rsidR="00000000" w:rsidRDefault="000C49AD">
            <w:pPr>
              <w:spacing w:after="100"/>
              <w:rPr>
                <w:rFonts w:eastAsia="Times New Roman"/>
                <w:sz w:val="20"/>
                <w:szCs w:val="20"/>
              </w:rPr>
            </w:pPr>
          </w:p>
        </w:tc>
        <w:tc>
          <w:tcPr>
            <w:tcW w:w="5" w:type="pct"/>
            <w:vAlign w:val="center"/>
            <w:hideMark/>
          </w:tcPr>
          <w:p w14:paraId="0C8ECFB5" w14:textId="77777777" w:rsidR="00000000" w:rsidRDefault="000C49AD">
            <w:pPr>
              <w:spacing w:after="100"/>
              <w:rPr>
                <w:rFonts w:eastAsia="Times New Roman"/>
                <w:sz w:val="20"/>
                <w:szCs w:val="20"/>
              </w:rPr>
            </w:pPr>
          </w:p>
        </w:tc>
        <w:tc>
          <w:tcPr>
            <w:tcW w:w="50" w:type="pct"/>
            <w:vAlign w:val="center"/>
            <w:hideMark/>
          </w:tcPr>
          <w:p w14:paraId="5DC30481" w14:textId="77777777" w:rsidR="00000000" w:rsidRDefault="000C49AD">
            <w:pPr>
              <w:spacing w:after="100"/>
              <w:rPr>
                <w:rFonts w:eastAsia="Times New Roman"/>
                <w:sz w:val="20"/>
                <w:szCs w:val="20"/>
              </w:rPr>
            </w:pPr>
          </w:p>
        </w:tc>
        <w:tc>
          <w:tcPr>
            <w:tcW w:w="845" w:type="pct"/>
            <w:vAlign w:val="center"/>
            <w:hideMark/>
          </w:tcPr>
          <w:p w14:paraId="1D90BA15" w14:textId="77777777" w:rsidR="00000000" w:rsidRDefault="000C49AD">
            <w:pPr>
              <w:spacing w:after="100"/>
              <w:rPr>
                <w:rFonts w:eastAsia="Times New Roman"/>
                <w:sz w:val="20"/>
                <w:szCs w:val="20"/>
              </w:rPr>
            </w:pPr>
          </w:p>
        </w:tc>
        <w:tc>
          <w:tcPr>
            <w:tcW w:w="5" w:type="pct"/>
            <w:vAlign w:val="center"/>
            <w:hideMark/>
          </w:tcPr>
          <w:p w14:paraId="543F7CB6" w14:textId="77777777" w:rsidR="00000000" w:rsidRDefault="000C49AD">
            <w:pPr>
              <w:spacing w:after="100"/>
              <w:rPr>
                <w:rFonts w:eastAsia="Times New Roman"/>
                <w:sz w:val="20"/>
                <w:szCs w:val="20"/>
              </w:rPr>
            </w:pPr>
          </w:p>
        </w:tc>
      </w:tr>
      <w:tr w:rsidR="00000000" w14:paraId="2067187F" w14:textId="77777777">
        <w:tc>
          <w:tcPr>
            <w:tcW w:w="0" w:type="auto"/>
            <w:gridSpan w:val="3"/>
            <w:tcMar>
              <w:top w:w="30" w:type="dxa"/>
              <w:left w:w="20" w:type="dxa"/>
              <w:bottom w:w="30" w:type="dxa"/>
              <w:right w:w="20" w:type="dxa"/>
            </w:tcMar>
            <w:vAlign w:val="bottom"/>
            <w:hideMark/>
          </w:tcPr>
          <w:p w14:paraId="787AC860" w14:textId="77777777" w:rsidR="00000000" w:rsidRDefault="000C49AD">
            <w:pPr>
              <w:spacing w:after="100"/>
              <w:rPr>
                <w:rFonts w:eastAsia="Times New Roman"/>
              </w:rPr>
            </w:pPr>
            <w:r>
              <w:rPr>
                <w:rFonts w:eastAsia="Times New Roman"/>
                <w:b/>
                <w:bCs/>
                <w:color w:val="000000"/>
                <w:sz w:val="18"/>
                <w:szCs w:val="18"/>
              </w:rPr>
              <w:t>Accrued Expenses:</w:t>
            </w:r>
          </w:p>
        </w:tc>
        <w:tc>
          <w:tcPr>
            <w:tcW w:w="0" w:type="auto"/>
            <w:gridSpan w:val="3"/>
            <w:tcMar>
              <w:top w:w="0" w:type="dxa"/>
              <w:left w:w="20" w:type="dxa"/>
              <w:bottom w:w="0" w:type="dxa"/>
              <w:right w:w="20" w:type="dxa"/>
            </w:tcMar>
            <w:vAlign w:val="center"/>
            <w:hideMark/>
          </w:tcPr>
          <w:p w14:paraId="19660AC8"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7AB85087"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0BF63BE3"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0643C39" w14:textId="77777777" w:rsidR="00000000" w:rsidRDefault="000C49AD">
            <w:pPr>
              <w:spacing w:after="100"/>
              <w:jc w:val="center"/>
              <w:rPr>
                <w:rFonts w:eastAsia="Times New Roman"/>
              </w:rPr>
            </w:pPr>
            <w:r>
              <w:rPr>
                <w:rFonts w:eastAsia="Times New Roman"/>
                <w:b/>
                <w:bCs/>
                <w:color w:val="000000"/>
                <w:sz w:val="18"/>
                <w:szCs w:val="18"/>
              </w:rPr>
              <w:t>2020</w:t>
            </w:r>
          </w:p>
        </w:tc>
      </w:tr>
      <w:tr w:rsidR="00000000" w14:paraId="19B11B43"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2E23860C"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3DA4E4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8F9E46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BCA28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0B4F893" w14:textId="77777777" w:rsidR="00000000" w:rsidRDefault="000C49AD">
            <w:pPr>
              <w:spacing w:after="100"/>
              <w:rPr>
                <w:rFonts w:eastAsia="Times New Roman"/>
                <w:sz w:val="20"/>
                <w:szCs w:val="20"/>
              </w:rPr>
            </w:pPr>
          </w:p>
        </w:tc>
      </w:tr>
      <w:tr w:rsidR="00000000" w14:paraId="36AF380E" w14:textId="77777777">
        <w:tc>
          <w:tcPr>
            <w:tcW w:w="0" w:type="auto"/>
            <w:gridSpan w:val="3"/>
            <w:shd w:val="clear" w:color="auto" w:fill="CCEEFF"/>
            <w:tcMar>
              <w:top w:w="30" w:type="dxa"/>
              <w:left w:w="155" w:type="dxa"/>
              <w:bottom w:w="30" w:type="dxa"/>
              <w:right w:w="20" w:type="dxa"/>
            </w:tcMar>
            <w:vAlign w:val="bottom"/>
            <w:hideMark/>
          </w:tcPr>
          <w:p w14:paraId="3A6F967B" w14:textId="77777777" w:rsidR="00000000" w:rsidRDefault="000C49AD">
            <w:pPr>
              <w:spacing w:after="100"/>
              <w:rPr>
                <w:rFonts w:eastAsia="Times New Roman"/>
              </w:rPr>
            </w:pPr>
            <w:r>
              <w:rPr>
                <w:rFonts w:eastAsia="Times New Roman"/>
                <w:color w:val="000000"/>
                <w:sz w:val="18"/>
                <w:szCs w:val="18"/>
              </w:rPr>
              <w:t>Accrued compensation</w:t>
            </w:r>
          </w:p>
        </w:tc>
        <w:tc>
          <w:tcPr>
            <w:tcW w:w="0" w:type="auto"/>
            <w:gridSpan w:val="3"/>
            <w:shd w:val="clear" w:color="auto" w:fill="CCEEFF"/>
            <w:tcMar>
              <w:top w:w="0" w:type="dxa"/>
              <w:left w:w="20" w:type="dxa"/>
              <w:bottom w:w="0" w:type="dxa"/>
              <w:right w:w="20" w:type="dxa"/>
            </w:tcMar>
            <w:vAlign w:val="center"/>
            <w:hideMark/>
          </w:tcPr>
          <w:p w14:paraId="65ECCEEA"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8CAC5D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615ADD7" w14:textId="77777777" w:rsidR="00000000" w:rsidRDefault="000C49AD">
            <w:pPr>
              <w:spacing w:after="100"/>
              <w:jc w:val="right"/>
              <w:rPr>
                <w:rFonts w:eastAsia="Times New Roman"/>
              </w:rPr>
            </w:pPr>
            <w:r>
              <w:rPr>
                <w:rFonts w:eastAsia="Times New Roman"/>
                <w:color w:val="000000"/>
                <w:sz w:val="18"/>
                <w:szCs w:val="18"/>
              </w:rPr>
              <w:t>3,167 </w:t>
            </w:r>
          </w:p>
        </w:tc>
        <w:tc>
          <w:tcPr>
            <w:tcW w:w="0" w:type="auto"/>
            <w:shd w:val="clear" w:color="auto" w:fill="CCEEFF"/>
            <w:tcMar>
              <w:top w:w="30" w:type="dxa"/>
              <w:left w:w="0" w:type="dxa"/>
              <w:bottom w:w="30" w:type="dxa"/>
              <w:right w:w="20" w:type="dxa"/>
            </w:tcMar>
            <w:vAlign w:val="bottom"/>
            <w:hideMark/>
          </w:tcPr>
          <w:p w14:paraId="28BAE2E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A0856D"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D2B6C9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5F15CA1" w14:textId="77777777" w:rsidR="00000000" w:rsidRDefault="000C49AD">
            <w:pPr>
              <w:spacing w:after="100"/>
              <w:jc w:val="right"/>
              <w:rPr>
                <w:rFonts w:eastAsia="Times New Roman"/>
              </w:rPr>
            </w:pPr>
            <w:r>
              <w:rPr>
                <w:rFonts w:eastAsia="Times New Roman"/>
                <w:color w:val="000000"/>
                <w:sz w:val="18"/>
                <w:szCs w:val="18"/>
              </w:rPr>
              <w:t>1,697 </w:t>
            </w:r>
          </w:p>
        </w:tc>
        <w:tc>
          <w:tcPr>
            <w:tcW w:w="0" w:type="auto"/>
            <w:shd w:val="clear" w:color="auto" w:fill="CCEEFF"/>
            <w:tcMar>
              <w:top w:w="30" w:type="dxa"/>
              <w:left w:w="0" w:type="dxa"/>
              <w:bottom w:w="30" w:type="dxa"/>
              <w:right w:w="20" w:type="dxa"/>
            </w:tcMar>
            <w:vAlign w:val="bottom"/>
            <w:hideMark/>
          </w:tcPr>
          <w:p w14:paraId="577B77C9" w14:textId="77777777" w:rsidR="00000000" w:rsidRDefault="000C49AD">
            <w:pPr>
              <w:spacing w:after="100"/>
              <w:jc w:val="right"/>
              <w:rPr>
                <w:rFonts w:eastAsia="Times New Roman"/>
              </w:rPr>
            </w:pPr>
          </w:p>
        </w:tc>
      </w:tr>
      <w:tr w:rsidR="00000000" w14:paraId="6E30895E" w14:textId="77777777">
        <w:tc>
          <w:tcPr>
            <w:tcW w:w="0" w:type="auto"/>
            <w:gridSpan w:val="3"/>
            <w:shd w:val="clear" w:color="auto" w:fill="FFFFFF"/>
            <w:tcMar>
              <w:top w:w="30" w:type="dxa"/>
              <w:left w:w="155" w:type="dxa"/>
              <w:bottom w:w="30" w:type="dxa"/>
              <w:right w:w="20" w:type="dxa"/>
            </w:tcMar>
            <w:vAlign w:val="bottom"/>
            <w:hideMark/>
          </w:tcPr>
          <w:p w14:paraId="7B064959" w14:textId="77777777" w:rsidR="00000000" w:rsidRDefault="000C49AD">
            <w:pPr>
              <w:spacing w:after="100"/>
              <w:rPr>
                <w:rFonts w:eastAsia="Times New Roman"/>
              </w:rPr>
            </w:pPr>
            <w:r>
              <w:rPr>
                <w:rFonts w:eastAsia="Times New Roman"/>
                <w:color w:val="000000"/>
                <w:sz w:val="18"/>
                <w:szCs w:val="18"/>
              </w:rPr>
              <w:t>Accrued professional fees</w:t>
            </w:r>
          </w:p>
        </w:tc>
        <w:tc>
          <w:tcPr>
            <w:tcW w:w="0" w:type="auto"/>
            <w:gridSpan w:val="3"/>
            <w:shd w:val="clear" w:color="auto" w:fill="FFFFFF"/>
            <w:tcMar>
              <w:top w:w="0" w:type="dxa"/>
              <w:left w:w="20" w:type="dxa"/>
              <w:bottom w:w="0" w:type="dxa"/>
              <w:right w:w="20" w:type="dxa"/>
            </w:tcMar>
            <w:vAlign w:val="center"/>
            <w:hideMark/>
          </w:tcPr>
          <w:p w14:paraId="3B38DA7C"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22AA55" w14:textId="77777777" w:rsidR="00000000" w:rsidRDefault="000C49AD">
            <w:pPr>
              <w:spacing w:after="100"/>
              <w:jc w:val="right"/>
              <w:rPr>
                <w:rFonts w:eastAsia="Times New Roman"/>
              </w:rPr>
            </w:pPr>
            <w:r>
              <w:rPr>
                <w:rFonts w:eastAsia="Times New Roman"/>
                <w:color w:val="000000"/>
                <w:sz w:val="18"/>
                <w:szCs w:val="18"/>
              </w:rPr>
              <w:t>2,678 </w:t>
            </w:r>
          </w:p>
        </w:tc>
        <w:tc>
          <w:tcPr>
            <w:tcW w:w="0" w:type="auto"/>
            <w:shd w:val="clear" w:color="auto" w:fill="FFFFFF"/>
            <w:tcMar>
              <w:top w:w="30" w:type="dxa"/>
              <w:left w:w="0" w:type="dxa"/>
              <w:bottom w:w="30" w:type="dxa"/>
              <w:right w:w="20" w:type="dxa"/>
            </w:tcMar>
            <w:vAlign w:val="bottom"/>
            <w:hideMark/>
          </w:tcPr>
          <w:p w14:paraId="3FED25D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D1945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343196" w14:textId="77777777" w:rsidR="00000000" w:rsidRDefault="000C49AD">
            <w:pPr>
              <w:spacing w:after="100"/>
              <w:jc w:val="right"/>
              <w:rPr>
                <w:rFonts w:eastAsia="Times New Roman"/>
              </w:rPr>
            </w:pPr>
            <w:r>
              <w:rPr>
                <w:rFonts w:eastAsia="Times New Roman"/>
                <w:color w:val="000000"/>
                <w:sz w:val="18"/>
                <w:szCs w:val="18"/>
              </w:rPr>
              <w:t>2,781 </w:t>
            </w:r>
          </w:p>
        </w:tc>
        <w:tc>
          <w:tcPr>
            <w:tcW w:w="0" w:type="auto"/>
            <w:shd w:val="clear" w:color="auto" w:fill="FFFFFF"/>
            <w:tcMar>
              <w:top w:w="30" w:type="dxa"/>
              <w:left w:w="0" w:type="dxa"/>
              <w:bottom w:w="30" w:type="dxa"/>
              <w:right w:w="20" w:type="dxa"/>
            </w:tcMar>
            <w:vAlign w:val="bottom"/>
            <w:hideMark/>
          </w:tcPr>
          <w:p w14:paraId="035EFD85" w14:textId="77777777" w:rsidR="00000000" w:rsidRDefault="000C49AD">
            <w:pPr>
              <w:spacing w:after="100"/>
              <w:jc w:val="right"/>
              <w:rPr>
                <w:rFonts w:eastAsia="Times New Roman"/>
              </w:rPr>
            </w:pPr>
          </w:p>
        </w:tc>
      </w:tr>
      <w:tr w:rsidR="00000000" w14:paraId="31700817" w14:textId="77777777">
        <w:tc>
          <w:tcPr>
            <w:tcW w:w="0" w:type="auto"/>
            <w:gridSpan w:val="3"/>
            <w:shd w:val="clear" w:color="auto" w:fill="CCEEFF"/>
            <w:tcMar>
              <w:top w:w="30" w:type="dxa"/>
              <w:left w:w="155" w:type="dxa"/>
              <w:bottom w:w="30" w:type="dxa"/>
              <w:right w:w="20" w:type="dxa"/>
            </w:tcMar>
            <w:vAlign w:val="bottom"/>
            <w:hideMark/>
          </w:tcPr>
          <w:p w14:paraId="5712C1E0" w14:textId="77777777" w:rsidR="00000000" w:rsidRDefault="000C49AD">
            <w:pPr>
              <w:spacing w:after="100"/>
              <w:rPr>
                <w:rFonts w:eastAsia="Times New Roman"/>
              </w:rPr>
            </w:pPr>
            <w:r>
              <w:rPr>
                <w:rFonts w:eastAsia="Times New Roman"/>
                <w:color w:val="000000"/>
                <w:sz w:val="18"/>
                <w:szCs w:val="18"/>
              </w:rPr>
              <w:t>Accrued outsourced contract costs</w:t>
            </w:r>
          </w:p>
        </w:tc>
        <w:tc>
          <w:tcPr>
            <w:tcW w:w="0" w:type="auto"/>
            <w:gridSpan w:val="3"/>
            <w:shd w:val="clear" w:color="auto" w:fill="CCEEFF"/>
            <w:tcMar>
              <w:top w:w="0" w:type="dxa"/>
              <w:left w:w="20" w:type="dxa"/>
              <w:bottom w:w="0" w:type="dxa"/>
              <w:right w:w="20" w:type="dxa"/>
            </w:tcMar>
            <w:vAlign w:val="center"/>
            <w:hideMark/>
          </w:tcPr>
          <w:p w14:paraId="05A4896B"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387596" w14:textId="77777777" w:rsidR="00000000" w:rsidRDefault="000C49AD">
            <w:pPr>
              <w:spacing w:after="100"/>
              <w:jc w:val="right"/>
              <w:rPr>
                <w:rFonts w:eastAsia="Times New Roman"/>
              </w:rPr>
            </w:pPr>
            <w:r>
              <w:rPr>
                <w:rFonts w:eastAsia="Times New Roman"/>
                <w:color w:val="000000"/>
                <w:sz w:val="18"/>
                <w:szCs w:val="18"/>
              </w:rPr>
              <w:t>1,048 </w:t>
            </w:r>
          </w:p>
        </w:tc>
        <w:tc>
          <w:tcPr>
            <w:tcW w:w="0" w:type="auto"/>
            <w:shd w:val="clear" w:color="auto" w:fill="CCEEFF"/>
            <w:tcMar>
              <w:top w:w="30" w:type="dxa"/>
              <w:left w:w="0" w:type="dxa"/>
              <w:bottom w:w="30" w:type="dxa"/>
              <w:right w:w="20" w:type="dxa"/>
            </w:tcMar>
            <w:vAlign w:val="bottom"/>
            <w:hideMark/>
          </w:tcPr>
          <w:p w14:paraId="5503B94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E8DFEC"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E31A82" w14:textId="77777777" w:rsidR="00000000" w:rsidRDefault="000C49AD">
            <w:pPr>
              <w:spacing w:after="100"/>
              <w:jc w:val="right"/>
              <w:rPr>
                <w:rFonts w:eastAsia="Times New Roman"/>
              </w:rPr>
            </w:pPr>
            <w:r>
              <w:rPr>
                <w:rFonts w:eastAsia="Times New Roman"/>
                <w:color w:val="000000"/>
                <w:sz w:val="18"/>
                <w:szCs w:val="18"/>
              </w:rPr>
              <w:t>473 </w:t>
            </w:r>
          </w:p>
        </w:tc>
        <w:tc>
          <w:tcPr>
            <w:tcW w:w="0" w:type="auto"/>
            <w:shd w:val="clear" w:color="auto" w:fill="CCEEFF"/>
            <w:tcMar>
              <w:top w:w="30" w:type="dxa"/>
              <w:left w:w="0" w:type="dxa"/>
              <w:bottom w:w="30" w:type="dxa"/>
              <w:right w:w="20" w:type="dxa"/>
            </w:tcMar>
            <w:vAlign w:val="bottom"/>
            <w:hideMark/>
          </w:tcPr>
          <w:p w14:paraId="7D7CA26C" w14:textId="77777777" w:rsidR="00000000" w:rsidRDefault="000C49AD">
            <w:pPr>
              <w:spacing w:after="100"/>
              <w:jc w:val="right"/>
              <w:rPr>
                <w:rFonts w:eastAsia="Times New Roman"/>
              </w:rPr>
            </w:pPr>
          </w:p>
        </w:tc>
      </w:tr>
      <w:tr w:rsidR="00000000" w14:paraId="7D6130B8" w14:textId="77777777">
        <w:tc>
          <w:tcPr>
            <w:tcW w:w="0" w:type="auto"/>
            <w:gridSpan w:val="3"/>
            <w:shd w:val="clear" w:color="auto" w:fill="FFFFFF"/>
            <w:tcMar>
              <w:top w:w="30" w:type="dxa"/>
              <w:left w:w="155" w:type="dxa"/>
              <w:bottom w:w="30" w:type="dxa"/>
              <w:right w:w="20" w:type="dxa"/>
            </w:tcMar>
            <w:vAlign w:val="bottom"/>
            <w:hideMark/>
          </w:tcPr>
          <w:p w14:paraId="31F321C3" w14:textId="77777777" w:rsidR="00000000" w:rsidRDefault="000C49AD">
            <w:pPr>
              <w:spacing w:after="100"/>
              <w:rPr>
                <w:rFonts w:eastAsia="Times New Roman"/>
              </w:rPr>
            </w:pPr>
            <w:r>
              <w:rPr>
                <w:rFonts w:eastAsia="Times New Roman"/>
                <w:color w:val="000000"/>
                <w:sz w:val="18"/>
                <w:szCs w:val="18"/>
              </w:rPr>
              <w:t>Customer allowances</w:t>
            </w:r>
          </w:p>
        </w:tc>
        <w:tc>
          <w:tcPr>
            <w:tcW w:w="0" w:type="auto"/>
            <w:gridSpan w:val="3"/>
            <w:shd w:val="clear" w:color="auto" w:fill="FFFFFF"/>
            <w:tcMar>
              <w:top w:w="0" w:type="dxa"/>
              <w:left w:w="20" w:type="dxa"/>
              <w:bottom w:w="0" w:type="dxa"/>
              <w:right w:w="20" w:type="dxa"/>
            </w:tcMar>
            <w:vAlign w:val="center"/>
            <w:hideMark/>
          </w:tcPr>
          <w:p w14:paraId="576313A6"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EF5B108" w14:textId="77777777" w:rsidR="00000000" w:rsidRDefault="000C49AD">
            <w:pPr>
              <w:spacing w:after="100"/>
              <w:jc w:val="right"/>
              <w:rPr>
                <w:rFonts w:eastAsia="Times New Roman"/>
              </w:rPr>
            </w:pPr>
            <w:r>
              <w:rPr>
                <w:rFonts w:eastAsia="Times New Roman"/>
                <w:color w:val="000000"/>
                <w:sz w:val="18"/>
                <w:szCs w:val="18"/>
              </w:rPr>
              <w:t>217 </w:t>
            </w:r>
          </w:p>
        </w:tc>
        <w:tc>
          <w:tcPr>
            <w:tcW w:w="0" w:type="auto"/>
            <w:shd w:val="clear" w:color="auto" w:fill="FFFFFF"/>
            <w:tcMar>
              <w:top w:w="30" w:type="dxa"/>
              <w:left w:w="0" w:type="dxa"/>
              <w:bottom w:w="30" w:type="dxa"/>
              <w:right w:w="20" w:type="dxa"/>
            </w:tcMar>
            <w:vAlign w:val="bottom"/>
            <w:hideMark/>
          </w:tcPr>
          <w:p w14:paraId="02953EB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9314BF"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8FB450" w14:textId="77777777" w:rsidR="00000000" w:rsidRDefault="000C49AD">
            <w:pPr>
              <w:spacing w:after="100"/>
              <w:jc w:val="right"/>
              <w:rPr>
                <w:rFonts w:eastAsia="Times New Roman"/>
              </w:rPr>
            </w:pPr>
            <w:r>
              <w:rPr>
                <w:rFonts w:eastAsia="Times New Roman"/>
                <w:color w:val="000000"/>
                <w:sz w:val="18"/>
                <w:szCs w:val="18"/>
              </w:rPr>
              <w:t>1,030 </w:t>
            </w:r>
          </w:p>
        </w:tc>
        <w:tc>
          <w:tcPr>
            <w:tcW w:w="0" w:type="auto"/>
            <w:shd w:val="clear" w:color="auto" w:fill="FFFFFF"/>
            <w:tcMar>
              <w:top w:w="30" w:type="dxa"/>
              <w:left w:w="0" w:type="dxa"/>
              <w:bottom w:w="30" w:type="dxa"/>
              <w:right w:w="20" w:type="dxa"/>
            </w:tcMar>
            <w:vAlign w:val="bottom"/>
            <w:hideMark/>
          </w:tcPr>
          <w:p w14:paraId="57053222" w14:textId="77777777" w:rsidR="00000000" w:rsidRDefault="000C49AD">
            <w:pPr>
              <w:spacing w:after="100"/>
              <w:jc w:val="right"/>
              <w:rPr>
                <w:rFonts w:eastAsia="Times New Roman"/>
              </w:rPr>
            </w:pPr>
          </w:p>
        </w:tc>
      </w:tr>
      <w:tr w:rsidR="00000000" w14:paraId="149F7A96" w14:textId="77777777">
        <w:tc>
          <w:tcPr>
            <w:tcW w:w="0" w:type="auto"/>
            <w:gridSpan w:val="3"/>
            <w:shd w:val="clear" w:color="auto" w:fill="CCEEFF"/>
            <w:tcMar>
              <w:top w:w="30" w:type="dxa"/>
              <w:left w:w="20" w:type="dxa"/>
              <w:bottom w:w="30" w:type="dxa"/>
              <w:right w:w="20" w:type="dxa"/>
            </w:tcMar>
            <w:vAlign w:val="bottom"/>
            <w:hideMark/>
          </w:tcPr>
          <w:p w14:paraId="1496F20A" w14:textId="77777777" w:rsidR="00000000" w:rsidRDefault="000C49AD">
            <w:pPr>
              <w:spacing w:after="100"/>
              <w:divId w:val="1643382768"/>
              <w:rPr>
                <w:rFonts w:eastAsia="Times New Roman"/>
              </w:rPr>
            </w:pPr>
            <w:r>
              <w:rPr>
                <w:rFonts w:eastAsia="Times New Roman"/>
                <w:color w:val="000000"/>
                <w:sz w:val="18"/>
                <w:szCs w:val="18"/>
              </w:rPr>
              <w:t xml:space="preserve">Accrued restructuring (see </w:t>
            </w:r>
            <w:r>
              <w:rPr>
                <w:rFonts w:eastAsia="Times New Roman"/>
                <w:i/>
                <w:iCs/>
                <w:color w:val="000000"/>
                <w:sz w:val="18"/>
                <w:szCs w:val="18"/>
              </w:rPr>
              <w:t>Note 16</w:t>
            </w: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DD03262"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729E81E" w14:textId="77777777" w:rsidR="00000000" w:rsidRDefault="000C49AD">
            <w:pPr>
              <w:spacing w:after="100"/>
              <w:jc w:val="right"/>
              <w:rPr>
                <w:rFonts w:eastAsia="Times New Roman"/>
              </w:rPr>
            </w:pPr>
            <w:r>
              <w:rPr>
                <w:rFonts w:eastAsia="Times New Roman"/>
                <w:color w:val="000000"/>
                <w:sz w:val="18"/>
                <w:szCs w:val="18"/>
              </w:rPr>
              <w:t>41 </w:t>
            </w:r>
          </w:p>
        </w:tc>
        <w:tc>
          <w:tcPr>
            <w:tcW w:w="0" w:type="auto"/>
            <w:shd w:val="clear" w:color="auto" w:fill="CCEEFF"/>
            <w:tcMar>
              <w:top w:w="30" w:type="dxa"/>
              <w:left w:w="0" w:type="dxa"/>
              <w:bottom w:w="30" w:type="dxa"/>
              <w:right w:w="20" w:type="dxa"/>
            </w:tcMar>
            <w:vAlign w:val="bottom"/>
            <w:hideMark/>
          </w:tcPr>
          <w:p w14:paraId="5DBA8CF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E6679"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6E1723" w14:textId="77777777" w:rsidR="00000000" w:rsidRDefault="000C49AD">
            <w:pPr>
              <w:spacing w:after="100"/>
              <w:jc w:val="right"/>
              <w:rPr>
                <w:rFonts w:eastAsia="Times New Roman"/>
              </w:rPr>
            </w:pPr>
            <w:r>
              <w:rPr>
                <w:rFonts w:eastAsia="Times New Roman"/>
                <w:color w:val="000000"/>
                <w:sz w:val="18"/>
                <w:szCs w:val="18"/>
              </w:rPr>
              <w:t>520 </w:t>
            </w:r>
          </w:p>
        </w:tc>
        <w:tc>
          <w:tcPr>
            <w:tcW w:w="0" w:type="auto"/>
            <w:shd w:val="clear" w:color="auto" w:fill="CCEEFF"/>
            <w:tcMar>
              <w:top w:w="30" w:type="dxa"/>
              <w:left w:w="0" w:type="dxa"/>
              <w:bottom w:w="30" w:type="dxa"/>
              <w:right w:w="20" w:type="dxa"/>
            </w:tcMar>
            <w:vAlign w:val="bottom"/>
            <w:hideMark/>
          </w:tcPr>
          <w:p w14:paraId="697A51C2" w14:textId="77777777" w:rsidR="00000000" w:rsidRDefault="000C49AD">
            <w:pPr>
              <w:spacing w:after="100"/>
              <w:jc w:val="right"/>
              <w:rPr>
                <w:rFonts w:eastAsia="Times New Roman"/>
              </w:rPr>
            </w:pPr>
          </w:p>
        </w:tc>
      </w:tr>
      <w:tr w:rsidR="00000000" w14:paraId="0D2EDD87" w14:textId="77777777">
        <w:tc>
          <w:tcPr>
            <w:tcW w:w="0" w:type="auto"/>
            <w:gridSpan w:val="3"/>
            <w:shd w:val="clear" w:color="auto" w:fill="FFFFFF"/>
            <w:tcMar>
              <w:top w:w="30" w:type="dxa"/>
              <w:left w:w="245" w:type="dxa"/>
              <w:bottom w:w="30" w:type="dxa"/>
              <w:right w:w="20" w:type="dxa"/>
            </w:tcMar>
            <w:vAlign w:val="bottom"/>
            <w:hideMark/>
          </w:tcPr>
          <w:p w14:paraId="452E90AD" w14:textId="77777777" w:rsidR="00000000" w:rsidRDefault="000C49A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267121EE"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D2F5C36"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CF158A8" w14:textId="77777777" w:rsidR="00000000" w:rsidRDefault="000C49AD">
            <w:pPr>
              <w:spacing w:after="100"/>
              <w:jc w:val="right"/>
              <w:rPr>
                <w:rFonts w:eastAsia="Times New Roman"/>
              </w:rPr>
            </w:pPr>
            <w:r>
              <w:rPr>
                <w:rFonts w:eastAsia="Times New Roman"/>
                <w:color w:val="000000"/>
                <w:sz w:val="18"/>
                <w:szCs w:val="18"/>
              </w:rPr>
              <w:t>7,151 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E32B7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06D5E3"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84829A7"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372AA62" w14:textId="77777777" w:rsidR="00000000" w:rsidRDefault="000C49AD">
            <w:pPr>
              <w:spacing w:after="100"/>
              <w:jc w:val="right"/>
              <w:rPr>
                <w:rFonts w:eastAsia="Times New Roman"/>
              </w:rPr>
            </w:pPr>
            <w:r>
              <w:rPr>
                <w:rFonts w:eastAsia="Times New Roman"/>
                <w:color w:val="000000"/>
                <w:sz w:val="18"/>
                <w:szCs w:val="18"/>
              </w:rPr>
              <w:t>6,501 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0FF4CB6" w14:textId="77777777" w:rsidR="00000000" w:rsidRDefault="000C49AD">
            <w:pPr>
              <w:spacing w:after="100"/>
              <w:jc w:val="right"/>
              <w:rPr>
                <w:rFonts w:eastAsia="Times New Roman"/>
              </w:rPr>
            </w:pPr>
          </w:p>
        </w:tc>
      </w:tr>
    </w:tbl>
    <w:p w14:paraId="59F53DD0" w14:textId="77777777" w:rsidR="00000000" w:rsidRDefault="000C49AD">
      <w:pPr>
        <w:jc w:val="both"/>
        <w:divId w:val="1855150001"/>
        <w:rPr>
          <w:rFonts w:eastAsia="Times New Roman"/>
        </w:rPr>
      </w:pPr>
    </w:p>
    <w:p w14:paraId="30513020" w14:textId="77777777" w:rsidR="00000000" w:rsidRDefault="000C49AD">
      <w:pPr>
        <w:jc w:val="center"/>
        <w:divId w:val="1312710365"/>
        <w:rPr>
          <w:rFonts w:eastAsia="Times New Roman"/>
        </w:rPr>
      </w:pPr>
      <w:r>
        <w:rPr>
          <w:rFonts w:eastAsia="Times New Roman"/>
          <w:color w:val="000000"/>
          <w:sz w:val="20"/>
          <w:szCs w:val="20"/>
        </w:rPr>
        <w:t>-95-</w:t>
      </w:r>
    </w:p>
    <w:p w14:paraId="35B0141E" w14:textId="77777777" w:rsidR="00000000" w:rsidRDefault="000C49AD">
      <w:pPr>
        <w:rPr>
          <w:rFonts w:eastAsia="Times New Roman"/>
        </w:rPr>
      </w:pPr>
      <w:r>
        <w:rPr>
          <w:rFonts w:eastAsia="Times New Roman"/>
        </w:rPr>
        <w:pict w14:anchorId="6532D1A1">
          <v:rect id="_x0000_i1120" style="width:0;height:1.5pt" o:hralign="center" o:hrstd="t" o:hr="t" fillcolor="#a0a0a0" stroked="f"/>
        </w:pict>
      </w:r>
    </w:p>
    <w:p w14:paraId="3F008A3B" w14:textId="77777777" w:rsidR="00000000" w:rsidRDefault="000C49AD">
      <w:pPr>
        <w:divId w:val="798692275"/>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41"/>
        <w:gridCol w:w="5078"/>
        <w:gridCol w:w="36"/>
        <w:gridCol w:w="36"/>
        <w:gridCol w:w="36"/>
        <w:gridCol w:w="36"/>
        <w:gridCol w:w="110"/>
        <w:gridCol w:w="1302"/>
        <w:gridCol w:w="36"/>
        <w:gridCol w:w="36"/>
        <w:gridCol w:w="36"/>
        <w:gridCol w:w="36"/>
        <w:gridCol w:w="110"/>
        <w:gridCol w:w="1304"/>
        <w:gridCol w:w="36"/>
      </w:tblGrid>
      <w:tr w:rsidR="00000000" w14:paraId="29EF718F" w14:textId="77777777">
        <w:trPr>
          <w:divId w:val="1688752883"/>
        </w:trPr>
        <w:tc>
          <w:tcPr>
            <w:tcW w:w="50" w:type="pct"/>
            <w:vAlign w:val="center"/>
            <w:hideMark/>
          </w:tcPr>
          <w:p w14:paraId="12C3D047" w14:textId="77777777" w:rsidR="00000000" w:rsidRDefault="000C49AD">
            <w:pPr>
              <w:rPr>
                <w:rFonts w:eastAsia="Times New Roman"/>
              </w:rPr>
            </w:pPr>
          </w:p>
        </w:tc>
        <w:tc>
          <w:tcPr>
            <w:tcW w:w="3094" w:type="pct"/>
            <w:vAlign w:val="center"/>
            <w:hideMark/>
          </w:tcPr>
          <w:p w14:paraId="7D19FB45" w14:textId="77777777" w:rsidR="00000000" w:rsidRDefault="000C49AD">
            <w:pPr>
              <w:spacing w:after="100"/>
              <w:rPr>
                <w:rFonts w:eastAsia="Times New Roman"/>
                <w:sz w:val="20"/>
                <w:szCs w:val="20"/>
              </w:rPr>
            </w:pPr>
          </w:p>
        </w:tc>
        <w:tc>
          <w:tcPr>
            <w:tcW w:w="5" w:type="pct"/>
            <w:vAlign w:val="center"/>
            <w:hideMark/>
          </w:tcPr>
          <w:p w14:paraId="68C99135" w14:textId="77777777" w:rsidR="00000000" w:rsidRDefault="000C49AD">
            <w:pPr>
              <w:spacing w:after="100"/>
              <w:rPr>
                <w:rFonts w:eastAsia="Times New Roman"/>
                <w:sz w:val="20"/>
                <w:szCs w:val="20"/>
              </w:rPr>
            </w:pPr>
          </w:p>
        </w:tc>
        <w:tc>
          <w:tcPr>
            <w:tcW w:w="5" w:type="pct"/>
            <w:vAlign w:val="center"/>
            <w:hideMark/>
          </w:tcPr>
          <w:p w14:paraId="17D483EF" w14:textId="77777777" w:rsidR="00000000" w:rsidRDefault="000C49AD">
            <w:pPr>
              <w:spacing w:after="100"/>
              <w:rPr>
                <w:rFonts w:eastAsia="Times New Roman"/>
                <w:sz w:val="20"/>
                <w:szCs w:val="20"/>
              </w:rPr>
            </w:pPr>
          </w:p>
        </w:tc>
        <w:tc>
          <w:tcPr>
            <w:tcW w:w="26" w:type="pct"/>
            <w:vAlign w:val="center"/>
            <w:hideMark/>
          </w:tcPr>
          <w:p w14:paraId="4ED62DF5" w14:textId="77777777" w:rsidR="00000000" w:rsidRDefault="000C49AD">
            <w:pPr>
              <w:spacing w:after="100"/>
              <w:rPr>
                <w:rFonts w:eastAsia="Times New Roman"/>
                <w:sz w:val="20"/>
                <w:szCs w:val="20"/>
              </w:rPr>
            </w:pPr>
          </w:p>
        </w:tc>
        <w:tc>
          <w:tcPr>
            <w:tcW w:w="5" w:type="pct"/>
            <w:vAlign w:val="center"/>
            <w:hideMark/>
          </w:tcPr>
          <w:p w14:paraId="09ADEA72" w14:textId="77777777" w:rsidR="00000000" w:rsidRDefault="000C49AD">
            <w:pPr>
              <w:spacing w:after="100"/>
              <w:rPr>
                <w:rFonts w:eastAsia="Times New Roman"/>
                <w:sz w:val="20"/>
                <w:szCs w:val="20"/>
              </w:rPr>
            </w:pPr>
          </w:p>
        </w:tc>
        <w:tc>
          <w:tcPr>
            <w:tcW w:w="50" w:type="pct"/>
            <w:vAlign w:val="center"/>
            <w:hideMark/>
          </w:tcPr>
          <w:p w14:paraId="7007D41A" w14:textId="77777777" w:rsidR="00000000" w:rsidRDefault="000C49AD">
            <w:pPr>
              <w:spacing w:after="100"/>
              <w:rPr>
                <w:rFonts w:eastAsia="Times New Roman"/>
                <w:sz w:val="20"/>
                <w:szCs w:val="20"/>
              </w:rPr>
            </w:pPr>
          </w:p>
        </w:tc>
        <w:tc>
          <w:tcPr>
            <w:tcW w:w="833" w:type="pct"/>
            <w:vAlign w:val="center"/>
            <w:hideMark/>
          </w:tcPr>
          <w:p w14:paraId="7760EE97" w14:textId="77777777" w:rsidR="00000000" w:rsidRDefault="000C49AD">
            <w:pPr>
              <w:spacing w:after="100"/>
              <w:rPr>
                <w:rFonts w:eastAsia="Times New Roman"/>
                <w:sz w:val="20"/>
                <w:szCs w:val="20"/>
              </w:rPr>
            </w:pPr>
          </w:p>
        </w:tc>
        <w:tc>
          <w:tcPr>
            <w:tcW w:w="5" w:type="pct"/>
            <w:vAlign w:val="center"/>
            <w:hideMark/>
          </w:tcPr>
          <w:p w14:paraId="5CAE0E84" w14:textId="77777777" w:rsidR="00000000" w:rsidRDefault="000C49AD">
            <w:pPr>
              <w:spacing w:after="100"/>
              <w:rPr>
                <w:rFonts w:eastAsia="Times New Roman"/>
                <w:sz w:val="20"/>
                <w:szCs w:val="20"/>
              </w:rPr>
            </w:pPr>
          </w:p>
        </w:tc>
        <w:tc>
          <w:tcPr>
            <w:tcW w:w="5" w:type="pct"/>
            <w:vAlign w:val="center"/>
            <w:hideMark/>
          </w:tcPr>
          <w:p w14:paraId="1C6FBAF1" w14:textId="77777777" w:rsidR="00000000" w:rsidRDefault="000C49AD">
            <w:pPr>
              <w:spacing w:after="100"/>
              <w:rPr>
                <w:rFonts w:eastAsia="Times New Roman"/>
                <w:sz w:val="20"/>
                <w:szCs w:val="20"/>
              </w:rPr>
            </w:pPr>
          </w:p>
        </w:tc>
        <w:tc>
          <w:tcPr>
            <w:tcW w:w="26" w:type="pct"/>
            <w:vAlign w:val="center"/>
            <w:hideMark/>
          </w:tcPr>
          <w:p w14:paraId="056372FD" w14:textId="77777777" w:rsidR="00000000" w:rsidRDefault="000C49AD">
            <w:pPr>
              <w:spacing w:after="100"/>
              <w:rPr>
                <w:rFonts w:eastAsia="Times New Roman"/>
                <w:sz w:val="20"/>
                <w:szCs w:val="20"/>
              </w:rPr>
            </w:pPr>
          </w:p>
        </w:tc>
        <w:tc>
          <w:tcPr>
            <w:tcW w:w="5" w:type="pct"/>
            <w:vAlign w:val="center"/>
            <w:hideMark/>
          </w:tcPr>
          <w:p w14:paraId="533F19AB" w14:textId="77777777" w:rsidR="00000000" w:rsidRDefault="000C49AD">
            <w:pPr>
              <w:spacing w:after="100"/>
              <w:rPr>
                <w:rFonts w:eastAsia="Times New Roman"/>
                <w:sz w:val="20"/>
                <w:szCs w:val="20"/>
              </w:rPr>
            </w:pPr>
          </w:p>
        </w:tc>
        <w:tc>
          <w:tcPr>
            <w:tcW w:w="50" w:type="pct"/>
            <w:vAlign w:val="center"/>
            <w:hideMark/>
          </w:tcPr>
          <w:p w14:paraId="36C89315" w14:textId="77777777" w:rsidR="00000000" w:rsidRDefault="000C49AD">
            <w:pPr>
              <w:spacing w:after="100"/>
              <w:rPr>
                <w:rFonts w:eastAsia="Times New Roman"/>
                <w:sz w:val="20"/>
                <w:szCs w:val="20"/>
              </w:rPr>
            </w:pPr>
          </w:p>
        </w:tc>
        <w:tc>
          <w:tcPr>
            <w:tcW w:w="833" w:type="pct"/>
            <w:vAlign w:val="center"/>
            <w:hideMark/>
          </w:tcPr>
          <w:p w14:paraId="47BF5DED" w14:textId="77777777" w:rsidR="00000000" w:rsidRDefault="000C49AD">
            <w:pPr>
              <w:spacing w:after="100"/>
              <w:rPr>
                <w:rFonts w:eastAsia="Times New Roman"/>
                <w:sz w:val="20"/>
                <w:szCs w:val="20"/>
              </w:rPr>
            </w:pPr>
          </w:p>
        </w:tc>
        <w:tc>
          <w:tcPr>
            <w:tcW w:w="5" w:type="pct"/>
            <w:vAlign w:val="center"/>
            <w:hideMark/>
          </w:tcPr>
          <w:p w14:paraId="13832A03" w14:textId="77777777" w:rsidR="00000000" w:rsidRDefault="000C49AD">
            <w:pPr>
              <w:spacing w:after="100"/>
              <w:rPr>
                <w:rFonts w:eastAsia="Times New Roman"/>
                <w:sz w:val="20"/>
                <w:szCs w:val="20"/>
              </w:rPr>
            </w:pPr>
          </w:p>
        </w:tc>
      </w:tr>
      <w:tr w:rsidR="00000000" w14:paraId="5A3920F0" w14:textId="77777777">
        <w:trPr>
          <w:divId w:val="1688752883"/>
        </w:trPr>
        <w:tc>
          <w:tcPr>
            <w:tcW w:w="0" w:type="auto"/>
            <w:gridSpan w:val="3"/>
            <w:tcMar>
              <w:top w:w="30" w:type="dxa"/>
              <w:left w:w="20" w:type="dxa"/>
              <w:bottom w:w="30" w:type="dxa"/>
              <w:right w:w="20" w:type="dxa"/>
            </w:tcMar>
            <w:vAlign w:val="bottom"/>
            <w:hideMark/>
          </w:tcPr>
          <w:p w14:paraId="61E444D4" w14:textId="77777777" w:rsidR="00000000" w:rsidRDefault="000C49AD">
            <w:pPr>
              <w:spacing w:after="100"/>
              <w:rPr>
                <w:rFonts w:eastAsia="Times New Roman"/>
              </w:rPr>
            </w:pPr>
            <w:r>
              <w:rPr>
                <w:rFonts w:eastAsia="Times New Roman"/>
                <w:b/>
                <w:bCs/>
                <w:color w:val="000000"/>
                <w:sz w:val="18"/>
                <w:szCs w:val="18"/>
              </w:rPr>
              <w:t>Other Current Liabilities:</w:t>
            </w:r>
          </w:p>
        </w:tc>
        <w:tc>
          <w:tcPr>
            <w:tcW w:w="0" w:type="auto"/>
            <w:gridSpan w:val="3"/>
            <w:tcMar>
              <w:top w:w="0" w:type="dxa"/>
              <w:left w:w="20" w:type="dxa"/>
              <w:bottom w:w="0" w:type="dxa"/>
              <w:right w:w="20" w:type="dxa"/>
            </w:tcMar>
            <w:vAlign w:val="center"/>
            <w:hideMark/>
          </w:tcPr>
          <w:p w14:paraId="0D31569B"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38D426C4"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3DDFF85B"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4479C04" w14:textId="77777777" w:rsidR="00000000" w:rsidRDefault="000C49AD">
            <w:pPr>
              <w:spacing w:after="100"/>
              <w:jc w:val="center"/>
              <w:rPr>
                <w:rFonts w:eastAsia="Times New Roman"/>
              </w:rPr>
            </w:pPr>
            <w:r>
              <w:rPr>
                <w:rFonts w:eastAsia="Times New Roman"/>
                <w:b/>
                <w:bCs/>
                <w:color w:val="000000"/>
                <w:sz w:val="18"/>
                <w:szCs w:val="18"/>
              </w:rPr>
              <w:t>2020</w:t>
            </w:r>
          </w:p>
        </w:tc>
      </w:tr>
      <w:tr w:rsidR="00000000" w14:paraId="7E9389F7" w14:textId="77777777">
        <w:trPr>
          <w:divId w:val="1688752883"/>
          <w:trHeight w:val="60"/>
        </w:trPr>
        <w:tc>
          <w:tcPr>
            <w:tcW w:w="0" w:type="auto"/>
            <w:gridSpan w:val="3"/>
            <w:tcBorders>
              <w:top w:val="single" w:sz="8" w:space="0" w:color="000000"/>
            </w:tcBorders>
            <w:tcMar>
              <w:top w:w="0" w:type="dxa"/>
              <w:left w:w="20" w:type="dxa"/>
              <w:bottom w:w="0" w:type="dxa"/>
              <w:right w:w="20" w:type="dxa"/>
            </w:tcMar>
            <w:vAlign w:val="center"/>
            <w:hideMark/>
          </w:tcPr>
          <w:p w14:paraId="5CB18F12"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2CA975B"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11D5486"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408A0B"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FFCC161" w14:textId="77777777" w:rsidR="00000000" w:rsidRDefault="000C49AD">
            <w:pPr>
              <w:spacing w:after="100"/>
              <w:rPr>
                <w:rFonts w:eastAsia="Times New Roman"/>
                <w:sz w:val="20"/>
                <w:szCs w:val="20"/>
              </w:rPr>
            </w:pPr>
          </w:p>
        </w:tc>
      </w:tr>
      <w:tr w:rsidR="00000000" w14:paraId="43721AC6" w14:textId="77777777">
        <w:trPr>
          <w:divId w:val="1688752883"/>
        </w:trPr>
        <w:tc>
          <w:tcPr>
            <w:tcW w:w="0" w:type="auto"/>
            <w:gridSpan w:val="3"/>
            <w:shd w:val="clear" w:color="auto" w:fill="CCEEFF"/>
            <w:tcMar>
              <w:top w:w="30" w:type="dxa"/>
              <w:left w:w="155" w:type="dxa"/>
              <w:bottom w:w="30" w:type="dxa"/>
              <w:right w:w="20" w:type="dxa"/>
            </w:tcMar>
            <w:vAlign w:val="bottom"/>
            <w:hideMark/>
          </w:tcPr>
          <w:p w14:paraId="7D20BFDD" w14:textId="77777777" w:rsidR="00000000" w:rsidRDefault="000C49AD">
            <w:pPr>
              <w:spacing w:after="100"/>
              <w:rPr>
                <w:rFonts w:eastAsia="Times New Roman"/>
              </w:rPr>
            </w:pPr>
            <w:r>
              <w:rPr>
                <w:rFonts w:eastAsia="Times New Roman"/>
                <w:color w:val="000000"/>
                <w:sz w:val="18"/>
                <w:szCs w:val="18"/>
              </w:rPr>
              <w:t>Accrued interest</w:t>
            </w:r>
          </w:p>
        </w:tc>
        <w:tc>
          <w:tcPr>
            <w:tcW w:w="0" w:type="auto"/>
            <w:gridSpan w:val="3"/>
            <w:shd w:val="clear" w:color="auto" w:fill="CCEEFF"/>
            <w:tcMar>
              <w:top w:w="0" w:type="dxa"/>
              <w:left w:w="20" w:type="dxa"/>
              <w:bottom w:w="0" w:type="dxa"/>
              <w:right w:w="20" w:type="dxa"/>
            </w:tcMar>
            <w:vAlign w:val="center"/>
            <w:hideMark/>
          </w:tcPr>
          <w:p w14:paraId="6C6D7A4B"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EF97693"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346AB77" w14:textId="77777777" w:rsidR="00000000" w:rsidRDefault="000C49AD">
            <w:pPr>
              <w:spacing w:after="100"/>
              <w:jc w:val="right"/>
              <w:rPr>
                <w:rFonts w:eastAsia="Times New Roman"/>
              </w:rPr>
            </w:pPr>
            <w:r>
              <w:rPr>
                <w:rFonts w:eastAsia="Times New Roman"/>
                <w:color w:val="000000"/>
                <w:sz w:val="18"/>
                <w:szCs w:val="18"/>
              </w:rPr>
              <w:t>4,920 </w:t>
            </w:r>
          </w:p>
        </w:tc>
        <w:tc>
          <w:tcPr>
            <w:tcW w:w="0" w:type="auto"/>
            <w:shd w:val="clear" w:color="auto" w:fill="CCEEFF"/>
            <w:tcMar>
              <w:top w:w="30" w:type="dxa"/>
              <w:left w:w="0" w:type="dxa"/>
              <w:bottom w:w="30" w:type="dxa"/>
              <w:right w:w="20" w:type="dxa"/>
            </w:tcMar>
            <w:vAlign w:val="bottom"/>
            <w:hideMark/>
          </w:tcPr>
          <w:p w14:paraId="492CA15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36476C"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D5EC94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85CC132" w14:textId="77777777" w:rsidR="00000000" w:rsidRDefault="000C49AD">
            <w:pPr>
              <w:spacing w:after="100"/>
              <w:jc w:val="right"/>
              <w:rPr>
                <w:rFonts w:eastAsia="Times New Roman"/>
              </w:rPr>
            </w:pPr>
            <w:r>
              <w:rPr>
                <w:rFonts w:eastAsia="Times New Roman"/>
                <w:color w:val="000000"/>
                <w:sz w:val="18"/>
                <w:szCs w:val="18"/>
              </w:rPr>
              <w:t>2,695 </w:t>
            </w:r>
          </w:p>
        </w:tc>
        <w:tc>
          <w:tcPr>
            <w:tcW w:w="0" w:type="auto"/>
            <w:shd w:val="clear" w:color="auto" w:fill="CCEEFF"/>
            <w:tcMar>
              <w:top w:w="30" w:type="dxa"/>
              <w:left w:w="0" w:type="dxa"/>
              <w:bottom w:w="30" w:type="dxa"/>
              <w:right w:w="20" w:type="dxa"/>
            </w:tcMar>
            <w:vAlign w:val="bottom"/>
            <w:hideMark/>
          </w:tcPr>
          <w:p w14:paraId="296C868A" w14:textId="77777777" w:rsidR="00000000" w:rsidRDefault="000C49AD">
            <w:pPr>
              <w:spacing w:after="100"/>
              <w:jc w:val="right"/>
              <w:rPr>
                <w:rFonts w:eastAsia="Times New Roman"/>
              </w:rPr>
            </w:pPr>
          </w:p>
        </w:tc>
      </w:tr>
      <w:tr w:rsidR="00000000" w14:paraId="1545B53B" w14:textId="77777777">
        <w:trPr>
          <w:divId w:val="1688752883"/>
        </w:trPr>
        <w:tc>
          <w:tcPr>
            <w:tcW w:w="0" w:type="auto"/>
            <w:gridSpan w:val="3"/>
            <w:shd w:val="clear" w:color="auto" w:fill="FFFFFF"/>
            <w:tcMar>
              <w:top w:w="30" w:type="dxa"/>
              <w:left w:w="155" w:type="dxa"/>
              <w:bottom w:w="30" w:type="dxa"/>
              <w:right w:w="20" w:type="dxa"/>
            </w:tcMar>
            <w:vAlign w:val="bottom"/>
            <w:hideMark/>
          </w:tcPr>
          <w:p w14:paraId="0B79F214" w14:textId="77777777" w:rsidR="00000000" w:rsidRDefault="000C49AD">
            <w:pPr>
              <w:spacing w:after="100"/>
              <w:rPr>
                <w:rFonts w:eastAsia="Times New Roman"/>
              </w:rPr>
            </w:pPr>
            <w:r>
              <w:rPr>
                <w:rFonts w:eastAsia="Times New Roman"/>
                <w:color w:val="000000"/>
                <w:sz w:val="18"/>
                <w:szCs w:val="18"/>
              </w:rPr>
              <w:t>Guarantee to Deerfield</w:t>
            </w:r>
          </w:p>
        </w:tc>
        <w:tc>
          <w:tcPr>
            <w:tcW w:w="0" w:type="auto"/>
            <w:gridSpan w:val="3"/>
            <w:shd w:val="clear" w:color="auto" w:fill="FFFFFF"/>
            <w:tcMar>
              <w:top w:w="0" w:type="dxa"/>
              <w:left w:w="20" w:type="dxa"/>
              <w:bottom w:w="0" w:type="dxa"/>
              <w:right w:w="20" w:type="dxa"/>
            </w:tcMar>
            <w:vAlign w:val="center"/>
            <w:hideMark/>
          </w:tcPr>
          <w:p w14:paraId="60489C11"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C9817DC" w14:textId="77777777" w:rsidR="00000000" w:rsidRDefault="000C49AD">
            <w:pPr>
              <w:spacing w:after="100"/>
              <w:jc w:val="right"/>
              <w:rPr>
                <w:rFonts w:eastAsia="Times New Roman"/>
              </w:rPr>
            </w:pPr>
            <w:r>
              <w:rPr>
                <w:rFonts w:eastAsia="Times New Roman"/>
                <w:color w:val="000000"/>
                <w:sz w:val="18"/>
                <w:szCs w:val="18"/>
              </w:rPr>
              <w:t>280 </w:t>
            </w:r>
          </w:p>
        </w:tc>
        <w:tc>
          <w:tcPr>
            <w:tcW w:w="0" w:type="auto"/>
            <w:shd w:val="clear" w:color="auto" w:fill="FFFFFF"/>
            <w:tcMar>
              <w:top w:w="30" w:type="dxa"/>
              <w:left w:w="0" w:type="dxa"/>
              <w:bottom w:w="30" w:type="dxa"/>
              <w:right w:w="20" w:type="dxa"/>
            </w:tcMar>
            <w:vAlign w:val="bottom"/>
            <w:hideMark/>
          </w:tcPr>
          <w:p w14:paraId="51D82B0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F7E97C"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C5257E" w14:textId="77777777" w:rsidR="00000000" w:rsidRDefault="000C49AD">
            <w:pPr>
              <w:spacing w:after="100"/>
              <w:jc w:val="right"/>
              <w:rPr>
                <w:rFonts w:eastAsia="Times New Roman"/>
              </w:rPr>
            </w:pPr>
            <w:r>
              <w:rPr>
                <w:rFonts w:eastAsia="Times New Roman"/>
                <w:color w:val="000000"/>
                <w:sz w:val="18"/>
                <w:szCs w:val="18"/>
              </w:rPr>
              <w:t>319 </w:t>
            </w:r>
          </w:p>
        </w:tc>
        <w:tc>
          <w:tcPr>
            <w:tcW w:w="0" w:type="auto"/>
            <w:shd w:val="clear" w:color="auto" w:fill="FFFFFF"/>
            <w:tcMar>
              <w:top w:w="30" w:type="dxa"/>
              <w:left w:w="0" w:type="dxa"/>
              <w:bottom w:w="30" w:type="dxa"/>
              <w:right w:w="20" w:type="dxa"/>
            </w:tcMar>
            <w:vAlign w:val="bottom"/>
            <w:hideMark/>
          </w:tcPr>
          <w:p w14:paraId="0F3C3EE6" w14:textId="77777777" w:rsidR="00000000" w:rsidRDefault="000C49AD">
            <w:pPr>
              <w:spacing w:after="100"/>
              <w:jc w:val="right"/>
              <w:rPr>
                <w:rFonts w:eastAsia="Times New Roman"/>
              </w:rPr>
            </w:pPr>
          </w:p>
        </w:tc>
      </w:tr>
      <w:tr w:rsidR="00000000" w14:paraId="745AFF00" w14:textId="77777777">
        <w:trPr>
          <w:divId w:val="1688752883"/>
        </w:trPr>
        <w:tc>
          <w:tcPr>
            <w:tcW w:w="0" w:type="auto"/>
            <w:gridSpan w:val="3"/>
            <w:shd w:val="clear" w:color="auto" w:fill="CCEEFF"/>
            <w:tcMar>
              <w:top w:w="30" w:type="dxa"/>
              <w:left w:w="155" w:type="dxa"/>
              <w:bottom w:w="30" w:type="dxa"/>
              <w:right w:w="20" w:type="dxa"/>
            </w:tcMar>
            <w:vAlign w:val="bottom"/>
            <w:hideMark/>
          </w:tcPr>
          <w:p w14:paraId="2E464A56" w14:textId="77777777" w:rsidR="00000000" w:rsidRDefault="000C49AD">
            <w:pPr>
              <w:spacing w:after="100"/>
              <w:rPr>
                <w:rFonts w:eastAsia="Times New Roman"/>
              </w:rPr>
            </w:pPr>
            <w:r>
              <w:rPr>
                <w:rFonts w:eastAsia="Times New Roman"/>
                <w:color w:val="000000"/>
                <w:sz w:val="18"/>
                <w:szCs w:val="18"/>
              </w:rPr>
              <w:t xml:space="preserve">Other </w:t>
            </w:r>
          </w:p>
        </w:tc>
        <w:tc>
          <w:tcPr>
            <w:tcW w:w="0" w:type="auto"/>
            <w:gridSpan w:val="3"/>
            <w:shd w:val="clear" w:color="auto" w:fill="CCEEFF"/>
            <w:tcMar>
              <w:top w:w="0" w:type="dxa"/>
              <w:left w:w="20" w:type="dxa"/>
              <w:bottom w:w="0" w:type="dxa"/>
              <w:right w:w="20" w:type="dxa"/>
            </w:tcMar>
            <w:vAlign w:val="center"/>
            <w:hideMark/>
          </w:tcPr>
          <w:p w14:paraId="599E9E08"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5217C1D" w14:textId="77777777" w:rsidR="00000000" w:rsidRDefault="000C49AD">
            <w:pPr>
              <w:spacing w:after="100"/>
              <w:jc w:val="right"/>
              <w:rPr>
                <w:rFonts w:eastAsia="Times New Roman"/>
              </w:rPr>
            </w:pPr>
            <w:r>
              <w:rPr>
                <w:rFonts w:eastAsia="Times New Roman"/>
                <w:color w:val="000000"/>
                <w:sz w:val="18"/>
                <w:szCs w:val="18"/>
              </w:rPr>
              <w:t>70 </w:t>
            </w:r>
          </w:p>
        </w:tc>
        <w:tc>
          <w:tcPr>
            <w:tcW w:w="0" w:type="auto"/>
            <w:shd w:val="clear" w:color="auto" w:fill="CCEEFF"/>
            <w:tcMar>
              <w:top w:w="30" w:type="dxa"/>
              <w:left w:w="0" w:type="dxa"/>
              <w:bottom w:w="30" w:type="dxa"/>
              <w:right w:w="20" w:type="dxa"/>
            </w:tcMar>
            <w:vAlign w:val="bottom"/>
            <w:hideMark/>
          </w:tcPr>
          <w:p w14:paraId="60A32AE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15C2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29DAAE" w14:textId="77777777" w:rsidR="00000000" w:rsidRDefault="000C49AD">
            <w:pPr>
              <w:spacing w:after="100"/>
              <w:jc w:val="right"/>
              <w:rPr>
                <w:rFonts w:eastAsia="Times New Roman"/>
              </w:rPr>
            </w:pPr>
            <w:r>
              <w:rPr>
                <w:rFonts w:eastAsia="Times New Roman"/>
                <w:color w:val="000000"/>
                <w:sz w:val="18"/>
                <w:szCs w:val="18"/>
              </w:rPr>
              <w:t>160 </w:t>
            </w:r>
          </w:p>
        </w:tc>
        <w:tc>
          <w:tcPr>
            <w:tcW w:w="0" w:type="auto"/>
            <w:shd w:val="clear" w:color="auto" w:fill="CCEEFF"/>
            <w:tcMar>
              <w:top w:w="30" w:type="dxa"/>
              <w:left w:w="0" w:type="dxa"/>
              <w:bottom w:w="30" w:type="dxa"/>
              <w:right w:w="20" w:type="dxa"/>
            </w:tcMar>
            <w:vAlign w:val="bottom"/>
            <w:hideMark/>
          </w:tcPr>
          <w:p w14:paraId="51B6FED4" w14:textId="77777777" w:rsidR="00000000" w:rsidRDefault="000C49AD">
            <w:pPr>
              <w:spacing w:after="100"/>
              <w:jc w:val="right"/>
              <w:rPr>
                <w:rFonts w:eastAsia="Times New Roman"/>
              </w:rPr>
            </w:pPr>
          </w:p>
        </w:tc>
      </w:tr>
      <w:tr w:rsidR="00000000" w14:paraId="519B7E2F" w14:textId="77777777">
        <w:trPr>
          <w:divId w:val="1688752883"/>
        </w:trPr>
        <w:tc>
          <w:tcPr>
            <w:tcW w:w="0" w:type="auto"/>
            <w:gridSpan w:val="3"/>
            <w:shd w:val="clear" w:color="auto" w:fill="FFFFFF"/>
            <w:tcMar>
              <w:top w:w="30" w:type="dxa"/>
              <w:left w:w="155" w:type="dxa"/>
              <w:bottom w:w="30" w:type="dxa"/>
              <w:right w:w="20" w:type="dxa"/>
            </w:tcMar>
            <w:vAlign w:val="bottom"/>
            <w:hideMark/>
          </w:tcPr>
          <w:p w14:paraId="61F5AA18" w14:textId="77777777" w:rsidR="00000000" w:rsidRDefault="000C49AD">
            <w:pPr>
              <w:spacing w:after="100"/>
              <w:rPr>
                <w:rFonts w:eastAsia="Times New Roman"/>
              </w:rPr>
            </w:pPr>
            <w:r>
              <w:rPr>
                <w:rFonts w:eastAsia="Times New Roman"/>
                <w:color w:val="000000"/>
                <w:sz w:val="18"/>
                <w:szCs w:val="18"/>
              </w:rPr>
              <w:t>Due to Exela</w:t>
            </w:r>
          </w:p>
        </w:tc>
        <w:tc>
          <w:tcPr>
            <w:tcW w:w="0" w:type="auto"/>
            <w:gridSpan w:val="3"/>
            <w:shd w:val="clear" w:color="auto" w:fill="FFFFFF"/>
            <w:tcMar>
              <w:top w:w="0" w:type="dxa"/>
              <w:left w:w="20" w:type="dxa"/>
              <w:bottom w:w="0" w:type="dxa"/>
              <w:right w:w="20" w:type="dxa"/>
            </w:tcMar>
            <w:vAlign w:val="center"/>
            <w:hideMark/>
          </w:tcPr>
          <w:p w14:paraId="288B47BE"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24C0285"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909482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222E4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5735EA" w14:textId="77777777" w:rsidR="00000000" w:rsidRDefault="000C49AD">
            <w:pPr>
              <w:spacing w:after="100"/>
              <w:jc w:val="right"/>
              <w:rPr>
                <w:rFonts w:eastAsia="Times New Roman"/>
              </w:rPr>
            </w:pPr>
            <w:r>
              <w:rPr>
                <w:rFonts w:eastAsia="Times New Roman"/>
                <w:color w:val="000000"/>
                <w:sz w:val="18"/>
                <w:szCs w:val="18"/>
              </w:rPr>
              <w:t>2,026 </w:t>
            </w:r>
          </w:p>
        </w:tc>
        <w:tc>
          <w:tcPr>
            <w:tcW w:w="0" w:type="auto"/>
            <w:shd w:val="clear" w:color="auto" w:fill="FFFFFF"/>
            <w:tcMar>
              <w:top w:w="30" w:type="dxa"/>
              <w:left w:w="0" w:type="dxa"/>
              <w:bottom w:w="30" w:type="dxa"/>
              <w:right w:w="20" w:type="dxa"/>
            </w:tcMar>
            <w:vAlign w:val="bottom"/>
            <w:hideMark/>
          </w:tcPr>
          <w:p w14:paraId="12BC01BD" w14:textId="77777777" w:rsidR="00000000" w:rsidRDefault="000C49AD">
            <w:pPr>
              <w:spacing w:after="100"/>
              <w:jc w:val="right"/>
              <w:rPr>
                <w:rFonts w:eastAsia="Times New Roman"/>
              </w:rPr>
            </w:pPr>
          </w:p>
        </w:tc>
      </w:tr>
      <w:tr w:rsidR="00000000" w14:paraId="7DA9B07B" w14:textId="77777777">
        <w:trPr>
          <w:divId w:val="1688752883"/>
        </w:trPr>
        <w:tc>
          <w:tcPr>
            <w:tcW w:w="0" w:type="auto"/>
            <w:gridSpan w:val="3"/>
            <w:shd w:val="clear" w:color="auto" w:fill="CCEEFF"/>
            <w:tcMar>
              <w:top w:w="30" w:type="dxa"/>
              <w:left w:w="245" w:type="dxa"/>
              <w:bottom w:w="30" w:type="dxa"/>
              <w:right w:w="20" w:type="dxa"/>
            </w:tcMar>
            <w:vAlign w:val="bottom"/>
            <w:hideMark/>
          </w:tcPr>
          <w:p w14:paraId="5544B8B3" w14:textId="77777777" w:rsidR="00000000" w:rsidRDefault="000C49A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486E8CE2"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1F9C7B"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BC3077A" w14:textId="77777777" w:rsidR="00000000" w:rsidRDefault="000C49AD">
            <w:pPr>
              <w:spacing w:after="100"/>
              <w:jc w:val="right"/>
              <w:rPr>
                <w:rFonts w:eastAsia="Times New Roman"/>
              </w:rPr>
            </w:pPr>
            <w:r>
              <w:rPr>
                <w:rFonts w:eastAsia="Times New Roman"/>
                <w:color w:val="000000"/>
                <w:sz w:val="18"/>
                <w:szCs w:val="18"/>
              </w:rPr>
              <w:t>5,270 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02C9A1"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E1E6C"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E1F585"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94B273" w14:textId="77777777" w:rsidR="00000000" w:rsidRDefault="000C49AD">
            <w:pPr>
              <w:spacing w:after="100"/>
              <w:jc w:val="right"/>
              <w:rPr>
                <w:rFonts w:eastAsia="Times New Roman"/>
              </w:rPr>
            </w:pPr>
            <w:r>
              <w:rPr>
                <w:rFonts w:eastAsia="Times New Roman"/>
                <w:color w:val="000000"/>
                <w:sz w:val="18"/>
                <w:szCs w:val="18"/>
              </w:rPr>
              <w:t>5,200 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28EDC64" w14:textId="77777777" w:rsidR="00000000" w:rsidRDefault="000C49AD">
            <w:pPr>
              <w:spacing w:after="100"/>
              <w:jc w:val="right"/>
              <w:rPr>
                <w:rFonts w:eastAsia="Times New Roman"/>
              </w:rPr>
            </w:pPr>
          </w:p>
        </w:tc>
      </w:tr>
    </w:tbl>
    <w:p w14:paraId="71E45BD0" w14:textId="77777777" w:rsidR="00000000" w:rsidRDefault="000C49AD">
      <w:pPr>
        <w:jc w:val="both"/>
        <w:divId w:val="1586112434"/>
        <w:rPr>
          <w:rFonts w:eastAsia="Times New Roman"/>
        </w:rPr>
      </w:pPr>
      <w:r>
        <w:rPr>
          <w:rFonts w:eastAsia="Times New Roman"/>
          <w:color w:val="000000"/>
          <w:sz w:val="20"/>
          <w:szCs w:val="20"/>
        </w:rPr>
        <w:t> </w:t>
      </w:r>
    </w:p>
    <w:tbl>
      <w:tblPr>
        <w:tblW w:w="4978" w:type="pct"/>
        <w:tblCellMar>
          <w:top w:w="15" w:type="dxa"/>
          <w:left w:w="15" w:type="dxa"/>
          <w:bottom w:w="15" w:type="dxa"/>
          <w:right w:w="15" w:type="dxa"/>
        </w:tblCellMar>
        <w:tblLook w:val="04A0" w:firstRow="1" w:lastRow="0" w:firstColumn="1" w:lastColumn="0" w:noHBand="0" w:noVBand="1"/>
      </w:tblPr>
      <w:tblGrid>
        <w:gridCol w:w="41"/>
        <w:gridCol w:w="5078"/>
        <w:gridCol w:w="36"/>
        <w:gridCol w:w="36"/>
        <w:gridCol w:w="36"/>
        <w:gridCol w:w="36"/>
        <w:gridCol w:w="110"/>
        <w:gridCol w:w="1302"/>
        <w:gridCol w:w="36"/>
        <w:gridCol w:w="36"/>
        <w:gridCol w:w="36"/>
        <w:gridCol w:w="36"/>
        <w:gridCol w:w="110"/>
        <w:gridCol w:w="1304"/>
        <w:gridCol w:w="36"/>
      </w:tblGrid>
      <w:tr w:rsidR="00000000" w14:paraId="1B7707A8" w14:textId="77777777">
        <w:trPr>
          <w:divId w:val="687953596"/>
        </w:trPr>
        <w:tc>
          <w:tcPr>
            <w:tcW w:w="50" w:type="pct"/>
            <w:vAlign w:val="center"/>
            <w:hideMark/>
          </w:tcPr>
          <w:p w14:paraId="60A32196" w14:textId="77777777" w:rsidR="00000000" w:rsidRDefault="000C49AD">
            <w:pPr>
              <w:jc w:val="both"/>
              <w:rPr>
                <w:rFonts w:eastAsia="Times New Roman"/>
              </w:rPr>
            </w:pPr>
          </w:p>
        </w:tc>
        <w:tc>
          <w:tcPr>
            <w:tcW w:w="3094" w:type="pct"/>
            <w:vAlign w:val="center"/>
            <w:hideMark/>
          </w:tcPr>
          <w:p w14:paraId="6D4C6E67" w14:textId="77777777" w:rsidR="00000000" w:rsidRDefault="000C49AD">
            <w:pPr>
              <w:spacing w:after="100"/>
              <w:rPr>
                <w:rFonts w:eastAsia="Times New Roman"/>
                <w:sz w:val="20"/>
                <w:szCs w:val="20"/>
              </w:rPr>
            </w:pPr>
          </w:p>
        </w:tc>
        <w:tc>
          <w:tcPr>
            <w:tcW w:w="5" w:type="pct"/>
            <w:vAlign w:val="center"/>
            <w:hideMark/>
          </w:tcPr>
          <w:p w14:paraId="28344960" w14:textId="77777777" w:rsidR="00000000" w:rsidRDefault="000C49AD">
            <w:pPr>
              <w:spacing w:after="100"/>
              <w:rPr>
                <w:rFonts w:eastAsia="Times New Roman"/>
                <w:sz w:val="20"/>
                <w:szCs w:val="20"/>
              </w:rPr>
            </w:pPr>
          </w:p>
        </w:tc>
        <w:tc>
          <w:tcPr>
            <w:tcW w:w="5" w:type="pct"/>
            <w:vAlign w:val="center"/>
            <w:hideMark/>
          </w:tcPr>
          <w:p w14:paraId="78EFA756" w14:textId="77777777" w:rsidR="00000000" w:rsidRDefault="000C49AD">
            <w:pPr>
              <w:spacing w:after="100"/>
              <w:rPr>
                <w:rFonts w:eastAsia="Times New Roman"/>
                <w:sz w:val="20"/>
                <w:szCs w:val="20"/>
              </w:rPr>
            </w:pPr>
          </w:p>
        </w:tc>
        <w:tc>
          <w:tcPr>
            <w:tcW w:w="26" w:type="pct"/>
            <w:vAlign w:val="center"/>
            <w:hideMark/>
          </w:tcPr>
          <w:p w14:paraId="1CF388AD" w14:textId="77777777" w:rsidR="00000000" w:rsidRDefault="000C49AD">
            <w:pPr>
              <w:spacing w:after="100"/>
              <w:rPr>
                <w:rFonts w:eastAsia="Times New Roman"/>
                <w:sz w:val="20"/>
                <w:szCs w:val="20"/>
              </w:rPr>
            </w:pPr>
          </w:p>
        </w:tc>
        <w:tc>
          <w:tcPr>
            <w:tcW w:w="5" w:type="pct"/>
            <w:vAlign w:val="center"/>
            <w:hideMark/>
          </w:tcPr>
          <w:p w14:paraId="45CF2732" w14:textId="77777777" w:rsidR="00000000" w:rsidRDefault="000C49AD">
            <w:pPr>
              <w:spacing w:after="100"/>
              <w:rPr>
                <w:rFonts w:eastAsia="Times New Roman"/>
                <w:sz w:val="20"/>
                <w:szCs w:val="20"/>
              </w:rPr>
            </w:pPr>
          </w:p>
        </w:tc>
        <w:tc>
          <w:tcPr>
            <w:tcW w:w="50" w:type="pct"/>
            <w:vAlign w:val="center"/>
            <w:hideMark/>
          </w:tcPr>
          <w:p w14:paraId="371F748B" w14:textId="77777777" w:rsidR="00000000" w:rsidRDefault="000C49AD">
            <w:pPr>
              <w:spacing w:after="100"/>
              <w:rPr>
                <w:rFonts w:eastAsia="Times New Roman"/>
                <w:sz w:val="20"/>
                <w:szCs w:val="20"/>
              </w:rPr>
            </w:pPr>
          </w:p>
        </w:tc>
        <w:tc>
          <w:tcPr>
            <w:tcW w:w="833" w:type="pct"/>
            <w:vAlign w:val="center"/>
            <w:hideMark/>
          </w:tcPr>
          <w:p w14:paraId="4CC6C7FF" w14:textId="77777777" w:rsidR="00000000" w:rsidRDefault="000C49AD">
            <w:pPr>
              <w:spacing w:after="100"/>
              <w:rPr>
                <w:rFonts w:eastAsia="Times New Roman"/>
                <w:sz w:val="20"/>
                <w:szCs w:val="20"/>
              </w:rPr>
            </w:pPr>
          </w:p>
        </w:tc>
        <w:tc>
          <w:tcPr>
            <w:tcW w:w="5" w:type="pct"/>
            <w:vAlign w:val="center"/>
            <w:hideMark/>
          </w:tcPr>
          <w:p w14:paraId="00F350C4" w14:textId="77777777" w:rsidR="00000000" w:rsidRDefault="000C49AD">
            <w:pPr>
              <w:spacing w:after="100"/>
              <w:rPr>
                <w:rFonts w:eastAsia="Times New Roman"/>
                <w:sz w:val="20"/>
                <w:szCs w:val="20"/>
              </w:rPr>
            </w:pPr>
          </w:p>
        </w:tc>
        <w:tc>
          <w:tcPr>
            <w:tcW w:w="5" w:type="pct"/>
            <w:vAlign w:val="center"/>
            <w:hideMark/>
          </w:tcPr>
          <w:p w14:paraId="116E1B7D" w14:textId="77777777" w:rsidR="00000000" w:rsidRDefault="000C49AD">
            <w:pPr>
              <w:spacing w:after="100"/>
              <w:rPr>
                <w:rFonts w:eastAsia="Times New Roman"/>
                <w:sz w:val="20"/>
                <w:szCs w:val="20"/>
              </w:rPr>
            </w:pPr>
          </w:p>
        </w:tc>
        <w:tc>
          <w:tcPr>
            <w:tcW w:w="26" w:type="pct"/>
            <w:vAlign w:val="center"/>
            <w:hideMark/>
          </w:tcPr>
          <w:p w14:paraId="48214B4D" w14:textId="77777777" w:rsidR="00000000" w:rsidRDefault="000C49AD">
            <w:pPr>
              <w:spacing w:after="100"/>
              <w:rPr>
                <w:rFonts w:eastAsia="Times New Roman"/>
                <w:sz w:val="20"/>
                <w:szCs w:val="20"/>
              </w:rPr>
            </w:pPr>
          </w:p>
        </w:tc>
        <w:tc>
          <w:tcPr>
            <w:tcW w:w="5" w:type="pct"/>
            <w:vAlign w:val="center"/>
            <w:hideMark/>
          </w:tcPr>
          <w:p w14:paraId="4052937D" w14:textId="77777777" w:rsidR="00000000" w:rsidRDefault="000C49AD">
            <w:pPr>
              <w:spacing w:after="100"/>
              <w:rPr>
                <w:rFonts w:eastAsia="Times New Roman"/>
                <w:sz w:val="20"/>
                <w:szCs w:val="20"/>
              </w:rPr>
            </w:pPr>
          </w:p>
        </w:tc>
        <w:tc>
          <w:tcPr>
            <w:tcW w:w="50" w:type="pct"/>
            <w:vAlign w:val="center"/>
            <w:hideMark/>
          </w:tcPr>
          <w:p w14:paraId="3AF101B8" w14:textId="77777777" w:rsidR="00000000" w:rsidRDefault="000C49AD">
            <w:pPr>
              <w:spacing w:after="100"/>
              <w:rPr>
                <w:rFonts w:eastAsia="Times New Roman"/>
                <w:sz w:val="20"/>
                <w:szCs w:val="20"/>
              </w:rPr>
            </w:pPr>
          </w:p>
        </w:tc>
        <w:tc>
          <w:tcPr>
            <w:tcW w:w="833" w:type="pct"/>
            <w:vAlign w:val="center"/>
            <w:hideMark/>
          </w:tcPr>
          <w:p w14:paraId="4ADBCB7B" w14:textId="77777777" w:rsidR="00000000" w:rsidRDefault="000C49AD">
            <w:pPr>
              <w:spacing w:after="100"/>
              <w:rPr>
                <w:rFonts w:eastAsia="Times New Roman"/>
                <w:sz w:val="20"/>
                <w:szCs w:val="20"/>
              </w:rPr>
            </w:pPr>
          </w:p>
        </w:tc>
        <w:tc>
          <w:tcPr>
            <w:tcW w:w="5" w:type="pct"/>
            <w:vAlign w:val="center"/>
            <w:hideMark/>
          </w:tcPr>
          <w:p w14:paraId="6D1A0D24" w14:textId="77777777" w:rsidR="00000000" w:rsidRDefault="000C49AD">
            <w:pPr>
              <w:spacing w:after="100"/>
              <w:rPr>
                <w:rFonts w:eastAsia="Times New Roman"/>
                <w:sz w:val="20"/>
                <w:szCs w:val="20"/>
              </w:rPr>
            </w:pPr>
          </w:p>
        </w:tc>
      </w:tr>
      <w:tr w:rsidR="00000000" w14:paraId="54631189" w14:textId="77777777">
        <w:trPr>
          <w:divId w:val="687953596"/>
        </w:trPr>
        <w:tc>
          <w:tcPr>
            <w:tcW w:w="0" w:type="auto"/>
            <w:gridSpan w:val="3"/>
            <w:tcMar>
              <w:top w:w="30" w:type="dxa"/>
              <w:left w:w="20" w:type="dxa"/>
              <w:bottom w:w="30" w:type="dxa"/>
              <w:right w:w="20" w:type="dxa"/>
            </w:tcMar>
            <w:vAlign w:val="bottom"/>
            <w:hideMark/>
          </w:tcPr>
          <w:p w14:paraId="406D68F6" w14:textId="77777777" w:rsidR="00000000" w:rsidRDefault="000C49AD">
            <w:pPr>
              <w:spacing w:after="100"/>
              <w:rPr>
                <w:rFonts w:eastAsia="Times New Roman"/>
              </w:rPr>
            </w:pPr>
            <w:r>
              <w:rPr>
                <w:rFonts w:eastAsia="Times New Roman"/>
                <w:b/>
                <w:bCs/>
                <w:color w:val="000000"/>
                <w:sz w:val="18"/>
                <w:szCs w:val="18"/>
              </w:rPr>
              <w:t>Other Non-Current Liabilities:</w:t>
            </w:r>
          </w:p>
        </w:tc>
        <w:tc>
          <w:tcPr>
            <w:tcW w:w="0" w:type="auto"/>
            <w:gridSpan w:val="3"/>
            <w:tcMar>
              <w:top w:w="0" w:type="dxa"/>
              <w:left w:w="20" w:type="dxa"/>
              <w:bottom w:w="0" w:type="dxa"/>
              <w:right w:w="20" w:type="dxa"/>
            </w:tcMar>
            <w:vAlign w:val="center"/>
            <w:hideMark/>
          </w:tcPr>
          <w:p w14:paraId="4060704C"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4EC0DFA9"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8513E3E"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FCDC749" w14:textId="77777777" w:rsidR="00000000" w:rsidRDefault="000C49AD">
            <w:pPr>
              <w:spacing w:after="100"/>
              <w:jc w:val="center"/>
              <w:rPr>
                <w:rFonts w:eastAsia="Times New Roman"/>
              </w:rPr>
            </w:pPr>
            <w:r>
              <w:rPr>
                <w:rFonts w:eastAsia="Times New Roman"/>
                <w:b/>
                <w:bCs/>
                <w:color w:val="000000"/>
                <w:sz w:val="18"/>
                <w:szCs w:val="18"/>
              </w:rPr>
              <w:t>2020</w:t>
            </w:r>
          </w:p>
        </w:tc>
      </w:tr>
      <w:tr w:rsidR="00000000" w14:paraId="588FAF0E" w14:textId="77777777">
        <w:trPr>
          <w:divId w:val="687953596"/>
          <w:trHeight w:val="60"/>
        </w:trPr>
        <w:tc>
          <w:tcPr>
            <w:tcW w:w="0" w:type="auto"/>
            <w:gridSpan w:val="3"/>
            <w:tcBorders>
              <w:top w:val="single" w:sz="8" w:space="0" w:color="000000"/>
            </w:tcBorders>
            <w:tcMar>
              <w:top w:w="0" w:type="dxa"/>
              <w:left w:w="20" w:type="dxa"/>
              <w:bottom w:w="0" w:type="dxa"/>
              <w:right w:w="20" w:type="dxa"/>
            </w:tcMar>
            <w:vAlign w:val="center"/>
            <w:hideMark/>
          </w:tcPr>
          <w:p w14:paraId="77A4A2B0"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20225B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6C8C3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4B9ABC"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17BE1BC" w14:textId="77777777" w:rsidR="00000000" w:rsidRDefault="000C49AD">
            <w:pPr>
              <w:spacing w:after="100"/>
              <w:rPr>
                <w:rFonts w:eastAsia="Times New Roman"/>
                <w:sz w:val="20"/>
                <w:szCs w:val="20"/>
              </w:rPr>
            </w:pPr>
          </w:p>
        </w:tc>
      </w:tr>
      <w:tr w:rsidR="00000000" w14:paraId="7DDB5F8B" w14:textId="77777777">
        <w:trPr>
          <w:divId w:val="687953596"/>
        </w:trPr>
        <w:tc>
          <w:tcPr>
            <w:tcW w:w="0" w:type="auto"/>
            <w:gridSpan w:val="3"/>
            <w:shd w:val="clear" w:color="auto" w:fill="CCEEFF"/>
            <w:tcMar>
              <w:top w:w="30" w:type="dxa"/>
              <w:left w:w="155" w:type="dxa"/>
              <w:bottom w:w="30" w:type="dxa"/>
              <w:right w:w="20" w:type="dxa"/>
            </w:tcMar>
            <w:vAlign w:val="bottom"/>
            <w:hideMark/>
          </w:tcPr>
          <w:p w14:paraId="1B3B8A0C" w14:textId="77777777" w:rsidR="00000000" w:rsidRDefault="000C49AD">
            <w:pPr>
              <w:spacing w:after="100"/>
              <w:rPr>
                <w:rFonts w:eastAsia="Times New Roman"/>
              </w:rPr>
            </w:pPr>
            <w:r>
              <w:rPr>
                <w:rFonts w:eastAsia="Times New Roman"/>
                <w:color w:val="000000"/>
                <w:sz w:val="18"/>
                <w:szCs w:val="18"/>
              </w:rPr>
              <w:t>Tax liabilities and other</w:t>
            </w:r>
          </w:p>
        </w:tc>
        <w:tc>
          <w:tcPr>
            <w:tcW w:w="0" w:type="auto"/>
            <w:gridSpan w:val="3"/>
            <w:shd w:val="clear" w:color="auto" w:fill="CCEEFF"/>
            <w:tcMar>
              <w:top w:w="0" w:type="dxa"/>
              <w:left w:w="20" w:type="dxa"/>
              <w:bottom w:w="0" w:type="dxa"/>
              <w:right w:w="20" w:type="dxa"/>
            </w:tcMar>
            <w:vAlign w:val="center"/>
            <w:hideMark/>
          </w:tcPr>
          <w:p w14:paraId="562BBFA8"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7646CF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2B43C62" w14:textId="77777777" w:rsidR="00000000" w:rsidRDefault="000C49AD">
            <w:pPr>
              <w:spacing w:after="100"/>
              <w:jc w:val="right"/>
              <w:rPr>
                <w:rFonts w:eastAsia="Times New Roman"/>
              </w:rPr>
            </w:pPr>
            <w:r>
              <w:rPr>
                <w:rFonts w:eastAsia="Times New Roman"/>
                <w:color w:val="000000"/>
                <w:sz w:val="18"/>
                <w:szCs w:val="18"/>
              </w:rPr>
              <w:t>3,143 </w:t>
            </w:r>
          </w:p>
        </w:tc>
        <w:tc>
          <w:tcPr>
            <w:tcW w:w="0" w:type="auto"/>
            <w:shd w:val="clear" w:color="auto" w:fill="CCEEFF"/>
            <w:tcMar>
              <w:top w:w="30" w:type="dxa"/>
              <w:left w:w="0" w:type="dxa"/>
              <w:bottom w:w="30" w:type="dxa"/>
              <w:right w:w="20" w:type="dxa"/>
            </w:tcMar>
            <w:vAlign w:val="bottom"/>
            <w:hideMark/>
          </w:tcPr>
          <w:p w14:paraId="277D457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DF5D46"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09F4E3"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004739F" w14:textId="77777777" w:rsidR="00000000" w:rsidRDefault="000C49AD">
            <w:pPr>
              <w:spacing w:after="100"/>
              <w:jc w:val="right"/>
              <w:rPr>
                <w:rFonts w:eastAsia="Times New Roman"/>
              </w:rPr>
            </w:pPr>
            <w:r>
              <w:rPr>
                <w:rFonts w:eastAsia="Times New Roman"/>
                <w:color w:val="000000"/>
                <w:sz w:val="18"/>
                <w:szCs w:val="18"/>
              </w:rPr>
              <w:t>3,159 </w:t>
            </w:r>
          </w:p>
        </w:tc>
        <w:tc>
          <w:tcPr>
            <w:tcW w:w="0" w:type="auto"/>
            <w:shd w:val="clear" w:color="auto" w:fill="CCEEFF"/>
            <w:tcMar>
              <w:top w:w="30" w:type="dxa"/>
              <w:left w:w="0" w:type="dxa"/>
              <w:bottom w:w="30" w:type="dxa"/>
              <w:right w:w="20" w:type="dxa"/>
            </w:tcMar>
            <w:vAlign w:val="bottom"/>
            <w:hideMark/>
          </w:tcPr>
          <w:p w14:paraId="45D4555B" w14:textId="77777777" w:rsidR="00000000" w:rsidRDefault="000C49AD">
            <w:pPr>
              <w:spacing w:after="100"/>
              <w:jc w:val="right"/>
              <w:rPr>
                <w:rFonts w:eastAsia="Times New Roman"/>
              </w:rPr>
            </w:pPr>
          </w:p>
        </w:tc>
      </w:tr>
      <w:tr w:rsidR="00000000" w14:paraId="7C95588D" w14:textId="77777777">
        <w:trPr>
          <w:divId w:val="687953596"/>
        </w:trPr>
        <w:tc>
          <w:tcPr>
            <w:tcW w:w="0" w:type="auto"/>
            <w:gridSpan w:val="3"/>
            <w:shd w:val="clear" w:color="auto" w:fill="FFFFFF"/>
            <w:tcMar>
              <w:top w:w="30" w:type="dxa"/>
              <w:left w:w="155" w:type="dxa"/>
              <w:bottom w:w="30" w:type="dxa"/>
              <w:right w:w="20" w:type="dxa"/>
            </w:tcMar>
            <w:vAlign w:val="bottom"/>
            <w:hideMark/>
          </w:tcPr>
          <w:p w14:paraId="63ED5D3E" w14:textId="77777777" w:rsidR="00000000" w:rsidRDefault="000C49AD">
            <w:pPr>
              <w:spacing w:after="100"/>
              <w:rPr>
                <w:rFonts w:eastAsia="Times New Roman"/>
              </w:rPr>
            </w:pPr>
            <w:r>
              <w:rPr>
                <w:rFonts w:eastAsia="Times New Roman"/>
                <w:color w:val="000000"/>
                <w:sz w:val="18"/>
                <w:szCs w:val="18"/>
              </w:rPr>
              <w:t>Guarantee to Deerfield</w:t>
            </w:r>
          </w:p>
        </w:tc>
        <w:tc>
          <w:tcPr>
            <w:tcW w:w="0" w:type="auto"/>
            <w:gridSpan w:val="3"/>
            <w:shd w:val="clear" w:color="auto" w:fill="FFFFFF"/>
            <w:tcMar>
              <w:top w:w="0" w:type="dxa"/>
              <w:left w:w="20" w:type="dxa"/>
              <w:bottom w:w="0" w:type="dxa"/>
              <w:right w:w="20" w:type="dxa"/>
            </w:tcMar>
            <w:vAlign w:val="center"/>
            <w:hideMark/>
          </w:tcPr>
          <w:p w14:paraId="241EF635"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2D80B32" w14:textId="77777777" w:rsidR="00000000" w:rsidRDefault="000C49AD">
            <w:pPr>
              <w:spacing w:after="100"/>
              <w:jc w:val="right"/>
              <w:rPr>
                <w:rFonts w:eastAsia="Times New Roman"/>
              </w:rPr>
            </w:pPr>
            <w:r>
              <w:rPr>
                <w:rFonts w:eastAsia="Times New Roman"/>
                <w:color w:val="000000"/>
                <w:sz w:val="18"/>
                <w:szCs w:val="18"/>
              </w:rPr>
              <w:t>774 </w:t>
            </w:r>
          </w:p>
        </w:tc>
        <w:tc>
          <w:tcPr>
            <w:tcW w:w="0" w:type="auto"/>
            <w:shd w:val="clear" w:color="auto" w:fill="FFFFFF"/>
            <w:tcMar>
              <w:top w:w="30" w:type="dxa"/>
              <w:left w:w="0" w:type="dxa"/>
              <w:bottom w:w="30" w:type="dxa"/>
              <w:right w:w="20" w:type="dxa"/>
            </w:tcMar>
            <w:vAlign w:val="bottom"/>
            <w:hideMark/>
          </w:tcPr>
          <w:p w14:paraId="453262F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0C7E5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57C82B" w14:textId="77777777" w:rsidR="00000000" w:rsidRDefault="000C49AD">
            <w:pPr>
              <w:spacing w:after="100"/>
              <w:jc w:val="right"/>
              <w:rPr>
                <w:rFonts w:eastAsia="Times New Roman"/>
              </w:rPr>
            </w:pPr>
            <w:r>
              <w:rPr>
                <w:rFonts w:eastAsia="Times New Roman"/>
                <w:color w:val="000000"/>
                <w:sz w:val="18"/>
                <w:szCs w:val="18"/>
              </w:rPr>
              <w:t>1,053 </w:t>
            </w:r>
          </w:p>
        </w:tc>
        <w:tc>
          <w:tcPr>
            <w:tcW w:w="0" w:type="auto"/>
            <w:shd w:val="clear" w:color="auto" w:fill="FFFFFF"/>
            <w:tcMar>
              <w:top w:w="30" w:type="dxa"/>
              <w:left w:w="0" w:type="dxa"/>
              <w:bottom w:w="30" w:type="dxa"/>
              <w:right w:w="20" w:type="dxa"/>
            </w:tcMar>
            <w:vAlign w:val="bottom"/>
            <w:hideMark/>
          </w:tcPr>
          <w:p w14:paraId="55A6D710" w14:textId="77777777" w:rsidR="00000000" w:rsidRDefault="000C49AD">
            <w:pPr>
              <w:spacing w:after="100"/>
              <w:jc w:val="right"/>
              <w:rPr>
                <w:rFonts w:eastAsia="Times New Roman"/>
              </w:rPr>
            </w:pPr>
          </w:p>
        </w:tc>
      </w:tr>
      <w:tr w:rsidR="00000000" w14:paraId="02ED7416" w14:textId="77777777">
        <w:trPr>
          <w:divId w:val="687953596"/>
        </w:trPr>
        <w:tc>
          <w:tcPr>
            <w:tcW w:w="0" w:type="auto"/>
            <w:gridSpan w:val="3"/>
            <w:shd w:val="clear" w:color="auto" w:fill="CCEEFF"/>
            <w:tcMar>
              <w:top w:w="30" w:type="dxa"/>
              <w:left w:w="245" w:type="dxa"/>
              <w:bottom w:w="30" w:type="dxa"/>
              <w:right w:w="20" w:type="dxa"/>
            </w:tcMar>
            <w:vAlign w:val="bottom"/>
            <w:hideMark/>
          </w:tcPr>
          <w:p w14:paraId="08730DF7" w14:textId="77777777" w:rsidR="00000000" w:rsidRDefault="000C49AD">
            <w:pPr>
              <w:spacing w:after="100"/>
              <w:rPr>
                <w:rFonts w:eastAsia="Times New Roman"/>
              </w:rPr>
            </w:pPr>
            <w:r>
              <w:rPr>
                <w:rFonts w:eastAsia="Times New Roman"/>
                <w:color w:val="000000"/>
                <w:sz w:val="18"/>
                <w:szCs w:val="18"/>
              </w:rPr>
              <w:t>Total</w:t>
            </w:r>
          </w:p>
        </w:tc>
        <w:tc>
          <w:tcPr>
            <w:tcW w:w="0" w:type="auto"/>
            <w:gridSpan w:val="3"/>
            <w:shd w:val="clear" w:color="auto" w:fill="CCEEFF"/>
            <w:tcMar>
              <w:top w:w="0" w:type="dxa"/>
              <w:left w:w="20" w:type="dxa"/>
              <w:bottom w:w="0" w:type="dxa"/>
              <w:right w:w="20" w:type="dxa"/>
            </w:tcMar>
            <w:vAlign w:val="center"/>
            <w:hideMark/>
          </w:tcPr>
          <w:p w14:paraId="40EB7035"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3C72EE"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11C77C" w14:textId="77777777" w:rsidR="00000000" w:rsidRDefault="000C49AD">
            <w:pPr>
              <w:spacing w:after="100"/>
              <w:jc w:val="right"/>
              <w:rPr>
                <w:rFonts w:eastAsia="Times New Roman"/>
              </w:rPr>
            </w:pPr>
            <w:r>
              <w:rPr>
                <w:rFonts w:eastAsia="Times New Roman"/>
                <w:color w:val="000000"/>
                <w:sz w:val="18"/>
                <w:szCs w:val="18"/>
              </w:rPr>
              <w:t>3,917 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1ED4A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D03CF7"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BFC214"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5852480" w14:textId="77777777" w:rsidR="00000000" w:rsidRDefault="000C49AD">
            <w:pPr>
              <w:spacing w:after="100"/>
              <w:jc w:val="right"/>
              <w:rPr>
                <w:rFonts w:eastAsia="Times New Roman"/>
              </w:rPr>
            </w:pPr>
            <w:r>
              <w:rPr>
                <w:rFonts w:eastAsia="Times New Roman"/>
                <w:color w:val="000000"/>
                <w:sz w:val="18"/>
                <w:szCs w:val="18"/>
              </w:rPr>
              <w:t>4,212 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FD614EB" w14:textId="77777777" w:rsidR="00000000" w:rsidRDefault="000C49AD">
            <w:pPr>
              <w:spacing w:after="100"/>
              <w:jc w:val="right"/>
              <w:rPr>
                <w:rFonts w:eastAsia="Times New Roman"/>
              </w:rPr>
            </w:pPr>
          </w:p>
        </w:tc>
      </w:tr>
    </w:tbl>
    <w:p w14:paraId="6A8B1514" w14:textId="77777777" w:rsidR="00000000" w:rsidRDefault="000C49AD">
      <w:pPr>
        <w:jc w:val="both"/>
        <w:rPr>
          <w:rFonts w:eastAsia="Times New Roman"/>
        </w:rPr>
      </w:pPr>
    </w:p>
    <w:p w14:paraId="74B49D18" w14:textId="77777777" w:rsidR="00000000" w:rsidRDefault="000C49AD">
      <w:pPr>
        <w:jc w:val="both"/>
        <w:divId w:val="499152481"/>
        <w:rPr>
          <w:rFonts w:eastAsia="Times New Roman"/>
        </w:rPr>
      </w:pPr>
      <w:r>
        <w:rPr>
          <w:rFonts w:eastAsia="Times New Roman"/>
          <w:b/>
          <w:bCs/>
          <w:color w:val="000000"/>
          <w:sz w:val="20"/>
          <w:szCs w:val="20"/>
        </w:rPr>
        <w:t>NOTE 15:</w:t>
      </w:r>
      <w:r>
        <w:rPr>
          <w:rFonts w:eastAsia="Times New Roman"/>
          <w:color w:val="000000"/>
          <w:sz w:val="20"/>
          <w:szCs w:val="20"/>
        </w:rPr>
        <w:t xml:space="preserve"> </w:t>
      </w:r>
      <w:r>
        <w:rPr>
          <w:rFonts w:eastAsia="Times New Roman"/>
          <w:b/>
          <w:bCs/>
          <w:color w:val="000000"/>
          <w:sz w:val="20"/>
          <w:szCs w:val="20"/>
        </w:rPr>
        <w:t>Contingent Liabilities and Commitments</w:t>
      </w:r>
      <w:r>
        <w:rPr>
          <w:rFonts w:eastAsia="Times New Roman"/>
          <w:b/>
          <w:bCs/>
          <w:i/>
          <w:iCs/>
          <w:color w:val="000000"/>
          <w:sz w:val="20"/>
          <w:szCs w:val="20"/>
        </w:rPr>
        <w:t> </w:t>
      </w:r>
    </w:p>
    <w:p w14:paraId="4FFBAA16" w14:textId="77777777" w:rsidR="00000000" w:rsidRDefault="000C49AD">
      <w:pPr>
        <w:jc w:val="both"/>
        <w:divId w:val="201985403"/>
        <w:rPr>
          <w:rFonts w:eastAsia="Times New Roman"/>
        </w:rPr>
      </w:pPr>
      <w:r>
        <w:rPr>
          <w:rFonts w:eastAsia="Times New Roman"/>
          <w:b/>
          <w:bCs/>
          <w:i/>
          <w:iCs/>
          <w:color w:val="000000"/>
          <w:sz w:val="20"/>
          <w:szCs w:val="20"/>
        </w:rPr>
        <w:t xml:space="preserve">Litigation </w:t>
      </w:r>
      <w:r>
        <w:rPr>
          <w:rFonts w:eastAsia="Times New Roman"/>
          <w:color w:val="000000"/>
          <w:sz w:val="20"/>
          <w:szCs w:val="20"/>
        </w:rPr>
        <w:t> </w:t>
      </w:r>
    </w:p>
    <w:p w14:paraId="04B8FE50" w14:textId="77777777" w:rsidR="00000000" w:rsidRDefault="000C49AD">
      <w:pPr>
        <w:jc w:val="both"/>
        <w:rPr>
          <w:rFonts w:eastAsia="Times New Roman"/>
        </w:rPr>
      </w:pPr>
      <w:r>
        <w:rPr>
          <w:rFonts w:eastAsia="Times New Roman"/>
          <w:color w:val="000000"/>
          <w:sz w:val="20"/>
          <w:szCs w:val="20"/>
        </w:rPr>
        <w:t>The Company is subject to potential liabilities generally incidental to its business arising out of present and future lawsuits and claims related to product liability, personal injury, contr</w:t>
      </w:r>
      <w:r>
        <w:rPr>
          <w:rFonts w:eastAsia="Times New Roman"/>
          <w:color w:val="000000"/>
          <w:sz w:val="20"/>
          <w:szCs w:val="20"/>
        </w:rPr>
        <w:t>act, commercial, intellectual property, tax, employment, compliance and other matters that arise in the ordinary course of business. The Company accrues for potential liabilities when it is probable that future costs (including legal fees and expenses) wil</w:t>
      </w:r>
      <w:r>
        <w:rPr>
          <w:rFonts w:eastAsia="Times New Roman"/>
          <w:color w:val="000000"/>
          <w:sz w:val="20"/>
          <w:szCs w:val="20"/>
        </w:rPr>
        <w:t>l be incurred and such costs can be reasonably estimated. At December 31, 2021, there were no contingent liabilities with respect to any litigation, arbitration or administrative or other proceeding that are reasonably likely to have a material adverse eff</w:t>
      </w:r>
      <w:r>
        <w:rPr>
          <w:rFonts w:eastAsia="Times New Roman"/>
          <w:color w:val="000000"/>
          <w:sz w:val="20"/>
          <w:szCs w:val="20"/>
        </w:rPr>
        <w:t xml:space="preserve">ect on the Company’s consolidated financial position, results of operations, cash flows or liquidity. </w:t>
      </w:r>
      <w:r>
        <w:rPr>
          <w:rFonts w:eastAsia="Times New Roman"/>
          <w:b/>
          <w:bCs/>
          <w:i/>
          <w:iCs/>
          <w:color w:val="000000"/>
          <w:sz w:val="20"/>
          <w:szCs w:val="20"/>
        </w:rPr>
        <w:t> </w:t>
      </w:r>
    </w:p>
    <w:p w14:paraId="48010141" w14:textId="77777777" w:rsidR="00000000" w:rsidRDefault="000C49AD">
      <w:pPr>
        <w:jc w:val="both"/>
        <w:rPr>
          <w:rFonts w:eastAsia="Times New Roman"/>
        </w:rPr>
      </w:pPr>
    </w:p>
    <w:p w14:paraId="6999EB4F" w14:textId="77777777" w:rsidR="00000000" w:rsidRDefault="000C49AD">
      <w:pPr>
        <w:jc w:val="both"/>
        <w:rPr>
          <w:rFonts w:eastAsia="Times New Roman"/>
        </w:rPr>
      </w:pPr>
      <w:r>
        <w:rPr>
          <w:rFonts w:eastAsia="Times New Roman"/>
          <w:b/>
          <w:bCs/>
          <w:i/>
          <w:iCs/>
          <w:color w:val="000000"/>
          <w:sz w:val="20"/>
          <w:szCs w:val="20"/>
        </w:rPr>
        <w:t>First Complaint</w:t>
      </w:r>
    </w:p>
    <w:p w14:paraId="50E52797" w14:textId="77777777" w:rsidR="00000000" w:rsidRDefault="000C49AD">
      <w:pPr>
        <w:divId w:val="960766597"/>
        <w:rPr>
          <w:rFonts w:eastAsia="Times New Roman"/>
        </w:rPr>
      </w:pPr>
    </w:p>
    <w:p w14:paraId="022CA94C" w14:textId="77777777" w:rsidR="00000000" w:rsidRDefault="000C49AD">
      <w:pPr>
        <w:jc w:val="both"/>
        <w:rPr>
          <w:rFonts w:eastAsia="Times New Roman"/>
        </w:rPr>
      </w:pPr>
      <w:r>
        <w:rPr>
          <w:rFonts w:eastAsia="Times New Roman"/>
          <w:color w:val="000000"/>
          <w:sz w:val="20"/>
          <w:szCs w:val="20"/>
        </w:rPr>
        <w:t>On May 12, 2021, Jazz Pharmaceuticals, Inc. (“Jazz”) filed a formal complaint (the “First Complaint”</w:t>
      </w:r>
      <w:r>
        <w:rPr>
          <w:rFonts w:eastAsia="Times New Roman"/>
          <w:color w:val="000000"/>
          <w:sz w:val="20"/>
          <w:szCs w:val="20"/>
        </w:rPr>
        <w:t>) initiating a lawsuit in the United States District Court for the District of Delaware (the “Court”) against Avadel Pharmaceuticals plc, Avadel US Holdings, Inc., Avadel Management Corporation, Avadel Legacy Pharmaceuticals, LLC, Avadel Specialty Pharmace</w:t>
      </w:r>
      <w:r>
        <w:rPr>
          <w:rFonts w:eastAsia="Times New Roman"/>
          <w:color w:val="000000"/>
          <w:sz w:val="20"/>
          <w:szCs w:val="20"/>
        </w:rPr>
        <w:t>uticals, LLC, and Avadel CNS Pharmaceuticals, LLC (collectively, the “Avadel Parties”). In the First Complaint, Jazz alleges the sodium oxybate product (“Proposed Product”) described in the NDA owned by Avadel CNS Pharmaceuticals, LLC will infringe at leas</w:t>
      </w:r>
      <w:r>
        <w:rPr>
          <w:rFonts w:eastAsia="Times New Roman"/>
          <w:color w:val="000000"/>
          <w:sz w:val="20"/>
          <w:szCs w:val="20"/>
        </w:rPr>
        <w:t>t one claim of US Patent No. 8731963, 10758488, 10813885, 10959956 and/or 10966931 (collectively, the “patents-in-suit”). The First Complaint further includes typical relief requests such as preliminary and permanent injunctive relief, monetary damages and</w:t>
      </w:r>
      <w:r>
        <w:rPr>
          <w:rFonts w:eastAsia="Times New Roman"/>
          <w:color w:val="000000"/>
          <w:sz w:val="20"/>
          <w:szCs w:val="20"/>
        </w:rPr>
        <w:t xml:space="preserve"> attorneys’ fees, costs and expenses.</w:t>
      </w:r>
    </w:p>
    <w:p w14:paraId="06676922" w14:textId="77777777" w:rsidR="00000000" w:rsidRDefault="000C49AD">
      <w:pPr>
        <w:jc w:val="both"/>
        <w:rPr>
          <w:rFonts w:eastAsia="Times New Roman"/>
        </w:rPr>
      </w:pPr>
    </w:p>
    <w:p w14:paraId="4838EA63" w14:textId="77777777" w:rsidR="00000000" w:rsidRDefault="000C49AD">
      <w:pPr>
        <w:jc w:val="both"/>
        <w:rPr>
          <w:rFonts w:eastAsia="Times New Roman"/>
        </w:rPr>
      </w:pPr>
      <w:r>
        <w:rPr>
          <w:rFonts w:eastAsia="Times New Roman"/>
          <w:color w:val="000000"/>
          <w:sz w:val="20"/>
          <w:szCs w:val="20"/>
        </w:rPr>
        <w:t>On June 3, 2021, the Avadel Parties timely filed their Answer and Counterclaims (the “Avadel Answer”) with the Court in response to the First Complaint. The Avadel Answer generally denies the allegations set forth in</w:t>
      </w:r>
      <w:r>
        <w:rPr>
          <w:rFonts w:eastAsia="Times New Roman"/>
          <w:color w:val="000000"/>
          <w:sz w:val="20"/>
          <w:szCs w:val="20"/>
        </w:rPr>
        <w:t xml:space="preserve"> the First Complaint, includes numerous affirmative defenses (including, but not limited to, non-infringement and invalidity of the patents-in-suit), and asserts a number of counterclaims seeking i) a declaratory judgment of non-infringement of each patent</w:t>
      </w:r>
      <w:r>
        <w:rPr>
          <w:rFonts w:eastAsia="Times New Roman"/>
          <w:color w:val="000000"/>
          <w:sz w:val="20"/>
          <w:szCs w:val="20"/>
        </w:rPr>
        <w:t>-in-suit, and ii) a declaratory judgment of invalidity of each patent-in-suit.</w:t>
      </w:r>
    </w:p>
    <w:p w14:paraId="4A84A8CE" w14:textId="77777777" w:rsidR="00000000" w:rsidRDefault="000C49AD">
      <w:pPr>
        <w:jc w:val="both"/>
        <w:rPr>
          <w:rFonts w:eastAsia="Times New Roman"/>
        </w:rPr>
      </w:pPr>
    </w:p>
    <w:p w14:paraId="5E4CB103" w14:textId="77777777" w:rsidR="00000000" w:rsidRDefault="000C49AD">
      <w:pPr>
        <w:jc w:val="both"/>
        <w:rPr>
          <w:rFonts w:eastAsia="Times New Roman"/>
        </w:rPr>
      </w:pPr>
      <w:r>
        <w:rPr>
          <w:rFonts w:eastAsia="Times New Roman"/>
          <w:color w:val="000000"/>
          <w:sz w:val="20"/>
          <w:szCs w:val="20"/>
        </w:rPr>
        <w:t>On June 18, 2021, Jazz filed its Answer (“Jazz Answer”) with the Court in response to the Avadel Answer. The Jazz Answer generally denies the allegations set forth in the Avad</w:t>
      </w:r>
      <w:r>
        <w:rPr>
          <w:rFonts w:eastAsia="Times New Roman"/>
          <w:color w:val="000000"/>
          <w:sz w:val="20"/>
          <w:szCs w:val="20"/>
        </w:rPr>
        <w:t>el Answer and sets forth a single affirmative defense asserting that Avadel has failed to state a claim for which relief can be granted.</w:t>
      </w:r>
    </w:p>
    <w:p w14:paraId="3F2FB98D" w14:textId="77777777" w:rsidR="00000000" w:rsidRDefault="000C49AD">
      <w:pPr>
        <w:jc w:val="both"/>
        <w:rPr>
          <w:rFonts w:eastAsia="Times New Roman"/>
        </w:rPr>
      </w:pPr>
    </w:p>
    <w:p w14:paraId="24EE1A8F" w14:textId="77777777" w:rsidR="00000000" w:rsidRDefault="000C49AD">
      <w:pPr>
        <w:jc w:val="both"/>
        <w:rPr>
          <w:rFonts w:eastAsia="Times New Roman"/>
        </w:rPr>
      </w:pPr>
      <w:r>
        <w:rPr>
          <w:rFonts w:eastAsia="Times New Roman"/>
          <w:color w:val="000000"/>
          <w:sz w:val="20"/>
          <w:szCs w:val="20"/>
        </w:rPr>
        <w:t>On June 21, 2021, the Court issued an oral order requiring the parties to i) confer regarding proposed dates to be in</w:t>
      </w:r>
      <w:r>
        <w:rPr>
          <w:rFonts w:eastAsia="Times New Roman"/>
          <w:color w:val="000000"/>
          <w:sz w:val="20"/>
          <w:szCs w:val="20"/>
        </w:rPr>
        <w:t>cluded in the Court’s scheduling order for the case, and ii) submit a proposed order, including a proposal for the length and timing of trial, to the Court by no later than July 21, 2021.</w:t>
      </w:r>
    </w:p>
    <w:p w14:paraId="5D7DAC99" w14:textId="77777777" w:rsidR="00000000" w:rsidRDefault="000C49AD">
      <w:pPr>
        <w:jc w:val="both"/>
        <w:rPr>
          <w:rFonts w:eastAsia="Times New Roman"/>
        </w:rPr>
      </w:pPr>
    </w:p>
    <w:p w14:paraId="395362D1" w14:textId="77777777" w:rsidR="00000000" w:rsidRDefault="000C49AD">
      <w:pPr>
        <w:jc w:val="both"/>
        <w:rPr>
          <w:rFonts w:eastAsia="Times New Roman"/>
        </w:rPr>
      </w:pPr>
      <w:r>
        <w:rPr>
          <w:rFonts w:eastAsia="Times New Roman"/>
          <w:color w:val="000000"/>
          <w:sz w:val="20"/>
          <w:szCs w:val="20"/>
        </w:rPr>
        <w:t>On July 30, 2021, the Court issued a scheduling order establishing</w:t>
      </w:r>
      <w:r>
        <w:rPr>
          <w:rFonts w:eastAsia="Times New Roman"/>
          <w:color w:val="000000"/>
          <w:sz w:val="20"/>
          <w:szCs w:val="20"/>
        </w:rPr>
        <w:t xml:space="preserve"> timing for litigation events including i) a claim construction hearing date of August 2, 2022, and ii) a trial date of October 30, 2023.</w:t>
      </w:r>
    </w:p>
    <w:p w14:paraId="4F02C1B8" w14:textId="77777777" w:rsidR="00000000" w:rsidRDefault="000C49AD">
      <w:pPr>
        <w:jc w:val="both"/>
        <w:rPr>
          <w:rFonts w:eastAsia="Times New Roman"/>
        </w:rPr>
      </w:pPr>
    </w:p>
    <w:p w14:paraId="37CE88DC" w14:textId="77777777" w:rsidR="00000000" w:rsidRDefault="000C49AD">
      <w:pPr>
        <w:jc w:val="both"/>
        <w:rPr>
          <w:rFonts w:eastAsia="Times New Roman"/>
        </w:rPr>
      </w:pPr>
      <w:r>
        <w:rPr>
          <w:rFonts w:eastAsia="Times New Roman"/>
          <w:color w:val="000000"/>
          <w:sz w:val="20"/>
          <w:szCs w:val="20"/>
        </w:rPr>
        <w:t>On October 18, 2021, consistent with the scheduling order, Jazz filed a status update with the Court indicating that</w:t>
      </w:r>
      <w:r>
        <w:rPr>
          <w:rFonts w:eastAsia="Times New Roman"/>
          <w:color w:val="000000"/>
          <w:sz w:val="20"/>
          <w:szCs w:val="20"/>
        </w:rPr>
        <w:t xml:space="preserve"> Jazz did not intend to file a preliminary injunction with the Court at this time. Jazz further indicated that it would provide the Court with an </w:t>
      </w:r>
    </w:p>
    <w:p w14:paraId="096531AC" w14:textId="77777777" w:rsidR="00000000" w:rsidRDefault="000C49AD">
      <w:pPr>
        <w:jc w:val="center"/>
        <w:divId w:val="1204633373"/>
        <w:rPr>
          <w:rFonts w:eastAsia="Times New Roman"/>
        </w:rPr>
      </w:pPr>
      <w:r>
        <w:rPr>
          <w:rFonts w:eastAsia="Times New Roman"/>
          <w:color w:val="000000"/>
          <w:sz w:val="20"/>
          <w:szCs w:val="20"/>
        </w:rPr>
        <w:t>-96-</w:t>
      </w:r>
    </w:p>
    <w:p w14:paraId="0A2F4D7C" w14:textId="77777777" w:rsidR="00000000" w:rsidRDefault="000C49AD">
      <w:pPr>
        <w:rPr>
          <w:rFonts w:eastAsia="Times New Roman"/>
        </w:rPr>
      </w:pPr>
      <w:r>
        <w:rPr>
          <w:rFonts w:eastAsia="Times New Roman"/>
        </w:rPr>
        <w:pict w14:anchorId="69A10440">
          <v:rect id="_x0000_i1121" style="width:0;height:1.5pt" o:hralign="center" o:hrstd="t" o:hr="t" fillcolor="#a0a0a0" stroked="f"/>
        </w:pict>
      </w:r>
    </w:p>
    <w:p w14:paraId="53BC31C9" w14:textId="77777777" w:rsidR="00000000" w:rsidRDefault="000C49AD">
      <w:pPr>
        <w:divId w:val="678895597"/>
        <w:rPr>
          <w:rFonts w:eastAsia="Times New Roman"/>
        </w:rPr>
      </w:pPr>
    </w:p>
    <w:p w14:paraId="75CEDE82" w14:textId="77777777" w:rsidR="00000000" w:rsidRDefault="000C49AD">
      <w:pPr>
        <w:jc w:val="both"/>
        <w:rPr>
          <w:rFonts w:eastAsia="Times New Roman"/>
        </w:rPr>
      </w:pPr>
      <w:r>
        <w:rPr>
          <w:rFonts w:eastAsia="Times New Roman"/>
          <w:color w:val="000000"/>
          <w:sz w:val="20"/>
          <w:szCs w:val="20"/>
        </w:rPr>
        <w:t>update regarding whether preliminary injunction proceedings may be necessary after receiving further information regarding the FDA’s action on Avadel’s NDA.</w:t>
      </w:r>
    </w:p>
    <w:p w14:paraId="1C3B100C" w14:textId="77777777" w:rsidR="00000000" w:rsidRDefault="000C49AD">
      <w:pPr>
        <w:jc w:val="both"/>
        <w:rPr>
          <w:rFonts w:eastAsia="Times New Roman"/>
        </w:rPr>
      </w:pPr>
    </w:p>
    <w:p w14:paraId="20E368B7" w14:textId="77777777" w:rsidR="00000000" w:rsidRDefault="000C49AD">
      <w:pPr>
        <w:jc w:val="both"/>
        <w:rPr>
          <w:rFonts w:eastAsia="Times New Roman"/>
        </w:rPr>
      </w:pPr>
      <w:r>
        <w:rPr>
          <w:rFonts w:eastAsia="Times New Roman"/>
          <w:color w:val="000000"/>
          <w:sz w:val="20"/>
          <w:szCs w:val="20"/>
        </w:rPr>
        <w:t>On January 4, 2022, the Court entered an agreed order dismissing this case with respect to Avadel</w:t>
      </w:r>
      <w:r>
        <w:rPr>
          <w:rFonts w:eastAsia="Times New Roman"/>
          <w:color w:val="000000"/>
          <w:sz w:val="20"/>
          <w:szCs w:val="20"/>
        </w:rPr>
        <w:t xml:space="preserve"> Pharmaceuticals plc, Avadel US Holdings, Inc., Avadel Specialty Pharmaceuticals, LLC, Avadel Legacy Pharmaceuticals, LLC, and Avadel Management Corporation. A corresponding order was entered in the two below cases on the same day.</w:t>
      </w:r>
    </w:p>
    <w:p w14:paraId="4F34EB7A" w14:textId="77777777" w:rsidR="00000000" w:rsidRDefault="000C49AD">
      <w:pPr>
        <w:jc w:val="both"/>
        <w:rPr>
          <w:rFonts w:eastAsia="Times New Roman"/>
        </w:rPr>
      </w:pPr>
    </w:p>
    <w:p w14:paraId="3C3A8D99" w14:textId="77777777" w:rsidR="00000000" w:rsidRDefault="000C49AD">
      <w:pPr>
        <w:jc w:val="both"/>
        <w:rPr>
          <w:rFonts w:eastAsia="Times New Roman"/>
        </w:rPr>
      </w:pPr>
      <w:r>
        <w:rPr>
          <w:rFonts w:eastAsia="Times New Roman"/>
          <w:b/>
          <w:bCs/>
          <w:i/>
          <w:iCs/>
          <w:color w:val="000000"/>
          <w:sz w:val="20"/>
          <w:szCs w:val="20"/>
        </w:rPr>
        <w:t>Second Complaint</w:t>
      </w:r>
    </w:p>
    <w:p w14:paraId="2D56FE1A" w14:textId="77777777" w:rsidR="00000000" w:rsidRDefault="000C49AD">
      <w:pPr>
        <w:divId w:val="921917588"/>
        <w:rPr>
          <w:rFonts w:eastAsia="Times New Roman"/>
        </w:rPr>
      </w:pPr>
    </w:p>
    <w:p w14:paraId="7D5EE4E9" w14:textId="77777777" w:rsidR="00000000" w:rsidRDefault="000C49AD">
      <w:pPr>
        <w:jc w:val="both"/>
        <w:rPr>
          <w:rFonts w:eastAsia="Times New Roman"/>
        </w:rPr>
      </w:pPr>
      <w:r>
        <w:rPr>
          <w:rFonts w:eastAsia="Times New Roman"/>
          <w:color w:val="000000"/>
          <w:sz w:val="20"/>
          <w:szCs w:val="20"/>
        </w:rPr>
        <w:t xml:space="preserve">On </w:t>
      </w:r>
      <w:r>
        <w:rPr>
          <w:rFonts w:eastAsia="Times New Roman"/>
          <w:color w:val="000000"/>
          <w:sz w:val="20"/>
          <w:szCs w:val="20"/>
        </w:rPr>
        <w:t xml:space="preserve">August 4, 2021, Jazz filed another formal complaint (the “Second Complaint”) initiating a lawsuit in the Court against the Avadel Parties. In the Second Complaint, Jazz alleges the Proposed Product described in the NDA owned by Avadel CNS Pharmaceuticals, </w:t>
      </w:r>
      <w:r>
        <w:rPr>
          <w:rFonts w:eastAsia="Times New Roman"/>
          <w:color w:val="000000"/>
          <w:sz w:val="20"/>
          <w:szCs w:val="20"/>
        </w:rPr>
        <w:t>LLC will infringe at least one claim of US Patent No. 11077079. The Second Complaint further includes typical relief requests such as preliminary and permanent injunctive relief, monetary damages and attorneys’ fees, costs and expenses.</w:t>
      </w:r>
    </w:p>
    <w:p w14:paraId="3C80CB10" w14:textId="77777777" w:rsidR="00000000" w:rsidRDefault="000C49AD">
      <w:pPr>
        <w:jc w:val="both"/>
        <w:rPr>
          <w:rFonts w:eastAsia="Times New Roman"/>
        </w:rPr>
      </w:pPr>
    </w:p>
    <w:p w14:paraId="33FAE793" w14:textId="77777777" w:rsidR="00000000" w:rsidRDefault="000C49AD">
      <w:pPr>
        <w:jc w:val="both"/>
        <w:rPr>
          <w:rFonts w:eastAsia="Times New Roman"/>
        </w:rPr>
      </w:pPr>
      <w:r>
        <w:rPr>
          <w:rFonts w:eastAsia="Times New Roman"/>
          <w:color w:val="000000"/>
          <w:sz w:val="20"/>
          <w:szCs w:val="20"/>
        </w:rPr>
        <w:t>On September 9, 2</w:t>
      </w:r>
      <w:r>
        <w:rPr>
          <w:rFonts w:eastAsia="Times New Roman"/>
          <w:color w:val="000000"/>
          <w:sz w:val="20"/>
          <w:szCs w:val="20"/>
        </w:rPr>
        <w:t>021, the Avadel Parties timely filed their Answer and Counterclaims (the “Second Avadel Answer”) with the Court in response to the Second Complaint. The Second Avadel Answer generally denies the allegations set forth in the Second Complaint, includes numer</w:t>
      </w:r>
      <w:r>
        <w:rPr>
          <w:rFonts w:eastAsia="Times New Roman"/>
          <w:color w:val="000000"/>
          <w:sz w:val="20"/>
          <w:szCs w:val="20"/>
        </w:rPr>
        <w:t>ous affirmative defenses (including, but not limited to, non-infringement and invalidity of the patent-in-suit), and asserts a number of counterclaims seeking i) a declaratory judgment of non-infringement of the patent-in-suit, and ii) a declaratory judgme</w:t>
      </w:r>
      <w:r>
        <w:rPr>
          <w:rFonts w:eastAsia="Times New Roman"/>
          <w:color w:val="000000"/>
          <w:sz w:val="20"/>
          <w:szCs w:val="20"/>
        </w:rPr>
        <w:t>nt of invalidity of the patent-in-suit.</w:t>
      </w:r>
    </w:p>
    <w:p w14:paraId="3B92C62C" w14:textId="77777777" w:rsidR="00000000" w:rsidRDefault="000C49AD">
      <w:pPr>
        <w:jc w:val="both"/>
        <w:rPr>
          <w:rFonts w:eastAsia="Times New Roman"/>
        </w:rPr>
      </w:pPr>
    </w:p>
    <w:p w14:paraId="08C962AD" w14:textId="77777777" w:rsidR="00000000" w:rsidRDefault="000C49AD">
      <w:pPr>
        <w:jc w:val="both"/>
        <w:rPr>
          <w:rFonts w:eastAsia="Times New Roman"/>
        </w:rPr>
      </w:pPr>
      <w:r>
        <w:rPr>
          <w:rFonts w:eastAsia="Times New Roman"/>
          <w:color w:val="000000"/>
          <w:sz w:val="20"/>
          <w:szCs w:val="20"/>
        </w:rPr>
        <w:t>On October 22, 2021, the Court issued an oral order stating that this case should proceed on the same schedule as the case filed on May 12, 2021.</w:t>
      </w:r>
    </w:p>
    <w:p w14:paraId="30DB2E69" w14:textId="77777777" w:rsidR="00000000" w:rsidRDefault="000C49AD">
      <w:pPr>
        <w:jc w:val="both"/>
        <w:rPr>
          <w:rFonts w:eastAsia="Times New Roman"/>
        </w:rPr>
      </w:pPr>
    </w:p>
    <w:p w14:paraId="63904863" w14:textId="77777777" w:rsidR="00000000" w:rsidRDefault="000C49AD">
      <w:pPr>
        <w:jc w:val="both"/>
        <w:rPr>
          <w:rFonts w:eastAsia="Times New Roman"/>
        </w:rPr>
      </w:pPr>
      <w:r>
        <w:rPr>
          <w:rFonts w:eastAsia="Times New Roman"/>
          <w:b/>
          <w:bCs/>
          <w:i/>
          <w:iCs/>
          <w:color w:val="000000"/>
          <w:sz w:val="20"/>
          <w:szCs w:val="20"/>
        </w:rPr>
        <w:t>Third Complaint</w:t>
      </w:r>
    </w:p>
    <w:p w14:paraId="3135DA6D" w14:textId="77777777" w:rsidR="00000000" w:rsidRDefault="000C49AD">
      <w:pPr>
        <w:divId w:val="1327131441"/>
        <w:rPr>
          <w:rFonts w:eastAsia="Times New Roman"/>
        </w:rPr>
      </w:pPr>
    </w:p>
    <w:p w14:paraId="7A0966FA" w14:textId="77777777" w:rsidR="00000000" w:rsidRDefault="000C49AD">
      <w:pPr>
        <w:jc w:val="both"/>
        <w:rPr>
          <w:rFonts w:eastAsia="Times New Roman"/>
        </w:rPr>
      </w:pPr>
      <w:r>
        <w:rPr>
          <w:rFonts w:eastAsia="Times New Roman"/>
          <w:color w:val="000000"/>
          <w:sz w:val="20"/>
          <w:szCs w:val="20"/>
        </w:rPr>
        <w:t>On November 10, 2021, Jazz filed another formal complaint (the “Third Complaint”) initiating a lawsuit in the Court against the Avadel Parties. In the Third Complaint, Jazz alleges the Proposed Product described in the NDA owned by Avadel CNS Pharmaceutica</w:t>
      </w:r>
      <w:r>
        <w:rPr>
          <w:rFonts w:eastAsia="Times New Roman"/>
          <w:color w:val="000000"/>
          <w:sz w:val="20"/>
          <w:szCs w:val="20"/>
        </w:rPr>
        <w:t>ls, LLC will infringe at least one claim of US Patent No. 11147782. The Third Complaint further includes typical relief requests such as preliminary and permanent injunctive relief, monetary damages and attorneys’ fees, costs and expenses. This case will p</w:t>
      </w:r>
      <w:r>
        <w:rPr>
          <w:rFonts w:eastAsia="Times New Roman"/>
          <w:color w:val="000000"/>
          <w:sz w:val="20"/>
          <w:szCs w:val="20"/>
        </w:rPr>
        <w:t>roceed on the same schedule as the cases associated with the First and Second Complaints above.</w:t>
      </w:r>
    </w:p>
    <w:p w14:paraId="55C08DCA" w14:textId="77777777" w:rsidR="00000000" w:rsidRDefault="000C49AD">
      <w:pPr>
        <w:divId w:val="1384256450"/>
        <w:rPr>
          <w:rFonts w:eastAsia="Times New Roman"/>
        </w:rPr>
      </w:pPr>
    </w:p>
    <w:p w14:paraId="570C59B8" w14:textId="77777777" w:rsidR="00000000" w:rsidRDefault="000C49AD">
      <w:pPr>
        <w:jc w:val="both"/>
        <w:rPr>
          <w:rFonts w:eastAsia="Times New Roman"/>
        </w:rPr>
      </w:pPr>
      <w:r>
        <w:rPr>
          <w:rFonts w:eastAsia="Times New Roman"/>
          <w:color w:val="000000"/>
          <w:sz w:val="20"/>
          <w:szCs w:val="20"/>
        </w:rPr>
        <w:t>On January 7, 2022, Avadel CNS Pharmaceuticals LLC timely filed its Answer and Counterclaims (the “Third Avadel Answer”) with the Court in response to the Thi</w:t>
      </w:r>
      <w:r>
        <w:rPr>
          <w:rFonts w:eastAsia="Times New Roman"/>
          <w:color w:val="000000"/>
          <w:sz w:val="20"/>
          <w:szCs w:val="20"/>
        </w:rPr>
        <w:t xml:space="preserve">rd Complaint. The Third Avadel Answer generally denies the allegations set forth in the Third Complaint, includes numerous affirmative defenses (including, but not limited to, non-infringement and invalidity of the patent-in-suit), and asserts a number of </w:t>
      </w:r>
      <w:r>
        <w:rPr>
          <w:rFonts w:eastAsia="Times New Roman"/>
          <w:color w:val="000000"/>
          <w:sz w:val="20"/>
          <w:szCs w:val="20"/>
        </w:rPr>
        <w:t>counterclaims seeking i) a declaratory judgment of non-infringement of the patent-in-suit, and ii) a declaratory judgment of invalidity/unenforceability of the patent-in-suit.</w:t>
      </w:r>
    </w:p>
    <w:p w14:paraId="0FDAD1CC" w14:textId="77777777" w:rsidR="00000000" w:rsidRDefault="000C49AD">
      <w:pPr>
        <w:jc w:val="both"/>
        <w:rPr>
          <w:rFonts w:eastAsia="Times New Roman"/>
        </w:rPr>
      </w:pPr>
    </w:p>
    <w:p w14:paraId="58AF2C71" w14:textId="77777777" w:rsidR="00000000" w:rsidRDefault="000C49AD">
      <w:pPr>
        <w:jc w:val="both"/>
        <w:rPr>
          <w:rFonts w:eastAsia="Times New Roman"/>
        </w:rPr>
      </w:pPr>
      <w:r>
        <w:rPr>
          <w:rFonts w:eastAsia="Times New Roman"/>
          <w:color w:val="000000"/>
          <w:sz w:val="20"/>
          <w:szCs w:val="20"/>
        </w:rPr>
        <w:t>On December 21, 2021, the Court entered a revised schedule for the First, Seco</w:t>
      </w:r>
      <w:r>
        <w:rPr>
          <w:rFonts w:eastAsia="Times New Roman"/>
          <w:color w:val="000000"/>
          <w:sz w:val="20"/>
          <w:szCs w:val="20"/>
        </w:rPr>
        <w:t>nd and Third Complaints, setting a new claim construction date of August 31, 2022.</w:t>
      </w:r>
    </w:p>
    <w:p w14:paraId="5348C0C5" w14:textId="77777777" w:rsidR="00000000" w:rsidRDefault="000C49AD">
      <w:pPr>
        <w:jc w:val="both"/>
        <w:rPr>
          <w:rFonts w:eastAsia="Times New Roman"/>
        </w:rPr>
      </w:pPr>
    </w:p>
    <w:p w14:paraId="2918179D" w14:textId="77777777" w:rsidR="00000000" w:rsidRDefault="000C49AD">
      <w:pPr>
        <w:divId w:val="315494227"/>
        <w:rPr>
          <w:rFonts w:eastAsia="Times New Roman"/>
        </w:rPr>
      </w:pPr>
      <w:r>
        <w:rPr>
          <w:rFonts w:eastAsia="Times New Roman"/>
          <w:b/>
          <w:bCs/>
          <w:i/>
          <w:iCs/>
          <w:color w:val="000000"/>
          <w:sz w:val="20"/>
          <w:szCs w:val="20"/>
        </w:rPr>
        <w:t xml:space="preserve">Material Commitments </w:t>
      </w:r>
      <w:r>
        <w:rPr>
          <w:rFonts w:eastAsia="Times New Roman"/>
          <w:color w:val="000000"/>
          <w:sz w:val="20"/>
          <w:szCs w:val="20"/>
        </w:rPr>
        <w:t> </w:t>
      </w:r>
    </w:p>
    <w:p w14:paraId="1C4EB7E8" w14:textId="77777777" w:rsidR="00000000" w:rsidRDefault="000C49AD">
      <w:pPr>
        <w:divId w:val="1722942460"/>
        <w:rPr>
          <w:rFonts w:eastAsia="Times New Roman"/>
        </w:rPr>
      </w:pPr>
    </w:p>
    <w:p w14:paraId="12F1F8E7" w14:textId="77777777" w:rsidR="00000000" w:rsidRDefault="000C49AD">
      <w:pPr>
        <w:jc w:val="both"/>
        <w:divId w:val="1616402254"/>
        <w:rPr>
          <w:rFonts w:eastAsia="Times New Roman"/>
        </w:rPr>
      </w:pPr>
      <w:r>
        <w:rPr>
          <w:rFonts w:eastAsia="Times New Roman"/>
          <w:color w:val="000000"/>
          <w:sz w:val="20"/>
          <w:szCs w:val="20"/>
        </w:rPr>
        <w:t>At December 31, 2021, the Company has one commitment with its primary contract manufacturer related to facility upgrades and the purchase and vali</w:t>
      </w:r>
      <w:r>
        <w:rPr>
          <w:rFonts w:eastAsia="Times New Roman"/>
          <w:color w:val="000000"/>
          <w:sz w:val="20"/>
          <w:szCs w:val="20"/>
        </w:rPr>
        <w:t>dation of equipment to be used in the manufacture of FT218. The total cost of this commitment is estimated to be approximately $5,500 and is expected to be completed during the year ending December 31, 2022. The Company has incurred approximately $3,348 of</w:t>
      </w:r>
      <w:r>
        <w:rPr>
          <w:rFonts w:eastAsia="Times New Roman"/>
          <w:color w:val="000000"/>
          <w:sz w:val="20"/>
          <w:szCs w:val="20"/>
        </w:rPr>
        <w:t xml:space="preserve"> this commitment during the year ended December 31, 2021. </w:t>
      </w:r>
    </w:p>
    <w:p w14:paraId="67E6838B" w14:textId="77777777" w:rsidR="00000000" w:rsidRDefault="000C49AD">
      <w:pPr>
        <w:jc w:val="both"/>
        <w:rPr>
          <w:rFonts w:eastAsia="Times New Roman"/>
        </w:rPr>
      </w:pPr>
      <w:r>
        <w:rPr>
          <w:rFonts w:eastAsia="Times New Roman"/>
          <w:color w:val="000000"/>
          <w:sz w:val="20"/>
          <w:szCs w:val="20"/>
        </w:rPr>
        <w:t>The Company also has a commitment with another contract manufacturer that commences in the first quarter of 2022 and will continue until FDA approval of the contract manufacturer. The commitment wi</w:t>
      </w:r>
      <w:r>
        <w:rPr>
          <w:rFonts w:eastAsia="Times New Roman"/>
          <w:color w:val="000000"/>
          <w:sz w:val="20"/>
          <w:szCs w:val="20"/>
        </w:rPr>
        <w:t xml:space="preserve">ll be approximately $3,000 per year. </w:t>
      </w:r>
    </w:p>
    <w:p w14:paraId="11514C3B" w14:textId="77777777" w:rsidR="00000000" w:rsidRDefault="000C49AD">
      <w:pPr>
        <w:jc w:val="both"/>
        <w:rPr>
          <w:rFonts w:eastAsia="Times New Roman"/>
        </w:rPr>
      </w:pPr>
      <w:r>
        <w:rPr>
          <w:rFonts w:eastAsia="Times New Roman"/>
          <w:b/>
          <w:bCs/>
          <w:color w:val="000000"/>
          <w:sz w:val="20"/>
          <w:szCs w:val="20"/>
        </w:rPr>
        <w:t> </w:t>
      </w:r>
    </w:p>
    <w:p w14:paraId="76E63A03" w14:textId="77777777" w:rsidR="00000000" w:rsidRDefault="000C49AD">
      <w:pPr>
        <w:jc w:val="both"/>
        <w:rPr>
          <w:rFonts w:eastAsia="Times New Roman"/>
        </w:rPr>
      </w:pPr>
      <w:r>
        <w:rPr>
          <w:rFonts w:eastAsia="Times New Roman"/>
          <w:b/>
          <w:bCs/>
          <w:i/>
          <w:iCs/>
          <w:color w:val="000000"/>
          <w:sz w:val="20"/>
          <w:szCs w:val="20"/>
        </w:rPr>
        <w:t>Guarantees</w:t>
      </w:r>
    </w:p>
    <w:p w14:paraId="794C8956" w14:textId="77777777" w:rsidR="00000000" w:rsidRDefault="000C49AD">
      <w:pPr>
        <w:jc w:val="both"/>
        <w:rPr>
          <w:rFonts w:eastAsia="Times New Roman"/>
        </w:rPr>
      </w:pPr>
    </w:p>
    <w:p w14:paraId="083D9903" w14:textId="77777777" w:rsidR="00000000" w:rsidRDefault="000C49AD">
      <w:pPr>
        <w:jc w:val="both"/>
        <w:rPr>
          <w:rFonts w:eastAsia="Times New Roman"/>
        </w:rPr>
      </w:pPr>
      <w:r>
        <w:rPr>
          <w:rFonts w:eastAsia="Times New Roman"/>
          <w:i/>
          <w:iCs/>
          <w:color w:val="000000"/>
          <w:sz w:val="20"/>
          <w:szCs w:val="20"/>
        </w:rPr>
        <w:t>Deerfield Guarantee</w:t>
      </w:r>
    </w:p>
    <w:p w14:paraId="3E23C9CD" w14:textId="77777777" w:rsidR="00000000" w:rsidRDefault="000C49AD">
      <w:pPr>
        <w:jc w:val="both"/>
        <w:rPr>
          <w:rFonts w:eastAsia="Times New Roman"/>
        </w:rPr>
      </w:pPr>
    </w:p>
    <w:p w14:paraId="7E01A2C6" w14:textId="77777777" w:rsidR="00000000" w:rsidRDefault="000C49AD">
      <w:pPr>
        <w:jc w:val="both"/>
        <w:rPr>
          <w:rFonts w:eastAsia="Times New Roman"/>
        </w:rPr>
      </w:pPr>
      <w:r>
        <w:rPr>
          <w:rFonts w:eastAsia="Times New Roman"/>
          <w:color w:val="000000"/>
          <w:sz w:val="20"/>
          <w:szCs w:val="20"/>
        </w:rPr>
        <w:t>In connection with the Company’s February 2018 divestiture of its pediatric assets, including four pediatric commercial stage assets – Karbinal™ ER, Cefaclor, Flexichamber™ and Acip</w:t>
      </w:r>
      <w:r>
        <w:rPr>
          <w:rFonts w:eastAsia="Times New Roman"/>
          <w:color w:val="000000"/>
          <w:sz w:val="20"/>
          <w:szCs w:val="20"/>
        </w:rPr>
        <w:t>Hex® Sprinkle™ (“FSC products”), to Cerecor, Inc. (“Cerecor”), the Company guaranteed to Deerfield a quarterly royalty payment of 15% on net sales of the FSC products through February 6, 2026 (“FSC Product Royalties”), in an aggregate amount of up to appro</w:t>
      </w:r>
      <w:r>
        <w:rPr>
          <w:rFonts w:eastAsia="Times New Roman"/>
          <w:color w:val="000000"/>
          <w:sz w:val="20"/>
          <w:szCs w:val="20"/>
        </w:rPr>
        <w:t xml:space="preserve">ximately $10,300. Given the Company’s explicit </w:t>
      </w:r>
    </w:p>
    <w:p w14:paraId="1FCE75F3" w14:textId="77777777" w:rsidR="00000000" w:rsidRDefault="000C49AD">
      <w:pPr>
        <w:jc w:val="center"/>
        <w:divId w:val="1966110521"/>
        <w:rPr>
          <w:rFonts w:eastAsia="Times New Roman"/>
        </w:rPr>
      </w:pPr>
      <w:r>
        <w:rPr>
          <w:rFonts w:eastAsia="Times New Roman"/>
          <w:color w:val="000000"/>
          <w:sz w:val="20"/>
          <w:szCs w:val="20"/>
        </w:rPr>
        <w:t>-97-</w:t>
      </w:r>
    </w:p>
    <w:p w14:paraId="4E8FB408" w14:textId="77777777" w:rsidR="00000000" w:rsidRDefault="000C49AD">
      <w:pPr>
        <w:rPr>
          <w:rFonts w:eastAsia="Times New Roman"/>
        </w:rPr>
      </w:pPr>
      <w:r>
        <w:rPr>
          <w:rFonts w:eastAsia="Times New Roman"/>
        </w:rPr>
        <w:pict w14:anchorId="612CF845">
          <v:rect id="_x0000_i1122" style="width:0;height:1.5pt" o:hralign="center" o:hrstd="t" o:hr="t" fillcolor="#a0a0a0" stroked="f"/>
        </w:pict>
      </w:r>
    </w:p>
    <w:p w14:paraId="79FA7F0E" w14:textId="77777777" w:rsidR="00000000" w:rsidRDefault="000C49AD">
      <w:pPr>
        <w:divId w:val="767626277"/>
        <w:rPr>
          <w:rFonts w:eastAsia="Times New Roman"/>
        </w:rPr>
      </w:pPr>
    </w:p>
    <w:p w14:paraId="19E9285C" w14:textId="77777777" w:rsidR="00000000" w:rsidRDefault="000C49AD">
      <w:pPr>
        <w:jc w:val="both"/>
        <w:rPr>
          <w:rFonts w:eastAsia="Times New Roman"/>
        </w:rPr>
      </w:pPr>
      <w:r>
        <w:rPr>
          <w:rFonts w:eastAsia="Times New Roman"/>
          <w:color w:val="000000"/>
          <w:sz w:val="20"/>
          <w:szCs w:val="20"/>
        </w:rPr>
        <w:t>guarantee to Deerfield, the Company recorded the guarantee in accordance with ASC 460. The balance of this guarantee liability was $1,054 at December 31, 2021. This</w:t>
      </w:r>
      <w:r>
        <w:rPr>
          <w:rFonts w:eastAsia="Times New Roman"/>
          <w:color w:val="000000"/>
          <w:sz w:val="20"/>
          <w:szCs w:val="20"/>
        </w:rPr>
        <w:t xml:space="preserve"> liability is being amortized proportionately based on undiscounted cash outflows through the remainder of the contract with Deerfield.</w:t>
      </w:r>
    </w:p>
    <w:p w14:paraId="20BE1708" w14:textId="77777777" w:rsidR="00000000" w:rsidRDefault="000C49AD">
      <w:pPr>
        <w:jc w:val="both"/>
        <w:rPr>
          <w:rFonts w:eastAsia="Times New Roman"/>
        </w:rPr>
      </w:pPr>
    </w:p>
    <w:p w14:paraId="37865DEE" w14:textId="77777777" w:rsidR="00000000" w:rsidRDefault="000C49AD">
      <w:pPr>
        <w:jc w:val="both"/>
        <w:rPr>
          <w:rFonts w:eastAsia="Times New Roman"/>
        </w:rPr>
      </w:pPr>
      <w:r>
        <w:rPr>
          <w:rFonts w:eastAsia="Times New Roman"/>
          <w:i/>
          <w:iCs/>
          <w:color w:val="000000"/>
          <w:sz w:val="20"/>
          <w:szCs w:val="20"/>
        </w:rPr>
        <w:t>Armistice Guarantee</w:t>
      </w:r>
    </w:p>
    <w:p w14:paraId="38CE4D00" w14:textId="77777777" w:rsidR="00000000" w:rsidRDefault="000C49AD">
      <w:pPr>
        <w:jc w:val="both"/>
        <w:rPr>
          <w:rFonts w:eastAsia="Times New Roman"/>
        </w:rPr>
      </w:pPr>
    </w:p>
    <w:p w14:paraId="5D6CD529" w14:textId="77777777" w:rsidR="00000000" w:rsidRDefault="000C49AD">
      <w:pPr>
        <w:jc w:val="both"/>
        <w:rPr>
          <w:rFonts w:eastAsia="Times New Roman"/>
        </w:rPr>
      </w:pPr>
      <w:r>
        <w:rPr>
          <w:rFonts w:eastAsia="Times New Roman"/>
          <w:color w:val="000000"/>
          <w:sz w:val="20"/>
          <w:szCs w:val="20"/>
        </w:rPr>
        <w:t>In connection with the Company’s February 2018 divestiture of the pediatric assets, Armistice Ca</w:t>
      </w:r>
      <w:r>
        <w:rPr>
          <w:rFonts w:eastAsia="Times New Roman"/>
          <w:color w:val="000000"/>
          <w:sz w:val="20"/>
          <w:szCs w:val="20"/>
        </w:rPr>
        <w:t>pital Master Fund, Ltd., the majority shareholder of Cerecor, guaranteed to the Company the FSC Product Royalties. The Company recorded the guarantee in accordance with ASC 460. The balance of this guarantee asset was $1,050 at December 31, 2021. This asse</w:t>
      </w:r>
      <w:r>
        <w:rPr>
          <w:rFonts w:eastAsia="Times New Roman"/>
          <w:color w:val="000000"/>
          <w:sz w:val="20"/>
          <w:szCs w:val="20"/>
        </w:rPr>
        <w:t>t is being amortized proportionately based on undiscounted cash outflows through the remainder of the contract with Deerfield.</w:t>
      </w:r>
    </w:p>
    <w:p w14:paraId="333A6FC5" w14:textId="77777777" w:rsidR="00000000" w:rsidRDefault="000C49AD">
      <w:pPr>
        <w:jc w:val="both"/>
        <w:rPr>
          <w:rFonts w:eastAsia="Times New Roman"/>
        </w:rPr>
      </w:pPr>
    </w:p>
    <w:p w14:paraId="63DEA54B" w14:textId="77777777" w:rsidR="00000000" w:rsidRDefault="000C49AD">
      <w:pPr>
        <w:jc w:val="both"/>
        <w:rPr>
          <w:rFonts w:eastAsia="Times New Roman"/>
        </w:rPr>
      </w:pPr>
      <w:r>
        <w:rPr>
          <w:rFonts w:eastAsia="Times New Roman"/>
          <w:color w:val="000000"/>
          <w:sz w:val="20"/>
          <w:szCs w:val="20"/>
        </w:rPr>
        <w:t>The fair values of the Company’</w:t>
      </w:r>
      <w:r>
        <w:rPr>
          <w:rFonts w:eastAsia="Times New Roman"/>
          <w:color w:val="000000"/>
          <w:sz w:val="20"/>
          <w:szCs w:val="20"/>
        </w:rPr>
        <w:t>s guarantee to Deerfield and the guarantee received by the Company from Armistice largely offset and when combined are not material.</w:t>
      </w:r>
    </w:p>
    <w:p w14:paraId="6F780815" w14:textId="77777777" w:rsidR="00000000" w:rsidRDefault="000C49AD">
      <w:pPr>
        <w:jc w:val="both"/>
        <w:rPr>
          <w:rFonts w:eastAsia="Times New Roman"/>
        </w:rPr>
      </w:pPr>
    </w:p>
    <w:p w14:paraId="6ADB05A9" w14:textId="77777777" w:rsidR="00000000" w:rsidRDefault="000C49AD">
      <w:pPr>
        <w:jc w:val="both"/>
        <w:rPr>
          <w:rFonts w:eastAsia="Times New Roman"/>
        </w:rPr>
      </w:pPr>
      <w:r>
        <w:rPr>
          <w:rFonts w:eastAsia="Times New Roman"/>
          <w:b/>
          <w:bCs/>
          <w:color w:val="000000"/>
          <w:sz w:val="20"/>
          <w:szCs w:val="20"/>
        </w:rPr>
        <w:t>NOTE 16: Restructuring Costs</w:t>
      </w:r>
      <w:r>
        <w:rPr>
          <w:rFonts w:eastAsia="Times New Roman"/>
          <w:color w:val="000000"/>
          <w:sz w:val="20"/>
          <w:szCs w:val="20"/>
        </w:rPr>
        <w:t> </w:t>
      </w:r>
    </w:p>
    <w:p w14:paraId="6F75244B" w14:textId="77777777" w:rsidR="00000000" w:rsidRDefault="000C49AD">
      <w:pPr>
        <w:divId w:val="1336760466"/>
        <w:rPr>
          <w:rFonts w:eastAsia="Times New Roman"/>
        </w:rPr>
      </w:pPr>
    </w:p>
    <w:p w14:paraId="7BFE53D8" w14:textId="77777777" w:rsidR="00000000" w:rsidRDefault="000C49AD">
      <w:pPr>
        <w:divId w:val="1770007080"/>
        <w:rPr>
          <w:rFonts w:eastAsia="Times New Roman"/>
        </w:rPr>
      </w:pPr>
      <w:r>
        <w:rPr>
          <w:rFonts w:eastAsia="Times New Roman"/>
          <w:i/>
          <w:iCs/>
          <w:color w:val="000000"/>
          <w:sz w:val="20"/>
          <w:szCs w:val="20"/>
        </w:rPr>
        <w:t>2019 French Restructuring</w:t>
      </w:r>
    </w:p>
    <w:p w14:paraId="66E37662" w14:textId="77777777" w:rsidR="00000000" w:rsidRDefault="000C49AD">
      <w:pPr>
        <w:divId w:val="1121068510"/>
        <w:rPr>
          <w:rFonts w:eastAsia="Times New Roman"/>
        </w:rPr>
      </w:pPr>
    </w:p>
    <w:p w14:paraId="3F41839D" w14:textId="77777777" w:rsidR="00000000" w:rsidRDefault="000C49AD">
      <w:pPr>
        <w:jc w:val="both"/>
        <w:rPr>
          <w:rFonts w:eastAsia="Times New Roman"/>
        </w:rPr>
      </w:pPr>
      <w:r>
        <w:rPr>
          <w:rFonts w:eastAsia="Times New Roman"/>
          <w:color w:val="000000"/>
          <w:sz w:val="20"/>
          <w:szCs w:val="20"/>
        </w:rPr>
        <w:t>During the second quarter of 2019, the Company initiated a pl</w:t>
      </w:r>
      <w:r>
        <w:rPr>
          <w:rFonts w:eastAsia="Times New Roman"/>
          <w:color w:val="000000"/>
          <w:sz w:val="20"/>
          <w:szCs w:val="20"/>
        </w:rPr>
        <w:t>an to discontinue all French R&amp;D activities, which resulted in the redundancy and reduction of its entire workforce at its Vénissieux, France site (“2019 French Restructuring”). This reduction was part of an effort to align the Company’s cost structure wit</w:t>
      </w:r>
      <w:r>
        <w:rPr>
          <w:rFonts w:eastAsia="Times New Roman"/>
          <w:color w:val="000000"/>
          <w:sz w:val="20"/>
          <w:szCs w:val="20"/>
        </w:rPr>
        <w:t>h its ongoing and future planned projects. The discontinuation of R&amp;D activities and elimination of the workforce in France was completed during the year ended December 31, 2020. Restructuring charges associated with this plan recognized during the years e</w:t>
      </w:r>
      <w:r>
        <w:rPr>
          <w:rFonts w:eastAsia="Times New Roman"/>
          <w:color w:val="000000"/>
          <w:sz w:val="20"/>
          <w:szCs w:val="20"/>
        </w:rPr>
        <w:t>nded December 31, 2021 and 2020 were immaterial. Restructuring charges associated with this plan of $4,855 of were recognized during the year ended December 31, 2019. Included in the 2019 French Restructuring charges of $4,855 were charges for employee sev</w:t>
      </w:r>
      <w:r>
        <w:rPr>
          <w:rFonts w:eastAsia="Times New Roman"/>
          <w:color w:val="000000"/>
          <w:sz w:val="20"/>
          <w:szCs w:val="20"/>
        </w:rPr>
        <w:t xml:space="preserve">erance, benefits and other costs of $4,339, charges related to fixed asset impairment of $629, charges related to the early termination penalty related to the office and copier lease terminations of $887, partially offset by a benefit of $1,000 related to </w:t>
      </w:r>
      <w:r>
        <w:rPr>
          <w:rFonts w:eastAsia="Times New Roman"/>
          <w:color w:val="000000"/>
          <w:sz w:val="20"/>
          <w:szCs w:val="20"/>
        </w:rPr>
        <w:t xml:space="preserve">the reversal of the French retirement indemnity obligation. At December 31, 2021, there are no future expected retirement indemnity benefits to be paid. The Company does not expect to incur any additional expenses related to the 2019 French Restructuring. </w:t>
      </w:r>
      <w:r>
        <w:rPr>
          <w:rFonts w:eastAsia="Times New Roman"/>
          <w:color w:val="000000"/>
          <w:sz w:val="20"/>
          <w:szCs w:val="20"/>
        </w:rPr>
        <w:t>The following table sets forth activities for the Company’s cost reduction plan obligations for the years ended December 31, 2021 and 2020:</w:t>
      </w:r>
    </w:p>
    <w:p w14:paraId="4F62FB18" w14:textId="77777777" w:rsidR="00000000" w:rsidRDefault="000C49AD">
      <w:pPr>
        <w:jc w:val="both"/>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839"/>
        <w:gridCol w:w="36"/>
        <w:gridCol w:w="36"/>
        <w:gridCol w:w="36"/>
        <w:gridCol w:w="36"/>
        <w:gridCol w:w="110"/>
        <w:gridCol w:w="885"/>
        <w:gridCol w:w="36"/>
        <w:gridCol w:w="36"/>
        <w:gridCol w:w="36"/>
        <w:gridCol w:w="36"/>
        <w:gridCol w:w="110"/>
        <w:gridCol w:w="929"/>
        <w:gridCol w:w="36"/>
        <w:gridCol w:w="36"/>
        <w:gridCol w:w="36"/>
      </w:tblGrid>
      <w:tr w:rsidR="00000000" w14:paraId="1796B7CF" w14:textId="77777777">
        <w:trPr>
          <w:jc w:val="center"/>
        </w:trPr>
        <w:tc>
          <w:tcPr>
            <w:tcW w:w="50" w:type="pct"/>
            <w:vAlign w:val="center"/>
            <w:hideMark/>
          </w:tcPr>
          <w:p w14:paraId="2347B87D" w14:textId="77777777" w:rsidR="00000000" w:rsidRDefault="000C49AD">
            <w:pPr>
              <w:jc w:val="both"/>
              <w:rPr>
                <w:rFonts w:eastAsia="Times New Roman"/>
              </w:rPr>
            </w:pPr>
          </w:p>
        </w:tc>
        <w:tc>
          <w:tcPr>
            <w:tcW w:w="3578" w:type="pct"/>
            <w:vAlign w:val="center"/>
            <w:hideMark/>
          </w:tcPr>
          <w:p w14:paraId="117D550D" w14:textId="77777777" w:rsidR="00000000" w:rsidRDefault="000C49AD">
            <w:pPr>
              <w:spacing w:after="100"/>
              <w:rPr>
                <w:rFonts w:eastAsia="Times New Roman"/>
                <w:sz w:val="20"/>
                <w:szCs w:val="20"/>
              </w:rPr>
            </w:pPr>
          </w:p>
        </w:tc>
        <w:tc>
          <w:tcPr>
            <w:tcW w:w="5" w:type="pct"/>
            <w:vAlign w:val="center"/>
            <w:hideMark/>
          </w:tcPr>
          <w:p w14:paraId="10348BB3" w14:textId="77777777" w:rsidR="00000000" w:rsidRDefault="000C49AD">
            <w:pPr>
              <w:spacing w:after="100"/>
              <w:rPr>
                <w:rFonts w:eastAsia="Times New Roman"/>
                <w:sz w:val="20"/>
                <w:szCs w:val="20"/>
              </w:rPr>
            </w:pPr>
          </w:p>
        </w:tc>
        <w:tc>
          <w:tcPr>
            <w:tcW w:w="5" w:type="pct"/>
            <w:vAlign w:val="center"/>
            <w:hideMark/>
          </w:tcPr>
          <w:p w14:paraId="4ADFF970" w14:textId="77777777" w:rsidR="00000000" w:rsidRDefault="000C49AD">
            <w:pPr>
              <w:spacing w:after="100"/>
              <w:rPr>
                <w:rFonts w:eastAsia="Times New Roman"/>
                <w:sz w:val="20"/>
                <w:szCs w:val="20"/>
              </w:rPr>
            </w:pPr>
          </w:p>
        </w:tc>
        <w:tc>
          <w:tcPr>
            <w:tcW w:w="26" w:type="pct"/>
            <w:vAlign w:val="center"/>
            <w:hideMark/>
          </w:tcPr>
          <w:p w14:paraId="0D712C5C" w14:textId="77777777" w:rsidR="00000000" w:rsidRDefault="000C49AD">
            <w:pPr>
              <w:spacing w:after="100"/>
              <w:rPr>
                <w:rFonts w:eastAsia="Times New Roman"/>
                <w:sz w:val="20"/>
                <w:szCs w:val="20"/>
              </w:rPr>
            </w:pPr>
          </w:p>
        </w:tc>
        <w:tc>
          <w:tcPr>
            <w:tcW w:w="5" w:type="pct"/>
            <w:vAlign w:val="center"/>
            <w:hideMark/>
          </w:tcPr>
          <w:p w14:paraId="49BF83C3" w14:textId="77777777" w:rsidR="00000000" w:rsidRDefault="000C49AD">
            <w:pPr>
              <w:spacing w:after="100"/>
              <w:rPr>
                <w:rFonts w:eastAsia="Times New Roman"/>
                <w:sz w:val="20"/>
                <w:szCs w:val="20"/>
              </w:rPr>
            </w:pPr>
          </w:p>
        </w:tc>
        <w:tc>
          <w:tcPr>
            <w:tcW w:w="50" w:type="pct"/>
            <w:vAlign w:val="center"/>
            <w:hideMark/>
          </w:tcPr>
          <w:p w14:paraId="532EAE79" w14:textId="77777777" w:rsidR="00000000" w:rsidRDefault="000C49AD">
            <w:pPr>
              <w:spacing w:after="100"/>
              <w:rPr>
                <w:rFonts w:eastAsia="Times New Roman"/>
                <w:sz w:val="20"/>
                <w:szCs w:val="20"/>
              </w:rPr>
            </w:pPr>
          </w:p>
        </w:tc>
        <w:tc>
          <w:tcPr>
            <w:tcW w:w="595" w:type="pct"/>
            <w:vAlign w:val="center"/>
            <w:hideMark/>
          </w:tcPr>
          <w:p w14:paraId="40E8419B" w14:textId="77777777" w:rsidR="00000000" w:rsidRDefault="000C49AD">
            <w:pPr>
              <w:spacing w:after="100"/>
              <w:rPr>
                <w:rFonts w:eastAsia="Times New Roman"/>
                <w:sz w:val="20"/>
                <w:szCs w:val="20"/>
              </w:rPr>
            </w:pPr>
          </w:p>
        </w:tc>
        <w:tc>
          <w:tcPr>
            <w:tcW w:w="5" w:type="pct"/>
            <w:vAlign w:val="center"/>
            <w:hideMark/>
          </w:tcPr>
          <w:p w14:paraId="2929B57F" w14:textId="77777777" w:rsidR="00000000" w:rsidRDefault="000C49AD">
            <w:pPr>
              <w:spacing w:after="100"/>
              <w:rPr>
                <w:rFonts w:eastAsia="Times New Roman"/>
                <w:sz w:val="20"/>
                <w:szCs w:val="20"/>
              </w:rPr>
            </w:pPr>
          </w:p>
        </w:tc>
        <w:tc>
          <w:tcPr>
            <w:tcW w:w="5" w:type="pct"/>
            <w:vAlign w:val="center"/>
            <w:hideMark/>
          </w:tcPr>
          <w:p w14:paraId="402488FA" w14:textId="77777777" w:rsidR="00000000" w:rsidRDefault="000C49AD">
            <w:pPr>
              <w:spacing w:after="100"/>
              <w:rPr>
                <w:rFonts w:eastAsia="Times New Roman"/>
                <w:sz w:val="20"/>
                <w:szCs w:val="20"/>
              </w:rPr>
            </w:pPr>
          </w:p>
        </w:tc>
        <w:tc>
          <w:tcPr>
            <w:tcW w:w="19" w:type="pct"/>
            <w:vAlign w:val="center"/>
            <w:hideMark/>
          </w:tcPr>
          <w:p w14:paraId="54A7AF5E" w14:textId="77777777" w:rsidR="00000000" w:rsidRDefault="000C49AD">
            <w:pPr>
              <w:spacing w:after="100"/>
              <w:rPr>
                <w:rFonts w:eastAsia="Times New Roman"/>
                <w:sz w:val="20"/>
                <w:szCs w:val="20"/>
              </w:rPr>
            </w:pPr>
          </w:p>
        </w:tc>
        <w:tc>
          <w:tcPr>
            <w:tcW w:w="5" w:type="pct"/>
            <w:vAlign w:val="center"/>
            <w:hideMark/>
          </w:tcPr>
          <w:p w14:paraId="3FFF8D1A" w14:textId="77777777" w:rsidR="00000000" w:rsidRDefault="000C49AD">
            <w:pPr>
              <w:spacing w:after="100"/>
              <w:rPr>
                <w:rFonts w:eastAsia="Times New Roman"/>
                <w:sz w:val="20"/>
                <w:szCs w:val="20"/>
              </w:rPr>
            </w:pPr>
          </w:p>
        </w:tc>
        <w:tc>
          <w:tcPr>
            <w:tcW w:w="50" w:type="pct"/>
            <w:vAlign w:val="center"/>
            <w:hideMark/>
          </w:tcPr>
          <w:p w14:paraId="49D5041F" w14:textId="77777777" w:rsidR="00000000" w:rsidRDefault="000C49AD">
            <w:pPr>
              <w:spacing w:after="100"/>
              <w:rPr>
                <w:rFonts w:eastAsia="Times New Roman"/>
                <w:sz w:val="20"/>
                <w:szCs w:val="20"/>
              </w:rPr>
            </w:pPr>
          </w:p>
        </w:tc>
        <w:tc>
          <w:tcPr>
            <w:tcW w:w="595" w:type="pct"/>
            <w:vAlign w:val="center"/>
            <w:hideMark/>
          </w:tcPr>
          <w:p w14:paraId="0C0C05C3" w14:textId="77777777" w:rsidR="00000000" w:rsidRDefault="000C49AD">
            <w:pPr>
              <w:spacing w:after="100"/>
              <w:rPr>
                <w:rFonts w:eastAsia="Times New Roman"/>
                <w:sz w:val="20"/>
                <w:szCs w:val="20"/>
              </w:rPr>
            </w:pPr>
          </w:p>
        </w:tc>
        <w:tc>
          <w:tcPr>
            <w:tcW w:w="5" w:type="pct"/>
            <w:vAlign w:val="center"/>
            <w:hideMark/>
          </w:tcPr>
          <w:p w14:paraId="4445BDEA" w14:textId="77777777" w:rsidR="00000000" w:rsidRDefault="000C49AD">
            <w:pPr>
              <w:spacing w:after="100"/>
              <w:rPr>
                <w:rFonts w:eastAsia="Times New Roman"/>
                <w:sz w:val="20"/>
                <w:szCs w:val="20"/>
              </w:rPr>
            </w:pPr>
          </w:p>
        </w:tc>
        <w:tc>
          <w:tcPr>
            <w:tcW w:w="0" w:type="auto"/>
            <w:vAlign w:val="center"/>
            <w:hideMark/>
          </w:tcPr>
          <w:p w14:paraId="42939D10" w14:textId="77777777" w:rsidR="00000000" w:rsidRDefault="000C49AD">
            <w:pPr>
              <w:spacing w:after="100"/>
              <w:rPr>
                <w:rFonts w:eastAsia="Times New Roman"/>
                <w:sz w:val="20"/>
                <w:szCs w:val="20"/>
              </w:rPr>
            </w:pPr>
          </w:p>
        </w:tc>
        <w:tc>
          <w:tcPr>
            <w:tcW w:w="0" w:type="auto"/>
            <w:vAlign w:val="center"/>
            <w:hideMark/>
          </w:tcPr>
          <w:p w14:paraId="33FD4D99" w14:textId="77777777" w:rsidR="00000000" w:rsidRDefault="000C49AD">
            <w:pPr>
              <w:spacing w:after="100"/>
              <w:rPr>
                <w:rFonts w:eastAsia="Times New Roman"/>
                <w:sz w:val="20"/>
                <w:szCs w:val="20"/>
              </w:rPr>
            </w:pPr>
          </w:p>
        </w:tc>
      </w:tr>
      <w:tr w:rsidR="00000000" w14:paraId="6C4C177C" w14:textId="77777777">
        <w:trPr>
          <w:jc w:val="center"/>
        </w:trPr>
        <w:tc>
          <w:tcPr>
            <w:tcW w:w="0" w:type="auto"/>
            <w:gridSpan w:val="3"/>
            <w:tcMar>
              <w:top w:w="30" w:type="dxa"/>
              <w:left w:w="20" w:type="dxa"/>
              <w:bottom w:w="30" w:type="dxa"/>
              <w:right w:w="20" w:type="dxa"/>
            </w:tcMar>
            <w:vAlign w:val="bottom"/>
            <w:hideMark/>
          </w:tcPr>
          <w:p w14:paraId="0C162FC8" w14:textId="77777777" w:rsidR="00000000" w:rsidRDefault="000C49AD">
            <w:pPr>
              <w:spacing w:after="100"/>
              <w:rPr>
                <w:rFonts w:eastAsia="Times New Roman"/>
              </w:rPr>
            </w:pPr>
            <w:r>
              <w:rPr>
                <w:rFonts w:eastAsia="Times New Roman"/>
                <w:b/>
                <w:bCs/>
                <w:color w:val="000000"/>
                <w:sz w:val="18"/>
                <w:szCs w:val="18"/>
              </w:rPr>
              <w:t>2019 French Restructuring Obligation:</w:t>
            </w:r>
          </w:p>
        </w:tc>
        <w:tc>
          <w:tcPr>
            <w:tcW w:w="0" w:type="auto"/>
            <w:gridSpan w:val="3"/>
            <w:tcMar>
              <w:top w:w="0" w:type="dxa"/>
              <w:left w:w="20" w:type="dxa"/>
              <w:bottom w:w="0" w:type="dxa"/>
              <w:right w:w="20" w:type="dxa"/>
            </w:tcMar>
            <w:vAlign w:val="center"/>
            <w:hideMark/>
          </w:tcPr>
          <w:p w14:paraId="4A33CC3F"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402F5664"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73121B6F"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B35AC0"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vAlign w:val="center"/>
            <w:hideMark/>
          </w:tcPr>
          <w:p w14:paraId="33AD411B" w14:textId="77777777" w:rsidR="00000000" w:rsidRDefault="000C49AD">
            <w:pPr>
              <w:spacing w:after="100"/>
              <w:jc w:val="center"/>
              <w:rPr>
                <w:rFonts w:eastAsia="Times New Roman"/>
              </w:rPr>
            </w:pPr>
          </w:p>
        </w:tc>
        <w:tc>
          <w:tcPr>
            <w:tcW w:w="0" w:type="auto"/>
            <w:vAlign w:val="center"/>
            <w:hideMark/>
          </w:tcPr>
          <w:p w14:paraId="18A77BFB" w14:textId="77777777" w:rsidR="00000000" w:rsidRDefault="000C49AD">
            <w:pPr>
              <w:spacing w:after="100"/>
              <w:rPr>
                <w:rFonts w:eastAsia="Times New Roman"/>
                <w:sz w:val="20"/>
                <w:szCs w:val="20"/>
              </w:rPr>
            </w:pPr>
          </w:p>
        </w:tc>
      </w:tr>
      <w:tr w:rsidR="00000000" w14:paraId="3718E57D"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3E2DDEF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CE96CD"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07BE26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BA88E0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C5CE837" w14:textId="77777777" w:rsidR="00000000" w:rsidRDefault="000C49AD">
            <w:pPr>
              <w:spacing w:after="100"/>
              <w:rPr>
                <w:rFonts w:eastAsia="Times New Roman"/>
                <w:sz w:val="20"/>
                <w:szCs w:val="20"/>
              </w:rPr>
            </w:pPr>
          </w:p>
        </w:tc>
        <w:tc>
          <w:tcPr>
            <w:tcW w:w="0" w:type="auto"/>
            <w:vAlign w:val="center"/>
            <w:hideMark/>
          </w:tcPr>
          <w:p w14:paraId="63453D0D" w14:textId="77777777" w:rsidR="00000000" w:rsidRDefault="000C49AD">
            <w:pPr>
              <w:spacing w:after="100"/>
              <w:rPr>
                <w:rFonts w:eastAsia="Times New Roman"/>
                <w:sz w:val="20"/>
                <w:szCs w:val="20"/>
              </w:rPr>
            </w:pPr>
          </w:p>
        </w:tc>
        <w:tc>
          <w:tcPr>
            <w:tcW w:w="0" w:type="auto"/>
            <w:vAlign w:val="center"/>
            <w:hideMark/>
          </w:tcPr>
          <w:p w14:paraId="724408F7" w14:textId="77777777" w:rsidR="00000000" w:rsidRDefault="000C49AD">
            <w:pPr>
              <w:spacing w:after="100"/>
              <w:rPr>
                <w:rFonts w:eastAsia="Times New Roman"/>
                <w:sz w:val="20"/>
                <w:szCs w:val="20"/>
              </w:rPr>
            </w:pPr>
          </w:p>
        </w:tc>
      </w:tr>
      <w:tr w:rsidR="00000000" w14:paraId="3FA10BE3" w14:textId="77777777">
        <w:trPr>
          <w:jc w:val="center"/>
        </w:trPr>
        <w:tc>
          <w:tcPr>
            <w:tcW w:w="0" w:type="auto"/>
            <w:gridSpan w:val="3"/>
            <w:shd w:val="clear" w:color="auto" w:fill="CCEEFF"/>
            <w:tcMar>
              <w:top w:w="30" w:type="dxa"/>
              <w:left w:w="20" w:type="dxa"/>
              <w:bottom w:w="30" w:type="dxa"/>
              <w:right w:w="20" w:type="dxa"/>
            </w:tcMar>
            <w:vAlign w:val="bottom"/>
            <w:hideMark/>
          </w:tcPr>
          <w:p w14:paraId="5128CCB1" w14:textId="77777777" w:rsidR="00000000" w:rsidRDefault="000C49AD">
            <w:pPr>
              <w:spacing w:after="100"/>
              <w:rPr>
                <w:rFonts w:eastAsia="Times New Roman"/>
              </w:rPr>
            </w:pPr>
            <w:r>
              <w:rPr>
                <w:rFonts w:eastAsia="Times New Roman"/>
                <w:color w:val="000000"/>
                <w:sz w:val="18"/>
                <w:szCs w:val="18"/>
              </w:rPr>
              <w:t>Balance of restructuring accrual at January 1,</w:t>
            </w:r>
          </w:p>
        </w:tc>
        <w:tc>
          <w:tcPr>
            <w:tcW w:w="0" w:type="auto"/>
            <w:gridSpan w:val="3"/>
            <w:shd w:val="clear" w:color="auto" w:fill="CCEEFF"/>
            <w:tcMar>
              <w:top w:w="0" w:type="dxa"/>
              <w:left w:w="20" w:type="dxa"/>
              <w:bottom w:w="0" w:type="dxa"/>
              <w:right w:w="20" w:type="dxa"/>
            </w:tcMar>
            <w:vAlign w:val="center"/>
            <w:hideMark/>
          </w:tcPr>
          <w:p w14:paraId="25418BCD"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E9D07B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93E0C4A" w14:textId="77777777" w:rsidR="00000000" w:rsidRDefault="000C49AD">
            <w:pPr>
              <w:spacing w:after="100"/>
              <w:jc w:val="right"/>
              <w:rPr>
                <w:rFonts w:eastAsia="Times New Roman"/>
              </w:rPr>
            </w:pPr>
            <w:r>
              <w:rPr>
                <w:rFonts w:eastAsia="Times New Roman"/>
                <w:color w:val="000000"/>
                <w:sz w:val="18"/>
                <w:szCs w:val="18"/>
              </w:rPr>
              <w:t>248 </w:t>
            </w:r>
          </w:p>
        </w:tc>
        <w:tc>
          <w:tcPr>
            <w:tcW w:w="0" w:type="auto"/>
            <w:shd w:val="clear" w:color="auto" w:fill="CCEEFF"/>
            <w:tcMar>
              <w:top w:w="30" w:type="dxa"/>
              <w:left w:w="0" w:type="dxa"/>
              <w:bottom w:w="30" w:type="dxa"/>
              <w:right w:w="20" w:type="dxa"/>
            </w:tcMar>
            <w:vAlign w:val="bottom"/>
            <w:hideMark/>
          </w:tcPr>
          <w:p w14:paraId="6C6A42A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CF835"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1AF1C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EBA480B" w14:textId="77777777" w:rsidR="00000000" w:rsidRDefault="000C49AD">
            <w:pPr>
              <w:spacing w:after="100"/>
              <w:jc w:val="right"/>
              <w:rPr>
                <w:rFonts w:eastAsia="Times New Roman"/>
              </w:rPr>
            </w:pPr>
            <w:r>
              <w:rPr>
                <w:rFonts w:eastAsia="Times New Roman"/>
                <w:color w:val="000000"/>
                <w:sz w:val="18"/>
                <w:szCs w:val="18"/>
              </w:rPr>
              <w:t>1,922 </w:t>
            </w:r>
          </w:p>
        </w:tc>
        <w:tc>
          <w:tcPr>
            <w:tcW w:w="0" w:type="auto"/>
            <w:shd w:val="clear" w:color="auto" w:fill="CCEEFF"/>
            <w:tcMar>
              <w:top w:w="30" w:type="dxa"/>
              <w:left w:w="0" w:type="dxa"/>
              <w:bottom w:w="30" w:type="dxa"/>
              <w:right w:w="20" w:type="dxa"/>
            </w:tcMar>
            <w:vAlign w:val="bottom"/>
            <w:hideMark/>
          </w:tcPr>
          <w:p w14:paraId="3B6AA54A" w14:textId="77777777" w:rsidR="00000000" w:rsidRDefault="000C49AD">
            <w:pPr>
              <w:spacing w:after="100"/>
              <w:jc w:val="right"/>
              <w:rPr>
                <w:rFonts w:eastAsia="Times New Roman"/>
              </w:rPr>
            </w:pPr>
          </w:p>
        </w:tc>
        <w:tc>
          <w:tcPr>
            <w:tcW w:w="0" w:type="auto"/>
            <w:vAlign w:val="center"/>
            <w:hideMark/>
          </w:tcPr>
          <w:p w14:paraId="0553D2D1" w14:textId="77777777" w:rsidR="00000000" w:rsidRDefault="000C49AD">
            <w:pPr>
              <w:spacing w:after="100"/>
              <w:jc w:val="right"/>
              <w:rPr>
                <w:rFonts w:eastAsia="Times New Roman"/>
                <w:sz w:val="20"/>
                <w:szCs w:val="20"/>
              </w:rPr>
            </w:pPr>
          </w:p>
        </w:tc>
        <w:tc>
          <w:tcPr>
            <w:tcW w:w="0" w:type="auto"/>
            <w:vAlign w:val="center"/>
            <w:hideMark/>
          </w:tcPr>
          <w:p w14:paraId="7BCB419D" w14:textId="77777777" w:rsidR="00000000" w:rsidRDefault="000C49AD">
            <w:pPr>
              <w:spacing w:after="100"/>
              <w:rPr>
                <w:rFonts w:eastAsia="Times New Roman"/>
                <w:sz w:val="20"/>
                <w:szCs w:val="20"/>
              </w:rPr>
            </w:pPr>
          </w:p>
        </w:tc>
      </w:tr>
      <w:tr w:rsidR="00000000" w14:paraId="65823CBF" w14:textId="77777777">
        <w:trPr>
          <w:jc w:val="center"/>
        </w:trPr>
        <w:tc>
          <w:tcPr>
            <w:tcW w:w="0" w:type="auto"/>
            <w:gridSpan w:val="3"/>
            <w:shd w:val="clear" w:color="auto" w:fill="FFFFFF"/>
            <w:tcMar>
              <w:top w:w="30" w:type="dxa"/>
              <w:left w:w="155" w:type="dxa"/>
              <w:bottom w:w="30" w:type="dxa"/>
              <w:right w:w="20" w:type="dxa"/>
            </w:tcMar>
            <w:vAlign w:val="bottom"/>
            <w:hideMark/>
          </w:tcPr>
          <w:p w14:paraId="2051D404" w14:textId="77777777" w:rsidR="00000000" w:rsidRDefault="000C49AD">
            <w:pPr>
              <w:spacing w:after="100"/>
              <w:rPr>
                <w:rFonts w:eastAsia="Times New Roman"/>
              </w:rPr>
            </w:pPr>
            <w:r>
              <w:rPr>
                <w:rFonts w:eastAsia="Times New Roman"/>
                <w:color w:val="000000"/>
                <w:sz w:val="18"/>
                <w:szCs w:val="18"/>
              </w:rPr>
              <w:t>(Benefit) charges for employee severance, benefits and other costs</w:t>
            </w:r>
          </w:p>
        </w:tc>
        <w:tc>
          <w:tcPr>
            <w:tcW w:w="0" w:type="auto"/>
            <w:gridSpan w:val="3"/>
            <w:shd w:val="clear" w:color="auto" w:fill="FFFFFF"/>
            <w:tcMar>
              <w:top w:w="0" w:type="dxa"/>
              <w:left w:w="20" w:type="dxa"/>
              <w:bottom w:w="0" w:type="dxa"/>
              <w:right w:w="20" w:type="dxa"/>
            </w:tcMar>
            <w:vAlign w:val="center"/>
            <w:hideMark/>
          </w:tcPr>
          <w:p w14:paraId="7E3F5B0A"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949AAC" w14:textId="77777777" w:rsidR="00000000" w:rsidRDefault="000C49AD">
            <w:pPr>
              <w:spacing w:after="100"/>
              <w:jc w:val="right"/>
              <w:rPr>
                <w:rFonts w:eastAsia="Times New Roman"/>
              </w:rPr>
            </w:pPr>
            <w:r>
              <w:rPr>
                <w:rFonts w:eastAsia="Times New Roman"/>
                <w:color w:val="000000"/>
                <w:sz w:val="18"/>
                <w:szCs w:val="18"/>
              </w:rPr>
              <w:t>(122)</w:t>
            </w:r>
          </w:p>
        </w:tc>
        <w:tc>
          <w:tcPr>
            <w:tcW w:w="0" w:type="auto"/>
            <w:shd w:val="clear" w:color="auto" w:fill="FFFFFF"/>
            <w:tcMar>
              <w:top w:w="30" w:type="dxa"/>
              <w:left w:w="0" w:type="dxa"/>
              <w:bottom w:w="30" w:type="dxa"/>
              <w:right w:w="20" w:type="dxa"/>
            </w:tcMar>
            <w:vAlign w:val="bottom"/>
            <w:hideMark/>
          </w:tcPr>
          <w:p w14:paraId="62FEA50E"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EEB7E"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6D1FB4" w14:textId="77777777" w:rsidR="00000000" w:rsidRDefault="000C49AD">
            <w:pPr>
              <w:spacing w:after="100"/>
              <w:jc w:val="right"/>
              <w:rPr>
                <w:rFonts w:eastAsia="Times New Roman"/>
              </w:rPr>
            </w:pPr>
            <w:r>
              <w:rPr>
                <w:rFonts w:eastAsia="Times New Roman"/>
                <w:color w:val="000000"/>
                <w:sz w:val="18"/>
                <w:szCs w:val="18"/>
              </w:rPr>
              <w:t>172 </w:t>
            </w:r>
          </w:p>
        </w:tc>
        <w:tc>
          <w:tcPr>
            <w:tcW w:w="0" w:type="auto"/>
            <w:shd w:val="clear" w:color="auto" w:fill="FFFFFF"/>
            <w:tcMar>
              <w:top w:w="30" w:type="dxa"/>
              <w:left w:w="0" w:type="dxa"/>
              <w:bottom w:w="30" w:type="dxa"/>
              <w:right w:w="20" w:type="dxa"/>
            </w:tcMar>
            <w:vAlign w:val="bottom"/>
            <w:hideMark/>
          </w:tcPr>
          <w:p w14:paraId="5E6641E9" w14:textId="77777777" w:rsidR="00000000" w:rsidRDefault="000C49AD">
            <w:pPr>
              <w:spacing w:after="100"/>
              <w:jc w:val="right"/>
              <w:rPr>
                <w:rFonts w:eastAsia="Times New Roman"/>
              </w:rPr>
            </w:pPr>
          </w:p>
        </w:tc>
        <w:tc>
          <w:tcPr>
            <w:tcW w:w="0" w:type="auto"/>
            <w:vAlign w:val="center"/>
            <w:hideMark/>
          </w:tcPr>
          <w:p w14:paraId="13FB7BDC" w14:textId="77777777" w:rsidR="00000000" w:rsidRDefault="000C49AD">
            <w:pPr>
              <w:spacing w:after="100"/>
              <w:jc w:val="right"/>
              <w:rPr>
                <w:rFonts w:eastAsia="Times New Roman"/>
                <w:sz w:val="20"/>
                <w:szCs w:val="20"/>
              </w:rPr>
            </w:pPr>
          </w:p>
        </w:tc>
        <w:tc>
          <w:tcPr>
            <w:tcW w:w="0" w:type="auto"/>
            <w:vAlign w:val="center"/>
            <w:hideMark/>
          </w:tcPr>
          <w:p w14:paraId="31CB7632" w14:textId="77777777" w:rsidR="00000000" w:rsidRDefault="000C49AD">
            <w:pPr>
              <w:spacing w:after="100"/>
              <w:rPr>
                <w:rFonts w:eastAsia="Times New Roman"/>
                <w:sz w:val="20"/>
                <w:szCs w:val="20"/>
              </w:rPr>
            </w:pPr>
          </w:p>
        </w:tc>
      </w:tr>
      <w:tr w:rsidR="00000000" w14:paraId="29AB7B04" w14:textId="77777777">
        <w:trPr>
          <w:jc w:val="center"/>
        </w:trPr>
        <w:tc>
          <w:tcPr>
            <w:tcW w:w="0" w:type="auto"/>
            <w:gridSpan w:val="3"/>
            <w:shd w:val="clear" w:color="auto" w:fill="CCEEFF"/>
            <w:tcMar>
              <w:top w:w="30" w:type="dxa"/>
              <w:left w:w="155" w:type="dxa"/>
              <w:bottom w:w="30" w:type="dxa"/>
              <w:right w:w="20" w:type="dxa"/>
            </w:tcMar>
            <w:vAlign w:val="bottom"/>
            <w:hideMark/>
          </w:tcPr>
          <w:p w14:paraId="50614A65" w14:textId="77777777" w:rsidR="00000000" w:rsidRDefault="000C49AD">
            <w:pPr>
              <w:spacing w:after="100"/>
              <w:rPr>
                <w:rFonts w:eastAsia="Times New Roman"/>
              </w:rPr>
            </w:pPr>
            <w:r>
              <w:rPr>
                <w:rFonts w:eastAsia="Times New Roman"/>
                <w:color w:val="000000"/>
                <w:sz w:val="18"/>
                <w:szCs w:val="18"/>
              </w:rPr>
              <w:t>Payments</w:t>
            </w:r>
          </w:p>
        </w:tc>
        <w:tc>
          <w:tcPr>
            <w:tcW w:w="0" w:type="auto"/>
            <w:gridSpan w:val="3"/>
            <w:shd w:val="clear" w:color="auto" w:fill="CCEEFF"/>
            <w:tcMar>
              <w:top w:w="0" w:type="dxa"/>
              <w:left w:w="20" w:type="dxa"/>
              <w:bottom w:w="0" w:type="dxa"/>
              <w:right w:w="20" w:type="dxa"/>
            </w:tcMar>
            <w:vAlign w:val="center"/>
            <w:hideMark/>
          </w:tcPr>
          <w:p w14:paraId="3F6FEAD2"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9043DE" w14:textId="77777777" w:rsidR="00000000" w:rsidRDefault="000C49AD">
            <w:pPr>
              <w:spacing w:after="100"/>
              <w:jc w:val="right"/>
              <w:rPr>
                <w:rFonts w:eastAsia="Times New Roman"/>
              </w:rPr>
            </w:pPr>
            <w:r>
              <w:rPr>
                <w:rFonts w:eastAsia="Times New Roman"/>
                <w:color w:val="000000"/>
                <w:sz w:val="18"/>
                <w:szCs w:val="18"/>
              </w:rPr>
              <w:t>(77)</w:t>
            </w:r>
          </w:p>
        </w:tc>
        <w:tc>
          <w:tcPr>
            <w:tcW w:w="0" w:type="auto"/>
            <w:shd w:val="clear" w:color="auto" w:fill="CCEEFF"/>
            <w:tcMar>
              <w:top w:w="30" w:type="dxa"/>
              <w:left w:w="0" w:type="dxa"/>
              <w:bottom w:w="30" w:type="dxa"/>
              <w:right w:w="20" w:type="dxa"/>
            </w:tcMar>
            <w:vAlign w:val="bottom"/>
            <w:hideMark/>
          </w:tcPr>
          <w:p w14:paraId="108883B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32358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3BAC40" w14:textId="77777777" w:rsidR="00000000" w:rsidRDefault="000C49AD">
            <w:pPr>
              <w:spacing w:after="100"/>
              <w:jc w:val="right"/>
              <w:rPr>
                <w:rFonts w:eastAsia="Times New Roman"/>
              </w:rPr>
            </w:pPr>
            <w:r>
              <w:rPr>
                <w:rFonts w:eastAsia="Times New Roman"/>
                <w:color w:val="000000"/>
                <w:sz w:val="18"/>
                <w:szCs w:val="18"/>
              </w:rPr>
              <w:t>(1,813)</w:t>
            </w:r>
          </w:p>
        </w:tc>
        <w:tc>
          <w:tcPr>
            <w:tcW w:w="0" w:type="auto"/>
            <w:shd w:val="clear" w:color="auto" w:fill="CCEEFF"/>
            <w:tcMar>
              <w:top w:w="30" w:type="dxa"/>
              <w:left w:w="0" w:type="dxa"/>
              <w:bottom w:w="30" w:type="dxa"/>
              <w:right w:w="20" w:type="dxa"/>
            </w:tcMar>
            <w:vAlign w:val="bottom"/>
            <w:hideMark/>
          </w:tcPr>
          <w:p w14:paraId="694BB591" w14:textId="77777777" w:rsidR="00000000" w:rsidRDefault="000C49AD">
            <w:pPr>
              <w:spacing w:after="100"/>
              <w:jc w:val="right"/>
              <w:rPr>
                <w:rFonts w:eastAsia="Times New Roman"/>
              </w:rPr>
            </w:pPr>
          </w:p>
        </w:tc>
        <w:tc>
          <w:tcPr>
            <w:tcW w:w="0" w:type="auto"/>
            <w:vAlign w:val="center"/>
            <w:hideMark/>
          </w:tcPr>
          <w:p w14:paraId="18815CDD" w14:textId="77777777" w:rsidR="00000000" w:rsidRDefault="000C49AD">
            <w:pPr>
              <w:spacing w:after="100"/>
              <w:jc w:val="right"/>
              <w:rPr>
                <w:rFonts w:eastAsia="Times New Roman"/>
                <w:sz w:val="20"/>
                <w:szCs w:val="20"/>
              </w:rPr>
            </w:pPr>
          </w:p>
        </w:tc>
        <w:tc>
          <w:tcPr>
            <w:tcW w:w="0" w:type="auto"/>
            <w:vAlign w:val="center"/>
            <w:hideMark/>
          </w:tcPr>
          <w:p w14:paraId="35D4396A" w14:textId="77777777" w:rsidR="00000000" w:rsidRDefault="000C49AD">
            <w:pPr>
              <w:spacing w:after="100"/>
              <w:rPr>
                <w:rFonts w:eastAsia="Times New Roman"/>
                <w:sz w:val="20"/>
                <w:szCs w:val="20"/>
              </w:rPr>
            </w:pPr>
          </w:p>
        </w:tc>
      </w:tr>
      <w:tr w:rsidR="00000000" w14:paraId="3276C707" w14:textId="77777777">
        <w:trPr>
          <w:jc w:val="center"/>
        </w:trPr>
        <w:tc>
          <w:tcPr>
            <w:tcW w:w="0" w:type="auto"/>
            <w:gridSpan w:val="3"/>
            <w:shd w:val="clear" w:color="auto" w:fill="FFFFFF"/>
            <w:tcMar>
              <w:top w:w="30" w:type="dxa"/>
              <w:left w:w="155" w:type="dxa"/>
              <w:bottom w:w="30" w:type="dxa"/>
              <w:right w:w="20" w:type="dxa"/>
            </w:tcMar>
            <w:vAlign w:val="bottom"/>
            <w:hideMark/>
          </w:tcPr>
          <w:p w14:paraId="329B0452" w14:textId="77777777" w:rsidR="00000000" w:rsidRDefault="000C49AD">
            <w:pPr>
              <w:spacing w:after="100"/>
              <w:rPr>
                <w:rFonts w:eastAsia="Times New Roman"/>
              </w:rPr>
            </w:pPr>
            <w:r>
              <w:rPr>
                <w:rFonts w:eastAsia="Times New Roman"/>
                <w:color w:val="000000"/>
                <w:sz w:val="18"/>
                <w:szCs w:val="18"/>
              </w:rPr>
              <w:t>Foreign currency impact</w:t>
            </w:r>
          </w:p>
        </w:tc>
        <w:tc>
          <w:tcPr>
            <w:tcW w:w="0" w:type="auto"/>
            <w:gridSpan w:val="3"/>
            <w:shd w:val="clear" w:color="auto" w:fill="FFFFFF"/>
            <w:tcMar>
              <w:top w:w="0" w:type="dxa"/>
              <w:left w:w="20" w:type="dxa"/>
              <w:bottom w:w="0" w:type="dxa"/>
              <w:right w:w="20" w:type="dxa"/>
            </w:tcMar>
            <w:vAlign w:val="center"/>
            <w:hideMark/>
          </w:tcPr>
          <w:p w14:paraId="00019CA7"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E3647E" w14:textId="77777777" w:rsidR="00000000" w:rsidRDefault="000C49AD">
            <w:pPr>
              <w:spacing w:after="100"/>
              <w:jc w:val="right"/>
              <w:rPr>
                <w:rFonts w:eastAsia="Times New Roman"/>
              </w:rPr>
            </w:pPr>
            <w:r>
              <w:rPr>
                <w:rFonts w:eastAsia="Times New Roman"/>
                <w:color w:val="000000"/>
                <w:sz w:val="18"/>
                <w:szCs w:val="18"/>
              </w:rPr>
              <w:t>(8)</w:t>
            </w:r>
          </w:p>
        </w:tc>
        <w:tc>
          <w:tcPr>
            <w:tcW w:w="0" w:type="auto"/>
            <w:shd w:val="clear" w:color="auto" w:fill="FFFFFF"/>
            <w:tcMar>
              <w:top w:w="30" w:type="dxa"/>
              <w:left w:w="0" w:type="dxa"/>
              <w:bottom w:w="30" w:type="dxa"/>
              <w:right w:w="20" w:type="dxa"/>
            </w:tcMar>
            <w:vAlign w:val="bottom"/>
            <w:hideMark/>
          </w:tcPr>
          <w:p w14:paraId="26932DF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7053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06F05EF" w14:textId="77777777" w:rsidR="00000000" w:rsidRDefault="000C49AD">
            <w:pPr>
              <w:spacing w:after="100"/>
              <w:jc w:val="right"/>
              <w:rPr>
                <w:rFonts w:eastAsia="Times New Roman"/>
              </w:rPr>
            </w:pPr>
            <w:r>
              <w:rPr>
                <w:rFonts w:eastAsia="Times New Roman"/>
                <w:color w:val="000000"/>
                <w:sz w:val="18"/>
                <w:szCs w:val="18"/>
              </w:rPr>
              <w:t>(33)</w:t>
            </w:r>
          </w:p>
        </w:tc>
        <w:tc>
          <w:tcPr>
            <w:tcW w:w="0" w:type="auto"/>
            <w:shd w:val="clear" w:color="auto" w:fill="FFFFFF"/>
            <w:tcMar>
              <w:top w:w="30" w:type="dxa"/>
              <w:left w:w="0" w:type="dxa"/>
              <w:bottom w:w="30" w:type="dxa"/>
              <w:right w:w="20" w:type="dxa"/>
            </w:tcMar>
            <w:vAlign w:val="bottom"/>
            <w:hideMark/>
          </w:tcPr>
          <w:p w14:paraId="1E4399A3" w14:textId="77777777" w:rsidR="00000000" w:rsidRDefault="000C49AD">
            <w:pPr>
              <w:spacing w:after="100"/>
              <w:jc w:val="right"/>
              <w:rPr>
                <w:rFonts w:eastAsia="Times New Roman"/>
              </w:rPr>
            </w:pPr>
          </w:p>
        </w:tc>
        <w:tc>
          <w:tcPr>
            <w:tcW w:w="0" w:type="auto"/>
            <w:vAlign w:val="center"/>
            <w:hideMark/>
          </w:tcPr>
          <w:p w14:paraId="2269C6B4" w14:textId="77777777" w:rsidR="00000000" w:rsidRDefault="000C49AD">
            <w:pPr>
              <w:spacing w:after="100"/>
              <w:jc w:val="right"/>
              <w:rPr>
                <w:rFonts w:eastAsia="Times New Roman"/>
                <w:sz w:val="20"/>
                <w:szCs w:val="20"/>
              </w:rPr>
            </w:pPr>
          </w:p>
        </w:tc>
        <w:tc>
          <w:tcPr>
            <w:tcW w:w="0" w:type="auto"/>
            <w:vAlign w:val="center"/>
            <w:hideMark/>
          </w:tcPr>
          <w:p w14:paraId="4EF89B9D" w14:textId="77777777" w:rsidR="00000000" w:rsidRDefault="000C49AD">
            <w:pPr>
              <w:spacing w:after="100"/>
              <w:rPr>
                <w:rFonts w:eastAsia="Times New Roman"/>
                <w:sz w:val="20"/>
                <w:szCs w:val="20"/>
              </w:rPr>
            </w:pPr>
          </w:p>
        </w:tc>
      </w:tr>
      <w:tr w:rsidR="00000000" w14:paraId="3E650ED6" w14:textId="77777777">
        <w:trPr>
          <w:jc w:val="center"/>
        </w:trPr>
        <w:tc>
          <w:tcPr>
            <w:tcW w:w="0" w:type="auto"/>
            <w:gridSpan w:val="3"/>
            <w:shd w:val="clear" w:color="auto" w:fill="CCEEFF"/>
            <w:tcMar>
              <w:top w:w="30" w:type="dxa"/>
              <w:left w:w="20" w:type="dxa"/>
              <w:bottom w:w="30" w:type="dxa"/>
              <w:right w:w="20" w:type="dxa"/>
            </w:tcMar>
            <w:vAlign w:val="bottom"/>
            <w:hideMark/>
          </w:tcPr>
          <w:p w14:paraId="11BE2E17" w14:textId="77777777" w:rsidR="00000000" w:rsidRDefault="000C49AD">
            <w:pPr>
              <w:spacing w:after="100"/>
              <w:rPr>
                <w:rFonts w:eastAsia="Times New Roman"/>
              </w:rPr>
            </w:pPr>
            <w:r>
              <w:rPr>
                <w:rFonts w:eastAsia="Times New Roman"/>
                <w:color w:val="000000"/>
                <w:sz w:val="18"/>
                <w:szCs w:val="18"/>
              </w:rPr>
              <w:t xml:space="preserve">Balance of restructuring accrual at December 31, </w:t>
            </w:r>
          </w:p>
        </w:tc>
        <w:tc>
          <w:tcPr>
            <w:tcW w:w="0" w:type="auto"/>
            <w:gridSpan w:val="3"/>
            <w:shd w:val="clear" w:color="auto" w:fill="CCEEFF"/>
            <w:tcMar>
              <w:top w:w="0" w:type="dxa"/>
              <w:left w:w="20" w:type="dxa"/>
              <w:bottom w:w="0" w:type="dxa"/>
              <w:right w:w="20" w:type="dxa"/>
            </w:tcMar>
            <w:vAlign w:val="center"/>
            <w:hideMark/>
          </w:tcPr>
          <w:p w14:paraId="47FAD3F7"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A279A0"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20F999" w14:textId="77777777" w:rsidR="00000000" w:rsidRDefault="000C49AD">
            <w:pPr>
              <w:spacing w:after="100"/>
              <w:jc w:val="right"/>
              <w:rPr>
                <w:rFonts w:eastAsia="Times New Roman"/>
              </w:rPr>
            </w:pPr>
            <w:r>
              <w:rPr>
                <w:rFonts w:eastAsia="Times New Roman"/>
                <w:color w:val="000000"/>
                <w:sz w:val="18"/>
                <w:szCs w:val="18"/>
              </w:rPr>
              <w:t>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14097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BC24D9"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DE8266"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E3D4B0F" w14:textId="77777777" w:rsidR="00000000" w:rsidRDefault="000C49AD">
            <w:pPr>
              <w:spacing w:after="100"/>
              <w:jc w:val="right"/>
              <w:rPr>
                <w:rFonts w:eastAsia="Times New Roman"/>
              </w:rPr>
            </w:pPr>
            <w:r>
              <w:rPr>
                <w:rFonts w:eastAsia="Times New Roman"/>
                <w:color w:val="000000"/>
                <w:sz w:val="18"/>
                <w:szCs w:val="18"/>
              </w:rPr>
              <w:t>248 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0756DA5" w14:textId="77777777" w:rsidR="00000000" w:rsidRDefault="000C49AD">
            <w:pPr>
              <w:spacing w:after="100"/>
              <w:jc w:val="right"/>
              <w:rPr>
                <w:rFonts w:eastAsia="Times New Roman"/>
              </w:rPr>
            </w:pPr>
          </w:p>
        </w:tc>
        <w:tc>
          <w:tcPr>
            <w:tcW w:w="0" w:type="auto"/>
            <w:vAlign w:val="center"/>
            <w:hideMark/>
          </w:tcPr>
          <w:p w14:paraId="03FC1BB3" w14:textId="77777777" w:rsidR="00000000" w:rsidRDefault="000C49AD">
            <w:pPr>
              <w:spacing w:after="100"/>
              <w:jc w:val="right"/>
              <w:rPr>
                <w:rFonts w:eastAsia="Times New Roman"/>
                <w:sz w:val="20"/>
                <w:szCs w:val="20"/>
              </w:rPr>
            </w:pPr>
          </w:p>
        </w:tc>
        <w:tc>
          <w:tcPr>
            <w:tcW w:w="0" w:type="auto"/>
            <w:vAlign w:val="center"/>
            <w:hideMark/>
          </w:tcPr>
          <w:p w14:paraId="79BF63D0" w14:textId="77777777" w:rsidR="00000000" w:rsidRDefault="000C49AD">
            <w:pPr>
              <w:spacing w:after="100"/>
              <w:rPr>
                <w:rFonts w:eastAsia="Times New Roman"/>
                <w:sz w:val="20"/>
                <w:szCs w:val="20"/>
              </w:rPr>
            </w:pPr>
          </w:p>
        </w:tc>
      </w:tr>
    </w:tbl>
    <w:p w14:paraId="45F6ED5A" w14:textId="77777777" w:rsidR="00000000" w:rsidRDefault="000C49AD">
      <w:pPr>
        <w:jc w:val="both"/>
        <w:rPr>
          <w:rFonts w:eastAsia="Times New Roman"/>
        </w:rPr>
      </w:pPr>
    </w:p>
    <w:p w14:paraId="2CFC65B8" w14:textId="77777777" w:rsidR="00000000" w:rsidRDefault="000C49AD">
      <w:pPr>
        <w:jc w:val="both"/>
        <w:rPr>
          <w:rFonts w:eastAsia="Times New Roman"/>
        </w:rPr>
      </w:pPr>
      <w:r>
        <w:rPr>
          <w:rFonts w:eastAsia="Times New Roman"/>
          <w:color w:val="000000"/>
          <w:sz w:val="20"/>
          <w:szCs w:val="20"/>
        </w:rPr>
        <w:t>The 2019 French Restructuring liability of $41 is included in the consolidated balance sheet in accrued expenses at December 31, 2021.</w:t>
      </w:r>
    </w:p>
    <w:p w14:paraId="69D71D61" w14:textId="77777777" w:rsidR="00000000" w:rsidRDefault="000C49AD">
      <w:pPr>
        <w:jc w:val="both"/>
        <w:rPr>
          <w:rFonts w:eastAsia="Times New Roman"/>
        </w:rPr>
      </w:pPr>
    </w:p>
    <w:p w14:paraId="7C8F14C3" w14:textId="77777777" w:rsidR="00000000" w:rsidRDefault="000C49AD">
      <w:pPr>
        <w:divId w:val="2094694234"/>
        <w:rPr>
          <w:rFonts w:eastAsia="Times New Roman"/>
        </w:rPr>
      </w:pPr>
      <w:r>
        <w:rPr>
          <w:rFonts w:eastAsia="Times New Roman"/>
          <w:i/>
          <w:iCs/>
          <w:color w:val="000000"/>
          <w:sz w:val="20"/>
          <w:szCs w:val="20"/>
        </w:rPr>
        <w:t>2019 Corporate Restructuring</w:t>
      </w:r>
    </w:p>
    <w:p w14:paraId="181C66B7" w14:textId="77777777" w:rsidR="00000000" w:rsidRDefault="000C49AD">
      <w:pPr>
        <w:divId w:val="1515150664"/>
        <w:rPr>
          <w:rFonts w:eastAsia="Times New Roman"/>
        </w:rPr>
      </w:pPr>
    </w:p>
    <w:p w14:paraId="149D4749" w14:textId="77777777" w:rsidR="00000000" w:rsidRDefault="000C49AD">
      <w:pPr>
        <w:jc w:val="both"/>
        <w:rPr>
          <w:rFonts w:eastAsia="Times New Roman"/>
        </w:rPr>
      </w:pPr>
      <w:r>
        <w:rPr>
          <w:rFonts w:eastAsia="Times New Roman"/>
          <w:color w:val="000000"/>
          <w:sz w:val="20"/>
          <w:szCs w:val="20"/>
        </w:rPr>
        <w:t>During the first quarter of 2019, the Company announced a plan to reduce its corporate workforce by more than 50% (the “2019 Corporate Restructuring”). The reduction in workforce is primarily a result of the exit of Noctiva during the first quarter of 2019</w:t>
      </w:r>
      <w:r>
        <w:rPr>
          <w:rFonts w:eastAsia="Times New Roman"/>
          <w:color w:val="000000"/>
          <w:sz w:val="20"/>
          <w:szCs w:val="20"/>
        </w:rPr>
        <w:t xml:space="preserve"> (see </w:t>
      </w:r>
      <w:r>
        <w:rPr>
          <w:rFonts w:eastAsia="Times New Roman"/>
          <w:i/>
          <w:iCs/>
          <w:color w:val="000000"/>
          <w:sz w:val="20"/>
          <w:szCs w:val="20"/>
        </w:rPr>
        <w:t>Note 3: Subsidiary Bankruptcy and Deconsolidation</w:t>
      </w:r>
      <w:r>
        <w:rPr>
          <w:rFonts w:eastAsia="Times New Roman"/>
          <w:color w:val="000000"/>
          <w:sz w:val="20"/>
          <w:szCs w:val="20"/>
        </w:rPr>
        <w:t>), as well as an effort to better align the Company’s remaining cost structure at its U.S. and Ireland locations with its ongoing and future planned projects. The reduction in workforce was completed d</w:t>
      </w:r>
      <w:r>
        <w:rPr>
          <w:rFonts w:eastAsia="Times New Roman"/>
          <w:color w:val="000000"/>
          <w:sz w:val="20"/>
          <w:szCs w:val="20"/>
        </w:rPr>
        <w:t xml:space="preserve">uring the year ended December 31, 2020. Restructuring income associated with this plan for the years ended December 31, 2021 and 2020 were immaterial. Restructuring charges associated with this plan of $1,755 were recognized during the year ended December </w:t>
      </w:r>
      <w:r>
        <w:rPr>
          <w:rFonts w:eastAsia="Times New Roman"/>
          <w:color w:val="000000"/>
          <w:sz w:val="20"/>
          <w:szCs w:val="20"/>
        </w:rPr>
        <w:t>31, 2019. Included in the 2019 Corporate Restructuring charges of $1,755 for the year ended December 31, 2019 were charges for employee severance, benefit and other costs of $3,406, charges related to the early termination penalty related to the office lea</w:t>
      </w:r>
      <w:r>
        <w:rPr>
          <w:rFonts w:eastAsia="Times New Roman"/>
          <w:color w:val="000000"/>
          <w:sz w:val="20"/>
          <w:szCs w:val="20"/>
        </w:rPr>
        <w:t>se termination of $288, the write-off of $125 of property, plant and equipment, net, partially offset by a benefit of $2,064 related to share based compensation forfeitures related to the employees affected by the global reduction in workforce. The Company</w:t>
      </w:r>
      <w:r>
        <w:rPr>
          <w:rFonts w:eastAsia="Times New Roman"/>
          <w:color w:val="000000"/>
          <w:sz w:val="20"/>
          <w:szCs w:val="20"/>
        </w:rPr>
        <w:t xml:space="preserve"> does not expect to incur any additional expenses related to the 2019 Corporate Restructuring.</w:t>
      </w:r>
    </w:p>
    <w:p w14:paraId="70C475F6" w14:textId="77777777" w:rsidR="00000000" w:rsidRDefault="000C49AD">
      <w:pPr>
        <w:jc w:val="both"/>
        <w:rPr>
          <w:rFonts w:eastAsia="Times New Roman"/>
        </w:rPr>
      </w:pPr>
    </w:p>
    <w:p w14:paraId="3BEE5248" w14:textId="77777777" w:rsidR="00000000" w:rsidRDefault="000C49AD">
      <w:pPr>
        <w:jc w:val="center"/>
        <w:divId w:val="1085766197"/>
        <w:rPr>
          <w:rFonts w:eastAsia="Times New Roman"/>
        </w:rPr>
      </w:pPr>
      <w:r>
        <w:rPr>
          <w:rFonts w:eastAsia="Times New Roman"/>
          <w:color w:val="000000"/>
          <w:sz w:val="20"/>
          <w:szCs w:val="20"/>
        </w:rPr>
        <w:t>-98-</w:t>
      </w:r>
    </w:p>
    <w:p w14:paraId="40D76DFF" w14:textId="77777777" w:rsidR="00000000" w:rsidRDefault="000C49AD">
      <w:pPr>
        <w:rPr>
          <w:rFonts w:eastAsia="Times New Roman"/>
        </w:rPr>
      </w:pPr>
      <w:r>
        <w:rPr>
          <w:rFonts w:eastAsia="Times New Roman"/>
        </w:rPr>
        <w:pict w14:anchorId="153D53EC">
          <v:rect id="_x0000_i1123" style="width:0;height:1.5pt" o:hralign="center" o:hrstd="t" o:hr="t" fillcolor="#a0a0a0" stroked="f"/>
        </w:pict>
      </w:r>
    </w:p>
    <w:p w14:paraId="23A3A150" w14:textId="77777777" w:rsidR="00000000" w:rsidRDefault="000C49AD">
      <w:pPr>
        <w:divId w:val="780685188"/>
        <w:rPr>
          <w:rFonts w:eastAsia="Times New Roman"/>
        </w:rPr>
      </w:pPr>
    </w:p>
    <w:p w14:paraId="57702D16" w14:textId="77777777" w:rsidR="00000000" w:rsidRDefault="000C49AD">
      <w:pPr>
        <w:jc w:val="both"/>
        <w:rPr>
          <w:rFonts w:eastAsia="Times New Roman"/>
        </w:rPr>
      </w:pPr>
      <w:r>
        <w:rPr>
          <w:rFonts w:eastAsia="Times New Roman"/>
          <w:color w:val="000000"/>
          <w:sz w:val="20"/>
          <w:szCs w:val="20"/>
        </w:rPr>
        <w:t>During the years ended December 31, 2021, 2020 and 2019, the Company paid $272, $1,014, and $2,326 respectively, and</w:t>
      </w:r>
      <w:r>
        <w:rPr>
          <w:rFonts w:eastAsia="Times New Roman"/>
          <w:color w:val="000000"/>
          <w:sz w:val="20"/>
          <w:szCs w:val="20"/>
        </w:rPr>
        <w:t xml:space="preserve"> has no remaining obligation for the 2019 Corporate Restructuring plan as of December 31, 2021.</w:t>
      </w:r>
    </w:p>
    <w:p w14:paraId="057E9996" w14:textId="77777777" w:rsidR="00000000" w:rsidRDefault="000C49AD">
      <w:pPr>
        <w:jc w:val="both"/>
        <w:rPr>
          <w:rFonts w:eastAsia="Times New Roman"/>
        </w:rPr>
      </w:pPr>
    </w:p>
    <w:p w14:paraId="64D6B4E1" w14:textId="77777777" w:rsidR="00000000" w:rsidRDefault="000C49AD">
      <w:pPr>
        <w:jc w:val="both"/>
        <w:rPr>
          <w:rFonts w:eastAsia="Times New Roman"/>
        </w:rPr>
      </w:pPr>
      <w:r>
        <w:rPr>
          <w:rFonts w:eastAsia="Times New Roman"/>
          <w:b/>
          <w:bCs/>
          <w:color w:val="000000"/>
          <w:sz w:val="20"/>
          <w:szCs w:val="20"/>
        </w:rPr>
        <w:t>NOTE 17: Equity Instruments and Transactions</w:t>
      </w:r>
    </w:p>
    <w:p w14:paraId="1BE60E15" w14:textId="77777777" w:rsidR="00000000" w:rsidRDefault="000C49AD">
      <w:pPr>
        <w:jc w:val="both"/>
        <w:rPr>
          <w:rFonts w:eastAsia="Times New Roman"/>
        </w:rPr>
      </w:pPr>
    </w:p>
    <w:p w14:paraId="63B6F625" w14:textId="77777777" w:rsidR="00000000" w:rsidRDefault="000C49AD">
      <w:pPr>
        <w:jc w:val="both"/>
        <w:rPr>
          <w:rFonts w:eastAsia="Times New Roman"/>
        </w:rPr>
      </w:pPr>
      <w:r>
        <w:rPr>
          <w:rFonts w:eastAsia="Times New Roman"/>
          <w:b/>
          <w:bCs/>
          <w:i/>
          <w:iCs/>
          <w:color w:val="000000"/>
          <w:sz w:val="20"/>
          <w:szCs w:val="20"/>
        </w:rPr>
        <w:t>Capital Shares</w:t>
      </w:r>
    </w:p>
    <w:p w14:paraId="7D0DE452" w14:textId="77777777" w:rsidR="00000000" w:rsidRDefault="000C49AD">
      <w:pPr>
        <w:jc w:val="both"/>
        <w:rPr>
          <w:rFonts w:eastAsia="Times New Roman"/>
        </w:rPr>
      </w:pPr>
    </w:p>
    <w:p w14:paraId="18FD19CC" w14:textId="77777777" w:rsidR="00000000" w:rsidRDefault="000C49AD">
      <w:pPr>
        <w:jc w:val="both"/>
        <w:rPr>
          <w:rFonts w:eastAsia="Times New Roman"/>
        </w:rPr>
      </w:pPr>
      <w:r>
        <w:rPr>
          <w:rFonts w:eastAsia="Times New Roman"/>
          <w:color w:val="000000"/>
          <w:sz w:val="20"/>
          <w:szCs w:val="20"/>
        </w:rPr>
        <w:t xml:space="preserve">The Company has 500,000 </w:t>
      </w:r>
      <w:r>
        <w:rPr>
          <w:rFonts w:eastAsia="Times New Roman"/>
          <w:color w:val="000000"/>
          <w:sz w:val="20"/>
          <w:szCs w:val="20"/>
        </w:rPr>
        <w:t>shares of authorized ordinary shares with a nominal value of $0.01 per ordinary share. As of December 31, 2021, the Company had 58,620 ordinary shares issued and outstanding, respectively. The Board of Directors is authorized to issue preferred shares in s</w:t>
      </w:r>
      <w:r>
        <w:rPr>
          <w:rFonts w:eastAsia="Times New Roman"/>
          <w:color w:val="000000"/>
          <w:sz w:val="20"/>
          <w:szCs w:val="20"/>
        </w:rPr>
        <w:t xml:space="preserve">eries, and with respect to each series, to fix its designation, relative rights (including voting, dividend, conversion, sinking fund, and redemption rights), preferences (including dividends and liquidation) and limitations. The Company has 50,000 shares </w:t>
      </w:r>
      <w:r>
        <w:rPr>
          <w:rFonts w:eastAsia="Times New Roman"/>
          <w:color w:val="000000"/>
          <w:sz w:val="20"/>
          <w:szCs w:val="20"/>
        </w:rPr>
        <w:t>of authorized preferred shares, $0.01 nominal value, of which 488 are currently issued and outstanding as of December 31, 2021.</w:t>
      </w:r>
    </w:p>
    <w:p w14:paraId="40D37243" w14:textId="77777777" w:rsidR="00000000" w:rsidRDefault="000C49AD">
      <w:pPr>
        <w:jc w:val="both"/>
        <w:rPr>
          <w:rFonts w:eastAsia="Times New Roman"/>
        </w:rPr>
      </w:pPr>
    </w:p>
    <w:p w14:paraId="0AD3554D" w14:textId="77777777" w:rsidR="00000000" w:rsidRDefault="000C49AD">
      <w:pPr>
        <w:jc w:val="both"/>
        <w:rPr>
          <w:rFonts w:eastAsia="Times New Roman"/>
        </w:rPr>
      </w:pPr>
      <w:r>
        <w:rPr>
          <w:rFonts w:eastAsia="Times New Roman"/>
          <w:b/>
          <w:bCs/>
          <w:i/>
          <w:iCs/>
          <w:color w:val="000000"/>
          <w:sz w:val="20"/>
          <w:szCs w:val="20"/>
        </w:rPr>
        <w:t>Shelf Registration Statement on Form S-3</w:t>
      </w:r>
    </w:p>
    <w:p w14:paraId="687C2018" w14:textId="77777777" w:rsidR="00000000" w:rsidRDefault="000C49AD">
      <w:pPr>
        <w:divId w:val="1603340755"/>
        <w:rPr>
          <w:rFonts w:eastAsia="Times New Roman"/>
        </w:rPr>
      </w:pPr>
    </w:p>
    <w:p w14:paraId="7CE8309A" w14:textId="77777777" w:rsidR="00000000" w:rsidRDefault="000C49AD">
      <w:pPr>
        <w:jc w:val="both"/>
        <w:rPr>
          <w:rFonts w:eastAsia="Times New Roman"/>
        </w:rPr>
      </w:pPr>
      <w:r>
        <w:rPr>
          <w:rFonts w:eastAsia="Times New Roman"/>
          <w:color w:val="000000"/>
          <w:sz w:val="20"/>
          <w:szCs w:val="20"/>
        </w:rPr>
        <w:t>In February 2020, the Company filed with the SEC a new shelf registration statement</w:t>
      </w:r>
      <w:r>
        <w:rPr>
          <w:rFonts w:eastAsia="Times New Roman"/>
          <w:color w:val="000000"/>
          <w:sz w:val="20"/>
          <w:szCs w:val="20"/>
        </w:rPr>
        <w:t xml:space="preserve"> on Form S-3 (the 2020 Shelf Registration Statement) (File No. 333-236258) that allows issuance and sale by the Company, from time to time, of:</w:t>
      </w:r>
    </w:p>
    <w:p w14:paraId="729D75C2" w14:textId="77777777" w:rsidR="00000000" w:rsidRDefault="000C49AD">
      <w:pPr>
        <w:divId w:val="2097553423"/>
        <w:rPr>
          <w:rFonts w:eastAsia="Times New Roman"/>
        </w:rPr>
      </w:pPr>
    </w:p>
    <w:p w14:paraId="1DBB9062" w14:textId="77777777" w:rsidR="00000000" w:rsidRDefault="000C49AD">
      <w:pPr>
        <w:ind w:hanging="360"/>
        <w:jc w:val="both"/>
        <w:rPr>
          <w:rFonts w:eastAsia="Times New Roman"/>
        </w:rPr>
      </w:pPr>
      <w:r>
        <w:rPr>
          <w:rFonts w:eastAsia="Times New Roman"/>
          <w:color w:val="000000"/>
          <w:sz w:val="20"/>
          <w:szCs w:val="20"/>
        </w:rPr>
        <w:t>a.up to $250,000 in aggregate of ordinary shares, nominal value US$0.01 per share (the “Ordinary Shares”), eac</w:t>
      </w:r>
      <w:r>
        <w:rPr>
          <w:rFonts w:eastAsia="Times New Roman"/>
          <w:color w:val="000000"/>
          <w:sz w:val="20"/>
          <w:szCs w:val="20"/>
        </w:rPr>
        <w:t>h of which may be represented by American Depositary Shares (“ADSs”), preferred shares, nominal value US$0.01 per share (the “Preferred Shares”), debt securities (the “Debt Securities”), warrants to purchase Ordinary Shares, ADSs, Preferred Shares and/or D</w:t>
      </w:r>
      <w:r>
        <w:rPr>
          <w:rFonts w:eastAsia="Times New Roman"/>
          <w:color w:val="000000"/>
          <w:sz w:val="20"/>
          <w:szCs w:val="20"/>
        </w:rPr>
        <w:t>ebt Securities (the “Warrants”), and/or units consisting of Ordinary Shares, ADSs, Preferred Shares, one or more Debt Securities or Warrants in one or more series, in any combination, pursuant to the terms of the 2020 Shelf Registration Statement, the base</w:t>
      </w:r>
      <w:r>
        <w:rPr>
          <w:rFonts w:eastAsia="Times New Roman"/>
          <w:color w:val="000000"/>
          <w:sz w:val="20"/>
          <w:szCs w:val="20"/>
        </w:rPr>
        <w:t xml:space="preserve"> prospectus contained in the 2020 Shelf Registration Statement (the “Base Prospectus”), and any amendments or supplements thereto (together, the “Securities”); including</w:t>
      </w:r>
    </w:p>
    <w:p w14:paraId="3F9ED1A6" w14:textId="77777777" w:rsidR="00000000" w:rsidRDefault="000C49AD">
      <w:pPr>
        <w:jc w:val="both"/>
        <w:rPr>
          <w:rFonts w:eastAsia="Times New Roman"/>
        </w:rPr>
      </w:pPr>
    </w:p>
    <w:p w14:paraId="4ADDA32C" w14:textId="77777777" w:rsidR="00000000" w:rsidRDefault="000C49AD">
      <w:pPr>
        <w:ind w:hanging="360"/>
        <w:jc w:val="both"/>
        <w:rPr>
          <w:rFonts w:eastAsia="Times New Roman"/>
        </w:rPr>
      </w:pPr>
      <w:r>
        <w:rPr>
          <w:rFonts w:eastAsia="Times New Roman"/>
          <w:color w:val="000000"/>
          <w:sz w:val="20"/>
          <w:szCs w:val="20"/>
        </w:rPr>
        <w:t>b.up to $50,000 of ADSs that may be issued and sold from time to time pursuant to th</w:t>
      </w:r>
      <w:r>
        <w:rPr>
          <w:rFonts w:eastAsia="Times New Roman"/>
          <w:color w:val="000000"/>
          <w:sz w:val="20"/>
          <w:szCs w:val="20"/>
        </w:rPr>
        <w:t>e terms of an Open Market Sale Agreemen</w:t>
      </w:r>
      <w:r>
        <w:rPr>
          <w:rFonts w:eastAsia="Times New Roman"/>
          <w:color w:val="000000"/>
          <w:sz w:val="20"/>
          <w:szCs w:val="20"/>
        </w:rPr>
        <w:t>t</w:t>
      </w:r>
      <w:r>
        <w:rPr>
          <w:rFonts w:eastAsia="Times New Roman"/>
          <w:color w:val="000000"/>
          <w:sz w:val="16"/>
          <w:szCs w:val="16"/>
        </w:rPr>
        <w:t>S</w:t>
      </w:r>
      <w:r>
        <w:rPr>
          <w:rFonts w:eastAsia="Times New Roman"/>
          <w:color w:val="000000"/>
          <w:sz w:val="16"/>
          <w:szCs w:val="16"/>
        </w:rPr>
        <w:t>M</w:t>
      </w:r>
      <w:r>
        <w:rPr>
          <w:rFonts w:eastAsia="Times New Roman"/>
          <w:color w:val="000000"/>
          <w:sz w:val="20"/>
          <w:szCs w:val="20"/>
        </w:rPr>
        <w:t xml:space="preserve">, entered into with Jefferies LLC on February 4, 2020 (the “Sales Agreement”), the 2020 Shelf Registration Statement, the Base Prospectus and the terms of the sales agreement prospectus contained in the 2020 Shelf </w:t>
      </w:r>
      <w:r>
        <w:rPr>
          <w:rFonts w:eastAsia="Times New Roman"/>
          <w:color w:val="000000"/>
          <w:sz w:val="20"/>
          <w:szCs w:val="20"/>
        </w:rPr>
        <w:t>Registration Statement.</w:t>
      </w:r>
    </w:p>
    <w:p w14:paraId="33C9AEF8" w14:textId="77777777" w:rsidR="00000000" w:rsidRDefault="000C49AD">
      <w:pPr>
        <w:divId w:val="1890455973"/>
        <w:rPr>
          <w:rFonts w:eastAsia="Times New Roman"/>
        </w:rPr>
      </w:pPr>
    </w:p>
    <w:p w14:paraId="5B4A2DB8" w14:textId="77777777" w:rsidR="00000000" w:rsidRDefault="000C49AD">
      <w:pPr>
        <w:jc w:val="both"/>
        <w:rPr>
          <w:rFonts w:eastAsia="Times New Roman"/>
        </w:rPr>
      </w:pPr>
      <w:r>
        <w:rPr>
          <w:rFonts w:eastAsia="Times New Roman"/>
          <w:color w:val="000000"/>
          <w:sz w:val="20"/>
          <w:szCs w:val="20"/>
        </w:rPr>
        <w:t>The transactions costs associated with the 2020 Shelf Registration Statement totaled $428 of which $214 was charged against additional paid-in capital during the twelve months ended December 31, 2020 as a result of the May 2020 Pu</w:t>
      </w:r>
      <w:r>
        <w:rPr>
          <w:rFonts w:eastAsia="Times New Roman"/>
          <w:color w:val="000000"/>
          <w:sz w:val="20"/>
          <w:szCs w:val="20"/>
        </w:rPr>
        <w:t>blic Offering, discussed below. The remaining costs of $214 are recorded as a prepaid asset at December 31, 2021.</w:t>
      </w:r>
    </w:p>
    <w:p w14:paraId="47C8CC93" w14:textId="77777777" w:rsidR="00000000" w:rsidRDefault="000C49AD">
      <w:pPr>
        <w:divId w:val="1829055255"/>
        <w:rPr>
          <w:rFonts w:eastAsia="Times New Roman"/>
        </w:rPr>
      </w:pPr>
    </w:p>
    <w:p w14:paraId="7D5D1058" w14:textId="77777777" w:rsidR="00000000" w:rsidRDefault="000C49AD">
      <w:pPr>
        <w:divId w:val="421485921"/>
        <w:rPr>
          <w:rFonts w:eastAsia="Times New Roman"/>
        </w:rPr>
      </w:pPr>
      <w:r>
        <w:rPr>
          <w:rFonts w:eastAsia="Times New Roman"/>
          <w:b/>
          <w:bCs/>
          <w:i/>
          <w:iCs/>
          <w:color w:val="000000"/>
          <w:sz w:val="20"/>
          <w:szCs w:val="20"/>
        </w:rPr>
        <w:t>February 2020 Private Placement</w:t>
      </w:r>
    </w:p>
    <w:p w14:paraId="76490437" w14:textId="77777777" w:rsidR="00000000" w:rsidRDefault="000C49AD">
      <w:pPr>
        <w:divId w:val="664292"/>
        <w:rPr>
          <w:rFonts w:eastAsia="Times New Roman"/>
        </w:rPr>
      </w:pPr>
    </w:p>
    <w:p w14:paraId="6A33A2BF" w14:textId="77777777" w:rsidR="00000000" w:rsidRDefault="000C49AD">
      <w:pPr>
        <w:jc w:val="both"/>
        <w:rPr>
          <w:rFonts w:eastAsia="Times New Roman"/>
        </w:rPr>
      </w:pPr>
      <w:r>
        <w:rPr>
          <w:rFonts w:eastAsia="Times New Roman"/>
          <w:color w:val="000000"/>
          <w:sz w:val="20"/>
          <w:szCs w:val="20"/>
        </w:rPr>
        <w:t>On February 21, 2020, the Company announced that it entered into a definitive agreement for the sale of its ADSs and Series A Non-Voting Convertible Preferred Shares (“Series A Preferred”) in a private placement to a group of institutional accredited inves</w:t>
      </w:r>
      <w:r>
        <w:rPr>
          <w:rFonts w:eastAsia="Times New Roman"/>
          <w:color w:val="000000"/>
          <w:sz w:val="20"/>
          <w:szCs w:val="20"/>
        </w:rPr>
        <w:t>tors. The private placement resulted in gross proceeds of approximately $65,000 before deducting placement agent and other offering expenses, which resulted in net proceeds of $60,570.</w:t>
      </w:r>
    </w:p>
    <w:p w14:paraId="59F76176" w14:textId="77777777" w:rsidR="00000000" w:rsidRDefault="000C49AD">
      <w:pPr>
        <w:divId w:val="673849378"/>
        <w:rPr>
          <w:rFonts w:eastAsia="Times New Roman"/>
        </w:rPr>
      </w:pPr>
    </w:p>
    <w:p w14:paraId="0262D12D" w14:textId="77777777" w:rsidR="00000000" w:rsidRDefault="000C49AD">
      <w:pPr>
        <w:jc w:val="both"/>
        <w:rPr>
          <w:rFonts w:eastAsia="Times New Roman"/>
        </w:rPr>
      </w:pPr>
      <w:r>
        <w:rPr>
          <w:rFonts w:eastAsia="Times New Roman"/>
          <w:color w:val="000000"/>
          <w:sz w:val="20"/>
          <w:szCs w:val="20"/>
        </w:rPr>
        <w:t>Pursuant to the terms of the private placement, the Company issued 8,</w:t>
      </w:r>
      <w:r>
        <w:rPr>
          <w:rFonts w:eastAsia="Times New Roman"/>
          <w:color w:val="000000"/>
          <w:sz w:val="20"/>
          <w:szCs w:val="20"/>
        </w:rPr>
        <w:t xml:space="preserve">680 ADSs and 488 shares of Series A Preferred at a price of $7.09 per share, priced at-the-market under Nasdaq rules. Each share of non-voting Series A Preferred is convertible into one ADS, provided that conversion will be prohibited if, as a result, the </w:t>
      </w:r>
      <w:r>
        <w:rPr>
          <w:rFonts w:eastAsia="Times New Roman"/>
          <w:color w:val="000000"/>
          <w:sz w:val="20"/>
          <w:szCs w:val="20"/>
        </w:rPr>
        <w:t>holder and its affiliates would own more than 9.99% of the total number of Avadel ADSs outstanding. The closing of the private placement occurred on February 25, 2020.</w:t>
      </w:r>
    </w:p>
    <w:p w14:paraId="23FF4EA4" w14:textId="77777777" w:rsidR="00000000" w:rsidRDefault="000C49AD">
      <w:pPr>
        <w:divId w:val="1456169508"/>
        <w:rPr>
          <w:rFonts w:eastAsia="Times New Roman"/>
        </w:rPr>
      </w:pPr>
    </w:p>
    <w:p w14:paraId="1478B244" w14:textId="77777777" w:rsidR="00000000" w:rsidRDefault="000C49AD">
      <w:pPr>
        <w:jc w:val="both"/>
        <w:rPr>
          <w:rFonts w:eastAsia="Times New Roman"/>
        </w:rPr>
      </w:pPr>
      <w:r>
        <w:rPr>
          <w:rFonts w:eastAsia="Times New Roman"/>
          <w:color w:val="000000"/>
          <w:sz w:val="20"/>
          <w:szCs w:val="20"/>
        </w:rPr>
        <w:t>Issuance costs of $4,430 have been recorded as a reduction of additional paid-in capit</w:t>
      </w:r>
      <w:r>
        <w:rPr>
          <w:rFonts w:eastAsia="Times New Roman"/>
          <w:color w:val="000000"/>
          <w:sz w:val="20"/>
          <w:szCs w:val="20"/>
        </w:rPr>
        <w:t>al.</w:t>
      </w:r>
    </w:p>
    <w:p w14:paraId="755B8629" w14:textId="77777777" w:rsidR="00000000" w:rsidRDefault="000C49AD">
      <w:pPr>
        <w:divId w:val="842937605"/>
        <w:rPr>
          <w:rFonts w:eastAsia="Times New Roman"/>
        </w:rPr>
      </w:pPr>
    </w:p>
    <w:p w14:paraId="5336BA38" w14:textId="77777777" w:rsidR="00000000" w:rsidRDefault="000C49AD">
      <w:pPr>
        <w:jc w:val="both"/>
        <w:rPr>
          <w:rFonts w:eastAsia="Times New Roman"/>
        </w:rPr>
      </w:pPr>
      <w:r>
        <w:rPr>
          <w:rFonts w:eastAsia="Times New Roman"/>
          <w:b/>
          <w:bCs/>
          <w:i/>
          <w:iCs/>
          <w:color w:val="000000"/>
          <w:sz w:val="20"/>
          <w:szCs w:val="20"/>
        </w:rPr>
        <w:t>May 2020 Public Offering</w:t>
      </w:r>
    </w:p>
    <w:p w14:paraId="7592E2C3" w14:textId="77777777" w:rsidR="00000000" w:rsidRDefault="000C49AD">
      <w:pPr>
        <w:divId w:val="215973799"/>
        <w:rPr>
          <w:rFonts w:eastAsia="Times New Roman"/>
        </w:rPr>
      </w:pPr>
    </w:p>
    <w:p w14:paraId="1F124CAD" w14:textId="77777777" w:rsidR="00000000" w:rsidRDefault="000C49AD">
      <w:pPr>
        <w:jc w:val="both"/>
        <w:rPr>
          <w:rFonts w:eastAsia="Times New Roman"/>
        </w:rPr>
      </w:pPr>
      <w:r>
        <w:rPr>
          <w:rFonts w:eastAsia="Times New Roman"/>
          <w:color w:val="000000"/>
          <w:sz w:val="20"/>
          <w:szCs w:val="20"/>
        </w:rPr>
        <w:t>In connection with the shelf registration statement described above, on April 28, 2020, the Company announced the pricing of an underwritten public offering of 11,630 Ordinary Shares, in the form of ADSs at a price to the p</w:t>
      </w:r>
      <w:r>
        <w:rPr>
          <w:rFonts w:eastAsia="Times New Roman"/>
          <w:color w:val="000000"/>
          <w:sz w:val="20"/>
          <w:szCs w:val="20"/>
        </w:rPr>
        <w:t>ublic of $10.75 per ADS. Each ADS represents the right to receive one Ordinary Share. All of the ADSs were offered by the Company and the gross proceeds to the Company from the offering were approximately $125,000, before deducting underwriting discounts a</w:t>
      </w:r>
      <w:r>
        <w:rPr>
          <w:rFonts w:eastAsia="Times New Roman"/>
          <w:color w:val="000000"/>
          <w:sz w:val="20"/>
          <w:szCs w:val="20"/>
        </w:rPr>
        <w:t>nd commissions and offering expenses, which resulted in net proceeds of $116,924. The offering closed on May 1, 2020.</w:t>
      </w:r>
    </w:p>
    <w:p w14:paraId="1C1449D0" w14:textId="77777777" w:rsidR="00000000" w:rsidRDefault="000C49AD">
      <w:pPr>
        <w:jc w:val="center"/>
        <w:divId w:val="1395856263"/>
        <w:rPr>
          <w:rFonts w:eastAsia="Times New Roman"/>
        </w:rPr>
      </w:pPr>
      <w:r>
        <w:rPr>
          <w:rFonts w:eastAsia="Times New Roman"/>
          <w:color w:val="000000"/>
          <w:sz w:val="20"/>
          <w:szCs w:val="20"/>
        </w:rPr>
        <w:t>-99-</w:t>
      </w:r>
    </w:p>
    <w:p w14:paraId="5160768B" w14:textId="77777777" w:rsidR="00000000" w:rsidRDefault="000C49AD">
      <w:pPr>
        <w:rPr>
          <w:rFonts w:eastAsia="Times New Roman"/>
        </w:rPr>
      </w:pPr>
      <w:r>
        <w:rPr>
          <w:rFonts w:eastAsia="Times New Roman"/>
        </w:rPr>
        <w:pict w14:anchorId="6CC94AF1">
          <v:rect id="_x0000_i1124" style="width:0;height:1.5pt" o:hralign="center" o:hrstd="t" o:hr="t" fillcolor="#a0a0a0" stroked="f"/>
        </w:pict>
      </w:r>
    </w:p>
    <w:p w14:paraId="7CB0A55C" w14:textId="77777777" w:rsidR="00000000" w:rsidRDefault="000C49AD">
      <w:pPr>
        <w:divId w:val="93016948"/>
        <w:rPr>
          <w:rFonts w:eastAsia="Times New Roman"/>
        </w:rPr>
      </w:pPr>
    </w:p>
    <w:p w14:paraId="1FC4A5B9" w14:textId="77777777" w:rsidR="00000000" w:rsidRDefault="000C49AD">
      <w:pPr>
        <w:jc w:val="both"/>
        <w:rPr>
          <w:rFonts w:eastAsia="Times New Roman"/>
        </w:rPr>
      </w:pPr>
    </w:p>
    <w:p w14:paraId="561661E1" w14:textId="77777777" w:rsidR="00000000" w:rsidRDefault="000C49AD">
      <w:pPr>
        <w:jc w:val="both"/>
        <w:rPr>
          <w:rFonts w:eastAsia="Times New Roman"/>
        </w:rPr>
      </w:pPr>
      <w:r>
        <w:rPr>
          <w:rFonts w:eastAsia="Times New Roman"/>
          <w:b/>
          <w:bCs/>
          <w:i/>
          <w:iCs/>
          <w:color w:val="000000"/>
          <w:sz w:val="20"/>
          <w:szCs w:val="20"/>
        </w:rPr>
        <w:t>Retirement of Treasury Shares</w:t>
      </w:r>
    </w:p>
    <w:p w14:paraId="33B5CD01" w14:textId="77777777" w:rsidR="00000000" w:rsidRDefault="000C49AD">
      <w:pPr>
        <w:jc w:val="both"/>
        <w:rPr>
          <w:rFonts w:eastAsia="Times New Roman"/>
        </w:rPr>
      </w:pPr>
    </w:p>
    <w:p w14:paraId="60867827" w14:textId="77777777" w:rsidR="00000000" w:rsidRDefault="000C49AD">
      <w:pPr>
        <w:jc w:val="both"/>
        <w:rPr>
          <w:rFonts w:eastAsia="Times New Roman"/>
        </w:rPr>
      </w:pPr>
      <w:r>
        <w:rPr>
          <w:rFonts w:eastAsia="Times New Roman"/>
          <w:color w:val="000000"/>
          <w:sz w:val="20"/>
          <w:szCs w:val="20"/>
        </w:rPr>
        <w:t>In August 2020, the Company retired all of its 5,407 treasur</w:t>
      </w:r>
      <w:r>
        <w:rPr>
          <w:rFonts w:eastAsia="Times New Roman"/>
          <w:color w:val="000000"/>
          <w:sz w:val="20"/>
          <w:szCs w:val="20"/>
        </w:rPr>
        <w:t>y shares, or $49,998 previously repurchased ordinary shares. As a result, the Company reduced additional paid-in capital by $49,944 and ordinary shares by $54 during the twelve months ended December 31, 2020. The portion allocated to additional paid-in cap</w:t>
      </w:r>
      <w:r>
        <w:rPr>
          <w:rFonts w:eastAsia="Times New Roman"/>
          <w:color w:val="000000"/>
          <w:sz w:val="20"/>
          <w:szCs w:val="20"/>
        </w:rPr>
        <w:t>ital is determined pro rata by applying a percentage, determined by dividing the number of shares to be retired by the number of shares issued and outstanding as of the retirement date, to the balance of additional paid-in capital as of the retirement date</w:t>
      </w:r>
      <w:r>
        <w:rPr>
          <w:rFonts w:eastAsia="Times New Roman"/>
          <w:color w:val="000000"/>
          <w:sz w:val="20"/>
          <w:szCs w:val="20"/>
        </w:rPr>
        <w:t>. Based on this calculation, the entirety of the excess of repurchase price over par of $49,944 was allocated to additional paid-in capital.</w:t>
      </w:r>
    </w:p>
    <w:p w14:paraId="21BC5360" w14:textId="77777777" w:rsidR="00000000" w:rsidRDefault="000C49AD">
      <w:pPr>
        <w:jc w:val="both"/>
        <w:rPr>
          <w:rFonts w:eastAsia="Times New Roman"/>
        </w:rPr>
      </w:pPr>
    </w:p>
    <w:p w14:paraId="50D7503B" w14:textId="77777777" w:rsidR="00000000" w:rsidRDefault="000C49AD">
      <w:pPr>
        <w:jc w:val="both"/>
        <w:divId w:val="1520703323"/>
        <w:rPr>
          <w:rFonts w:eastAsia="Times New Roman"/>
        </w:rPr>
      </w:pPr>
      <w:r>
        <w:rPr>
          <w:rFonts w:eastAsia="Times New Roman"/>
          <w:b/>
          <w:bCs/>
          <w:color w:val="000000"/>
          <w:sz w:val="20"/>
          <w:szCs w:val="20"/>
        </w:rPr>
        <w:t>NOTE 18: Share-Based Compensation</w:t>
      </w:r>
      <w:r>
        <w:rPr>
          <w:rFonts w:eastAsia="Times New Roman"/>
          <w:color w:val="000000"/>
          <w:sz w:val="20"/>
          <w:szCs w:val="20"/>
        </w:rPr>
        <w:t> </w:t>
      </w:r>
    </w:p>
    <w:p w14:paraId="6F2DD6C6" w14:textId="77777777" w:rsidR="00000000" w:rsidRDefault="000C49AD">
      <w:pPr>
        <w:jc w:val="both"/>
        <w:rPr>
          <w:rFonts w:eastAsia="Times New Roman"/>
        </w:rPr>
      </w:pPr>
      <w:r>
        <w:rPr>
          <w:rFonts w:eastAsia="Times New Roman"/>
          <w:color w:val="000000"/>
          <w:sz w:val="20"/>
          <w:szCs w:val="20"/>
        </w:rPr>
        <w:t>Compensation expense included in the Company’s consolidated statements of (los</w:t>
      </w:r>
      <w:r>
        <w:rPr>
          <w:rFonts w:eastAsia="Times New Roman"/>
          <w:color w:val="000000"/>
          <w:sz w:val="20"/>
          <w:szCs w:val="20"/>
        </w:rPr>
        <w:t>s) income for all share-based compensation arrangements was as follows for the periods ended December 31, 2021, 2020 and 2019, respectively:</w:t>
      </w:r>
    </w:p>
    <w:p w14:paraId="4C9566FC" w14:textId="77777777" w:rsidR="00000000" w:rsidRDefault="000C49AD">
      <w:pPr>
        <w:jc w:val="both"/>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9"/>
        <w:gridCol w:w="3979"/>
        <w:gridCol w:w="38"/>
        <w:gridCol w:w="36"/>
        <w:gridCol w:w="36"/>
        <w:gridCol w:w="36"/>
        <w:gridCol w:w="110"/>
        <w:gridCol w:w="1149"/>
        <w:gridCol w:w="36"/>
        <w:gridCol w:w="36"/>
        <w:gridCol w:w="36"/>
        <w:gridCol w:w="36"/>
        <w:gridCol w:w="110"/>
        <w:gridCol w:w="1150"/>
        <w:gridCol w:w="36"/>
        <w:gridCol w:w="36"/>
        <w:gridCol w:w="36"/>
        <w:gridCol w:w="36"/>
        <w:gridCol w:w="111"/>
        <w:gridCol w:w="1151"/>
        <w:gridCol w:w="36"/>
      </w:tblGrid>
      <w:tr w:rsidR="00000000" w14:paraId="7BE61C72" w14:textId="77777777">
        <w:tc>
          <w:tcPr>
            <w:tcW w:w="50" w:type="pct"/>
            <w:vAlign w:val="center"/>
            <w:hideMark/>
          </w:tcPr>
          <w:p w14:paraId="1A9CB188" w14:textId="77777777" w:rsidR="00000000" w:rsidRDefault="000C49AD">
            <w:pPr>
              <w:jc w:val="both"/>
              <w:rPr>
                <w:rFonts w:eastAsia="Times New Roman"/>
              </w:rPr>
            </w:pPr>
          </w:p>
        </w:tc>
        <w:tc>
          <w:tcPr>
            <w:tcW w:w="2433" w:type="pct"/>
            <w:vAlign w:val="center"/>
            <w:hideMark/>
          </w:tcPr>
          <w:p w14:paraId="08537C09" w14:textId="77777777" w:rsidR="00000000" w:rsidRDefault="000C49AD">
            <w:pPr>
              <w:spacing w:after="100"/>
              <w:rPr>
                <w:rFonts w:eastAsia="Times New Roman"/>
                <w:sz w:val="20"/>
                <w:szCs w:val="20"/>
              </w:rPr>
            </w:pPr>
          </w:p>
        </w:tc>
        <w:tc>
          <w:tcPr>
            <w:tcW w:w="5" w:type="pct"/>
            <w:vAlign w:val="center"/>
            <w:hideMark/>
          </w:tcPr>
          <w:p w14:paraId="05CA1FA4" w14:textId="77777777" w:rsidR="00000000" w:rsidRDefault="000C49AD">
            <w:pPr>
              <w:spacing w:after="100"/>
              <w:rPr>
                <w:rFonts w:eastAsia="Times New Roman"/>
                <w:sz w:val="20"/>
                <w:szCs w:val="20"/>
              </w:rPr>
            </w:pPr>
          </w:p>
        </w:tc>
        <w:tc>
          <w:tcPr>
            <w:tcW w:w="5" w:type="pct"/>
            <w:vAlign w:val="center"/>
            <w:hideMark/>
          </w:tcPr>
          <w:p w14:paraId="362C9D29" w14:textId="77777777" w:rsidR="00000000" w:rsidRDefault="000C49AD">
            <w:pPr>
              <w:spacing w:after="100"/>
              <w:rPr>
                <w:rFonts w:eastAsia="Times New Roman"/>
                <w:sz w:val="20"/>
                <w:szCs w:val="20"/>
              </w:rPr>
            </w:pPr>
          </w:p>
        </w:tc>
        <w:tc>
          <w:tcPr>
            <w:tcW w:w="26" w:type="pct"/>
            <w:vAlign w:val="center"/>
            <w:hideMark/>
          </w:tcPr>
          <w:p w14:paraId="68960BC7" w14:textId="77777777" w:rsidR="00000000" w:rsidRDefault="000C49AD">
            <w:pPr>
              <w:spacing w:after="100"/>
              <w:rPr>
                <w:rFonts w:eastAsia="Times New Roman"/>
                <w:sz w:val="20"/>
                <w:szCs w:val="20"/>
              </w:rPr>
            </w:pPr>
          </w:p>
        </w:tc>
        <w:tc>
          <w:tcPr>
            <w:tcW w:w="5" w:type="pct"/>
            <w:vAlign w:val="center"/>
            <w:hideMark/>
          </w:tcPr>
          <w:p w14:paraId="5F4EC1FC" w14:textId="77777777" w:rsidR="00000000" w:rsidRDefault="000C49AD">
            <w:pPr>
              <w:spacing w:after="100"/>
              <w:rPr>
                <w:rFonts w:eastAsia="Times New Roman"/>
                <w:sz w:val="20"/>
                <w:szCs w:val="20"/>
              </w:rPr>
            </w:pPr>
          </w:p>
        </w:tc>
        <w:tc>
          <w:tcPr>
            <w:tcW w:w="50" w:type="pct"/>
            <w:vAlign w:val="center"/>
            <w:hideMark/>
          </w:tcPr>
          <w:p w14:paraId="6B74C194" w14:textId="77777777" w:rsidR="00000000" w:rsidRDefault="000C49AD">
            <w:pPr>
              <w:spacing w:after="100"/>
              <w:rPr>
                <w:rFonts w:eastAsia="Times New Roman"/>
                <w:sz w:val="20"/>
                <w:szCs w:val="20"/>
              </w:rPr>
            </w:pPr>
          </w:p>
        </w:tc>
        <w:tc>
          <w:tcPr>
            <w:tcW w:w="745" w:type="pct"/>
            <w:vAlign w:val="center"/>
            <w:hideMark/>
          </w:tcPr>
          <w:p w14:paraId="79332D38" w14:textId="77777777" w:rsidR="00000000" w:rsidRDefault="000C49AD">
            <w:pPr>
              <w:spacing w:after="100"/>
              <w:rPr>
                <w:rFonts w:eastAsia="Times New Roman"/>
                <w:sz w:val="20"/>
                <w:szCs w:val="20"/>
              </w:rPr>
            </w:pPr>
          </w:p>
        </w:tc>
        <w:tc>
          <w:tcPr>
            <w:tcW w:w="5" w:type="pct"/>
            <w:vAlign w:val="center"/>
            <w:hideMark/>
          </w:tcPr>
          <w:p w14:paraId="3B5AB142" w14:textId="77777777" w:rsidR="00000000" w:rsidRDefault="000C49AD">
            <w:pPr>
              <w:spacing w:after="100"/>
              <w:rPr>
                <w:rFonts w:eastAsia="Times New Roman"/>
                <w:sz w:val="20"/>
                <w:szCs w:val="20"/>
              </w:rPr>
            </w:pPr>
          </w:p>
        </w:tc>
        <w:tc>
          <w:tcPr>
            <w:tcW w:w="5" w:type="pct"/>
            <w:vAlign w:val="center"/>
            <w:hideMark/>
          </w:tcPr>
          <w:p w14:paraId="214F0AD1" w14:textId="77777777" w:rsidR="00000000" w:rsidRDefault="000C49AD">
            <w:pPr>
              <w:spacing w:after="100"/>
              <w:rPr>
                <w:rFonts w:eastAsia="Times New Roman"/>
                <w:sz w:val="20"/>
                <w:szCs w:val="20"/>
              </w:rPr>
            </w:pPr>
          </w:p>
        </w:tc>
        <w:tc>
          <w:tcPr>
            <w:tcW w:w="26" w:type="pct"/>
            <w:vAlign w:val="center"/>
            <w:hideMark/>
          </w:tcPr>
          <w:p w14:paraId="705EC598" w14:textId="77777777" w:rsidR="00000000" w:rsidRDefault="000C49AD">
            <w:pPr>
              <w:spacing w:after="100"/>
              <w:rPr>
                <w:rFonts w:eastAsia="Times New Roman"/>
                <w:sz w:val="20"/>
                <w:szCs w:val="20"/>
              </w:rPr>
            </w:pPr>
          </w:p>
        </w:tc>
        <w:tc>
          <w:tcPr>
            <w:tcW w:w="5" w:type="pct"/>
            <w:vAlign w:val="center"/>
            <w:hideMark/>
          </w:tcPr>
          <w:p w14:paraId="7ECF57F8" w14:textId="77777777" w:rsidR="00000000" w:rsidRDefault="000C49AD">
            <w:pPr>
              <w:spacing w:after="100"/>
              <w:rPr>
                <w:rFonts w:eastAsia="Times New Roman"/>
                <w:sz w:val="20"/>
                <w:szCs w:val="20"/>
              </w:rPr>
            </w:pPr>
          </w:p>
        </w:tc>
        <w:tc>
          <w:tcPr>
            <w:tcW w:w="50" w:type="pct"/>
            <w:vAlign w:val="center"/>
            <w:hideMark/>
          </w:tcPr>
          <w:p w14:paraId="736EB9C1" w14:textId="77777777" w:rsidR="00000000" w:rsidRDefault="000C49AD">
            <w:pPr>
              <w:spacing w:after="100"/>
              <w:rPr>
                <w:rFonts w:eastAsia="Times New Roman"/>
                <w:sz w:val="20"/>
                <w:szCs w:val="20"/>
              </w:rPr>
            </w:pPr>
          </w:p>
        </w:tc>
        <w:tc>
          <w:tcPr>
            <w:tcW w:w="745" w:type="pct"/>
            <w:vAlign w:val="center"/>
            <w:hideMark/>
          </w:tcPr>
          <w:p w14:paraId="79D91A45" w14:textId="77777777" w:rsidR="00000000" w:rsidRDefault="000C49AD">
            <w:pPr>
              <w:spacing w:after="100"/>
              <w:rPr>
                <w:rFonts w:eastAsia="Times New Roman"/>
                <w:sz w:val="20"/>
                <w:szCs w:val="20"/>
              </w:rPr>
            </w:pPr>
          </w:p>
        </w:tc>
        <w:tc>
          <w:tcPr>
            <w:tcW w:w="5" w:type="pct"/>
            <w:vAlign w:val="center"/>
            <w:hideMark/>
          </w:tcPr>
          <w:p w14:paraId="18D1BE55" w14:textId="77777777" w:rsidR="00000000" w:rsidRDefault="000C49AD">
            <w:pPr>
              <w:spacing w:after="100"/>
              <w:rPr>
                <w:rFonts w:eastAsia="Times New Roman"/>
                <w:sz w:val="20"/>
                <w:szCs w:val="20"/>
              </w:rPr>
            </w:pPr>
          </w:p>
        </w:tc>
        <w:tc>
          <w:tcPr>
            <w:tcW w:w="5" w:type="pct"/>
            <w:vAlign w:val="center"/>
            <w:hideMark/>
          </w:tcPr>
          <w:p w14:paraId="417F80B2" w14:textId="77777777" w:rsidR="00000000" w:rsidRDefault="000C49AD">
            <w:pPr>
              <w:spacing w:after="100"/>
              <w:rPr>
                <w:rFonts w:eastAsia="Times New Roman"/>
                <w:sz w:val="20"/>
                <w:szCs w:val="20"/>
              </w:rPr>
            </w:pPr>
          </w:p>
        </w:tc>
        <w:tc>
          <w:tcPr>
            <w:tcW w:w="26" w:type="pct"/>
            <w:vAlign w:val="center"/>
            <w:hideMark/>
          </w:tcPr>
          <w:p w14:paraId="537900E2" w14:textId="77777777" w:rsidR="00000000" w:rsidRDefault="000C49AD">
            <w:pPr>
              <w:spacing w:after="100"/>
              <w:rPr>
                <w:rFonts w:eastAsia="Times New Roman"/>
                <w:sz w:val="20"/>
                <w:szCs w:val="20"/>
              </w:rPr>
            </w:pPr>
          </w:p>
        </w:tc>
        <w:tc>
          <w:tcPr>
            <w:tcW w:w="5" w:type="pct"/>
            <w:vAlign w:val="center"/>
            <w:hideMark/>
          </w:tcPr>
          <w:p w14:paraId="6423BE3C" w14:textId="77777777" w:rsidR="00000000" w:rsidRDefault="000C49AD">
            <w:pPr>
              <w:spacing w:after="100"/>
              <w:rPr>
                <w:rFonts w:eastAsia="Times New Roman"/>
                <w:sz w:val="20"/>
                <w:szCs w:val="20"/>
              </w:rPr>
            </w:pPr>
          </w:p>
        </w:tc>
        <w:tc>
          <w:tcPr>
            <w:tcW w:w="50" w:type="pct"/>
            <w:vAlign w:val="center"/>
            <w:hideMark/>
          </w:tcPr>
          <w:p w14:paraId="4A45DF5C" w14:textId="77777777" w:rsidR="00000000" w:rsidRDefault="000C49AD">
            <w:pPr>
              <w:spacing w:after="100"/>
              <w:rPr>
                <w:rFonts w:eastAsia="Times New Roman"/>
                <w:sz w:val="20"/>
                <w:szCs w:val="20"/>
              </w:rPr>
            </w:pPr>
          </w:p>
        </w:tc>
        <w:tc>
          <w:tcPr>
            <w:tcW w:w="745" w:type="pct"/>
            <w:vAlign w:val="center"/>
            <w:hideMark/>
          </w:tcPr>
          <w:p w14:paraId="7596A4E9" w14:textId="77777777" w:rsidR="00000000" w:rsidRDefault="000C49AD">
            <w:pPr>
              <w:spacing w:after="100"/>
              <w:rPr>
                <w:rFonts w:eastAsia="Times New Roman"/>
                <w:sz w:val="20"/>
                <w:szCs w:val="20"/>
              </w:rPr>
            </w:pPr>
          </w:p>
        </w:tc>
        <w:tc>
          <w:tcPr>
            <w:tcW w:w="5" w:type="pct"/>
            <w:vAlign w:val="center"/>
            <w:hideMark/>
          </w:tcPr>
          <w:p w14:paraId="2F416C57" w14:textId="77777777" w:rsidR="00000000" w:rsidRDefault="000C49AD">
            <w:pPr>
              <w:spacing w:after="100"/>
              <w:rPr>
                <w:rFonts w:eastAsia="Times New Roman"/>
                <w:sz w:val="20"/>
                <w:szCs w:val="20"/>
              </w:rPr>
            </w:pPr>
          </w:p>
        </w:tc>
      </w:tr>
      <w:tr w:rsidR="00000000" w14:paraId="75D60240" w14:textId="77777777">
        <w:tc>
          <w:tcPr>
            <w:tcW w:w="0" w:type="auto"/>
            <w:gridSpan w:val="3"/>
            <w:tcMar>
              <w:top w:w="30" w:type="dxa"/>
              <w:left w:w="20" w:type="dxa"/>
              <w:bottom w:w="30" w:type="dxa"/>
              <w:right w:w="20" w:type="dxa"/>
            </w:tcMar>
            <w:vAlign w:val="bottom"/>
            <w:hideMark/>
          </w:tcPr>
          <w:p w14:paraId="45DE2F42" w14:textId="77777777" w:rsidR="00000000" w:rsidRDefault="000C49AD">
            <w:pPr>
              <w:spacing w:after="100"/>
              <w:rPr>
                <w:rFonts w:eastAsia="Times New Roman"/>
              </w:rPr>
            </w:pPr>
            <w:r>
              <w:rPr>
                <w:rFonts w:eastAsia="Times New Roman"/>
                <w:b/>
                <w:bCs/>
                <w:color w:val="000000"/>
                <w:sz w:val="18"/>
                <w:szCs w:val="18"/>
              </w:rPr>
              <w:t>Share-based Compensation Expense:</w:t>
            </w:r>
          </w:p>
        </w:tc>
        <w:tc>
          <w:tcPr>
            <w:tcW w:w="0" w:type="auto"/>
            <w:gridSpan w:val="3"/>
            <w:tcMar>
              <w:top w:w="0" w:type="dxa"/>
              <w:left w:w="20" w:type="dxa"/>
              <w:bottom w:w="0" w:type="dxa"/>
              <w:right w:w="20" w:type="dxa"/>
            </w:tcMar>
            <w:vAlign w:val="center"/>
            <w:hideMark/>
          </w:tcPr>
          <w:p w14:paraId="77C7DBE7"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494C2075"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088605F1"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9EB570"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1BA336B9"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F77110D"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477FD8D8"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2E214BFC"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E6CCA67"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E9DB2AD"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DC67D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C88B0D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F627F7"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67F71C" w14:textId="77777777" w:rsidR="00000000" w:rsidRDefault="000C49AD">
            <w:pPr>
              <w:spacing w:after="100"/>
              <w:rPr>
                <w:rFonts w:eastAsia="Times New Roman"/>
                <w:sz w:val="20"/>
                <w:szCs w:val="20"/>
              </w:rPr>
            </w:pPr>
          </w:p>
        </w:tc>
      </w:tr>
      <w:tr w:rsidR="00000000" w14:paraId="66E5B272" w14:textId="77777777">
        <w:tc>
          <w:tcPr>
            <w:tcW w:w="0" w:type="auto"/>
            <w:gridSpan w:val="3"/>
            <w:shd w:val="clear" w:color="auto" w:fill="CCEEFF"/>
            <w:tcMar>
              <w:top w:w="30" w:type="dxa"/>
              <w:left w:w="155" w:type="dxa"/>
              <w:bottom w:w="30" w:type="dxa"/>
              <w:right w:w="20" w:type="dxa"/>
            </w:tcMar>
            <w:vAlign w:val="bottom"/>
            <w:hideMark/>
          </w:tcPr>
          <w:p w14:paraId="0EAEB10F" w14:textId="77777777" w:rsidR="00000000" w:rsidRDefault="000C49AD">
            <w:pPr>
              <w:spacing w:after="100"/>
              <w:rPr>
                <w:rFonts w:eastAsia="Times New Roman"/>
              </w:rPr>
            </w:pPr>
            <w:r>
              <w:rPr>
                <w:rFonts w:eastAsia="Times New Roman"/>
                <w:color w:val="000000"/>
                <w:sz w:val="18"/>
                <w:szCs w:val="18"/>
              </w:rPr>
              <w:t xml:space="preserve">Research and development </w:t>
            </w:r>
          </w:p>
        </w:tc>
        <w:tc>
          <w:tcPr>
            <w:tcW w:w="0" w:type="auto"/>
            <w:gridSpan w:val="3"/>
            <w:shd w:val="clear" w:color="auto" w:fill="CCEEFF"/>
            <w:tcMar>
              <w:top w:w="0" w:type="dxa"/>
              <w:left w:w="20" w:type="dxa"/>
              <w:bottom w:w="0" w:type="dxa"/>
              <w:right w:w="20" w:type="dxa"/>
            </w:tcMar>
            <w:vAlign w:val="center"/>
            <w:hideMark/>
          </w:tcPr>
          <w:p w14:paraId="5ECB5714"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9D870CF"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F6C872C" w14:textId="77777777" w:rsidR="00000000" w:rsidRDefault="000C49AD">
            <w:pPr>
              <w:spacing w:after="100"/>
              <w:jc w:val="right"/>
              <w:rPr>
                <w:rFonts w:eastAsia="Times New Roman"/>
              </w:rPr>
            </w:pPr>
            <w:r>
              <w:rPr>
                <w:rFonts w:eastAsia="Times New Roman"/>
                <w:color w:val="000000"/>
                <w:sz w:val="18"/>
                <w:szCs w:val="18"/>
              </w:rPr>
              <w:t>758 </w:t>
            </w:r>
          </w:p>
        </w:tc>
        <w:tc>
          <w:tcPr>
            <w:tcW w:w="0" w:type="auto"/>
            <w:shd w:val="clear" w:color="auto" w:fill="CCEEFF"/>
            <w:tcMar>
              <w:top w:w="30" w:type="dxa"/>
              <w:left w:w="0" w:type="dxa"/>
              <w:bottom w:w="30" w:type="dxa"/>
              <w:right w:w="20" w:type="dxa"/>
            </w:tcMar>
            <w:vAlign w:val="bottom"/>
            <w:hideMark/>
          </w:tcPr>
          <w:p w14:paraId="418A71E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3FCF34"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FCF18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3C9C631" w14:textId="77777777" w:rsidR="00000000" w:rsidRDefault="000C49AD">
            <w:pPr>
              <w:spacing w:after="100"/>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bottom"/>
            <w:hideMark/>
          </w:tcPr>
          <w:p w14:paraId="5EC527F5"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AB9E5"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DA628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301C04F" w14:textId="77777777" w:rsidR="00000000" w:rsidRDefault="000C49AD">
            <w:pPr>
              <w:spacing w:after="100"/>
              <w:jc w:val="right"/>
              <w:rPr>
                <w:rFonts w:eastAsia="Times New Roman"/>
              </w:rPr>
            </w:pPr>
            <w:r>
              <w:rPr>
                <w:rFonts w:eastAsia="Times New Roman"/>
                <w:color w:val="000000"/>
                <w:sz w:val="18"/>
                <w:szCs w:val="18"/>
              </w:rPr>
              <w:t>429 </w:t>
            </w:r>
          </w:p>
        </w:tc>
        <w:tc>
          <w:tcPr>
            <w:tcW w:w="0" w:type="auto"/>
            <w:shd w:val="clear" w:color="auto" w:fill="CCEEFF"/>
            <w:tcMar>
              <w:top w:w="30" w:type="dxa"/>
              <w:left w:w="0" w:type="dxa"/>
              <w:bottom w:w="30" w:type="dxa"/>
              <w:right w:w="20" w:type="dxa"/>
            </w:tcMar>
            <w:vAlign w:val="bottom"/>
            <w:hideMark/>
          </w:tcPr>
          <w:p w14:paraId="553B818C" w14:textId="77777777" w:rsidR="00000000" w:rsidRDefault="000C49AD">
            <w:pPr>
              <w:spacing w:after="100"/>
              <w:jc w:val="right"/>
              <w:rPr>
                <w:rFonts w:eastAsia="Times New Roman"/>
              </w:rPr>
            </w:pPr>
          </w:p>
        </w:tc>
      </w:tr>
      <w:tr w:rsidR="00000000" w14:paraId="10E04879" w14:textId="77777777">
        <w:tc>
          <w:tcPr>
            <w:tcW w:w="0" w:type="auto"/>
            <w:gridSpan w:val="3"/>
            <w:shd w:val="clear" w:color="auto" w:fill="FFFFFF"/>
            <w:tcMar>
              <w:top w:w="30" w:type="dxa"/>
              <w:left w:w="155" w:type="dxa"/>
              <w:bottom w:w="30" w:type="dxa"/>
              <w:right w:w="20" w:type="dxa"/>
            </w:tcMar>
            <w:vAlign w:val="bottom"/>
            <w:hideMark/>
          </w:tcPr>
          <w:p w14:paraId="14FBB069" w14:textId="77777777" w:rsidR="00000000" w:rsidRDefault="000C49AD">
            <w:pPr>
              <w:spacing w:after="100"/>
              <w:rPr>
                <w:rFonts w:eastAsia="Times New Roman"/>
              </w:rPr>
            </w:pPr>
            <w:r>
              <w:rPr>
                <w:rFonts w:eastAsia="Times New Roman"/>
                <w:color w:val="000000"/>
                <w:sz w:val="18"/>
                <w:szCs w:val="18"/>
              </w:rPr>
              <w:t xml:space="preserve">Selling, general and administrative </w:t>
            </w:r>
          </w:p>
        </w:tc>
        <w:tc>
          <w:tcPr>
            <w:tcW w:w="0" w:type="auto"/>
            <w:gridSpan w:val="3"/>
            <w:shd w:val="clear" w:color="auto" w:fill="FFFFFF"/>
            <w:tcMar>
              <w:top w:w="0" w:type="dxa"/>
              <w:left w:w="20" w:type="dxa"/>
              <w:bottom w:w="0" w:type="dxa"/>
              <w:right w:w="20" w:type="dxa"/>
            </w:tcMar>
            <w:vAlign w:val="center"/>
            <w:hideMark/>
          </w:tcPr>
          <w:p w14:paraId="16AB5C54"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701AE20" w14:textId="77777777" w:rsidR="00000000" w:rsidRDefault="000C49AD">
            <w:pPr>
              <w:spacing w:after="100"/>
              <w:jc w:val="right"/>
              <w:rPr>
                <w:rFonts w:eastAsia="Times New Roman"/>
              </w:rPr>
            </w:pPr>
            <w:r>
              <w:rPr>
                <w:rFonts w:eastAsia="Times New Roman"/>
                <w:color w:val="000000"/>
                <w:sz w:val="18"/>
                <w:szCs w:val="18"/>
              </w:rPr>
              <w:t>8,114 </w:t>
            </w:r>
          </w:p>
        </w:tc>
        <w:tc>
          <w:tcPr>
            <w:tcW w:w="0" w:type="auto"/>
            <w:shd w:val="clear" w:color="auto" w:fill="FFFFFF"/>
            <w:tcMar>
              <w:top w:w="30" w:type="dxa"/>
              <w:left w:w="0" w:type="dxa"/>
              <w:bottom w:w="30" w:type="dxa"/>
              <w:right w:w="20" w:type="dxa"/>
            </w:tcMar>
            <w:vAlign w:val="bottom"/>
            <w:hideMark/>
          </w:tcPr>
          <w:p w14:paraId="2681D08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2988C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715446" w14:textId="77777777" w:rsidR="00000000" w:rsidRDefault="000C49AD">
            <w:pPr>
              <w:spacing w:after="100"/>
              <w:jc w:val="right"/>
              <w:rPr>
                <w:rFonts w:eastAsia="Times New Roman"/>
              </w:rPr>
            </w:pPr>
            <w:r>
              <w:rPr>
                <w:rFonts w:eastAsia="Times New Roman"/>
                <w:color w:val="000000"/>
                <w:sz w:val="18"/>
                <w:szCs w:val="18"/>
              </w:rPr>
              <w:t>3,281 </w:t>
            </w:r>
          </w:p>
        </w:tc>
        <w:tc>
          <w:tcPr>
            <w:tcW w:w="0" w:type="auto"/>
            <w:shd w:val="clear" w:color="auto" w:fill="FFFFFF"/>
            <w:tcMar>
              <w:top w:w="30" w:type="dxa"/>
              <w:left w:w="0" w:type="dxa"/>
              <w:bottom w:w="30" w:type="dxa"/>
              <w:right w:w="20" w:type="dxa"/>
            </w:tcMar>
            <w:vAlign w:val="bottom"/>
            <w:hideMark/>
          </w:tcPr>
          <w:p w14:paraId="1FBABF5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4A87F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4F5DD4" w14:textId="77777777" w:rsidR="00000000" w:rsidRDefault="000C49AD">
            <w:pPr>
              <w:spacing w:after="100"/>
              <w:jc w:val="right"/>
              <w:rPr>
                <w:rFonts w:eastAsia="Times New Roman"/>
              </w:rPr>
            </w:pPr>
            <w:r>
              <w:rPr>
                <w:rFonts w:eastAsia="Times New Roman"/>
                <w:color w:val="000000"/>
                <w:sz w:val="18"/>
                <w:szCs w:val="18"/>
              </w:rPr>
              <w:t>2,154 </w:t>
            </w:r>
          </w:p>
        </w:tc>
        <w:tc>
          <w:tcPr>
            <w:tcW w:w="0" w:type="auto"/>
            <w:shd w:val="clear" w:color="auto" w:fill="FFFFFF"/>
            <w:tcMar>
              <w:top w:w="30" w:type="dxa"/>
              <w:left w:w="0" w:type="dxa"/>
              <w:bottom w:w="30" w:type="dxa"/>
              <w:right w:w="20" w:type="dxa"/>
            </w:tcMar>
            <w:vAlign w:val="bottom"/>
            <w:hideMark/>
          </w:tcPr>
          <w:p w14:paraId="17CF9052" w14:textId="77777777" w:rsidR="00000000" w:rsidRDefault="000C49AD">
            <w:pPr>
              <w:spacing w:after="100"/>
              <w:jc w:val="right"/>
              <w:rPr>
                <w:rFonts w:eastAsia="Times New Roman"/>
              </w:rPr>
            </w:pPr>
          </w:p>
        </w:tc>
      </w:tr>
      <w:tr w:rsidR="00000000" w14:paraId="25C63608" w14:textId="77777777">
        <w:tc>
          <w:tcPr>
            <w:tcW w:w="0" w:type="auto"/>
            <w:gridSpan w:val="3"/>
            <w:shd w:val="clear" w:color="auto" w:fill="CCEEFF"/>
            <w:tcMar>
              <w:top w:w="30" w:type="dxa"/>
              <w:left w:w="155" w:type="dxa"/>
              <w:bottom w:w="30" w:type="dxa"/>
              <w:right w:w="20" w:type="dxa"/>
            </w:tcMar>
            <w:vAlign w:val="bottom"/>
            <w:hideMark/>
          </w:tcPr>
          <w:p w14:paraId="074903A8" w14:textId="77777777" w:rsidR="00000000" w:rsidRDefault="000C49AD">
            <w:pPr>
              <w:spacing w:after="100"/>
              <w:rPr>
                <w:rFonts w:eastAsia="Times New Roman"/>
              </w:rPr>
            </w:pPr>
            <w:r>
              <w:rPr>
                <w:rFonts w:eastAsia="Times New Roman"/>
                <w:color w:val="000000"/>
                <w:sz w:val="18"/>
                <w:szCs w:val="18"/>
              </w:rPr>
              <w:t>Restructuring costs</w:t>
            </w:r>
          </w:p>
        </w:tc>
        <w:tc>
          <w:tcPr>
            <w:tcW w:w="0" w:type="auto"/>
            <w:gridSpan w:val="3"/>
            <w:shd w:val="clear" w:color="auto" w:fill="CCEEFF"/>
            <w:tcMar>
              <w:top w:w="0" w:type="dxa"/>
              <w:left w:w="20" w:type="dxa"/>
              <w:bottom w:w="0" w:type="dxa"/>
              <w:right w:w="20" w:type="dxa"/>
            </w:tcMar>
            <w:vAlign w:val="center"/>
            <w:hideMark/>
          </w:tcPr>
          <w:p w14:paraId="171DF244"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E3D0F3"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8D3E799"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68B30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8A9E0" w14:textId="77777777" w:rsidR="00000000" w:rsidRDefault="000C49AD">
            <w:pPr>
              <w:spacing w:after="100"/>
              <w:jc w:val="right"/>
              <w:rPr>
                <w:rFonts w:eastAsia="Times New Roman"/>
              </w:rPr>
            </w:pPr>
            <w:r>
              <w:rPr>
                <w:rFonts w:eastAsia="Times New Roman"/>
                <w:color w:val="000000"/>
                <w:sz w:val="18"/>
                <w:szCs w:val="18"/>
              </w:rPr>
              <w:t>(421)</w:t>
            </w:r>
          </w:p>
        </w:tc>
        <w:tc>
          <w:tcPr>
            <w:tcW w:w="0" w:type="auto"/>
            <w:shd w:val="clear" w:color="auto" w:fill="CCEEFF"/>
            <w:tcMar>
              <w:top w:w="30" w:type="dxa"/>
              <w:left w:w="0" w:type="dxa"/>
              <w:bottom w:w="30" w:type="dxa"/>
              <w:right w:w="20" w:type="dxa"/>
            </w:tcMar>
            <w:vAlign w:val="bottom"/>
            <w:hideMark/>
          </w:tcPr>
          <w:p w14:paraId="2489AEC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03995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1E27D3" w14:textId="77777777" w:rsidR="00000000" w:rsidRDefault="000C49AD">
            <w:pPr>
              <w:spacing w:after="100"/>
              <w:jc w:val="right"/>
              <w:rPr>
                <w:rFonts w:eastAsia="Times New Roman"/>
              </w:rPr>
            </w:pPr>
            <w:r>
              <w:rPr>
                <w:rFonts w:eastAsia="Times New Roman"/>
                <w:color w:val="000000"/>
                <w:sz w:val="18"/>
                <w:szCs w:val="18"/>
              </w:rPr>
              <w:t>(2,064)</w:t>
            </w:r>
          </w:p>
        </w:tc>
        <w:tc>
          <w:tcPr>
            <w:tcW w:w="0" w:type="auto"/>
            <w:shd w:val="clear" w:color="auto" w:fill="CCEEFF"/>
            <w:tcMar>
              <w:top w:w="30" w:type="dxa"/>
              <w:left w:w="0" w:type="dxa"/>
              <w:bottom w:w="30" w:type="dxa"/>
              <w:right w:w="20" w:type="dxa"/>
            </w:tcMar>
            <w:vAlign w:val="bottom"/>
            <w:hideMark/>
          </w:tcPr>
          <w:p w14:paraId="29EA8A3E" w14:textId="77777777" w:rsidR="00000000" w:rsidRDefault="000C49AD">
            <w:pPr>
              <w:spacing w:after="100"/>
              <w:jc w:val="right"/>
              <w:rPr>
                <w:rFonts w:eastAsia="Times New Roman"/>
              </w:rPr>
            </w:pPr>
          </w:p>
        </w:tc>
      </w:tr>
      <w:tr w:rsidR="00000000" w14:paraId="5EF5A5A2" w14:textId="77777777">
        <w:tc>
          <w:tcPr>
            <w:tcW w:w="0" w:type="auto"/>
            <w:gridSpan w:val="3"/>
            <w:shd w:val="clear" w:color="auto" w:fill="FFFFFF"/>
            <w:tcMar>
              <w:top w:w="30" w:type="dxa"/>
              <w:left w:w="245" w:type="dxa"/>
              <w:bottom w:w="30" w:type="dxa"/>
              <w:right w:w="20" w:type="dxa"/>
            </w:tcMar>
            <w:vAlign w:val="bottom"/>
            <w:hideMark/>
          </w:tcPr>
          <w:p w14:paraId="40138BA6" w14:textId="77777777" w:rsidR="00000000" w:rsidRDefault="000C49AD">
            <w:pPr>
              <w:spacing w:after="100"/>
              <w:rPr>
                <w:rFonts w:eastAsia="Times New Roman"/>
              </w:rPr>
            </w:pPr>
            <w:r>
              <w:rPr>
                <w:rFonts w:eastAsia="Times New Roman"/>
                <w:color w:val="000000"/>
                <w:sz w:val="18"/>
                <w:szCs w:val="18"/>
              </w:rPr>
              <w:t>Total share-based compensation expense</w:t>
            </w:r>
          </w:p>
        </w:tc>
        <w:tc>
          <w:tcPr>
            <w:tcW w:w="0" w:type="auto"/>
            <w:gridSpan w:val="3"/>
            <w:shd w:val="clear" w:color="auto" w:fill="FFFFFF"/>
            <w:tcMar>
              <w:top w:w="0" w:type="dxa"/>
              <w:left w:w="20" w:type="dxa"/>
              <w:bottom w:w="0" w:type="dxa"/>
              <w:right w:w="20" w:type="dxa"/>
            </w:tcMar>
            <w:vAlign w:val="center"/>
            <w:hideMark/>
          </w:tcPr>
          <w:p w14:paraId="48E148BB"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5AFF738"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AABC52F" w14:textId="77777777" w:rsidR="00000000" w:rsidRDefault="000C49AD">
            <w:pPr>
              <w:spacing w:after="100"/>
              <w:jc w:val="right"/>
              <w:rPr>
                <w:rFonts w:eastAsia="Times New Roman"/>
              </w:rPr>
            </w:pPr>
            <w:r>
              <w:rPr>
                <w:rFonts w:eastAsia="Times New Roman"/>
                <w:color w:val="000000"/>
                <w:sz w:val="18"/>
                <w:szCs w:val="18"/>
              </w:rPr>
              <w:t>8,872 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AB86B8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0D5A8"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B1164C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554CCFC" w14:textId="77777777" w:rsidR="00000000" w:rsidRDefault="000C49AD">
            <w:pPr>
              <w:spacing w:after="100"/>
              <w:jc w:val="right"/>
              <w:rPr>
                <w:rFonts w:eastAsia="Times New Roman"/>
              </w:rPr>
            </w:pPr>
            <w:r>
              <w:rPr>
                <w:rFonts w:eastAsia="Times New Roman"/>
                <w:color w:val="000000"/>
                <w:sz w:val="18"/>
                <w:szCs w:val="18"/>
              </w:rPr>
              <w:t>2,999 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48C872"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3EA2A4"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DF256A1"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4F22B71" w14:textId="77777777" w:rsidR="00000000" w:rsidRDefault="000C49AD">
            <w:pPr>
              <w:spacing w:after="100"/>
              <w:jc w:val="right"/>
              <w:rPr>
                <w:rFonts w:eastAsia="Times New Roman"/>
              </w:rPr>
            </w:pPr>
            <w:r>
              <w:rPr>
                <w:rFonts w:eastAsia="Times New Roman"/>
                <w:color w:val="000000"/>
                <w:sz w:val="18"/>
                <w:szCs w:val="18"/>
              </w:rPr>
              <w:t>519 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79566F" w14:textId="77777777" w:rsidR="00000000" w:rsidRDefault="000C49AD">
            <w:pPr>
              <w:spacing w:after="100"/>
              <w:jc w:val="right"/>
              <w:rPr>
                <w:rFonts w:eastAsia="Times New Roman"/>
              </w:rPr>
            </w:pPr>
          </w:p>
        </w:tc>
      </w:tr>
    </w:tbl>
    <w:p w14:paraId="10E0125E" w14:textId="77777777" w:rsidR="00000000" w:rsidRDefault="000C49AD">
      <w:pPr>
        <w:jc w:val="both"/>
        <w:rPr>
          <w:rFonts w:eastAsia="Times New Roman"/>
        </w:rPr>
      </w:pPr>
    </w:p>
    <w:p w14:paraId="7F2D63CE" w14:textId="77777777" w:rsidR="00000000" w:rsidRDefault="000C49AD">
      <w:pPr>
        <w:jc w:val="both"/>
        <w:rPr>
          <w:rFonts w:eastAsia="Times New Roman"/>
        </w:rPr>
      </w:pPr>
      <w:r>
        <w:rPr>
          <w:rFonts w:eastAsia="Times New Roman"/>
          <w:color w:val="000000"/>
          <w:sz w:val="20"/>
          <w:szCs w:val="20"/>
        </w:rPr>
        <w:t>As of December 31, 2021, the Company expects $18,429 of unrecognized expense related to</w:t>
      </w:r>
      <w:r>
        <w:rPr>
          <w:rFonts w:eastAsia="Times New Roman"/>
          <w:color w:val="000000"/>
          <w:sz w:val="20"/>
          <w:szCs w:val="20"/>
        </w:rPr>
        <w:t xml:space="preserve"> granted, but non-vested share-based compensation arrangements to be incurred in future periods. This expense is expected to be recognized over a weighted average period of 3.2 years. </w:t>
      </w:r>
    </w:p>
    <w:p w14:paraId="0B5AD6DE" w14:textId="77777777" w:rsidR="00000000" w:rsidRDefault="000C49AD">
      <w:pPr>
        <w:jc w:val="both"/>
        <w:rPr>
          <w:rFonts w:eastAsia="Times New Roman"/>
        </w:rPr>
      </w:pPr>
    </w:p>
    <w:p w14:paraId="36F1AE08" w14:textId="77777777" w:rsidR="00000000" w:rsidRDefault="000C49AD">
      <w:pPr>
        <w:jc w:val="both"/>
        <w:rPr>
          <w:rFonts w:eastAsia="Times New Roman"/>
        </w:rPr>
      </w:pPr>
      <w:r>
        <w:rPr>
          <w:rFonts w:eastAsia="Times New Roman"/>
          <w:color w:val="000000"/>
          <w:sz w:val="20"/>
          <w:szCs w:val="20"/>
        </w:rPr>
        <w:t>The excess tax benefit related to share-based compensation recorded b</w:t>
      </w:r>
      <w:r>
        <w:rPr>
          <w:rFonts w:eastAsia="Times New Roman"/>
          <w:color w:val="000000"/>
          <w:sz w:val="20"/>
          <w:szCs w:val="20"/>
        </w:rPr>
        <w:t xml:space="preserve">y the Company was not material for the years ended December 31, 2021, 2020 and 2019. </w:t>
      </w:r>
    </w:p>
    <w:p w14:paraId="70AE4943" w14:textId="77777777" w:rsidR="00000000" w:rsidRDefault="000C49AD">
      <w:pPr>
        <w:jc w:val="both"/>
        <w:rPr>
          <w:rFonts w:eastAsia="Times New Roman"/>
        </w:rPr>
      </w:pPr>
    </w:p>
    <w:p w14:paraId="693D7FCE" w14:textId="77777777" w:rsidR="00000000" w:rsidRDefault="000C49AD">
      <w:pPr>
        <w:jc w:val="both"/>
        <w:rPr>
          <w:rFonts w:eastAsia="Times New Roman"/>
        </w:rPr>
      </w:pPr>
      <w:r>
        <w:rPr>
          <w:rFonts w:eastAsia="Times New Roman"/>
          <w:color w:val="000000"/>
          <w:sz w:val="20"/>
          <w:szCs w:val="20"/>
        </w:rPr>
        <w:t>Upon exercise of stock options, or upon the issuance of restricted share awards or performance share unit awards, the Company issues new shares. </w:t>
      </w:r>
    </w:p>
    <w:p w14:paraId="775CF466" w14:textId="77777777" w:rsidR="00000000" w:rsidRDefault="000C49AD">
      <w:pPr>
        <w:jc w:val="both"/>
        <w:rPr>
          <w:rFonts w:eastAsia="Times New Roman"/>
        </w:rPr>
      </w:pPr>
    </w:p>
    <w:p w14:paraId="4418E2D8" w14:textId="77777777" w:rsidR="00000000" w:rsidRDefault="000C49AD">
      <w:pPr>
        <w:jc w:val="both"/>
        <w:rPr>
          <w:rFonts w:eastAsia="Times New Roman"/>
        </w:rPr>
      </w:pPr>
      <w:r>
        <w:rPr>
          <w:rFonts w:eastAsia="Times New Roman"/>
          <w:color w:val="000000"/>
          <w:sz w:val="20"/>
          <w:szCs w:val="20"/>
        </w:rPr>
        <w:t>At December 31, 2021</w:t>
      </w:r>
      <w:r>
        <w:rPr>
          <w:rFonts w:eastAsia="Times New Roman"/>
          <w:color w:val="000000"/>
          <w:sz w:val="20"/>
          <w:szCs w:val="20"/>
        </w:rPr>
        <w:t>, there were 1,336 shares authorized for stock option grants, restricted share award grants, and performance share unit award grants in subsequent periods.</w:t>
      </w:r>
      <w:r>
        <w:rPr>
          <w:rFonts w:eastAsia="Times New Roman"/>
          <w:b/>
          <w:bCs/>
          <w:i/>
          <w:iCs/>
          <w:color w:val="000000"/>
          <w:sz w:val="20"/>
          <w:szCs w:val="20"/>
        </w:rPr>
        <w:t> </w:t>
      </w:r>
    </w:p>
    <w:p w14:paraId="09C340A1" w14:textId="77777777" w:rsidR="00000000" w:rsidRDefault="000C49AD">
      <w:pPr>
        <w:jc w:val="both"/>
        <w:rPr>
          <w:rFonts w:eastAsia="Times New Roman"/>
        </w:rPr>
      </w:pPr>
    </w:p>
    <w:p w14:paraId="229310E5" w14:textId="77777777" w:rsidR="00000000" w:rsidRDefault="000C49AD">
      <w:pPr>
        <w:jc w:val="both"/>
        <w:rPr>
          <w:rFonts w:eastAsia="Times New Roman"/>
        </w:rPr>
      </w:pPr>
      <w:r>
        <w:rPr>
          <w:rFonts w:eastAsia="Times New Roman"/>
          <w:b/>
          <w:bCs/>
          <w:i/>
          <w:iCs/>
          <w:color w:val="000000"/>
          <w:sz w:val="20"/>
          <w:szCs w:val="20"/>
        </w:rPr>
        <w:t>Inducement Plan</w:t>
      </w:r>
    </w:p>
    <w:p w14:paraId="7EFBE1B3" w14:textId="77777777" w:rsidR="00000000" w:rsidRDefault="000C49AD">
      <w:pPr>
        <w:jc w:val="both"/>
        <w:rPr>
          <w:rFonts w:eastAsia="Times New Roman"/>
        </w:rPr>
      </w:pPr>
    </w:p>
    <w:p w14:paraId="200E9F4B" w14:textId="77777777" w:rsidR="00000000" w:rsidRDefault="000C49AD">
      <w:pPr>
        <w:jc w:val="both"/>
        <w:rPr>
          <w:rFonts w:eastAsia="Times New Roman"/>
        </w:rPr>
      </w:pPr>
      <w:r>
        <w:rPr>
          <w:rFonts w:eastAsia="Times New Roman"/>
          <w:color w:val="000000"/>
          <w:sz w:val="20"/>
          <w:szCs w:val="20"/>
        </w:rPr>
        <w:t>In November 2021, the Board of Directors approved the Avadel Pharmaceuticals plc 2021 Inducement Plan (the “Inducement Plan”), which allows the Company to grant equity awards to induce highly-qualified prospective officers and employees who are not current</w:t>
      </w:r>
      <w:r>
        <w:rPr>
          <w:rFonts w:eastAsia="Times New Roman"/>
          <w:color w:val="000000"/>
          <w:sz w:val="20"/>
          <w:szCs w:val="20"/>
        </w:rPr>
        <w:t>ly employed by the Company to accept employment and provide them with a proprietary interest in the Company. The maximum number of shares reserved and available for issuance under the Plan is 1,500 shares. As of December 31, 2021, the Company had not issue</w:t>
      </w:r>
      <w:r>
        <w:rPr>
          <w:rFonts w:eastAsia="Times New Roman"/>
          <w:color w:val="000000"/>
          <w:sz w:val="20"/>
          <w:szCs w:val="20"/>
        </w:rPr>
        <w:t>d any shares under this Inducement Plan.</w:t>
      </w:r>
    </w:p>
    <w:p w14:paraId="6C01BF1C" w14:textId="77777777" w:rsidR="00000000" w:rsidRDefault="000C49AD">
      <w:pPr>
        <w:jc w:val="both"/>
        <w:rPr>
          <w:rFonts w:eastAsia="Times New Roman"/>
        </w:rPr>
      </w:pPr>
    </w:p>
    <w:p w14:paraId="1A0D7E39" w14:textId="77777777" w:rsidR="00000000" w:rsidRDefault="000C49AD">
      <w:pPr>
        <w:jc w:val="both"/>
        <w:rPr>
          <w:rFonts w:eastAsia="Times New Roman"/>
        </w:rPr>
      </w:pPr>
      <w:r>
        <w:rPr>
          <w:rFonts w:eastAsia="Times New Roman"/>
          <w:b/>
          <w:bCs/>
          <w:i/>
          <w:iCs/>
          <w:color w:val="000000"/>
          <w:sz w:val="20"/>
          <w:szCs w:val="20"/>
        </w:rPr>
        <w:t>Determining the Fair Value of Stock Options</w:t>
      </w:r>
      <w:r>
        <w:rPr>
          <w:rFonts w:eastAsia="Times New Roman"/>
          <w:color w:val="000000"/>
          <w:sz w:val="20"/>
          <w:szCs w:val="20"/>
        </w:rPr>
        <w:t xml:space="preserve"> </w:t>
      </w:r>
    </w:p>
    <w:p w14:paraId="12B01DA9" w14:textId="77777777" w:rsidR="00000000" w:rsidRDefault="000C49AD">
      <w:pPr>
        <w:jc w:val="both"/>
        <w:rPr>
          <w:rFonts w:eastAsia="Times New Roman"/>
        </w:rPr>
      </w:pPr>
    </w:p>
    <w:p w14:paraId="096EA4C7" w14:textId="77777777" w:rsidR="00000000" w:rsidRDefault="000C49AD">
      <w:pPr>
        <w:jc w:val="both"/>
        <w:rPr>
          <w:rFonts w:eastAsia="Times New Roman"/>
        </w:rPr>
      </w:pPr>
      <w:r>
        <w:rPr>
          <w:rFonts w:eastAsia="Times New Roman"/>
          <w:color w:val="000000"/>
          <w:sz w:val="20"/>
          <w:szCs w:val="20"/>
        </w:rPr>
        <w:t>The Company measures the total fair value of stock options on the grant date using the Black-Scholes option-pricing model and recognizes each grant’s fair value as co</w:t>
      </w:r>
      <w:r>
        <w:rPr>
          <w:rFonts w:eastAsia="Times New Roman"/>
          <w:color w:val="000000"/>
          <w:sz w:val="20"/>
          <w:szCs w:val="20"/>
        </w:rPr>
        <w:t>mpensation expense over the period that the option vests. Options are granted to employees of the Company and become exercisable ratably over four years following the grant date and expire ten years after the grant date. Prior to 2021, the Company issued s</w:t>
      </w:r>
      <w:r>
        <w:rPr>
          <w:rFonts w:eastAsia="Times New Roman"/>
          <w:color w:val="000000"/>
          <w:sz w:val="20"/>
          <w:szCs w:val="20"/>
        </w:rPr>
        <w:t>tock options to its Board of Directors as compensation for services rendered that are exercisable ratably over three years following the grant date, and expire ten years after the grant date. In 2021, the Company issued stock options to its Board of Direct</w:t>
      </w:r>
      <w:r>
        <w:rPr>
          <w:rFonts w:eastAsia="Times New Roman"/>
          <w:color w:val="000000"/>
          <w:sz w:val="20"/>
          <w:szCs w:val="20"/>
        </w:rPr>
        <w:t xml:space="preserve">ors as compensation for services rendered and are exercisable one year following the grant date and expire ten years after the grant date. </w:t>
      </w:r>
    </w:p>
    <w:p w14:paraId="74B42B99" w14:textId="77777777" w:rsidR="00000000" w:rsidRDefault="000C49AD">
      <w:pPr>
        <w:jc w:val="both"/>
        <w:rPr>
          <w:rFonts w:eastAsia="Times New Roman"/>
        </w:rPr>
      </w:pPr>
    </w:p>
    <w:p w14:paraId="3EF98D76" w14:textId="77777777" w:rsidR="00000000" w:rsidRDefault="000C49AD">
      <w:pPr>
        <w:jc w:val="center"/>
        <w:divId w:val="59449640"/>
        <w:rPr>
          <w:rFonts w:eastAsia="Times New Roman"/>
        </w:rPr>
      </w:pPr>
      <w:r>
        <w:rPr>
          <w:rFonts w:eastAsia="Times New Roman"/>
          <w:color w:val="000000"/>
          <w:sz w:val="20"/>
          <w:szCs w:val="20"/>
        </w:rPr>
        <w:t>-100-</w:t>
      </w:r>
    </w:p>
    <w:p w14:paraId="06B4AB88" w14:textId="77777777" w:rsidR="00000000" w:rsidRDefault="000C49AD">
      <w:pPr>
        <w:rPr>
          <w:rFonts w:eastAsia="Times New Roman"/>
        </w:rPr>
      </w:pPr>
      <w:r>
        <w:rPr>
          <w:rFonts w:eastAsia="Times New Roman"/>
        </w:rPr>
        <w:pict w14:anchorId="014CE0F6">
          <v:rect id="_x0000_i1125" style="width:0;height:1.5pt" o:hralign="center" o:hrstd="t" o:hr="t" fillcolor="#a0a0a0" stroked="f"/>
        </w:pict>
      </w:r>
    </w:p>
    <w:p w14:paraId="5C2534B4" w14:textId="77777777" w:rsidR="00000000" w:rsidRDefault="000C49AD">
      <w:pPr>
        <w:divId w:val="543829599"/>
        <w:rPr>
          <w:rFonts w:eastAsia="Times New Roman"/>
        </w:rPr>
      </w:pPr>
    </w:p>
    <w:p w14:paraId="1A63D55A" w14:textId="77777777" w:rsidR="00000000" w:rsidRDefault="000C49AD">
      <w:pPr>
        <w:jc w:val="both"/>
        <w:divId w:val="996110750"/>
        <w:rPr>
          <w:rFonts w:eastAsia="Times New Roman"/>
        </w:rPr>
      </w:pPr>
      <w:r>
        <w:rPr>
          <w:rFonts w:eastAsia="Times New Roman"/>
          <w:color w:val="000000"/>
          <w:sz w:val="20"/>
          <w:szCs w:val="20"/>
        </w:rPr>
        <w:t>The weighted-average assumptions under the Black-Scholes option-pricin</w:t>
      </w:r>
      <w:r>
        <w:rPr>
          <w:rFonts w:eastAsia="Times New Roman"/>
          <w:color w:val="000000"/>
          <w:sz w:val="20"/>
          <w:szCs w:val="20"/>
        </w:rPr>
        <w:t>g model for stock option grants as of December 31, 2021, 2020 and 2019, are as follows:   </w:t>
      </w:r>
    </w:p>
    <w:tbl>
      <w:tblPr>
        <w:tblW w:w="4978" w:type="pct"/>
        <w:tblCellMar>
          <w:top w:w="15" w:type="dxa"/>
          <w:left w:w="15" w:type="dxa"/>
          <w:bottom w:w="15" w:type="dxa"/>
          <w:right w:w="15" w:type="dxa"/>
        </w:tblCellMar>
        <w:tblLook w:val="04A0" w:firstRow="1" w:lastRow="0" w:firstColumn="1" w:lastColumn="0" w:noHBand="0" w:noVBand="1"/>
      </w:tblPr>
      <w:tblGrid>
        <w:gridCol w:w="37"/>
        <w:gridCol w:w="3948"/>
        <w:gridCol w:w="36"/>
        <w:gridCol w:w="36"/>
        <w:gridCol w:w="36"/>
        <w:gridCol w:w="36"/>
        <w:gridCol w:w="38"/>
        <w:gridCol w:w="1100"/>
        <w:gridCol w:w="170"/>
        <w:gridCol w:w="36"/>
        <w:gridCol w:w="36"/>
        <w:gridCol w:w="36"/>
        <w:gridCol w:w="38"/>
        <w:gridCol w:w="1100"/>
        <w:gridCol w:w="170"/>
        <w:gridCol w:w="36"/>
        <w:gridCol w:w="36"/>
        <w:gridCol w:w="36"/>
        <w:gridCol w:w="38"/>
        <w:gridCol w:w="1100"/>
        <w:gridCol w:w="170"/>
      </w:tblGrid>
      <w:tr w:rsidR="00000000" w14:paraId="080CDC6B" w14:textId="77777777">
        <w:tc>
          <w:tcPr>
            <w:tcW w:w="50" w:type="pct"/>
            <w:vAlign w:val="center"/>
            <w:hideMark/>
          </w:tcPr>
          <w:p w14:paraId="02FCB01F" w14:textId="77777777" w:rsidR="00000000" w:rsidRDefault="000C49AD">
            <w:pPr>
              <w:jc w:val="both"/>
              <w:rPr>
                <w:rFonts w:eastAsia="Times New Roman"/>
              </w:rPr>
            </w:pPr>
          </w:p>
        </w:tc>
        <w:tc>
          <w:tcPr>
            <w:tcW w:w="2433" w:type="pct"/>
            <w:vAlign w:val="center"/>
            <w:hideMark/>
          </w:tcPr>
          <w:p w14:paraId="32FD413F" w14:textId="77777777" w:rsidR="00000000" w:rsidRDefault="000C49AD">
            <w:pPr>
              <w:spacing w:after="100"/>
              <w:rPr>
                <w:rFonts w:eastAsia="Times New Roman"/>
                <w:sz w:val="20"/>
                <w:szCs w:val="20"/>
              </w:rPr>
            </w:pPr>
          </w:p>
        </w:tc>
        <w:tc>
          <w:tcPr>
            <w:tcW w:w="5" w:type="pct"/>
            <w:vAlign w:val="center"/>
            <w:hideMark/>
          </w:tcPr>
          <w:p w14:paraId="38BCD945" w14:textId="77777777" w:rsidR="00000000" w:rsidRDefault="000C49AD">
            <w:pPr>
              <w:spacing w:after="100"/>
              <w:rPr>
                <w:rFonts w:eastAsia="Times New Roman"/>
                <w:sz w:val="20"/>
                <w:szCs w:val="20"/>
              </w:rPr>
            </w:pPr>
          </w:p>
        </w:tc>
        <w:tc>
          <w:tcPr>
            <w:tcW w:w="5" w:type="pct"/>
            <w:vAlign w:val="center"/>
            <w:hideMark/>
          </w:tcPr>
          <w:p w14:paraId="3FE7EC35" w14:textId="77777777" w:rsidR="00000000" w:rsidRDefault="000C49AD">
            <w:pPr>
              <w:spacing w:after="100"/>
              <w:rPr>
                <w:rFonts w:eastAsia="Times New Roman"/>
                <w:sz w:val="20"/>
                <w:szCs w:val="20"/>
              </w:rPr>
            </w:pPr>
          </w:p>
        </w:tc>
        <w:tc>
          <w:tcPr>
            <w:tcW w:w="26" w:type="pct"/>
            <w:vAlign w:val="center"/>
            <w:hideMark/>
          </w:tcPr>
          <w:p w14:paraId="3F5D7350" w14:textId="77777777" w:rsidR="00000000" w:rsidRDefault="000C49AD">
            <w:pPr>
              <w:spacing w:after="100"/>
              <w:rPr>
                <w:rFonts w:eastAsia="Times New Roman"/>
                <w:sz w:val="20"/>
                <w:szCs w:val="20"/>
              </w:rPr>
            </w:pPr>
          </w:p>
        </w:tc>
        <w:tc>
          <w:tcPr>
            <w:tcW w:w="5" w:type="pct"/>
            <w:vAlign w:val="center"/>
            <w:hideMark/>
          </w:tcPr>
          <w:p w14:paraId="7F1D9787" w14:textId="77777777" w:rsidR="00000000" w:rsidRDefault="000C49AD">
            <w:pPr>
              <w:spacing w:after="100"/>
              <w:rPr>
                <w:rFonts w:eastAsia="Times New Roman"/>
                <w:sz w:val="20"/>
                <w:szCs w:val="20"/>
              </w:rPr>
            </w:pPr>
          </w:p>
        </w:tc>
        <w:tc>
          <w:tcPr>
            <w:tcW w:w="50" w:type="pct"/>
            <w:vAlign w:val="center"/>
            <w:hideMark/>
          </w:tcPr>
          <w:p w14:paraId="2D4B2395" w14:textId="77777777" w:rsidR="00000000" w:rsidRDefault="000C49AD">
            <w:pPr>
              <w:spacing w:after="100"/>
              <w:rPr>
                <w:rFonts w:eastAsia="Times New Roman"/>
                <w:sz w:val="20"/>
                <w:szCs w:val="20"/>
              </w:rPr>
            </w:pPr>
          </w:p>
        </w:tc>
        <w:tc>
          <w:tcPr>
            <w:tcW w:w="745" w:type="pct"/>
            <w:vAlign w:val="center"/>
            <w:hideMark/>
          </w:tcPr>
          <w:p w14:paraId="36A0E99D" w14:textId="77777777" w:rsidR="00000000" w:rsidRDefault="000C49AD">
            <w:pPr>
              <w:spacing w:after="100"/>
              <w:rPr>
                <w:rFonts w:eastAsia="Times New Roman"/>
                <w:sz w:val="20"/>
                <w:szCs w:val="20"/>
              </w:rPr>
            </w:pPr>
          </w:p>
        </w:tc>
        <w:tc>
          <w:tcPr>
            <w:tcW w:w="5" w:type="pct"/>
            <w:vAlign w:val="center"/>
            <w:hideMark/>
          </w:tcPr>
          <w:p w14:paraId="562F07BF" w14:textId="77777777" w:rsidR="00000000" w:rsidRDefault="000C49AD">
            <w:pPr>
              <w:spacing w:after="100"/>
              <w:rPr>
                <w:rFonts w:eastAsia="Times New Roman"/>
                <w:sz w:val="20"/>
                <w:szCs w:val="20"/>
              </w:rPr>
            </w:pPr>
          </w:p>
        </w:tc>
        <w:tc>
          <w:tcPr>
            <w:tcW w:w="5" w:type="pct"/>
            <w:vAlign w:val="center"/>
            <w:hideMark/>
          </w:tcPr>
          <w:p w14:paraId="654910D0" w14:textId="77777777" w:rsidR="00000000" w:rsidRDefault="000C49AD">
            <w:pPr>
              <w:spacing w:after="100"/>
              <w:rPr>
                <w:rFonts w:eastAsia="Times New Roman"/>
                <w:sz w:val="20"/>
                <w:szCs w:val="20"/>
              </w:rPr>
            </w:pPr>
          </w:p>
        </w:tc>
        <w:tc>
          <w:tcPr>
            <w:tcW w:w="26" w:type="pct"/>
            <w:vAlign w:val="center"/>
            <w:hideMark/>
          </w:tcPr>
          <w:p w14:paraId="3F16E104" w14:textId="77777777" w:rsidR="00000000" w:rsidRDefault="000C49AD">
            <w:pPr>
              <w:spacing w:after="100"/>
              <w:rPr>
                <w:rFonts w:eastAsia="Times New Roman"/>
                <w:sz w:val="20"/>
                <w:szCs w:val="20"/>
              </w:rPr>
            </w:pPr>
          </w:p>
        </w:tc>
        <w:tc>
          <w:tcPr>
            <w:tcW w:w="5" w:type="pct"/>
            <w:vAlign w:val="center"/>
            <w:hideMark/>
          </w:tcPr>
          <w:p w14:paraId="6BC32E0B" w14:textId="77777777" w:rsidR="00000000" w:rsidRDefault="000C49AD">
            <w:pPr>
              <w:spacing w:after="100"/>
              <w:rPr>
                <w:rFonts w:eastAsia="Times New Roman"/>
                <w:sz w:val="20"/>
                <w:szCs w:val="20"/>
              </w:rPr>
            </w:pPr>
          </w:p>
        </w:tc>
        <w:tc>
          <w:tcPr>
            <w:tcW w:w="50" w:type="pct"/>
            <w:vAlign w:val="center"/>
            <w:hideMark/>
          </w:tcPr>
          <w:p w14:paraId="39CA42CC" w14:textId="77777777" w:rsidR="00000000" w:rsidRDefault="000C49AD">
            <w:pPr>
              <w:spacing w:after="100"/>
              <w:rPr>
                <w:rFonts w:eastAsia="Times New Roman"/>
                <w:sz w:val="20"/>
                <w:szCs w:val="20"/>
              </w:rPr>
            </w:pPr>
          </w:p>
        </w:tc>
        <w:tc>
          <w:tcPr>
            <w:tcW w:w="745" w:type="pct"/>
            <w:vAlign w:val="center"/>
            <w:hideMark/>
          </w:tcPr>
          <w:p w14:paraId="1F716E0B" w14:textId="77777777" w:rsidR="00000000" w:rsidRDefault="000C49AD">
            <w:pPr>
              <w:spacing w:after="100"/>
              <w:rPr>
                <w:rFonts w:eastAsia="Times New Roman"/>
                <w:sz w:val="20"/>
                <w:szCs w:val="20"/>
              </w:rPr>
            </w:pPr>
          </w:p>
        </w:tc>
        <w:tc>
          <w:tcPr>
            <w:tcW w:w="5" w:type="pct"/>
            <w:vAlign w:val="center"/>
            <w:hideMark/>
          </w:tcPr>
          <w:p w14:paraId="5D975EFB" w14:textId="77777777" w:rsidR="00000000" w:rsidRDefault="000C49AD">
            <w:pPr>
              <w:spacing w:after="100"/>
              <w:rPr>
                <w:rFonts w:eastAsia="Times New Roman"/>
                <w:sz w:val="20"/>
                <w:szCs w:val="20"/>
              </w:rPr>
            </w:pPr>
          </w:p>
        </w:tc>
        <w:tc>
          <w:tcPr>
            <w:tcW w:w="5" w:type="pct"/>
            <w:vAlign w:val="center"/>
            <w:hideMark/>
          </w:tcPr>
          <w:p w14:paraId="1323ABDD" w14:textId="77777777" w:rsidR="00000000" w:rsidRDefault="000C49AD">
            <w:pPr>
              <w:spacing w:after="100"/>
              <w:rPr>
                <w:rFonts w:eastAsia="Times New Roman"/>
                <w:sz w:val="20"/>
                <w:szCs w:val="20"/>
              </w:rPr>
            </w:pPr>
          </w:p>
        </w:tc>
        <w:tc>
          <w:tcPr>
            <w:tcW w:w="26" w:type="pct"/>
            <w:vAlign w:val="center"/>
            <w:hideMark/>
          </w:tcPr>
          <w:p w14:paraId="5A84E73E" w14:textId="77777777" w:rsidR="00000000" w:rsidRDefault="000C49AD">
            <w:pPr>
              <w:spacing w:after="100"/>
              <w:rPr>
                <w:rFonts w:eastAsia="Times New Roman"/>
                <w:sz w:val="20"/>
                <w:szCs w:val="20"/>
              </w:rPr>
            </w:pPr>
          </w:p>
        </w:tc>
        <w:tc>
          <w:tcPr>
            <w:tcW w:w="5" w:type="pct"/>
            <w:vAlign w:val="center"/>
            <w:hideMark/>
          </w:tcPr>
          <w:p w14:paraId="37A82AF0" w14:textId="77777777" w:rsidR="00000000" w:rsidRDefault="000C49AD">
            <w:pPr>
              <w:spacing w:after="100"/>
              <w:rPr>
                <w:rFonts w:eastAsia="Times New Roman"/>
                <w:sz w:val="20"/>
                <w:szCs w:val="20"/>
              </w:rPr>
            </w:pPr>
          </w:p>
        </w:tc>
        <w:tc>
          <w:tcPr>
            <w:tcW w:w="50" w:type="pct"/>
            <w:vAlign w:val="center"/>
            <w:hideMark/>
          </w:tcPr>
          <w:p w14:paraId="498404DD" w14:textId="77777777" w:rsidR="00000000" w:rsidRDefault="000C49AD">
            <w:pPr>
              <w:spacing w:after="100"/>
              <w:rPr>
                <w:rFonts w:eastAsia="Times New Roman"/>
                <w:sz w:val="20"/>
                <w:szCs w:val="20"/>
              </w:rPr>
            </w:pPr>
          </w:p>
        </w:tc>
        <w:tc>
          <w:tcPr>
            <w:tcW w:w="745" w:type="pct"/>
            <w:vAlign w:val="center"/>
            <w:hideMark/>
          </w:tcPr>
          <w:p w14:paraId="68BB7DA8" w14:textId="77777777" w:rsidR="00000000" w:rsidRDefault="000C49AD">
            <w:pPr>
              <w:spacing w:after="100"/>
              <w:rPr>
                <w:rFonts w:eastAsia="Times New Roman"/>
                <w:sz w:val="20"/>
                <w:szCs w:val="20"/>
              </w:rPr>
            </w:pPr>
          </w:p>
        </w:tc>
        <w:tc>
          <w:tcPr>
            <w:tcW w:w="5" w:type="pct"/>
            <w:vAlign w:val="center"/>
            <w:hideMark/>
          </w:tcPr>
          <w:p w14:paraId="7BD07B08" w14:textId="77777777" w:rsidR="00000000" w:rsidRDefault="000C49AD">
            <w:pPr>
              <w:spacing w:after="100"/>
              <w:rPr>
                <w:rFonts w:eastAsia="Times New Roman"/>
                <w:sz w:val="20"/>
                <w:szCs w:val="20"/>
              </w:rPr>
            </w:pPr>
          </w:p>
        </w:tc>
      </w:tr>
      <w:tr w:rsidR="00000000" w14:paraId="7CF09235" w14:textId="77777777">
        <w:tc>
          <w:tcPr>
            <w:tcW w:w="0" w:type="auto"/>
            <w:gridSpan w:val="3"/>
            <w:tcMar>
              <w:top w:w="30" w:type="dxa"/>
              <w:left w:w="20" w:type="dxa"/>
              <w:bottom w:w="30" w:type="dxa"/>
              <w:right w:w="20" w:type="dxa"/>
            </w:tcMar>
            <w:vAlign w:val="bottom"/>
            <w:hideMark/>
          </w:tcPr>
          <w:p w14:paraId="7070A7BF" w14:textId="77777777" w:rsidR="00000000" w:rsidRDefault="000C49AD">
            <w:pPr>
              <w:spacing w:after="100"/>
              <w:rPr>
                <w:rFonts w:eastAsia="Times New Roman"/>
              </w:rPr>
            </w:pPr>
            <w:r>
              <w:rPr>
                <w:rFonts w:eastAsia="Times New Roman"/>
                <w:b/>
                <w:bCs/>
                <w:color w:val="000000"/>
                <w:sz w:val="18"/>
                <w:szCs w:val="18"/>
              </w:rPr>
              <w:t xml:space="preserve">Stock Option Assumptions: </w:t>
            </w:r>
          </w:p>
        </w:tc>
        <w:tc>
          <w:tcPr>
            <w:tcW w:w="0" w:type="auto"/>
            <w:gridSpan w:val="3"/>
            <w:tcMar>
              <w:top w:w="0" w:type="dxa"/>
              <w:left w:w="20" w:type="dxa"/>
              <w:bottom w:w="0" w:type="dxa"/>
              <w:right w:w="20" w:type="dxa"/>
            </w:tcMar>
            <w:vAlign w:val="center"/>
            <w:hideMark/>
          </w:tcPr>
          <w:p w14:paraId="2CE0310A"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2FC620C7"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5EE44B75"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72FA72F"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7A2DB48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747670"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64C62A20"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3425EE32"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E2FC03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8EDE5D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96ECC7"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06646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45F87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55ABB09" w14:textId="77777777" w:rsidR="00000000" w:rsidRDefault="000C49AD">
            <w:pPr>
              <w:spacing w:after="100"/>
              <w:rPr>
                <w:rFonts w:eastAsia="Times New Roman"/>
                <w:sz w:val="20"/>
                <w:szCs w:val="20"/>
              </w:rPr>
            </w:pPr>
          </w:p>
        </w:tc>
      </w:tr>
      <w:tr w:rsidR="00000000" w14:paraId="69FDE479" w14:textId="77777777">
        <w:tc>
          <w:tcPr>
            <w:tcW w:w="0" w:type="auto"/>
            <w:gridSpan w:val="3"/>
            <w:tcMar>
              <w:top w:w="30" w:type="dxa"/>
              <w:left w:w="155" w:type="dxa"/>
              <w:bottom w:w="30" w:type="dxa"/>
              <w:right w:w="20" w:type="dxa"/>
            </w:tcMar>
            <w:vAlign w:val="bottom"/>
            <w:hideMark/>
          </w:tcPr>
          <w:p w14:paraId="214AF002" w14:textId="77777777" w:rsidR="00000000" w:rsidRDefault="000C49AD">
            <w:pPr>
              <w:spacing w:after="100"/>
              <w:rPr>
                <w:rFonts w:eastAsia="Times New Roman"/>
              </w:rPr>
            </w:pPr>
            <w:r>
              <w:rPr>
                <w:rFonts w:eastAsia="Times New Roman"/>
                <w:color w:val="000000"/>
                <w:sz w:val="18"/>
                <w:szCs w:val="18"/>
              </w:rPr>
              <w:t>Stock option grants:</w:t>
            </w:r>
          </w:p>
        </w:tc>
        <w:tc>
          <w:tcPr>
            <w:tcW w:w="0" w:type="auto"/>
            <w:gridSpan w:val="3"/>
            <w:tcMar>
              <w:top w:w="0" w:type="dxa"/>
              <w:left w:w="20" w:type="dxa"/>
              <w:bottom w:w="0" w:type="dxa"/>
              <w:right w:w="20" w:type="dxa"/>
            </w:tcMar>
            <w:vAlign w:val="center"/>
            <w:hideMark/>
          </w:tcPr>
          <w:p w14:paraId="52E64329"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66AB4BD7"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489700A" w14:textId="77777777" w:rsidR="00000000" w:rsidRDefault="000C49A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79C0FEB"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91B6D81" w14:textId="77777777" w:rsidR="00000000" w:rsidRDefault="000C49A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2C44E47A" w14:textId="77777777" w:rsidR="00000000" w:rsidRDefault="000C49AD">
            <w:pPr>
              <w:spacing w:after="100"/>
              <w:jc w:val="right"/>
              <w:rPr>
                <w:rFonts w:eastAsia="Times New Roman"/>
              </w:rPr>
            </w:pPr>
            <w:r>
              <w:rPr>
                <w:rFonts w:eastAsia="Times New Roman"/>
                <w:color w:val="000000"/>
                <w:sz w:val="18"/>
                <w:szCs w:val="18"/>
              </w:rPr>
              <w:t> </w:t>
            </w:r>
          </w:p>
        </w:tc>
      </w:tr>
      <w:tr w:rsidR="00000000" w14:paraId="50A207A6" w14:textId="77777777">
        <w:tc>
          <w:tcPr>
            <w:tcW w:w="0" w:type="auto"/>
            <w:gridSpan w:val="3"/>
            <w:shd w:val="clear" w:color="auto" w:fill="CCEEFF"/>
            <w:tcMar>
              <w:top w:w="30" w:type="dxa"/>
              <w:left w:w="245" w:type="dxa"/>
              <w:bottom w:w="30" w:type="dxa"/>
              <w:right w:w="20" w:type="dxa"/>
            </w:tcMar>
            <w:vAlign w:val="bottom"/>
            <w:hideMark/>
          </w:tcPr>
          <w:p w14:paraId="4C32F316" w14:textId="77777777" w:rsidR="00000000" w:rsidRDefault="000C49AD">
            <w:pPr>
              <w:spacing w:after="100"/>
              <w:rPr>
                <w:rFonts w:eastAsia="Times New Roman"/>
              </w:rPr>
            </w:pPr>
            <w:r>
              <w:rPr>
                <w:rFonts w:eastAsia="Times New Roman"/>
                <w:color w:val="000000"/>
                <w:sz w:val="18"/>
                <w:szCs w:val="18"/>
              </w:rPr>
              <w:t>Expected term (years)</w:t>
            </w:r>
          </w:p>
        </w:tc>
        <w:tc>
          <w:tcPr>
            <w:tcW w:w="0" w:type="auto"/>
            <w:gridSpan w:val="3"/>
            <w:shd w:val="clear" w:color="auto" w:fill="CCEEFF"/>
            <w:tcMar>
              <w:top w:w="0" w:type="dxa"/>
              <w:left w:w="20" w:type="dxa"/>
              <w:bottom w:w="0" w:type="dxa"/>
              <w:right w:w="20" w:type="dxa"/>
            </w:tcMar>
            <w:vAlign w:val="center"/>
            <w:hideMark/>
          </w:tcPr>
          <w:p w14:paraId="59A479DE"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5E4228D" w14:textId="77777777" w:rsidR="00000000" w:rsidRDefault="000C49AD">
            <w:pPr>
              <w:spacing w:after="100"/>
              <w:jc w:val="right"/>
              <w:rPr>
                <w:rFonts w:eastAsia="Times New Roman"/>
              </w:rPr>
            </w:pPr>
            <w:r>
              <w:rPr>
                <w:rFonts w:eastAsia="Times New Roman"/>
                <w:color w:val="000000"/>
                <w:sz w:val="18"/>
                <w:szCs w:val="18"/>
              </w:rPr>
              <w:t>6.20</w:t>
            </w:r>
          </w:p>
        </w:tc>
        <w:tc>
          <w:tcPr>
            <w:tcW w:w="0" w:type="auto"/>
            <w:gridSpan w:val="3"/>
            <w:shd w:val="clear" w:color="auto" w:fill="CCEEFF"/>
            <w:tcMar>
              <w:top w:w="0" w:type="dxa"/>
              <w:left w:w="20" w:type="dxa"/>
              <w:bottom w:w="0" w:type="dxa"/>
              <w:right w:w="20" w:type="dxa"/>
            </w:tcMar>
            <w:vAlign w:val="center"/>
            <w:hideMark/>
          </w:tcPr>
          <w:p w14:paraId="6C0E3A16"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8D7470A" w14:textId="77777777" w:rsidR="00000000" w:rsidRDefault="000C49AD">
            <w:pPr>
              <w:spacing w:after="100"/>
              <w:jc w:val="right"/>
              <w:rPr>
                <w:rFonts w:eastAsia="Times New Roman"/>
              </w:rPr>
            </w:pPr>
            <w:r>
              <w:rPr>
                <w:rFonts w:eastAsia="Times New Roman"/>
                <w:color w:val="000000"/>
                <w:sz w:val="18"/>
                <w:szCs w:val="18"/>
              </w:rPr>
              <w:t>6.08</w:t>
            </w:r>
          </w:p>
        </w:tc>
        <w:tc>
          <w:tcPr>
            <w:tcW w:w="0" w:type="auto"/>
            <w:gridSpan w:val="3"/>
            <w:shd w:val="clear" w:color="auto" w:fill="CCEEFF"/>
            <w:tcMar>
              <w:top w:w="0" w:type="dxa"/>
              <w:left w:w="20" w:type="dxa"/>
              <w:bottom w:w="0" w:type="dxa"/>
              <w:right w:w="20" w:type="dxa"/>
            </w:tcMar>
            <w:vAlign w:val="center"/>
            <w:hideMark/>
          </w:tcPr>
          <w:p w14:paraId="75CD3DF2"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DCE5BBB" w14:textId="77777777" w:rsidR="00000000" w:rsidRDefault="000C49AD">
            <w:pPr>
              <w:spacing w:after="100"/>
              <w:jc w:val="right"/>
              <w:rPr>
                <w:rFonts w:eastAsia="Times New Roman"/>
              </w:rPr>
            </w:pPr>
            <w:r>
              <w:rPr>
                <w:rFonts w:eastAsia="Times New Roman"/>
                <w:color w:val="000000"/>
                <w:sz w:val="18"/>
                <w:szCs w:val="18"/>
              </w:rPr>
              <w:t>6.25</w:t>
            </w:r>
          </w:p>
        </w:tc>
      </w:tr>
      <w:tr w:rsidR="00000000" w14:paraId="46764601" w14:textId="77777777">
        <w:tc>
          <w:tcPr>
            <w:tcW w:w="0" w:type="auto"/>
            <w:gridSpan w:val="3"/>
            <w:shd w:val="clear" w:color="auto" w:fill="FFFFFF"/>
            <w:tcMar>
              <w:top w:w="30" w:type="dxa"/>
              <w:left w:w="245" w:type="dxa"/>
              <w:bottom w:w="30" w:type="dxa"/>
              <w:right w:w="20" w:type="dxa"/>
            </w:tcMar>
            <w:vAlign w:val="bottom"/>
            <w:hideMark/>
          </w:tcPr>
          <w:p w14:paraId="730C48AA" w14:textId="77777777" w:rsidR="00000000" w:rsidRDefault="000C49AD">
            <w:pPr>
              <w:spacing w:after="100"/>
              <w:rPr>
                <w:rFonts w:eastAsia="Times New Roman"/>
              </w:rPr>
            </w:pPr>
            <w:r>
              <w:rPr>
                <w:rFonts w:eastAsia="Times New Roman"/>
                <w:color w:val="000000"/>
                <w:sz w:val="18"/>
                <w:szCs w:val="18"/>
              </w:rPr>
              <w:t>Expected volatility</w:t>
            </w:r>
          </w:p>
        </w:tc>
        <w:tc>
          <w:tcPr>
            <w:tcW w:w="0" w:type="auto"/>
            <w:gridSpan w:val="3"/>
            <w:shd w:val="clear" w:color="auto" w:fill="FFFFFF"/>
            <w:tcMar>
              <w:top w:w="0" w:type="dxa"/>
              <w:left w:w="20" w:type="dxa"/>
              <w:bottom w:w="0" w:type="dxa"/>
              <w:right w:w="20" w:type="dxa"/>
            </w:tcMar>
            <w:vAlign w:val="center"/>
            <w:hideMark/>
          </w:tcPr>
          <w:p w14:paraId="394C880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80B98DC" w14:textId="77777777" w:rsidR="00000000" w:rsidRDefault="000C49AD">
            <w:pPr>
              <w:spacing w:after="100"/>
              <w:jc w:val="right"/>
              <w:rPr>
                <w:rFonts w:eastAsia="Times New Roman"/>
              </w:rPr>
            </w:pPr>
            <w:r>
              <w:rPr>
                <w:rFonts w:eastAsia="Times New Roman"/>
                <w:color w:val="000000"/>
                <w:sz w:val="18"/>
                <w:szCs w:val="18"/>
              </w:rPr>
              <w:t>73.91 </w:t>
            </w:r>
          </w:p>
        </w:tc>
        <w:tc>
          <w:tcPr>
            <w:tcW w:w="0" w:type="auto"/>
            <w:shd w:val="clear" w:color="auto" w:fill="FFFFFF"/>
            <w:tcMar>
              <w:top w:w="30" w:type="dxa"/>
              <w:left w:w="0" w:type="dxa"/>
              <w:bottom w:w="30" w:type="dxa"/>
              <w:right w:w="20" w:type="dxa"/>
            </w:tcMar>
            <w:vAlign w:val="bottom"/>
            <w:hideMark/>
          </w:tcPr>
          <w:p w14:paraId="7FF416B8" w14:textId="77777777" w:rsidR="00000000" w:rsidRDefault="000C49A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52189923" w14:textId="77777777" w:rsidR="00000000" w:rsidRDefault="000C49A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4B7BD24" w14:textId="77777777" w:rsidR="00000000" w:rsidRDefault="000C49AD">
            <w:pPr>
              <w:spacing w:after="100"/>
              <w:jc w:val="right"/>
              <w:rPr>
                <w:rFonts w:eastAsia="Times New Roman"/>
              </w:rPr>
            </w:pPr>
            <w:r>
              <w:rPr>
                <w:rFonts w:eastAsia="Times New Roman"/>
                <w:color w:val="000000"/>
                <w:sz w:val="18"/>
                <w:szCs w:val="18"/>
              </w:rPr>
              <w:t>75.76 </w:t>
            </w:r>
          </w:p>
        </w:tc>
        <w:tc>
          <w:tcPr>
            <w:tcW w:w="0" w:type="auto"/>
            <w:shd w:val="clear" w:color="auto" w:fill="FFFFFF"/>
            <w:tcMar>
              <w:top w:w="30" w:type="dxa"/>
              <w:left w:w="0" w:type="dxa"/>
              <w:bottom w:w="30" w:type="dxa"/>
              <w:right w:w="20" w:type="dxa"/>
            </w:tcMar>
            <w:vAlign w:val="bottom"/>
            <w:hideMark/>
          </w:tcPr>
          <w:p w14:paraId="67DFD75B" w14:textId="77777777" w:rsidR="00000000" w:rsidRDefault="000C49AD">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14:paraId="1155B0A1" w14:textId="77777777" w:rsidR="00000000" w:rsidRDefault="000C49AD">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F65B98D" w14:textId="77777777" w:rsidR="00000000" w:rsidRDefault="000C49AD">
            <w:pPr>
              <w:spacing w:after="100"/>
              <w:jc w:val="right"/>
              <w:rPr>
                <w:rFonts w:eastAsia="Times New Roman"/>
              </w:rPr>
            </w:pPr>
            <w:r>
              <w:rPr>
                <w:rFonts w:eastAsia="Times New Roman"/>
                <w:color w:val="000000"/>
                <w:sz w:val="18"/>
                <w:szCs w:val="18"/>
              </w:rPr>
              <w:t>56.48 </w:t>
            </w:r>
          </w:p>
        </w:tc>
        <w:tc>
          <w:tcPr>
            <w:tcW w:w="0" w:type="auto"/>
            <w:shd w:val="clear" w:color="auto" w:fill="FFFFFF"/>
            <w:tcMar>
              <w:top w:w="30" w:type="dxa"/>
              <w:left w:w="0" w:type="dxa"/>
              <w:bottom w:w="30" w:type="dxa"/>
              <w:right w:w="20" w:type="dxa"/>
            </w:tcMar>
            <w:vAlign w:val="bottom"/>
            <w:hideMark/>
          </w:tcPr>
          <w:p w14:paraId="1C8C1E62" w14:textId="77777777" w:rsidR="00000000" w:rsidRDefault="000C49AD">
            <w:pPr>
              <w:spacing w:after="100"/>
              <w:jc w:val="right"/>
              <w:rPr>
                <w:rFonts w:eastAsia="Times New Roman"/>
              </w:rPr>
            </w:pPr>
            <w:r>
              <w:rPr>
                <w:rFonts w:eastAsia="Times New Roman"/>
                <w:color w:val="000000"/>
                <w:sz w:val="18"/>
                <w:szCs w:val="18"/>
              </w:rPr>
              <w:t>%</w:t>
            </w:r>
          </w:p>
        </w:tc>
      </w:tr>
      <w:tr w:rsidR="00000000" w14:paraId="79DD392D" w14:textId="77777777">
        <w:tc>
          <w:tcPr>
            <w:tcW w:w="0" w:type="auto"/>
            <w:gridSpan w:val="3"/>
            <w:shd w:val="clear" w:color="auto" w:fill="CCEEFF"/>
            <w:tcMar>
              <w:top w:w="30" w:type="dxa"/>
              <w:left w:w="245" w:type="dxa"/>
              <w:bottom w:w="30" w:type="dxa"/>
              <w:right w:w="20" w:type="dxa"/>
            </w:tcMar>
            <w:vAlign w:val="bottom"/>
            <w:hideMark/>
          </w:tcPr>
          <w:p w14:paraId="42687B3D" w14:textId="77777777" w:rsidR="00000000" w:rsidRDefault="000C49AD">
            <w:pPr>
              <w:spacing w:after="100"/>
              <w:rPr>
                <w:rFonts w:eastAsia="Times New Roman"/>
              </w:rPr>
            </w:pPr>
            <w:r>
              <w:rPr>
                <w:rFonts w:eastAsia="Times New Roman"/>
                <w:color w:val="000000"/>
                <w:sz w:val="18"/>
                <w:szCs w:val="18"/>
              </w:rPr>
              <w:t>Risk-free interest rate</w:t>
            </w:r>
          </w:p>
        </w:tc>
        <w:tc>
          <w:tcPr>
            <w:tcW w:w="0" w:type="auto"/>
            <w:gridSpan w:val="3"/>
            <w:shd w:val="clear" w:color="auto" w:fill="CCEEFF"/>
            <w:tcMar>
              <w:top w:w="0" w:type="dxa"/>
              <w:left w:w="20" w:type="dxa"/>
              <w:bottom w:w="0" w:type="dxa"/>
              <w:right w:w="20" w:type="dxa"/>
            </w:tcMar>
            <w:vAlign w:val="center"/>
            <w:hideMark/>
          </w:tcPr>
          <w:p w14:paraId="3D4CBC0F"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3D770AD" w14:textId="77777777" w:rsidR="00000000" w:rsidRDefault="000C49AD">
            <w:pPr>
              <w:spacing w:after="100"/>
              <w:jc w:val="right"/>
              <w:rPr>
                <w:rFonts w:eastAsia="Times New Roman"/>
              </w:rPr>
            </w:pPr>
            <w:r>
              <w:rPr>
                <w:rFonts w:eastAsia="Times New Roman"/>
                <w:color w:val="000000"/>
                <w:sz w:val="18"/>
                <w:szCs w:val="18"/>
              </w:rPr>
              <w:t>1.10 </w:t>
            </w:r>
          </w:p>
        </w:tc>
        <w:tc>
          <w:tcPr>
            <w:tcW w:w="0" w:type="auto"/>
            <w:shd w:val="clear" w:color="auto" w:fill="CCEEFF"/>
            <w:tcMar>
              <w:top w:w="30" w:type="dxa"/>
              <w:left w:w="0" w:type="dxa"/>
              <w:bottom w:w="30" w:type="dxa"/>
              <w:right w:w="20" w:type="dxa"/>
            </w:tcMar>
            <w:vAlign w:val="bottom"/>
            <w:hideMark/>
          </w:tcPr>
          <w:p w14:paraId="3B0A85E6" w14:textId="77777777" w:rsidR="00000000" w:rsidRDefault="000C49AD">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1DBF955C" w14:textId="77777777" w:rsidR="00000000" w:rsidRDefault="000C49A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D1A4DD" w14:textId="77777777" w:rsidR="00000000" w:rsidRDefault="000C49AD">
            <w:pPr>
              <w:spacing w:after="100"/>
              <w:jc w:val="right"/>
              <w:rPr>
                <w:rFonts w:eastAsia="Times New Roman"/>
              </w:rPr>
            </w:pPr>
            <w:r>
              <w:rPr>
                <w:rFonts w:eastAsia="Times New Roman"/>
                <w:color w:val="000000"/>
                <w:sz w:val="18"/>
                <w:szCs w:val="18"/>
              </w:rPr>
              <w:t>0.72 </w:t>
            </w:r>
          </w:p>
        </w:tc>
        <w:tc>
          <w:tcPr>
            <w:tcW w:w="0" w:type="auto"/>
            <w:shd w:val="clear" w:color="auto" w:fill="CCEEFF"/>
            <w:tcMar>
              <w:top w:w="30" w:type="dxa"/>
              <w:left w:w="0" w:type="dxa"/>
              <w:bottom w:w="30" w:type="dxa"/>
              <w:right w:w="20" w:type="dxa"/>
            </w:tcMar>
            <w:vAlign w:val="bottom"/>
            <w:hideMark/>
          </w:tcPr>
          <w:p w14:paraId="5AAEA633" w14:textId="77777777" w:rsidR="00000000" w:rsidRDefault="000C49AD">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14:paraId="792ACC4A" w14:textId="77777777" w:rsidR="00000000" w:rsidRDefault="000C49AD">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9EC23F2" w14:textId="77777777" w:rsidR="00000000" w:rsidRDefault="000C49AD">
            <w:pPr>
              <w:spacing w:after="100"/>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bottom"/>
            <w:hideMark/>
          </w:tcPr>
          <w:p w14:paraId="732BFEDC" w14:textId="77777777" w:rsidR="00000000" w:rsidRDefault="000C49AD">
            <w:pPr>
              <w:spacing w:after="100"/>
              <w:jc w:val="right"/>
              <w:rPr>
                <w:rFonts w:eastAsia="Times New Roman"/>
              </w:rPr>
            </w:pPr>
            <w:r>
              <w:rPr>
                <w:rFonts w:eastAsia="Times New Roman"/>
                <w:color w:val="000000"/>
                <w:sz w:val="18"/>
                <w:szCs w:val="18"/>
              </w:rPr>
              <w:t>%</w:t>
            </w:r>
          </w:p>
        </w:tc>
      </w:tr>
      <w:tr w:rsidR="00000000" w14:paraId="005EDC86" w14:textId="77777777">
        <w:tc>
          <w:tcPr>
            <w:tcW w:w="0" w:type="auto"/>
            <w:gridSpan w:val="3"/>
            <w:shd w:val="clear" w:color="auto" w:fill="FFFFFF"/>
            <w:tcMar>
              <w:top w:w="30" w:type="dxa"/>
              <w:left w:w="245" w:type="dxa"/>
              <w:bottom w:w="30" w:type="dxa"/>
              <w:right w:w="20" w:type="dxa"/>
            </w:tcMar>
            <w:vAlign w:val="bottom"/>
            <w:hideMark/>
          </w:tcPr>
          <w:p w14:paraId="36E76BE8" w14:textId="77777777" w:rsidR="00000000" w:rsidRDefault="000C49AD">
            <w:pPr>
              <w:spacing w:after="100"/>
              <w:rPr>
                <w:rFonts w:eastAsia="Times New Roman"/>
              </w:rPr>
            </w:pPr>
            <w:r>
              <w:rPr>
                <w:rFonts w:eastAsia="Times New Roman"/>
                <w:color w:val="000000"/>
                <w:sz w:val="18"/>
                <w:szCs w:val="18"/>
              </w:rPr>
              <w:t>Expected dividend yield</w:t>
            </w:r>
          </w:p>
        </w:tc>
        <w:tc>
          <w:tcPr>
            <w:tcW w:w="0" w:type="auto"/>
            <w:gridSpan w:val="3"/>
            <w:shd w:val="clear" w:color="auto" w:fill="FFFFFF"/>
            <w:tcMar>
              <w:top w:w="0" w:type="dxa"/>
              <w:left w:w="20" w:type="dxa"/>
              <w:bottom w:w="0" w:type="dxa"/>
              <w:right w:w="20" w:type="dxa"/>
            </w:tcMar>
            <w:vAlign w:val="center"/>
            <w:hideMark/>
          </w:tcPr>
          <w:p w14:paraId="67238729"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050E9A"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20E1A9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DE060"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35A974"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8B2942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EB04F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2A85A6"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3E55E5D4" w14:textId="77777777" w:rsidR="00000000" w:rsidRDefault="000C49AD">
            <w:pPr>
              <w:spacing w:after="100"/>
              <w:jc w:val="right"/>
              <w:rPr>
                <w:rFonts w:eastAsia="Times New Roman"/>
              </w:rPr>
            </w:pPr>
          </w:p>
        </w:tc>
      </w:tr>
    </w:tbl>
    <w:p w14:paraId="523EA060" w14:textId="77777777" w:rsidR="00000000" w:rsidRDefault="000C49AD">
      <w:pPr>
        <w:jc w:val="both"/>
        <w:rPr>
          <w:rFonts w:eastAsia="Times New Roman"/>
        </w:rPr>
      </w:pPr>
    </w:p>
    <w:p w14:paraId="479B5659" w14:textId="77777777" w:rsidR="00000000" w:rsidRDefault="000C49AD">
      <w:pPr>
        <w:jc w:val="both"/>
        <w:rPr>
          <w:rFonts w:eastAsia="Times New Roman"/>
        </w:rPr>
      </w:pPr>
      <w:r>
        <w:rPr>
          <w:rFonts w:eastAsia="Times New Roman"/>
          <w:i/>
          <w:iCs/>
          <w:color w:val="000000"/>
          <w:sz w:val="20"/>
          <w:szCs w:val="20"/>
        </w:rPr>
        <w:t>Expected term</w:t>
      </w:r>
      <w:r>
        <w:rPr>
          <w:rFonts w:eastAsia="Times New Roman"/>
          <w:color w:val="000000"/>
          <w:sz w:val="20"/>
          <w:szCs w:val="20"/>
        </w:rPr>
        <w:t>: The expected term of the options represents the period of time between the grant date and the time the options are either exercised or forfeited, including an estimate of future forfeitures for outstanding options. Given t</w:t>
      </w:r>
      <w:r>
        <w:rPr>
          <w:rFonts w:eastAsia="Times New Roman"/>
          <w:color w:val="000000"/>
          <w:sz w:val="20"/>
          <w:szCs w:val="20"/>
        </w:rPr>
        <w:t>he limited historical data, the simplified method has been used to calculate the expected life.</w:t>
      </w:r>
      <w:r>
        <w:rPr>
          <w:rFonts w:eastAsia="Times New Roman"/>
          <w:i/>
          <w:iCs/>
          <w:color w:val="000000"/>
          <w:sz w:val="20"/>
          <w:szCs w:val="20"/>
        </w:rPr>
        <w:t> </w:t>
      </w:r>
    </w:p>
    <w:p w14:paraId="2D4C6388" w14:textId="77777777" w:rsidR="00000000" w:rsidRDefault="000C49AD">
      <w:pPr>
        <w:jc w:val="both"/>
        <w:rPr>
          <w:rFonts w:eastAsia="Times New Roman"/>
        </w:rPr>
      </w:pPr>
    </w:p>
    <w:p w14:paraId="66933205" w14:textId="77777777" w:rsidR="00000000" w:rsidRDefault="000C49AD">
      <w:pPr>
        <w:jc w:val="both"/>
        <w:divId w:val="1094862999"/>
        <w:rPr>
          <w:rFonts w:eastAsia="Times New Roman"/>
        </w:rPr>
      </w:pPr>
      <w:r>
        <w:rPr>
          <w:rFonts w:eastAsia="Times New Roman"/>
          <w:i/>
          <w:iCs/>
          <w:color w:val="000000"/>
          <w:sz w:val="20"/>
          <w:szCs w:val="20"/>
        </w:rPr>
        <w:t>Expected volatility</w:t>
      </w:r>
      <w:r>
        <w:rPr>
          <w:rFonts w:eastAsia="Times New Roman"/>
          <w:color w:val="000000"/>
          <w:sz w:val="20"/>
          <w:szCs w:val="20"/>
        </w:rPr>
        <w:t>: The expected volatility is calculated based on an average of the historical volatility of the Company’s stock price for a period approximating the expected term.</w:t>
      </w:r>
      <w:r>
        <w:rPr>
          <w:rFonts w:eastAsia="Times New Roman"/>
          <w:i/>
          <w:iCs/>
          <w:color w:val="000000"/>
          <w:sz w:val="20"/>
          <w:szCs w:val="20"/>
        </w:rPr>
        <w:t> </w:t>
      </w:r>
    </w:p>
    <w:p w14:paraId="37F2CCF3" w14:textId="77777777" w:rsidR="00000000" w:rsidRDefault="000C49AD">
      <w:pPr>
        <w:jc w:val="both"/>
        <w:divId w:val="1927376400"/>
        <w:rPr>
          <w:rFonts w:eastAsia="Times New Roman"/>
        </w:rPr>
      </w:pPr>
      <w:r>
        <w:rPr>
          <w:rFonts w:eastAsia="Times New Roman"/>
          <w:i/>
          <w:iCs/>
          <w:color w:val="000000"/>
          <w:sz w:val="20"/>
          <w:szCs w:val="20"/>
        </w:rPr>
        <w:t>Risk-free interest rate</w:t>
      </w:r>
      <w:r>
        <w:rPr>
          <w:rFonts w:eastAsia="Times New Roman"/>
          <w:color w:val="000000"/>
          <w:sz w:val="20"/>
          <w:szCs w:val="20"/>
        </w:rPr>
        <w:t>: The risk-free interest rate is based on the U.S. Treasury yield cu</w:t>
      </w:r>
      <w:r>
        <w:rPr>
          <w:rFonts w:eastAsia="Times New Roman"/>
          <w:color w:val="000000"/>
          <w:sz w:val="20"/>
          <w:szCs w:val="20"/>
        </w:rPr>
        <w:t>rve in effect at the time of grant and a maturity that approximates the expected term.</w:t>
      </w:r>
      <w:r>
        <w:rPr>
          <w:rFonts w:eastAsia="Times New Roman"/>
          <w:i/>
          <w:iCs/>
          <w:color w:val="000000"/>
          <w:sz w:val="20"/>
          <w:szCs w:val="20"/>
        </w:rPr>
        <w:t> </w:t>
      </w:r>
    </w:p>
    <w:p w14:paraId="78AD45AA" w14:textId="77777777" w:rsidR="00000000" w:rsidRDefault="000C49AD">
      <w:pPr>
        <w:jc w:val="both"/>
        <w:divId w:val="349261842"/>
        <w:rPr>
          <w:rFonts w:eastAsia="Times New Roman"/>
        </w:rPr>
      </w:pPr>
      <w:r>
        <w:rPr>
          <w:rFonts w:eastAsia="Times New Roman"/>
          <w:i/>
          <w:iCs/>
          <w:color w:val="000000"/>
          <w:sz w:val="20"/>
          <w:szCs w:val="20"/>
        </w:rPr>
        <w:t>Expected dividend yield</w:t>
      </w:r>
      <w:r>
        <w:rPr>
          <w:rFonts w:eastAsia="Times New Roman"/>
          <w:color w:val="000000"/>
          <w:sz w:val="20"/>
          <w:szCs w:val="20"/>
        </w:rPr>
        <w:t>: The Company has not distributed any dividends since its inception and have no plan to distribute dividends in the foreseeable future.</w:t>
      </w:r>
      <w:r>
        <w:rPr>
          <w:rFonts w:eastAsia="Times New Roman"/>
          <w:b/>
          <w:bCs/>
          <w:i/>
          <w:iCs/>
          <w:color w:val="000000"/>
          <w:sz w:val="20"/>
          <w:szCs w:val="20"/>
        </w:rPr>
        <w:t> </w:t>
      </w:r>
    </w:p>
    <w:p w14:paraId="2A567E39" w14:textId="77777777" w:rsidR="00000000" w:rsidRDefault="000C49AD">
      <w:pPr>
        <w:jc w:val="both"/>
        <w:divId w:val="1590844231"/>
        <w:rPr>
          <w:rFonts w:eastAsia="Times New Roman"/>
        </w:rPr>
      </w:pPr>
      <w:r>
        <w:rPr>
          <w:rFonts w:eastAsia="Times New Roman"/>
          <w:b/>
          <w:bCs/>
          <w:i/>
          <w:iCs/>
          <w:color w:val="000000"/>
          <w:sz w:val="20"/>
          <w:szCs w:val="20"/>
        </w:rPr>
        <w:t>Stock Op</w:t>
      </w:r>
      <w:r>
        <w:rPr>
          <w:rFonts w:eastAsia="Times New Roman"/>
          <w:b/>
          <w:bCs/>
          <w:i/>
          <w:iCs/>
          <w:color w:val="000000"/>
          <w:sz w:val="20"/>
          <w:szCs w:val="20"/>
        </w:rPr>
        <w:t>tions</w:t>
      </w:r>
      <w:r>
        <w:rPr>
          <w:rFonts w:eastAsia="Times New Roman"/>
          <w:color w:val="000000"/>
          <w:sz w:val="20"/>
          <w:szCs w:val="20"/>
        </w:rPr>
        <w:t> </w:t>
      </w:r>
    </w:p>
    <w:p w14:paraId="53352719" w14:textId="77777777" w:rsidR="00000000" w:rsidRDefault="000C49AD">
      <w:pPr>
        <w:jc w:val="both"/>
        <w:rPr>
          <w:rFonts w:eastAsia="Times New Roman"/>
        </w:rPr>
      </w:pPr>
      <w:r>
        <w:rPr>
          <w:rFonts w:eastAsia="Times New Roman"/>
          <w:color w:val="000000"/>
          <w:sz w:val="20"/>
          <w:szCs w:val="20"/>
        </w:rPr>
        <w:t>A summary of the combined stock option activity and other data for the Company’s stock option plans for the year ended December 31, 2021 is as follows:   </w:t>
      </w:r>
    </w:p>
    <w:tbl>
      <w:tblPr>
        <w:tblW w:w="4970" w:type="pct"/>
        <w:tblCellMar>
          <w:top w:w="15" w:type="dxa"/>
          <w:left w:w="15" w:type="dxa"/>
          <w:bottom w:w="15" w:type="dxa"/>
          <w:right w:w="15" w:type="dxa"/>
        </w:tblCellMar>
        <w:tblLook w:val="04A0" w:firstRow="1" w:lastRow="0" w:firstColumn="1" w:lastColumn="0" w:noHBand="0" w:noVBand="1"/>
      </w:tblPr>
      <w:tblGrid>
        <w:gridCol w:w="47"/>
        <w:gridCol w:w="2840"/>
        <w:gridCol w:w="39"/>
        <w:gridCol w:w="36"/>
        <w:gridCol w:w="36"/>
        <w:gridCol w:w="36"/>
        <w:gridCol w:w="58"/>
        <w:gridCol w:w="1099"/>
        <w:gridCol w:w="36"/>
        <w:gridCol w:w="36"/>
        <w:gridCol w:w="36"/>
        <w:gridCol w:w="36"/>
        <w:gridCol w:w="111"/>
        <w:gridCol w:w="1109"/>
        <w:gridCol w:w="36"/>
        <w:gridCol w:w="36"/>
        <w:gridCol w:w="36"/>
        <w:gridCol w:w="36"/>
        <w:gridCol w:w="64"/>
        <w:gridCol w:w="1093"/>
        <w:gridCol w:w="36"/>
        <w:gridCol w:w="36"/>
        <w:gridCol w:w="36"/>
        <w:gridCol w:w="36"/>
        <w:gridCol w:w="111"/>
        <w:gridCol w:w="1109"/>
        <w:gridCol w:w="36"/>
      </w:tblGrid>
      <w:tr w:rsidR="00000000" w14:paraId="04FBFBEE" w14:textId="77777777">
        <w:tc>
          <w:tcPr>
            <w:tcW w:w="50" w:type="pct"/>
            <w:vAlign w:val="center"/>
            <w:hideMark/>
          </w:tcPr>
          <w:p w14:paraId="3929D47B" w14:textId="77777777" w:rsidR="00000000" w:rsidRDefault="000C49AD">
            <w:pPr>
              <w:jc w:val="both"/>
              <w:rPr>
                <w:rFonts w:eastAsia="Times New Roman"/>
              </w:rPr>
            </w:pPr>
          </w:p>
        </w:tc>
        <w:tc>
          <w:tcPr>
            <w:tcW w:w="1739" w:type="pct"/>
            <w:vAlign w:val="center"/>
            <w:hideMark/>
          </w:tcPr>
          <w:p w14:paraId="14C949D4" w14:textId="77777777" w:rsidR="00000000" w:rsidRDefault="000C49AD">
            <w:pPr>
              <w:spacing w:after="100"/>
              <w:rPr>
                <w:rFonts w:eastAsia="Times New Roman"/>
                <w:sz w:val="20"/>
                <w:szCs w:val="20"/>
              </w:rPr>
            </w:pPr>
          </w:p>
        </w:tc>
        <w:tc>
          <w:tcPr>
            <w:tcW w:w="5" w:type="pct"/>
            <w:vAlign w:val="center"/>
            <w:hideMark/>
          </w:tcPr>
          <w:p w14:paraId="09220703" w14:textId="77777777" w:rsidR="00000000" w:rsidRDefault="000C49AD">
            <w:pPr>
              <w:spacing w:after="100"/>
              <w:rPr>
                <w:rFonts w:eastAsia="Times New Roman"/>
                <w:sz w:val="20"/>
                <w:szCs w:val="20"/>
              </w:rPr>
            </w:pPr>
          </w:p>
        </w:tc>
        <w:tc>
          <w:tcPr>
            <w:tcW w:w="5" w:type="pct"/>
            <w:vAlign w:val="center"/>
            <w:hideMark/>
          </w:tcPr>
          <w:p w14:paraId="7973AC05" w14:textId="77777777" w:rsidR="00000000" w:rsidRDefault="000C49AD">
            <w:pPr>
              <w:spacing w:after="100"/>
              <w:rPr>
                <w:rFonts w:eastAsia="Times New Roman"/>
                <w:sz w:val="20"/>
                <w:szCs w:val="20"/>
              </w:rPr>
            </w:pPr>
          </w:p>
        </w:tc>
        <w:tc>
          <w:tcPr>
            <w:tcW w:w="26" w:type="pct"/>
            <w:vAlign w:val="center"/>
            <w:hideMark/>
          </w:tcPr>
          <w:p w14:paraId="659B22EA" w14:textId="77777777" w:rsidR="00000000" w:rsidRDefault="000C49AD">
            <w:pPr>
              <w:spacing w:after="100"/>
              <w:rPr>
                <w:rFonts w:eastAsia="Times New Roman"/>
                <w:sz w:val="20"/>
                <w:szCs w:val="20"/>
              </w:rPr>
            </w:pPr>
          </w:p>
        </w:tc>
        <w:tc>
          <w:tcPr>
            <w:tcW w:w="5" w:type="pct"/>
            <w:vAlign w:val="center"/>
            <w:hideMark/>
          </w:tcPr>
          <w:p w14:paraId="0B9768D1" w14:textId="77777777" w:rsidR="00000000" w:rsidRDefault="000C49AD">
            <w:pPr>
              <w:spacing w:after="100"/>
              <w:rPr>
                <w:rFonts w:eastAsia="Times New Roman"/>
                <w:sz w:val="20"/>
                <w:szCs w:val="20"/>
              </w:rPr>
            </w:pPr>
          </w:p>
        </w:tc>
        <w:tc>
          <w:tcPr>
            <w:tcW w:w="50" w:type="pct"/>
            <w:vAlign w:val="center"/>
            <w:hideMark/>
          </w:tcPr>
          <w:p w14:paraId="4A9CCC6D" w14:textId="77777777" w:rsidR="00000000" w:rsidRDefault="000C49AD">
            <w:pPr>
              <w:spacing w:after="100"/>
              <w:rPr>
                <w:rFonts w:eastAsia="Times New Roman"/>
                <w:sz w:val="20"/>
                <w:szCs w:val="20"/>
              </w:rPr>
            </w:pPr>
          </w:p>
        </w:tc>
        <w:tc>
          <w:tcPr>
            <w:tcW w:w="709" w:type="pct"/>
            <w:vAlign w:val="center"/>
            <w:hideMark/>
          </w:tcPr>
          <w:p w14:paraId="7C5B5BC5" w14:textId="77777777" w:rsidR="00000000" w:rsidRDefault="000C49AD">
            <w:pPr>
              <w:spacing w:after="100"/>
              <w:rPr>
                <w:rFonts w:eastAsia="Times New Roman"/>
                <w:sz w:val="20"/>
                <w:szCs w:val="20"/>
              </w:rPr>
            </w:pPr>
          </w:p>
        </w:tc>
        <w:tc>
          <w:tcPr>
            <w:tcW w:w="5" w:type="pct"/>
            <w:vAlign w:val="center"/>
            <w:hideMark/>
          </w:tcPr>
          <w:p w14:paraId="57DC7D2A" w14:textId="77777777" w:rsidR="00000000" w:rsidRDefault="000C49AD">
            <w:pPr>
              <w:spacing w:after="100"/>
              <w:rPr>
                <w:rFonts w:eastAsia="Times New Roman"/>
                <w:sz w:val="20"/>
                <w:szCs w:val="20"/>
              </w:rPr>
            </w:pPr>
          </w:p>
        </w:tc>
        <w:tc>
          <w:tcPr>
            <w:tcW w:w="5" w:type="pct"/>
            <w:vAlign w:val="center"/>
            <w:hideMark/>
          </w:tcPr>
          <w:p w14:paraId="40BAA3FA" w14:textId="77777777" w:rsidR="00000000" w:rsidRDefault="000C49AD">
            <w:pPr>
              <w:spacing w:after="100"/>
              <w:rPr>
                <w:rFonts w:eastAsia="Times New Roman"/>
                <w:sz w:val="20"/>
                <w:szCs w:val="20"/>
              </w:rPr>
            </w:pPr>
          </w:p>
        </w:tc>
        <w:tc>
          <w:tcPr>
            <w:tcW w:w="26" w:type="pct"/>
            <w:vAlign w:val="center"/>
            <w:hideMark/>
          </w:tcPr>
          <w:p w14:paraId="533180FD" w14:textId="77777777" w:rsidR="00000000" w:rsidRDefault="000C49AD">
            <w:pPr>
              <w:spacing w:after="100"/>
              <w:rPr>
                <w:rFonts w:eastAsia="Times New Roman"/>
                <w:sz w:val="20"/>
                <w:szCs w:val="20"/>
              </w:rPr>
            </w:pPr>
          </w:p>
        </w:tc>
        <w:tc>
          <w:tcPr>
            <w:tcW w:w="5" w:type="pct"/>
            <w:vAlign w:val="center"/>
            <w:hideMark/>
          </w:tcPr>
          <w:p w14:paraId="2D2E5B94" w14:textId="77777777" w:rsidR="00000000" w:rsidRDefault="000C49AD">
            <w:pPr>
              <w:spacing w:after="100"/>
              <w:rPr>
                <w:rFonts w:eastAsia="Times New Roman"/>
                <w:sz w:val="20"/>
                <w:szCs w:val="20"/>
              </w:rPr>
            </w:pPr>
          </w:p>
        </w:tc>
        <w:tc>
          <w:tcPr>
            <w:tcW w:w="50" w:type="pct"/>
            <w:vAlign w:val="center"/>
            <w:hideMark/>
          </w:tcPr>
          <w:p w14:paraId="667C054B" w14:textId="77777777" w:rsidR="00000000" w:rsidRDefault="000C49AD">
            <w:pPr>
              <w:spacing w:after="100"/>
              <w:rPr>
                <w:rFonts w:eastAsia="Times New Roman"/>
                <w:sz w:val="20"/>
                <w:szCs w:val="20"/>
              </w:rPr>
            </w:pPr>
          </w:p>
        </w:tc>
        <w:tc>
          <w:tcPr>
            <w:tcW w:w="709" w:type="pct"/>
            <w:vAlign w:val="center"/>
            <w:hideMark/>
          </w:tcPr>
          <w:p w14:paraId="3EE407DB" w14:textId="77777777" w:rsidR="00000000" w:rsidRDefault="000C49AD">
            <w:pPr>
              <w:spacing w:after="100"/>
              <w:rPr>
                <w:rFonts w:eastAsia="Times New Roman"/>
                <w:sz w:val="20"/>
                <w:szCs w:val="20"/>
              </w:rPr>
            </w:pPr>
          </w:p>
        </w:tc>
        <w:tc>
          <w:tcPr>
            <w:tcW w:w="5" w:type="pct"/>
            <w:vAlign w:val="center"/>
            <w:hideMark/>
          </w:tcPr>
          <w:p w14:paraId="4D0E2ED4" w14:textId="77777777" w:rsidR="00000000" w:rsidRDefault="000C49AD">
            <w:pPr>
              <w:spacing w:after="100"/>
              <w:rPr>
                <w:rFonts w:eastAsia="Times New Roman"/>
                <w:sz w:val="20"/>
                <w:szCs w:val="20"/>
              </w:rPr>
            </w:pPr>
          </w:p>
        </w:tc>
        <w:tc>
          <w:tcPr>
            <w:tcW w:w="5" w:type="pct"/>
            <w:vAlign w:val="center"/>
            <w:hideMark/>
          </w:tcPr>
          <w:p w14:paraId="342765CA" w14:textId="77777777" w:rsidR="00000000" w:rsidRDefault="000C49AD">
            <w:pPr>
              <w:spacing w:after="100"/>
              <w:rPr>
                <w:rFonts w:eastAsia="Times New Roman"/>
                <w:sz w:val="20"/>
                <w:szCs w:val="20"/>
              </w:rPr>
            </w:pPr>
          </w:p>
        </w:tc>
        <w:tc>
          <w:tcPr>
            <w:tcW w:w="26" w:type="pct"/>
            <w:vAlign w:val="center"/>
            <w:hideMark/>
          </w:tcPr>
          <w:p w14:paraId="6678CA00" w14:textId="77777777" w:rsidR="00000000" w:rsidRDefault="000C49AD">
            <w:pPr>
              <w:spacing w:after="100"/>
              <w:rPr>
                <w:rFonts w:eastAsia="Times New Roman"/>
                <w:sz w:val="20"/>
                <w:szCs w:val="20"/>
              </w:rPr>
            </w:pPr>
          </w:p>
        </w:tc>
        <w:tc>
          <w:tcPr>
            <w:tcW w:w="5" w:type="pct"/>
            <w:vAlign w:val="center"/>
            <w:hideMark/>
          </w:tcPr>
          <w:p w14:paraId="42EA571D" w14:textId="77777777" w:rsidR="00000000" w:rsidRDefault="000C49AD">
            <w:pPr>
              <w:spacing w:after="100"/>
              <w:rPr>
                <w:rFonts w:eastAsia="Times New Roman"/>
                <w:sz w:val="20"/>
                <w:szCs w:val="20"/>
              </w:rPr>
            </w:pPr>
          </w:p>
        </w:tc>
        <w:tc>
          <w:tcPr>
            <w:tcW w:w="50" w:type="pct"/>
            <w:vAlign w:val="center"/>
            <w:hideMark/>
          </w:tcPr>
          <w:p w14:paraId="331CC9B4" w14:textId="77777777" w:rsidR="00000000" w:rsidRDefault="000C49AD">
            <w:pPr>
              <w:spacing w:after="100"/>
              <w:rPr>
                <w:rFonts w:eastAsia="Times New Roman"/>
                <w:sz w:val="20"/>
                <w:szCs w:val="20"/>
              </w:rPr>
            </w:pPr>
          </w:p>
        </w:tc>
        <w:tc>
          <w:tcPr>
            <w:tcW w:w="709" w:type="pct"/>
            <w:vAlign w:val="center"/>
            <w:hideMark/>
          </w:tcPr>
          <w:p w14:paraId="7272D3E2" w14:textId="77777777" w:rsidR="00000000" w:rsidRDefault="000C49AD">
            <w:pPr>
              <w:spacing w:after="100"/>
              <w:rPr>
                <w:rFonts w:eastAsia="Times New Roman"/>
                <w:sz w:val="20"/>
                <w:szCs w:val="20"/>
              </w:rPr>
            </w:pPr>
          </w:p>
        </w:tc>
        <w:tc>
          <w:tcPr>
            <w:tcW w:w="5" w:type="pct"/>
            <w:vAlign w:val="center"/>
            <w:hideMark/>
          </w:tcPr>
          <w:p w14:paraId="3A37689B" w14:textId="77777777" w:rsidR="00000000" w:rsidRDefault="000C49AD">
            <w:pPr>
              <w:spacing w:after="100"/>
              <w:rPr>
                <w:rFonts w:eastAsia="Times New Roman"/>
                <w:sz w:val="20"/>
                <w:szCs w:val="20"/>
              </w:rPr>
            </w:pPr>
          </w:p>
        </w:tc>
        <w:tc>
          <w:tcPr>
            <w:tcW w:w="5" w:type="pct"/>
            <w:vAlign w:val="center"/>
            <w:hideMark/>
          </w:tcPr>
          <w:p w14:paraId="7AB4E489" w14:textId="77777777" w:rsidR="00000000" w:rsidRDefault="000C49AD">
            <w:pPr>
              <w:spacing w:after="100"/>
              <w:rPr>
                <w:rFonts w:eastAsia="Times New Roman"/>
                <w:sz w:val="20"/>
                <w:szCs w:val="20"/>
              </w:rPr>
            </w:pPr>
          </w:p>
        </w:tc>
        <w:tc>
          <w:tcPr>
            <w:tcW w:w="26" w:type="pct"/>
            <w:vAlign w:val="center"/>
            <w:hideMark/>
          </w:tcPr>
          <w:p w14:paraId="08B060FF" w14:textId="77777777" w:rsidR="00000000" w:rsidRDefault="000C49AD">
            <w:pPr>
              <w:spacing w:after="100"/>
              <w:rPr>
                <w:rFonts w:eastAsia="Times New Roman"/>
                <w:sz w:val="20"/>
                <w:szCs w:val="20"/>
              </w:rPr>
            </w:pPr>
          </w:p>
        </w:tc>
        <w:tc>
          <w:tcPr>
            <w:tcW w:w="5" w:type="pct"/>
            <w:vAlign w:val="center"/>
            <w:hideMark/>
          </w:tcPr>
          <w:p w14:paraId="7185C89C" w14:textId="77777777" w:rsidR="00000000" w:rsidRDefault="000C49AD">
            <w:pPr>
              <w:spacing w:after="100"/>
              <w:rPr>
                <w:rFonts w:eastAsia="Times New Roman"/>
                <w:sz w:val="20"/>
                <w:szCs w:val="20"/>
              </w:rPr>
            </w:pPr>
          </w:p>
        </w:tc>
        <w:tc>
          <w:tcPr>
            <w:tcW w:w="50" w:type="pct"/>
            <w:vAlign w:val="center"/>
            <w:hideMark/>
          </w:tcPr>
          <w:p w14:paraId="346E0ECB" w14:textId="77777777" w:rsidR="00000000" w:rsidRDefault="000C49AD">
            <w:pPr>
              <w:spacing w:after="100"/>
              <w:rPr>
                <w:rFonts w:eastAsia="Times New Roman"/>
                <w:sz w:val="20"/>
                <w:szCs w:val="20"/>
              </w:rPr>
            </w:pPr>
          </w:p>
        </w:tc>
        <w:tc>
          <w:tcPr>
            <w:tcW w:w="709" w:type="pct"/>
            <w:vAlign w:val="center"/>
            <w:hideMark/>
          </w:tcPr>
          <w:p w14:paraId="7D3A60FA" w14:textId="77777777" w:rsidR="00000000" w:rsidRDefault="000C49AD">
            <w:pPr>
              <w:spacing w:after="100"/>
              <w:rPr>
                <w:rFonts w:eastAsia="Times New Roman"/>
                <w:sz w:val="20"/>
                <w:szCs w:val="20"/>
              </w:rPr>
            </w:pPr>
          </w:p>
        </w:tc>
        <w:tc>
          <w:tcPr>
            <w:tcW w:w="5" w:type="pct"/>
            <w:vAlign w:val="center"/>
            <w:hideMark/>
          </w:tcPr>
          <w:p w14:paraId="43A751DA" w14:textId="77777777" w:rsidR="00000000" w:rsidRDefault="000C49AD">
            <w:pPr>
              <w:spacing w:after="100"/>
              <w:rPr>
                <w:rFonts w:eastAsia="Times New Roman"/>
                <w:sz w:val="20"/>
                <w:szCs w:val="20"/>
              </w:rPr>
            </w:pPr>
          </w:p>
        </w:tc>
      </w:tr>
      <w:tr w:rsidR="00000000" w14:paraId="698A007C" w14:textId="77777777">
        <w:tc>
          <w:tcPr>
            <w:tcW w:w="0" w:type="auto"/>
            <w:gridSpan w:val="3"/>
            <w:tcMar>
              <w:top w:w="30" w:type="dxa"/>
              <w:left w:w="20" w:type="dxa"/>
              <w:bottom w:w="30" w:type="dxa"/>
              <w:right w:w="20" w:type="dxa"/>
            </w:tcMar>
            <w:vAlign w:val="bottom"/>
            <w:hideMark/>
          </w:tcPr>
          <w:p w14:paraId="51FC83DF" w14:textId="77777777" w:rsidR="00000000" w:rsidRDefault="000C49AD">
            <w:pPr>
              <w:spacing w:after="100"/>
              <w:rPr>
                <w:rFonts w:eastAsia="Times New Roman"/>
              </w:rPr>
            </w:pPr>
            <w:r>
              <w:rPr>
                <w:rFonts w:eastAsia="Times New Roman"/>
                <w:b/>
                <w:bCs/>
                <w:color w:val="000000"/>
                <w:sz w:val="18"/>
                <w:szCs w:val="18"/>
              </w:rPr>
              <w:t> </w:t>
            </w:r>
            <w:r>
              <w:rPr>
                <w:rFonts w:eastAsia="Times New Roman"/>
                <w:b/>
                <w:bCs/>
                <w:color w:val="000000"/>
                <w:sz w:val="18"/>
                <w:szCs w:val="18"/>
              </w:rPr>
              <w:t xml:space="preserve">Stock Option Activity and Other Data: </w:t>
            </w:r>
          </w:p>
        </w:tc>
        <w:tc>
          <w:tcPr>
            <w:tcW w:w="0" w:type="auto"/>
            <w:gridSpan w:val="3"/>
            <w:tcMar>
              <w:top w:w="0" w:type="dxa"/>
              <w:left w:w="20" w:type="dxa"/>
              <w:bottom w:w="0" w:type="dxa"/>
              <w:right w:w="20" w:type="dxa"/>
            </w:tcMar>
            <w:vAlign w:val="center"/>
            <w:hideMark/>
          </w:tcPr>
          <w:p w14:paraId="5F5BD482"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60F4588A" w14:textId="77777777" w:rsidR="00000000" w:rsidRDefault="000C49AD">
            <w:pPr>
              <w:spacing w:after="100"/>
              <w:jc w:val="center"/>
              <w:rPr>
                <w:rFonts w:eastAsia="Times New Roman"/>
              </w:rPr>
            </w:pPr>
            <w:r>
              <w:rPr>
                <w:rFonts w:eastAsia="Times New Roman"/>
                <w:b/>
                <w:bCs/>
                <w:color w:val="000000"/>
                <w:sz w:val="18"/>
                <w:szCs w:val="18"/>
              </w:rPr>
              <w:t>Number of Stock</w:t>
            </w:r>
            <w:r>
              <w:rPr>
                <w:rFonts w:eastAsia="Times New Roman"/>
                <w:b/>
                <w:bCs/>
                <w:color w:val="000000"/>
                <w:sz w:val="18"/>
                <w:szCs w:val="18"/>
              </w:rPr>
              <w:br/>
              <w:t>Options</w:t>
            </w:r>
          </w:p>
        </w:tc>
        <w:tc>
          <w:tcPr>
            <w:tcW w:w="0" w:type="auto"/>
            <w:gridSpan w:val="3"/>
            <w:tcMar>
              <w:top w:w="0" w:type="dxa"/>
              <w:left w:w="20" w:type="dxa"/>
              <w:bottom w:w="0" w:type="dxa"/>
              <w:right w:w="20" w:type="dxa"/>
            </w:tcMar>
            <w:vAlign w:val="center"/>
            <w:hideMark/>
          </w:tcPr>
          <w:p w14:paraId="18F593C1"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3222FD" w14:textId="77777777" w:rsidR="00000000" w:rsidRDefault="000C49AD">
            <w:pPr>
              <w:spacing w:after="100"/>
              <w:jc w:val="center"/>
              <w:rPr>
                <w:rFonts w:eastAsia="Times New Roman"/>
              </w:rPr>
            </w:pPr>
            <w:r>
              <w:rPr>
                <w:rFonts w:eastAsia="Times New Roman"/>
                <w:b/>
                <w:bCs/>
                <w:color w:val="000000"/>
                <w:sz w:val="18"/>
                <w:szCs w:val="18"/>
              </w:rPr>
              <w:t>Weighted Average</w:t>
            </w:r>
            <w:r>
              <w:rPr>
                <w:rFonts w:eastAsia="Times New Roman"/>
                <w:b/>
                <w:bCs/>
                <w:color w:val="000000"/>
                <w:sz w:val="18"/>
                <w:szCs w:val="18"/>
              </w:rPr>
              <w:br/>
              <w:t>Exercise Price per Share</w:t>
            </w:r>
          </w:p>
        </w:tc>
        <w:tc>
          <w:tcPr>
            <w:tcW w:w="0" w:type="auto"/>
            <w:gridSpan w:val="3"/>
            <w:tcMar>
              <w:top w:w="0" w:type="dxa"/>
              <w:left w:w="20" w:type="dxa"/>
              <w:bottom w:w="0" w:type="dxa"/>
              <w:right w:w="20" w:type="dxa"/>
            </w:tcMar>
            <w:vAlign w:val="center"/>
            <w:hideMark/>
          </w:tcPr>
          <w:p w14:paraId="3E750F83"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E0F8FF" w14:textId="77777777" w:rsidR="00000000" w:rsidRDefault="000C49AD">
            <w:pPr>
              <w:spacing w:after="100"/>
              <w:jc w:val="center"/>
              <w:rPr>
                <w:rFonts w:eastAsia="Times New Roman"/>
              </w:rPr>
            </w:pPr>
            <w:r>
              <w:rPr>
                <w:rFonts w:eastAsia="Times New Roman"/>
                <w:b/>
                <w:bCs/>
                <w:color w:val="000000"/>
                <w:sz w:val="18"/>
                <w:szCs w:val="18"/>
              </w:rPr>
              <w:t>Weighted Average</w:t>
            </w:r>
            <w:r>
              <w:rPr>
                <w:rFonts w:eastAsia="Times New Roman"/>
                <w:b/>
                <w:bCs/>
                <w:color w:val="000000"/>
                <w:sz w:val="18"/>
                <w:szCs w:val="18"/>
              </w:rPr>
              <w:br/>
              <w:t>Remaining</w:t>
            </w:r>
            <w:r>
              <w:rPr>
                <w:rFonts w:eastAsia="Times New Roman"/>
                <w:b/>
                <w:bCs/>
                <w:color w:val="000000"/>
                <w:sz w:val="18"/>
                <w:szCs w:val="18"/>
              </w:rPr>
              <w:br/>
              <w:t>Contractual Life</w:t>
            </w:r>
          </w:p>
        </w:tc>
        <w:tc>
          <w:tcPr>
            <w:tcW w:w="0" w:type="auto"/>
            <w:gridSpan w:val="3"/>
            <w:tcMar>
              <w:top w:w="0" w:type="dxa"/>
              <w:left w:w="20" w:type="dxa"/>
              <w:bottom w:w="0" w:type="dxa"/>
              <w:right w:w="20" w:type="dxa"/>
            </w:tcMar>
            <w:vAlign w:val="center"/>
            <w:hideMark/>
          </w:tcPr>
          <w:p w14:paraId="70BD1165"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05149D4" w14:textId="77777777" w:rsidR="00000000" w:rsidRDefault="000C49AD">
            <w:pPr>
              <w:spacing w:after="100"/>
              <w:jc w:val="center"/>
              <w:rPr>
                <w:rFonts w:eastAsia="Times New Roman"/>
              </w:rPr>
            </w:pPr>
            <w:r>
              <w:rPr>
                <w:rFonts w:eastAsia="Times New Roman"/>
                <w:b/>
                <w:bCs/>
                <w:color w:val="000000"/>
                <w:sz w:val="18"/>
                <w:szCs w:val="18"/>
              </w:rPr>
              <w:t>Aggregate</w:t>
            </w:r>
            <w:r>
              <w:rPr>
                <w:rFonts w:eastAsia="Times New Roman"/>
                <w:b/>
                <w:bCs/>
                <w:color w:val="000000"/>
                <w:sz w:val="18"/>
                <w:szCs w:val="18"/>
              </w:rPr>
              <w:br/>
              <w:t>Intrinsic Value</w:t>
            </w:r>
          </w:p>
        </w:tc>
      </w:tr>
      <w:tr w:rsidR="00000000" w14:paraId="169F7CFC"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6E419745"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555266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EB02740"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DE7B33"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02908C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437FE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58FB72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736B4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7E85206" w14:textId="77777777" w:rsidR="00000000" w:rsidRDefault="000C49AD">
            <w:pPr>
              <w:spacing w:after="100"/>
              <w:rPr>
                <w:rFonts w:eastAsia="Times New Roman"/>
                <w:sz w:val="20"/>
                <w:szCs w:val="20"/>
              </w:rPr>
            </w:pPr>
          </w:p>
        </w:tc>
      </w:tr>
      <w:tr w:rsidR="00000000" w14:paraId="26E593D3" w14:textId="77777777">
        <w:tc>
          <w:tcPr>
            <w:tcW w:w="0" w:type="auto"/>
            <w:gridSpan w:val="3"/>
            <w:shd w:val="clear" w:color="auto" w:fill="CCEEFF"/>
            <w:tcMar>
              <w:top w:w="30" w:type="dxa"/>
              <w:left w:w="20" w:type="dxa"/>
              <w:bottom w:w="30" w:type="dxa"/>
              <w:right w:w="20" w:type="dxa"/>
            </w:tcMar>
            <w:vAlign w:val="bottom"/>
            <w:hideMark/>
          </w:tcPr>
          <w:p w14:paraId="7F8A89FD" w14:textId="77777777" w:rsidR="00000000" w:rsidRDefault="000C49AD">
            <w:pPr>
              <w:spacing w:after="100"/>
              <w:divId w:val="1481337593"/>
              <w:rPr>
                <w:rFonts w:eastAsia="Times New Roman"/>
              </w:rPr>
            </w:pPr>
            <w:r>
              <w:rPr>
                <w:rFonts w:eastAsia="Times New Roman"/>
                <w:color w:val="000000"/>
                <w:sz w:val="18"/>
                <w:szCs w:val="18"/>
              </w:rPr>
              <w:t>Stock options outstanding, January 1, 2021</w:t>
            </w:r>
          </w:p>
        </w:tc>
        <w:tc>
          <w:tcPr>
            <w:tcW w:w="0" w:type="auto"/>
            <w:gridSpan w:val="3"/>
            <w:shd w:val="clear" w:color="auto" w:fill="CCEEFF"/>
            <w:tcMar>
              <w:top w:w="0" w:type="dxa"/>
              <w:left w:w="20" w:type="dxa"/>
              <w:bottom w:w="0" w:type="dxa"/>
              <w:right w:w="20" w:type="dxa"/>
            </w:tcMar>
            <w:vAlign w:val="center"/>
            <w:hideMark/>
          </w:tcPr>
          <w:p w14:paraId="00DCA2D4"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B5F527E" w14:textId="77777777" w:rsidR="00000000" w:rsidRDefault="000C49AD">
            <w:pPr>
              <w:spacing w:after="100"/>
              <w:jc w:val="right"/>
              <w:rPr>
                <w:rFonts w:eastAsia="Times New Roman"/>
              </w:rPr>
            </w:pPr>
            <w:r>
              <w:rPr>
                <w:rFonts w:eastAsia="Times New Roman"/>
                <w:color w:val="000000"/>
                <w:sz w:val="18"/>
                <w:szCs w:val="18"/>
              </w:rPr>
              <w:t>5,898 </w:t>
            </w:r>
          </w:p>
        </w:tc>
        <w:tc>
          <w:tcPr>
            <w:tcW w:w="0" w:type="auto"/>
            <w:shd w:val="clear" w:color="auto" w:fill="CCEEFF"/>
            <w:tcMar>
              <w:top w:w="30" w:type="dxa"/>
              <w:left w:w="0" w:type="dxa"/>
              <w:bottom w:w="30" w:type="dxa"/>
              <w:right w:w="20" w:type="dxa"/>
            </w:tcMar>
            <w:vAlign w:val="bottom"/>
            <w:hideMark/>
          </w:tcPr>
          <w:p w14:paraId="02EC7D7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95634E"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F0F843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14FEEBF" w14:textId="77777777" w:rsidR="00000000" w:rsidRDefault="000C49AD">
            <w:pPr>
              <w:spacing w:after="100"/>
              <w:jc w:val="right"/>
              <w:rPr>
                <w:rFonts w:eastAsia="Times New Roman"/>
              </w:rPr>
            </w:pPr>
            <w:r>
              <w:rPr>
                <w:rFonts w:eastAsia="Times New Roman"/>
                <w:color w:val="000000"/>
                <w:sz w:val="18"/>
                <w:szCs w:val="18"/>
              </w:rPr>
              <w:t>7.02 </w:t>
            </w:r>
          </w:p>
        </w:tc>
        <w:tc>
          <w:tcPr>
            <w:tcW w:w="0" w:type="auto"/>
            <w:shd w:val="clear" w:color="auto" w:fill="CCEEFF"/>
            <w:tcMar>
              <w:top w:w="30" w:type="dxa"/>
              <w:left w:w="0" w:type="dxa"/>
              <w:bottom w:w="30" w:type="dxa"/>
              <w:right w:w="20" w:type="dxa"/>
            </w:tcMar>
            <w:vAlign w:val="bottom"/>
            <w:hideMark/>
          </w:tcPr>
          <w:p w14:paraId="5286FB2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5D612F" w14:textId="77777777" w:rsidR="00000000" w:rsidRDefault="000C49A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5C65F807" w14:textId="77777777" w:rsidR="00000000" w:rsidRDefault="000C49A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EE907F9"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CE3B6B8" w14:textId="77777777" w:rsidR="00000000" w:rsidRDefault="000C49AD">
            <w:pPr>
              <w:spacing w:after="100"/>
              <w:jc w:val="right"/>
              <w:rPr>
                <w:rFonts w:eastAsia="Times New Roman"/>
              </w:rPr>
            </w:pPr>
            <w:r>
              <w:rPr>
                <w:rFonts w:eastAsia="Times New Roman"/>
                <w:color w:val="000000"/>
                <w:sz w:val="18"/>
                <w:szCs w:val="18"/>
              </w:rPr>
              <w:t> </w:t>
            </w:r>
          </w:p>
        </w:tc>
      </w:tr>
      <w:tr w:rsidR="00000000" w14:paraId="01F69270" w14:textId="77777777">
        <w:tc>
          <w:tcPr>
            <w:tcW w:w="0" w:type="auto"/>
            <w:gridSpan w:val="3"/>
            <w:shd w:val="clear" w:color="auto" w:fill="FFFFFF"/>
            <w:tcMar>
              <w:top w:w="30" w:type="dxa"/>
              <w:left w:w="245" w:type="dxa"/>
              <w:bottom w:w="30" w:type="dxa"/>
              <w:right w:w="20" w:type="dxa"/>
            </w:tcMar>
            <w:vAlign w:val="bottom"/>
            <w:hideMark/>
          </w:tcPr>
          <w:p w14:paraId="5064DD78" w14:textId="77777777" w:rsidR="00000000" w:rsidRDefault="000C49AD">
            <w:pPr>
              <w:spacing w:after="100"/>
              <w:rPr>
                <w:rFonts w:eastAsia="Times New Roman"/>
              </w:rPr>
            </w:pPr>
            <w:r>
              <w:rPr>
                <w:rFonts w:eastAsia="Times New Roman"/>
                <w:color w:val="000000"/>
                <w:sz w:val="18"/>
                <w:szCs w:val="18"/>
              </w:rPr>
              <w:t>Granted</w:t>
            </w:r>
          </w:p>
        </w:tc>
        <w:tc>
          <w:tcPr>
            <w:tcW w:w="0" w:type="auto"/>
            <w:gridSpan w:val="3"/>
            <w:shd w:val="clear" w:color="auto" w:fill="FFFFFF"/>
            <w:tcMar>
              <w:top w:w="0" w:type="dxa"/>
              <w:left w:w="20" w:type="dxa"/>
              <w:bottom w:w="0" w:type="dxa"/>
              <w:right w:w="20" w:type="dxa"/>
            </w:tcMar>
            <w:vAlign w:val="center"/>
            <w:hideMark/>
          </w:tcPr>
          <w:p w14:paraId="489119F0" w14:textId="77777777" w:rsidR="00000000" w:rsidRDefault="000C49AD">
            <w:pPr>
              <w:spacing w:after="100"/>
              <w:rPr>
                <w:rFonts w:eastAsia="Times New Roman"/>
              </w:rPr>
            </w:pPr>
          </w:p>
        </w:tc>
        <w:tc>
          <w:tcPr>
            <w:tcW w:w="0" w:type="auto"/>
            <w:gridSpan w:val="2"/>
            <w:tcMar>
              <w:top w:w="30" w:type="dxa"/>
              <w:left w:w="20" w:type="dxa"/>
              <w:bottom w:w="30" w:type="dxa"/>
              <w:right w:w="0" w:type="dxa"/>
            </w:tcMar>
            <w:vAlign w:val="bottom"/>
            <w:hideMark/>
          </w:tcPr>
          <w:p w14:paraId="019CE1C2" w14:textId="77777777" w:rsidR="00000000" w:rsidRDefault="000C49AD">
            <w:pPr>
              <w:spacing w:after="100"/>
              <w:jc w:val="right"/>
              <w:rPr>
                <w:rFonts w:eastAsia="Times New Roman"/>
              </w:rPr>
            </w:pPr>
            <w:r>
              <w:rPr>
                <w:rFonts w:eastAsia="Times New Roman"/>
                <w:color w:val="000000"/>
                <w:sz w:val="18"/>
                <w:szCs w:val="18"/>
              </w:rPr>
              <w:t>2,857 </w:t>
            </w:r>
          </w:p>
        </w:tc>
        <w:tc>
          <w:tcPr>
            <w:tcW w:w="0" w:type="auto"/>
            <w:tcMar>
              <w:top w:w="30" w:type="dxa"/>
              <w:left w:w="0" w:type="dxa"/>
              <w:bottom w:w="30" w:type="dxa"/>
              <w:right w:w="20" w:type="dxa"/>
            </w:tcMar>
            <w:vAlign w:val="bottom"/>
            <w:hideMark/>
          </w:tcPr>
          <w:p w14:paraId="7A8D9395"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463BF9B"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1BA61B8" w14:textId="77777777" w:rsidR="00000000" w:rsidRDefault="000C49AD">
            <w:pPr>
              <w:spacing w:after="100"/>
              <w:jc w:val="right"/>
              <w:rPr>
                <w:rFonts w:eastAsia="Times New Roman"/>
              </w:rPr>
            </w:pPr>
            <w:r>
              <w:rPr>
                <w:rFonts w:eastAsia="Times New Roman"/>
                <w:color w:val="000000"/>
                <w:sz w:val="18"/>
                <w:szCs w:val="18"/>
              </w:rPr>
              <w:t>8.20 </w:t>
            </w:r>
          </w:p>
        </w:tc>
        <w:tc>
          <w:tcPr>
            <w:tcW w:w="0" w:type="auto"/>
            <w:tcMar>
              <w:top w:w="30" w:type="dxa"/>
              <w:left w:w="0" w:type="dxa"/>
              <w:bottom w:w="30" w:type="dxa"/>
              <w:right w:w="20" w:type="dxa"/>
            </w:tcMar>
            <w:vAlign w:val="bottom"/>
            <w:hideMark/>
          </w:tcPr>
          <w:p w14:paraId="0643A37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E2DAFA" w14:textId="77777777" w:rsidR="00000000" w:rsidRDefault="000C49A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8F7A559" w14:textId="77777777" w:rsidR="00000000" w:rsidRDefault="000C49A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4F8F4356" w14:textId="77777777" w:rsidR="00000000" w:rsidRDefault="000C49A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6172BC2" w14:textId="77777777" w:rsidR="00000000" w:rsidRDefault="000C49AD">
            <w:pPr>
              <w:spacing w:after="100"/>
              <w:jc w:val="right"/>
              <w:rPr>
                <w:rFonts w:eastAsia="Times New Roman"/>
              </w:rPr>
            </w:pPr>
            <w:r>
              <w:rPr>
                <w:rFonts w:eastAsia="Times New Roman"/>
                <w:color w:val="000000"/>
                <w:sz w:val="18"/>
                <w:szCs w:val="18"/>
              </w:rPr>
              <w:t> </w:t>
            </w:r>
          </w:p>
        </w:tc>
      </w:tr>
      <w:tr w:rsidR="00000000" w14:paraId="3E1D34D4" w14:textId="77777777">
        <w:tc>
          <w:tcPr>
            <w:tcW w:w="0" w:type="auto"/>
            <w:gridSpan w:val="3"/>
            <w:shd w:val="clear" w:color="auto" w:fill="CCEEFF"/>
            <w:tcMar>
              <w:top w:w="30" w:type="dxa"/>
              <w:left w:w="245" w:type="dxa"/>
              <w:bottom w:w="30" w:type="dxa"/>
              <w:right w:w="20" w:type="dxa"/>
            </w:tcMar>
            <w:vAlign w:val="bottom"/>
            <w:hideMark/>
          </w:tcPr>
          <w:p w14:paraId="6B5C87CF" w14:textId="77777777" w:rsidR="00000000" w:rsidRDefault="000C49AD">
            <w:pPr>
              <w:spacing w:after="100"/>
              <w:rPr>
                <w:rFonts w:eastAsia="Times New Roman"/>
              </w:rPr>
            </w:pPr>
            <w:r>
              <w:rPr>
                <w:rFonts w:eastAsia="Times New Roman"/>
                <w:color w:val="000000"/>
                <w:sz w:val="18"/>
                <w:szCs w:val="18"/>
              </w:rPr>
              <w:t>Exercised</w:t>
            </w:r>
          </w:p>
        </w:tc>
        <w:tc>
          <w:tcPr>
            <w:tcW w:w="0" w:type="auto"/>
            <w:gridSpan w:val="3"/>
            <w:shd w:val="clear" w:color="auto" w:fill="CCEEFF"/>
            <w:tcMar>
              <w:top w:w="0" w:type="dxa"/>
              <w:left w:w="20" w:type="dxa"/>
              <w:bottom w:w="0" w:type="dxa"/>
              <w:right w:w="20" w:type="dxa"/>
            </w:tcMar>
            <w:vAlign w:val="center"/>
            <w:hideMark/>
          </w:tcPr>
          <w:p w14:paraId="57D30816"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5EA1686" w14:textId="77777777" w:rsidR="00000000" w:rsidRDefault="000C49AD">
            <w:pPr>
              <w:spacing w:after="100"/>
              <w:jc w:val="right"/>
              <w:rPr>
                <w:rFonts w:eastAsia="Times New Roman"/>
              </w:rPr>
            </w:pPr>
            <w:r>
              <w:rPr>
                <w:rFonts w:eastAsia="Times New Roman"/>
                <w:color w:val="000000"/>
                <w:sz w:val="18"/>
                <w:szCs w:val="18"/>
              </w:rPr>
              <w:t>(48)</w:t>
            </w:r>
          </w:p>
        </w:tc>
        <w:tc>
          <w:tcPr>
            <w:tcW w:w="0" w:type="auto"/>
            <w:shd w:val="clear" w:color="auto" w:fill="CCEEFF"/>
            <w:tcMar>
              <w:top w:w="30" w:type="dxa"/>
              <w:left w:w="0" w:type="dxa"/>
              <w:bottom w:w="30" w:type="dxa"/>
              <w:right w:w="20" w:type="dxa"/>
            </w:tcMar>
            <w:vAlign w:val="bottom"/>
            <w:hideMark/>
          </w:tcPr>
          <w:p w14:paraId="106EE70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A2A56F"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B14048" w14:textId="77777777" w:rsidR="00000000" w:rsidRDefault="000C49AD">
            <w:pPr>
              <w:spacing w:after="100"/>
              <w:jc w:val="right"/>
              <w:rPr>
                <w:rFonts w:eastAsia="Times New Roman"/>
              </w:rPr>
            </w:pPr>
            <w:r>
              <w:rPr>
                <w:rFonts w:eastAsia="Times New Roman"/>
                <w:color w:val="000000"/>
                <w:sz w:val="18"/>
                <w:szCs w:val="18"/>
              </w:rPr>
              <w:t>3.54 </w:t>
            </w:r>
          </w:p>
        </w:tc>
        <w:tc>
          <w:tcPr>
            <w:tcW w:w="0" w:type="auto"/>
            <w:shd w:val="clear" w:color="auto" w:fill="CCEEFF"/>
            <w:tcMar>
              <w:top w:w="30" w:type="dxa"/>
              <w:left w:w="0" w:type="dxa"/>
              <w:bottom w:w="30" w:type="dxa"/>
              <w:right w:w="20" w:type="dxa"/>
            </w:tcMar>
            <w:vAlign w:val="bottom"/>
            <w:hideMark/>
          </w:tcPr>
          <w:p w14:paraId="0DFBE36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F8059" w14:textId="77777777" w:rsidR="00000000" w:rsidRDefault="000C49A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BFB83F6" w14:textId="77777777" w:rsidR="00000000" w:rsidRDefault="000C49AD">
            <w:pPr>
              <w:spacing w:after="100"/>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2B0265F6"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60E4FEF" w14:textId="77777777" w:rsidR="00000000" w:rsidRDefault="000C49AD">
            <w:pPr>
              <w:spacing w:after="100"/>
              <w:jc w:val="right"/>
              <w:rPr>
                <w:rFonts w:eastAsia="Times New Roman"/>
              </w:rPr>
            </w:pPr>
            <w:r>
              <w:rPr>
                <w:rFonts w:eastAsia="Times New Roman"/>
                <w:color w:val="000000"/>
                <w:sz w:val="18"/>
                <w:szCs w:val="18"/>
              </w:rPr>
              <w:t> </w:t>
            </w:r>
          </w:p>
        </w:tc>
      </w:tr>
      <w:tr w:rsidR="00000000" w14:paraId="12A3873B" w14:textId="77777777">
        <w:tc>
          <w:tcPr>
            <w:tcW w:w="0" w:type="auto"/>
            <w:gridSpan w:val="3"/>
            <w:shd w:val="clear" w:color="auto" w:fill="FFFFFF"/>
            <w:tcMar>
              <w:top w:w="30" w:type="dxa"/>
              <w:left w:w="245" w:type="dxa"/>
              <w:bottom w:w="30" w:type="dxa"/>
              <w:right w:w="20" w:type="dxa"/>
            </w:tcMar>
            <w:vAlign w:val="bottom"/>
            <w:hideMark/>
          </w:tcPr>
          <w:p w14:paraId="01807AEB" w14:textId="77777777" w:rsidR="00000000" w:rsidRDefault="000C49AD">
            <w:pPr>
              <w:spacing w:after="100"/>
              <w:rPr>
                <w:rFonts w:eastAsia="Times New Roman"/>
              </w:rPr>
            </w:pPr>
            <w:r>
              <w:rPr>
                <w:rFonts w:eastAsia="Times New Roman"/>
                <w:color w:val="000000"/>
                <w:sz w:val="18"/>
                <w:szCs w:val="18"/>
              </w:rPr>
              <w:t>Forfeited</w:t>
            </w:r>
          </w:p>
        </w:tc>
        <w:tc>
          <w:tcPr>
            <w:tcW w:w="0" w:type="auto"/>
            <w:gridSpan w:val="3"/>
            <w:shd w:val="clear" w:color="auto" w:fill="FFFFFF"/>
            <w:tcMar>
              <w:top w:w="0" w:type="dxa"/>
              <w:left w:w="20" w:type="dxa"/>
              <w:bottom w:w="0" w:type="dxa"/>
              <w:right w:w="20" w:type="dxa"/>
            </w:tcMar>
            <w:vAlign w:val="center"/>
            <w:hideMark/>
          </w:tcPr>
          <w:p w14:paraId="38F82AF1" w14:textId="77777777" w:rsidR="00000000" w:rsidRDefault="000C49AD">
            <w:pPr>
              <w:spacing w:after="100"/>
              <w:rPr>
                <w:rFonts w:eastAsia="Times New Roman"/>
              </w:rPr>
            </w:pPr>
          </w:p>
        </w:tc>
        <w:tc>
          <w:tcPr>
            <w:tcW w:w="0" w:type="auto"/>
            <w:gridSpan w:val="2"/>
            <w:tcMar>
              <w:top w:w="30" w:type="dxa"/>
              <w:left w:w="20" w:type="dxa"/>
              <w:bottom w:w="30" w:type="dxa"/>
              <w:right w:w="0" w:type="dxa"/>
            </w:tcMar>
            <w:vAlign w:val="bottom"/>
            <w:hideMark/>
          </w:tcPr>
          <w:p w14:paraId="2394216A" w14:textId="77777777" w:rsidR="00000000" w:rsidRDefault="000C49AD">
            <w:pPr>
              <w:spacing w:after="100"/>
              <w:jc w:val="right"/>
              <w:rPr>
                <w:rFonts w:eastAsia="Times New Roman"/>
              </w:rPr>
            </w:pPr>
            <w:r>
              <w:rPr>
                <w:rFonts w:eastAsia="Times New Roman"/>
                <w:color w:val="000000"/>
                <w:sz w:val="18"/>
                <w:szCs w:val="18"/>
              </w:rPr>
              <w:t>(234)</w:t>
            </w:r>
          </w:p>
        </w:tc>
        <w:tc>
          <w:tcPr>
            <w:tcW w:w="0" w:type="auto"/>
            <w:tcMar>
              <w:top w:w="30" w:type="dxa"/>
              <w:left w:w="0" w:type="dxa"/>
              <w:bottom w:w="30" w:type="dxa"/>
              <w:right w:w="20" w:type="dxa"/>
            </w:tcMar>
            <w:vAlign w:val="bottom"/>
            <w:hideMark/>
          </w:tcPr>
          <w:p w14:paraId="04D2B7DA"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2E3DF98"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B0582F1" w14:textId="77777777" w:rsidR="00000000" w:rsidRDefault="000C49AD">
            <w:pPr>
              <w:spacing w:after="100"/>
              <w:jc w:val="right"/>
              <w:rPr>
                <w:rFonts w:eastAsia="Times New Roman"/>
              </w:rPr>
            </w:pPr>
            <w:r>
              <w:rPr>
                <w:rFonts w:eastAsia="Times New Roman"/>
                <w:color w:val="000000"/>
                <w:sz w:val="18"/>
                <w:szCs w:val="18"/>
              </w:rPr>
              <w:t>7.13 </w:t>
            </w:r>
          </w:p>
        </w:tc>
        <w:tc>
          <w:tcPr>
            <w:tcW w:w="0" w:type="auto"/>
            <w:tcMar>
              <w:top w:w="30" w:type="dxa"/>
              <w:left w:w="0" w:type="dxa"/>
              <w:bottom w:w="30" w:type="dxa"/>
              <w:right w:w="20" w:type="dxa"/>
            </w:tcMar>
            <w:vAlign w:val="bottom"/>
            <w:hideMark/>
          </w:tcPr>
          <w:p w14:paraId="3D7D1E4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FF9BFB" w14:textId="77777777" w:rsidR="00000000" w:rsidRDefault="000C49AD">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00FAE46" w14:textId="77777777" w:rsidR="00000000" w:rsidRDefault="000C49AD">
            <w:pPr>
              <w:spacing w:after="100"/>
              <w:rPr>
                <w:rFonts w:eastAsia="Times New Roman"/>
              </w:rPr>
            </w:pPr>
            <w:r>
              <w:rPr>
                <w:rFonts w:eastAsia="Times New Roman"/>
                <w:color w:val="000000"/>
                <w:sz w:val="18"/>
                <w:szCs w:val="18"/>
              </w:rPr>
              <w:t> </w:t>
            </w:r>
          </w:p>
        </w:tc>
        <w:tc>
          <w:tcPr>
            <w:tcW w:w="0" w:type="auto"/>
            <w:gridSpan w:val="3"/>
            <w:shd w:val="clear" w:color="auto" w:fill="FFFFFF"/>
            <w:tcMar>
              <w:top w:w="0" w:type="dxa"/>
              <w:left w:w="20" w:type="dxa"/>
              <w:bottom w:w="0" w:type="dxa"/>
              <w:right w:w="20" w:type="dxa"/>
            </w:tcMar>
            <w:vAlign w:val="center"/>
            <w:hideMark/>
          </w:tcPr>
          <w:p w14:paraId="749D6ED8" w14:textId="77777777" w:rsidR="00000000" w:rsidRDefault="000C49AD">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6B2563F" w14:textId="77777777" w:rsidR="00000000" w:rsidRDefault="000C49AD">
            <w:pPr>
              <w:spacing w:after="100"/>
              <w:jc w:val="right"/>
              <w:rPr>
                <w:rFonts w:eastAsia="Times New Roman"/>
              </w:rPr>
            </w:pPr>
            <w:r>
              <w:rPr>
                <w:rFonts w:eastAsia="Times New Roman"/>
                <w:color w:val="000000"/>
                <w:sz w:val="18"/>
                <w:szCs w:val="18"/>
              </w:rPr>
              <w:t> </w:t>
            </w:r>
          </w:p>
        </w:tc>
      </w:tr>
      <w:tr w:rsidR="00000000" w14:paraId="62371117" w14:textId="77777777">
        <w:tc>
          <w:tcPr>
            <w:tcW w:w="0" w:type="auto"/>
            <w:gridSpan w:val="3"/>
            <w:shd w:val="clear" w:color="auto" w:fill="CCEEFF"/>
            <w:tcMar>
              <w:top w:w="30" w:type="dxa"/>
              <w:left w:w="245" w:type="dxa"/>
              <w:bottom w:w="30" w:type="dxa"/>
              <w:right w:w="20" w:type="dxa"/>
            </w:tcMar>
            <w:vAlign w:val="bottom"/>
            <w:hideMark/>
          </w:tcPr>
          <w:p w14:paraId="26879BD5" w14:textId="77777777" w:rsidR="00000000" w:rsidRDefault="000C49AD">
            <w:pPr>
              <w:spacing w:after="100"/>
              <w:rPr>
                <w:rFonts w:eastAsia="Times New Roman"/>
              </w:rPr>
            </w:pPr>
            <w:r>
              <w:rPr>
                <w:rFonts w:eastAsia="Times New Roman"/>
                <w:color w:val="000000"/>
                <w:sz w:val="18"/>
                <w:szCs w:val="18"/>
              </w:rPr>
              <w:t>Expired</w:t>
            </w:r>
          </w:p>
        </w:tc>
        <w:tc>
          <w:tcPr>
            <w:tcW w:w="0" w:type="auto"/>
            <w:gridSpan w:val="3"/>
            <w:shd w:val="clear" w:color="auto" w:fill="CCEEFF"/>
            <w:tcMar>
              <w:top w:w="0" w:type="dxa"/>
              <w:left w:w="20" w:type="dxa"/>
              <w:bottom w:w="0" w:type="dxa"/>
              <w:right w:w="20" w:type="dxa"/>
            </w:tcMar>
            <w:vAlign w:val="center"/>
            <w:hideMark/>
          </w:tcPr>
          <w:p w14:paraId="3B71F31A"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D87F32E" w14:textId="77777777" w:rsidR="00000000" w:rsidRDefault="000C49AD">
            <w:pPr>
              <w:spacing w:after="100"/>
              <w:jc w:val="right"/>
              <w:rPr>
                <w:rFonts w:eastAsia="Times New Roman"/>
              </w:rPr>
            </w:pPr>
            <w:r>
              <w:rPr>
                <w:rFonts w:eastAsia="Times New Roman"/>
                <w:color w:val="000000"/>
                <w:sz w:val="18"/>
                <w:szCs w:val="18"/>
              </w:rPr>
              <w:t>(70)</w:t>
            </w:r>
          </w:p>
        </w:tc>
        <w:tc>
          <w:tcPr>
            <w:tcW w:w="0" w:type="auto"/>
            <w:shd w:val="clear" w:color="auto" w:fill="CCEEFF"/>
            <w:tcMar>
              <w:top w:w="30" w:type="dxa"/>
              <w:left w:w="0" w:type="dxa"/>
              <w:bottom w:w="30" w:type="dxa"/>
              <w:right w:w="20" w:type="dxa"/>
            </w:tcMar>
            <w:vAlign w:val="bottom"/>
            <w:hideMark/>
          </w:tcPr>
          <w:p w14:paraId="0388F12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8E712"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E57F51" w14:textId="77777777" w:rsidR="00000000" w:rsidRDefault="000C49AD">
            <w:pPr>
              <w:spacing w:after="100"/>
              <w:jc w:val="right"/>
              <w:rPr>
                <w:rFonts w:eastAsia="Times New Roman"/>
              </w:rPr>
            </w:pPr>
            <w:r>
              <w:rPr>
                <w:rFonts w:eastAsia="Times New Roman"/>
                <w:color w:val="000000"/>
                <w:sz w:val="18"/>
                <w:szCs w:val="18"/>
              </w:rPr>
              <w:t>12.62 </w:t>
            </w:r>
          </w:p>
        </w:tc>
        <w:tc>
          <w:tcPr>
            <w:tcW w:w="0" w:type="auto"/>
            <w:shd w:val="clear" w:color="auto" w:fill="CCEEFF"/>
            <w:tcMar>
              <w:top w:w="30" w:type="dxa"/>
              <w:left w:w="0" w:type="dxa"/>
              <w:bottom w:w="30" w:type="dxa"/>
              <w:right w:w="20" w:type="dxa"/>
            </w:tcMar>
            <w:vAlign w:val="bottom"/>
            <w:hideMark/>
          </w:tcPr>
          <w:p w14:paraId="2252483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8BD72" w14:textId="77777777" w:rsidR="00000000" w:rsidRDefault="000C49A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788DFC"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EBF901"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BC69E4" w14:textId="77777777" w:rsidR="00000000" w:rsidRDefault="000C49AD">
            <w:pPr>
              <w:spacing w:after="100"/>
              <w:rPr>
                <w:rFonts w:eastAsia="Times New Roman"/>
                <w:sz w:val="20"/>
                <w:szCs w:val="20"/>
              </w:rPr>
            </w:pPr>
          </w:p>
        </w:tc>
      </w:tr>
      <w:tr w:rsidR="00000000" w14:paraId="324DE830" w14:textId="77777777">
        <w:tc>
          <w:tcPr>
            <w:tcW w:w="0" w:type="auto"/>
            <w:gridSpan w:val="3"/>
            <w:shd w:val="clear" w:color="auto" w:fill="FFFFFF"/>
            <w:tcMar>
              <w:top w:w="30" w:type="dxa"/>
              <w:left w:w="20" w:type="dxa"/>
              <w:bottom w:w="30" w:type="dxa"/>
              <w:right w:w="20" w:type="dxa"/>
            </w:tcMar>
            <w:vAlign w:val="bottom"/>
            <w:hideMark/>
          </w:tcPr>
          <w:p w14:paraId="75978135" w14:textId="77777777" w:rsidR="00000000" w:rsidRDefault="000C49AD">
            <w:pPr>
              <w:spacing w:after="100"/>
              <w:divId w:val="1837306045"/>
              <w:rPr>
                <w:rFonts w:eastAsia="Times New Roman"/>
              </w:rPr>
            </w:pPr>
            <w:r>
              <w:rPr>
                <w:rFonts w:eastAsia="Times New Roman"/>
                <w:color w:val="000000"/>
                <w:sz w:val="18"/>
                <w:szCs w:val="18"/>
              </w:rPr>
              <w:t>Stock options outstanding, December 31, 2021</w:t>
            </w:r>
          </w:p>
        </w:tc>
        <w:tc>
          <w:tcPr>
            <w:tcW w:w="0" w:type="auto"/>
            <w:gridSpan w:val="3"/>
            <w:shd w:val="clear" w:color="auto" w:fill="FFFFFF"/>
            <w:tcMar>
              <w:top w:w="0" w:type="dxa"/>
              <w:left w:w="20" w:type="dxa"/>
              <w:bottom w:w="0" w:type="dxa"/>
              <w:right w:w="20" w:type="dxa"/>
            </w:tcMar>
            <w:vAlign w:val="center"/>
            <w:hideMark/>
          </w:tcPr>
          <w:p w14:paraId="5044D6FF" w14:textId="77777777" w:rsidR="00000000" w:rsidRDefault="000C49AD">
            <w:pPr>
              <w:spacing w:after="100"/>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14:paraId="7BF8E181" w14:textId="77777777" w:rsidR="00000000" w:rsidRDefault="000C49AD">
            <w:pPr>
              <w:spacing w:after="100"/>
              <w:jc w:val="right"/>
              <w:rPr>
                <w:rFonts w:eastAsia="Times New Roman"/>
              </w:rPr>
            </w:pPr>
            <w:r>
              <w:rPr>
                <w:rFonts w:eastAsia="Times New Roman"/>
                <w:color w:val="000000"/>
                <w:sz w:val="18"/>
                <w:szCs w:val="18"/>
              </w:rPr>
              <w:t>8,403 </w:t>
            </w:r>
          </w:p>
        </w:tc>
        <w:tc>
          <w:tcPr>
            <w:tcW w:w="0" w:type="auto"/>
            <w:tcBorders>
              <w:top w:val="single" w:sz="8" w:space="0" w:color="000000"/>
            </w:tcBorders>
            <w:tcMar>
              <w:top w:w="30" w:type="dxa"/>
              <w:left w:w="0" w:type="dxa"/>
              <w:bottom w:w="30" w:type="dxa"/>
              <w:right w:w="20" w:type="dxa"/>
            </w:tcMar>
            <w:vAlign w:val="bottom"/>
            <w:hideMark/>
          </w:tcPr>
          <w:p w14:paraId="15F00F25"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581CCE4" w14:textId="77777777" w:rsidR="00000000" w:rsidRDefault="000C49AD">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F9E277C" w14:textId="77777777" w:rsidR="00000000" w:rsidRDefault="000C49A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015DA607" w14:textId="77777777" w:rsidR="00000000" w:rsidRDefault="000C49AD">
            <w:pPr>
              <w:spacing w:after="100"/>
              <w:jc w:val="right"/>
              <w:rPr>
                <w:rFonts w:eastAsia="Times New Roman"/>
              </w:rPr>
            </w:pPr>
            <w:r>
              <w:rPr>
                <w:rFonts w:eastAsia="Times New Roman"/>
                <w:color w:val="000000"/>
                <w:sz w:val="18"/>
                <w:szCs w:val="18"/>
              </w:rPr>
              <w:t>7.39 </w:t>
            </w:r>
          </w:p>
        </w:tc>
        <w:tc>
          <w:tcPr>
            <w:tcW w:w="0" w:type="auto"/>
            <w:tcMar>
              <w:top w:w="30" w:type="dxa"/>
              <w:left w:w="0" w:type="dxa"/>
              <w:bottom w:w="30" w:type="dxa"/>
              <w:right w:w="20" w:type="dxa"/>
            </w:tcMar>
            <w:vAlign w:val="bottom"/>
            <w:hideMark/>
          </w:tcPr>
          <w:p w14:paraId="00B71631"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DAF965" w14:textId="77777777" w:rsidR="00000000" w:rsidRDefault="000C49AD">
            <w:pPr>
              <w:spacing w:after="100"/>
              <w:jc w:val="right"/>
              <w:rPr>
                <w:rFonts w:eastAsia="Times New Roman"/>
                <w:sz w:val="20"/>
                <w:szCs w:val="20"/>
              </w:rPr>
            </w:pPr>
          </w:p>
        </w:tc>
        <w:tc>
          <w:tcPr>
            <w:tcW w:w="0" w:type="auto"/>
            <w:gridSpan w:val="3"/>
            <w:tcMar>
              <w:top w:w="30" w:type="dxa"/>
              <w:left w:w="20" w:type="dxa"/>
              <w:bottom w:w="30" w:type="dxa"/>
              <w:right w:w="20" w:type="dxa"/>
            </w:tcMar>
            <w:vAlign w:val="bottom"/>
            <w:hideMark/>
          </w:tcPr>
          <w:p w14:paraId="0D9E6162" w14:textId="77777777" w:rsidR="00000000" w:rsidRDefault="000C49AD">
            <w:pPr>
              <w:spacing w:after="100"/>
              <w:jc w:val="center"/>
              <w:rPr>
                <w:rFonts w:eastAsia="Times New Roman"/>
              </w:rPr>
            </w:pPr>
            <w:r>
              <w:rPr>
                <w:rFonts w:eastAsia="Times New Roman"/>
                <w:color w:val="000000"/>
                <w:sz w:val="18"/>
                <w:szCs w:val="18"/>
              </w:rPr>
              <w:t>7.83 years</w:t>
            </w:r>
          </w:p>
        </w:tc>
        <w:tc>
          <w:tcPr>
            <w:tcW w:w="0" w:type="auto"/>
            <w:gridSpan w:val="3"/>
            <w:tcMar>
              <w:top w:w="0" w:type="dxa"/>
              <w:left w:w="20" w:type="dxa"/>
              <w:bottom w:w="0" w:type="dxa"/>
              <w:right w:w="20" w:type="dxa"/>
            </w:tcMar>
            <w:vAlign w:val="center"/>
            <w:hideMark/>
          </w:tcPr>
          <w:p w14:paraId="100AB4F5" w14:textId="77777777" w:rsidR="00000000" w:rsidRDefault="000C49AD">
            <w:pPr>
              <w:spacing w:after="100"/>
              <w:jc w:val="center"/>
              <w:rPr>
                <w:rFonts w:eastAsia="Times New Roman"/>
              </w:rPr>
            </w:pPr>
          </w:p>
        </w:tc>
        <w:tc>
          <w:tcPr>
            <w:tcW w:w="0" w:type="auto"/>
            <w:tcMar>
              <w:top w:w="30" w:type="dxa"/>
              <w:left w:w="20" w:type="dxa"/>
              <w:bottom w:w="30" w:type="dxa"/>
              <w:right w:w="0" w:type="dxa"/>
            </w:tcMar>
            <w:vAlign w:val="bottom"/>
            <w:hideMark/>
          </w:tcPr>
          <w:p w14:paraId="05CCD8E6" w14:textId="77777777" w:rsidR="00000000" w:rsidRDefault="000C49AD">
            <w:pPr>
              <w:spacing w:after="100"/>
              <w:rPr>
                <w:rFonts w:eastAsia="Times New Roman"/>
              </w:rPr>
            </w:pPr>
            <w:r>
              <w:rPr>
                <w:rFonts w:eastAsia="Times New Roman"/>
                <w:color w:val="000000"/>
                <w:sz w:val="18"/>
                <w:szCs w:val="18"/>
              </w:rPr>
              <w:t>$</w:t>
            </w:r>
          </w:p>
        </w:tc>
        <w:tc>
          <w:tcPr>
            <w:tcW w:w="0" w:type="auto"/>
            <w:tcMar>
              <w:top w:w="30" w:type="dxa"/>
              <w:left w:w="0" w:type="dxa"/>
              <w:bottom w:w="30" w:type="dxa"/>
              <w:right w:w="0" w:type="dxa"/>
            </w:tcMar>
            <w:vAlign w:val="bottom"/>
            <w:hideMark/>
          </w:tcPr>
          <w:p w14:paraId="1EA9A462" w14:textId="77777777" w:rsidR="00000000" w:rsidRDefault="000C49AD">
            <w:pPr>
              <w:spacing w:after="100"/>
              <w:jc w:val="right"/>
              <w:rPr>
                <w:rFonts w:eastAsia="Times New Roman"/>
              </w:rPr>
            </w:pPr>
            <w:r>
              <w:rPr>
                <w:rFonts w:eastAsia="Times New Roman"/>
                <w:color w:val="000000"/>
                <w:sz w:val="18"/>
                <w:szCs w:val="18"/>
              </w:rPr>
              <w:t>12,204 </w:t>
            </w:r>
          </w:p>
        </w:tc>
        <w:tc>
          <w:tcPr>
            <w:tcW w:w="0" w:type="auto"/>
            <w:tcMar>
              <w:top w:w="30" w:type="dxa"/>
              <w:left w:w="0" w:type="dxa"/>
              <w:bottom w:w="30" w:type="dxa"/>
              <w:right w:w="20" w:type="dxa"/>
            </w:tcMar>
            <w:vAlign w:val="bottom"/>
            <w:hideMark/>
          </w:tcPr>
          <w:p w14:paraId="6D13F93F" w14:textId="77777777" w:rsidR="00000000" w:rsidRDefault="000C49AD">
            <w:pPr>
              <w:spacing w:after="100"/>
              <w:jc w:val="right"/>
              <w:rPr>
                <w:rFonts w:eastAsia="Times New Roman"/>
              </w:rPr>
            </w:pPr>
          </w:p>
        </w:tc>
      </w:tr>
      <w:tr w:rsidR="00000000" w14:paraId="35CF966F" w14:textId="77777777">
        <w:tc>
          <w:tcPr>
            <w:tcW w:w="0" w:type="auto"/>
            <w:gridSpan w:val="3"/>
            <w:shd w:val="clear" w:color="auto" w:fill="CCEEFF"/>
            <w:tcMar>
              <w:top w:w="30" w:type="dxa"/>
              <w:left w:w="20" w:type="dxa"/>
              <w:bottom w:w="30" w:type="dxa"/>
              <w:right w:w="20" w:type="dxa"/>
            </w:tcMar>
            <w:vAlign w:val="bottom"/>
            <w:hideMark/>
          </w:tcPr>
          <w:p w14:paraId="71D14E7A" w14:textId="77777777" w:rsidR="00000000" w:rsidRDefault="000C49AD">
            <w:pPr>
              <w:spacing w:after="100"/>
              <w:divId w:val="779841113"/>
              <w:rPr>
                <w:rFonts w:eastAsia="Times New Roman"/>
              </w:rPr>
            </w:pPr>
            <w:r>
              <w:rPr>
                <w:rFonts w:eastAsia="Times New Roman"/>
                <w:color w:val="000000"/>
                <w:sz w:val="18"/>
                <w:szCs w:val="18"/>
              </w:rPr>
              <w:t>Stock options exercisable, December 31, 2021</w:t>
            </w:r>
          </w:p>
        </w:tc>
        <w:tc>
          <w:tcPr>
            <w:tcW w:w="0" w:type="auto"/>
            <w:gridSpan w:val="3"/>
            <w:shd w:val="clear" w:color="auto" w:fill="CCEEFF"/>
            <w:tcMar>
              <w:top w:w="0" w:type="dxa"/>
              <w:left w:w="20" w:type="dxa"/>
              <w:bottom w:w="0" w:type="dxa"/>
              <w:right w:w="20" w:type="dxa"/>
            </w:tcMar>
            <w:vAlign w:val="center"/>
            <w:hideMark/>
          </w:tcPr>
          <w:p w14:paraId="05BCA4BF"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108E1C5" w14:textId="77777777" w:rsidR="00000000" w:rsidRDefault="000C49AD">
            <w:pPr>
              <w:spacing w:after="100"/>
              <w:jc w:val="right"/>
              <w:rPr>
                <w:rFonts w:eastAsia="Times New Roman"/>
              </w:rPr>
            </w:pPr>
            <w:r>
              <w:rPr>
                <w:rFonts w:eastAsia="Times New Roman"/>
                <w:color w:val="000000"/>
                <w:sz w:val="18"/>
                <w:szCs w:val="18"/>
              </w:rPr>
              <w:t>3,256 </w:t>
            </w:r>
          </w:p>
        </w:tc>
        <w:tc>
          <w:tcPr>
            <w:tcW w:w="0" w:type="auto"/>
            <w:shd w:val="clear" w:color="auto" w:fill="CCEEFF"/>
            <w:tcMar>
              <w:top w:w="30" w:type="dxa"/>
              <w:left w:w="0" w:type="dxa"/>
              <w:bottom w:w="30" w:type="dxa"/>
              <w:right w:w="20" w:type="dxa"/>
            </w:tcMar>
            <w:vAlign w:val="bottom"/>
            <w:hideMark/>
          </w:tcPr>
          <w:p w14:paraId="3CCA06C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71D8D4"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3981822"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CE27F07" w14:textId="77777777" w:rsidR="00000000" w:rsidRDefault="000C49AD">
            <w:pPr>
              <w:spacing w:after="100"/>
              <w:jc w:val="right"/>
              <w:rPr>
                <w:rFonts w:eastAsia="Times New Roman"/>
              </w:rPr>
            </w:pPr>
            <w:r>
              <w:rPr>
                <w:rFonts w:eastAsia="Times New Roman"/>
                <w:color w:val="000000"/>
                <w:sz w:val="18"/>
                <w:szCs w:val="18"/>
              </w:rPr>
              <w:t>7.88 </w:t>
            </w:r>
          </w:p>
        </w:tc>
        <w:tc>
          <w:tcPr>
            <w:tcW w:w="0" w:type="auto"/>
            <w:shd w:val="clear" w:color="auto" w:fill="CCEEFF"/>
            <w:tcMar>
              <w:top w:w="30" w:type="dxa"/>
              <w:left w:w="0" w:type="dxa"/>
              <w:bottom w:w="30" w:type="dxa"/>
              <w:right w:w="20" w:type="dxa"/>
            </w:tcMar>
            <w:vAlign w:val="bottom"/>
            <w:hideMark/>
          </w:tcPr>
          <w:p w14:paraId="183035F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93197A" w14:textId="77777777" w:rsidR="00000000" w:rsidRDefault="000C49AD">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2452182" w14:textId="77777777" w:rsidR="00000000" w:rsidRDefault="000C49AD">
            <w:pPr>
              <w:spacing w:after="100"/>
              <w:jc w:val="center"/>
              <w:rPr>
                <w:rFonts w:eastAsia="Times New Roman"/>
              </w:rPr>
            </w:pPr>
            <w:r>
              <w:rPr>
                <w:rFonts w:eastAsia="Times New Roman"/>
                <w:color w:val="000000"/>
                <w:sz w:val="18"/>
                <w:szCs w:val="18"/>
              </w:rPr>
              <w:t>5.88 years</w:t>
            </w:r>
          </w:p>
        </w:tc>
        <w:tc>
          <w:tcPr>
            <w:tcW w:w="0" w:type="auto"/>
            <w:gridSpan w:val="3"/>
            <w:shd w:val="clear" w:color="auto" w:fill="CCEEFF"/>
            <w:tcMar>
              <w:top w:w="0" w:type="dxa"/>
              <w:left w:w="20" w:type="dxa"/>
              <w:bottom w:w="0" w:type="dxa"/>
              <w:right w:w="20" w:type="dxa"/>
            </w:tcMar>
            <w:vAlign w:val="center"/>
            <w:hideMark/>
          </w:tcPr>
          <w:p w14:paraId="312336F1" w14:textId="77777777" w:rsidR="00000000" w:rsidRDefault="000C49AD">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14:paraId="2EFF96A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E43E3CF" w14:textId="77777777" w:rsidR="00000000" w:rsidRDefault="000C49AD">
            <w:pPr>
              <w:spacing w:after="100"/>
              <w:jc w:val="right"/>
              <w:rPr>
                <w:rFonts w:eastAsia="Times New Roman"/>
              </w:rPr>
            </w:pPr>
            <w:r>
              <w:rPr>
                <w:rFonts w:eastAsia="Times New Roman"/>
                <w:color w:val="000000"/>
                <w:sz w:val="18"/>
                <w:szCs w:val="18"/>
              </w:rPr>
              <w:t>6,291 </w:t>
            </w:r>
          </w:p>
        </w:tc>
        <w:tc>
          <w:tcPr>
            <w:tcW w:w="0" w:type="auto"/>
            <w:shd w:val="clear" w:color="auto" w:fill="CCEEFF"/>
            <w:tcMar>
              <w:top w:w="30" w:type="dxa"/>
              <w:left w:w="0" w:type="dxa"/>
              <w:bottom w:w="30" w:type="dxa"/>
              <w:right w:w="20" w:type="dxa"/>
            </w:tcMar>
            <w:vAlign w:val="bottom"/>
            <w:hideMark/>
          </w:tcPr>
          <w:p w14:paraId="2D872CD4" w14:textId="77777777" w:rsidR="00000000" w:rsidRDefault="000C49AD">
            <w:pPr>
              <w:spacing w:after="100"/>
              <w:jc w:val="right"/>
              <w:rPr>
                <w:rFonts w:eastAsia="Times New Roman"/>
              </w:rPr>
            </w:pPr>
          </w:p>
        </w:tc>
      </w:tr>
    </w:tbl>
    <w:p w14:paraId="77CAFCDC" w14:textId="77777777" w:rsidR="00000000" w:rsidRDefault="000C49AD">
      <w:pPr>
        <w:jc w:val="both"/>
        <w:rPr>
          <w:rFonts w:eastAsia="Times New Roman"/>
        </w:rPr>
      </w:pPr>
    </w:p>
    <w:p w14:paraId="41536A46" w14:textId="77777777" w:rsidR="00000000" w:rsidRDefault="000C49AD">
      <w:pPr>
        <w:jc w:val="both"/>
        <w:rPr>
          <w:rFonts w:eastAsia="Times New Roman"/>
        </w:rPr>
      </w:pPr>
      <w:r>
        <w:rPr>
          <w:rFonts w:eastAsia="Times New Roman"/>
          <w:color w:val="000000"/>
          <w:sz w:val="20"/>
          <w:szCs w:val="20"/>
        </w:rPr>
        <w:t xml:space="preserve">The aggregate intrinsic value of options exercisable at December 31, 2021, 2020 and 2019 was $6,291, $1,841, and $572, respectively. </w:t>
      </w:r>
    </w:p>
    <w:p w14:paraId="3820DE11" w14:textId="77777777" w:rsidR="00000000" w:rsidRDefault="000C49AD">
      <w:pPr>
        <w:jc w:val="both"/>
        <w:rPr>
          <w:rFonts w:eastAsia="Times New Roman"/>
        </w:rPr>
      </w:pPr>
    </w:p>
    <w:p w14:paraId="5FF3F576" w14:textId="77777777" w:rsidR="00000000" w:rsidRDefault="000C49AD">
      <w:pPr>
        <w:jc w:val="both"/>
        <w:rPr>
          <w:rFonts w:eastAsia="Times New Roman"/>
        </w:rPr>
      </w:pPr>
      <w:r>
        <w:rPr>
          <w:rFonts w:eastAsia="Times New Roman"/>
          <w:color w:val="000000"/>
          <w:sz w:val="20"/>
          <w:szCs w:val="20"/>
        </w:rPr>
        <w:t xml:space="preserve">The weighted average grant date fair value </w:t>
      </w:r>
      <w:r>
        <w:rPr>
          <w:rFonts w:eastAsia="Times New Roman"/>
          <w:color w:val="000000"/>
          <w:sz w:val="20"/>
          <w:szCs w:val="20"/>
        </w:rPr>
        <w:t>of options granted during the years ended December 31, 2021, 2020 and 2019 was $5.36, $4.63 and $1.24 per share, respectively. </w:t>
      </w:r>
    </w:p>
    <w:p w14:paraId="2D1C8E0E" w14:textId="77777777" w:rsidR="00000000" w:rsidRDefault="000C49AD">
      <w:pPr>
        <w:jc w:val="both"/>
        <w:rPr>
          <w:rFonts w:eastAsia="Times New Roman"/>
        </w:rPr>
      </w:pPr>
    </w:p>
    <w:p w14:paraId="3B826EED" w14:textId="77777777" w:rsidR="00000000" w:rsidRDefault="000C49AD">
      <w:pPr>
        <w:jc w:val="both"/>
        <w:divId w:val="1501265329"/>
        <w:rPr>
          <w:rFonts w:eastAsia="Times New Roman"/>
        </w:rPr>
      </w:pPr>
      <w:r>
        <w:rPr>
          <w:rFonts w:eastAsia="Times New Roman"/>
          <w:b/>
          <w:bCs/>
          <w:i/>
          <w:iCs/>
          <w:color w:val="000000"/>
          <w:sz w:val="20"/>
          <w:szCs w:val="20"/>
        </w:rPr>
        <w:t>Restricted Share Awards</w:t>
      </w:r>
      <w:r>
        <w:rPr>
          <w:rFonts w:eastAsia="Times New Roman"/>
          <w:color w:val="000000"/>
          <w:sz w:val="20"/>
          <w:szCs w:val="20"/>
        </w:rPr>
        <w:t> </w:t>
      </w:r>
    </w:p>
    <w:p w14:paraId="15E64AA6" w14:textId="77777777" w:rsidR="00000000" w:rsidRDefault="000C49AD">
      <w:pPr>
        <w:jc w:val="both"/>
        <w:rPr>
          <w:rFonts w:eastAsia="Times New Roman"/>
        </w:rPr>
      </w:pPr>
      <w:r>
        <w:rPr>
          <w:rFonts w:eastAsia="Times New Roman"/>
          <w:color w:val="000000"/>
          <w:sz w:val="20"/>
          <w:szCs w:val="20"/>
        </w:rPr>
        <w:t>Restricted share awards represent Company shares issued free of charge to employees of the Company as compensation for services rendered. The Company measures the total fair value of restricted share awards on the grant date using the Company’s stock price</w:t>
      </w:r>
      <w:r>
        <w:rPr>
          <w:rFonts w:eastAsia="Times New Roman"/>
          <w:color w:val="000000"/>
          <w:sz w:val="20"/>
          <w:szCs w:val="20"/>
        </w:rPr>
        <w:t xml:space="preserve"> at the time of the grant. Restricted share awards granted from 2017-2020 vest over a three-year period; two-thirds (2/3) vesting on the second anniversary of the grant date and the remaining one-third (1/3) vesting on the third anniversary of the grant da</w:t>
      </w:r>
      <w:r>
        <w:rPr>
          <w:rFonts w:eastAsia="Times New Roman"/>
          <w:color w:val="000000"/>
          <w:sz w:val="20"/>
          <w:szCs w:val="20"/>
        </w:rPr>
        <w:t>te.  In 2021, restricted share awards granted to employees vest over a four-year period; one-fourth (1/4) on each anniversary of the grant date. In 2018, the Company issued restricted share awards to its Board of Directors vesting over a three-year period;</w:t>
      </w:r>
      <w:r>
        <w:rPr>
          <w:rFonts w:eastAsia="Times New Roman"/>
          <w:color w:val="000000"/>
          <w:sz w:val="20"/>
          <w:szCs w:val="20"/>
        </w:rPr>
        <w:t xml:space="preserve"> one-third (1/3) vesting on each of the three anniversaries of the grant date. Compensation expense for such awards granted during and after 2017 is recognized over the applicable vesting period.  </w:t>
      </w:r>
    </w:p>
    <w:p w14:paraId="3ECA7FE5" w14:textId="77777777" w:rsidR="00000000" w:rsidRDefault="000C49AD">
      <w:pPr>
        <w:jc w:val="both"/>
        <w:rPr>
          <w:rFonts w:eastAsia="Times New Roman"/>
        </w:rPr>
      </w:pPr>
    </w:p>
    <w:p w14:paraId="799959DE" w14:textId="77777777" w:rsidR="00000000" w:rsidRDefault="000C49AD">
      <w:pPr>
        <w:jc w:val="both"/>
        <w:rPr>
          <w:rFonts w:eastAsia="Times New Roman"/>
        </w:rPr>
      </w:pPr>
      <w:r>
        <w:rPr>
          <w:rFonts w:eastAsia="Times New Roman"/>
          <w:color w:val="000000"/>
          <w:sz w:val="20"/>
          <w:szCs w:val="20"/>
        </w:rPr>
        <w:t>A summary of the Company’s restricted share awards as of</w:t>
      </w:r>
      <w:r>
        <w:rPr>
          <w:rFonts w:eastAsia="Times New Roman"/>
          <w:color w:val="000000"/>
          <w:sz w:val="20"/>
          <w:szCs w:val="20"/>
        </w:rPr>
        <w:t xml:space="preserve"> December 31, 2021, and changes during the year then ended, is reflected in the table below. </w:t>
      </w:r>
    </w:p>
    <w:p w14:paraId="0B198626" w14:textId="77777777" w:rsidR="00000000" w:rsidRDefault="000C49AD">
      <w:pPr>
        <w:jc w:val="center"/>
        <w:divId w:val="485782774"/>
        <w:rPr>
          <w:rFonts w:eastAsia="Times New Roman"/>
        </w:rPr>
      </w:pPr>
      <w:r>
        <w:rPr>
          <w:rFonts w:eastAsia="Times New Roman"/>
          <w:color w:val="000000"/>
          <w:sz w:val="20"/>
          <w:szCs w:val="20"/>
        </w:rPr>
        <w:t>-101-</w:t>
      </w:r>
    </w:p>
    <w:p w14:paraId="6D3C13E1" w14:textId="77777777" w:rsidR="00000000" w:rsidRDefault="000C49AD">
      <w:pPr>
        <w:rPr>
          <w:rFonts w:eastAsia="Times New Roman"/>
        </w:rPr>
      </w:pPr>
      <w:r>
        <w:rPr>
          <w:rFonts w:eastAsia="Times New Roman"/>
        </w:rPr>
        <w:pict w14:anchorId="7D5EF5EF">
          <v:rect id="_x0000_i1126" style="width:0;height:1.5pt" o:hralign="center" o:hrstd="t" o:hr="t" fillcolor="#a0a0a0" stroked="f"/>
        </w:pict>
      </w:r>
    </w:p>
    <w:p w14:paraId="34D381CB" w14:textId="77777777" w:rsidR="00000000" w:rsidRDefault="000C49AD">
      <w:pPr>
        <w:divId w:val="185601281"/>
        <w:rPr>
          <w:rFonts w:eastAsia="Times New Roman"/>
        </w:rPr>
      </w:pPr>
    </w:p>
    <w:p w14:paraId="312727AE" w14:textId="77777777" w:rsidR="00000000" w:rsidRDefault="000C49AD">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51"/>
        <w:gridCol w:w="3993"/>
        <w:gridCol w:w="38"/>
        <w:gridCol w:w="36"/>
        <w:gridCol w:w="36"/>
        <w:gridCol w:w="36"/>
        <w:gridCol w:w="37"/>
        <w:gridCol w:w="1894"/>
        <w:gridCol w:w="36"/>
        <w:gridCol w:w="36"/>
        <w:gridCol w:w="36"/>
        <w:gridCol w:w="36"/>
        <w:gridCol w:w="111"/>
        <w:gridCol w:w="1881"/>
        <w:gridCol w:w="36"/>
      </w:tblGrid>
      <w:tr w:rsidR="00000000" w14:paraId="60B4CCAD" w14:textId="77777777">
        <w:tc>
          <w:tcPr>
            <w:tcW w:w="50" w:type="pct"/>
            <w:vAlign w:val="center"/>
            <w:hideMark/>
          </w:tcPr>
          <w:p w14:paraId="462A1D5F" w14:textId="77777777" w:rsidR="00000000" w:rsidRDefault="000C49AD">
            <w:pPr>
              <w:jc w:val="both"/>
              <w:rPr>
                <w:rFonts w:eastAsia="Times New Roman"/>
              </w:rPr>
            </w:pPr>
          </w:p>
        </w:tc>
        <w:tc>
          <w:tcPr>
            <w:tcW w:w="2426" w:type="pct"/>
            <w:vAlign w:val="center"/>
            <w:hideMark/>
          </w:tcPr>
          <w:p w14:paraId="58B59336" w14:textId="77777777" w:rsidR="00000000" w:rsidRDefault="000C49AD">
            <w:pPr>
              <w:spacing w:after="100"/>
              <w:rPr>
                <w:rFonts w:eastAsia="Times New Roman"/>
                <w:sz w:val="20"/>
                <w:szCs w:val="20"/>
              </w:rPr>
            </w:pPr>
          </w:p>
        </w:tc>
        <w:tc>
          <w:tcPr>
            <w:tcW w:w="5" w:type="pct"/>
            <w:vAlign w:val="center"/>
            <w:hideMark/>
          </w:tcPr>
          <w:p w14:paraId="48DD6651" w14:textId="77777777" w:rsidR="00000000" w:rsidRDefault="000C49AD">
            <w:pPr>
              <w:spacing w:after="100"/>
              <w:rPr>
                <w:rFonts w:eastAsia="Times New Roman"/>
                <w:sz w:val="20"/>
                <w:szCs w:val="20"/>
              </w:rPr>
            </w:pPr>
          </w:p>
        </w:tc>
        <w:tc>
          <w:tcPr>
            <w:tcW w:w="5" w:type="pct"/>
            <w:vAlign w:val="center"/>
            <w:hideMark/>
          </w:tcPr>
          <w:p w14:paraId="70AB1A3F" w14:textId="77777777" w:rsidR="00000000" w:rsidRDefault="000C49AD">
            <w:pPr>
              <w:spacing w:after="100"/>
              <w:rPr>
                <w:rFonts w:eastAsia="Times New Roman"/>
                <w:sz w:val="20"/>
                <w:szCs w:val="20"/>
              </w:rPr>
            </w:pPr>
          </w:p>
        </w:tc>
        <w:tc>
          <w:tcPr>
            <w:tcW w:w="26" w:type="pct"/>
            <w:vAlign w:val="center"/>
            <w:hideMark/>
          </w:tcPr>
          <w:p w14:paraId="6F1AE782" w14:textId="77777777" w:rsidR="00000000" w:rsidRDefault="000C49AD">
            <w:pPr>
              <w:spacing w:after="100"/>
              <w:rPr>
                <w:rFonts w:eastAsia="Times New Roman"/>
                <w:sz w:val="20"/>
                <w:szCs w:val="20"/>
              </w:rPr>
            </w:pPr>
          </w:p>
        </w:tc>
        <w:tc>
          <w:tcPr>
            <w:tcW w:w="5" w:type="pct"/>
            <w:vAlign w:val="center"/>
            <w:hideMark/>
          </w:tcPr>
          <w:p w14:paraId="7630538B" w14:textId="77777777" w:rsidR="00000000" w:rsidRDefault="000C49AD">
            <w:pPr>
              <w:spacing w:after="100"/>
              <w:rPr>
                <w:rFonts w:eastAsia="Times New Roman"/>
                <w:sz w:val="20"/>
                <w:szCs w:val="20"/>
              </w:rPr>
            </w:pPr>
          </w:p>
        </w:tc>
        <w:tc>
          <w:tcPr>
            <w:tcW w:w="50" w:type="pct"/>
            <w:vAlign w:val="center"/>
            <w:hideMark/>
          </w:tcPr>
          <w:p w14:paraId="3701FC4C" w14:textId="77777777" w:rsidR="00000000" w:rsidRDefault="000C49AD">
            <w:pPr>
              <w:spacing w:after="100"/>
              <w:rPr>
                <w:rFonts w:eastAsia="Times New Roman"/>
                <w:sz w:val="20"/>
                <w:szCs w:val="20"/>
              </w:rPr>
            </w:pPr>
          </w:p>
        </w:tc>
        <w:tc>
          <w:tcPr>
            <w:tcW w:w="1167" w:type="pct"/>
            <w:vAlign w:val="center"/>
            <w:hideMark/>
          </w:tcPr>
          <w:p w14:paraId="6238D2BD" w14:textId="77777777" w:rsidR="00000000" w:rsidRDefault="000C49AD">
            <w:pPr>
              <w:spacing w:after="100"/>
              <w:rPr>
                <w:rFonts w:eastAsia="Times New Roman"/>
                <w:sz w:val="20"/>
                <w:szCs w:val="20"/>
              </w:rPr>
            </w:pPr>
          </w:p>
        </w:tc>
        <w:tc>
          <w:tcPr>
            <w:tcW w:w="5" w:type="pct"/>
            <w:vAlign w:val="center"/>
            <w:hideMark/>
          </w:tcPr>
          <w:p w14:paraId="38F9826A" w14:textId="77777777" w:rsidR="00000000" w:rsidRDefault="000C49AD">
            <w:pPr>
              <w:spacing w:after="100"/>
              <w:rPr>
                <w:rFonts w:eastAsia="Times New Roman"/>
                <w:sz w:val="20"/>
                <w:szCs w:val="20"/>
              </w:rPr>
            </w:pPr>
          </w:p>
        </w:tc>
        <w:tc>
          <w:tcPr>
            <w:tcW w:w="5" w:type="pct"/>
            <w:vAlign w:val="center"/>
            <w:hideMark/>
          </w:tcPr>
          <w:p w14:paraId="570CE99C" w14:textId="77777777" w:rsidR="00000000" w:rsidRDefault="000C49AD">
            <w:pPr>
              <w:spacing w:after="100"/>
              <w:rPr>
                <w:rFonts w:eastAsia="Times New Roman"/>
                <w:sz w:val="20"/>
                <w:szCs w:val="20"/>
              </w:rPr>
            </w:pPr>
          </w:p>
        </w:tc>
        <w:tc>
          <w:tcPr>
            <w:tcW w:w="26" w:type="pct"/>
            <w:vAlign w:val="center"/>
            <w:hideMark/>
          </w:tcPr>
          <w:p w14:paraId="256ADBFE" w14:textId="77777777" w:rsidR="00000000" w:rsidRDefault="000C49AD">
            <w:pPr>
              <w:spacing w:after="100"/>
              <w:rPr>
                <w:rFonts w:eastAsia="Times New Roman"/>
                <w:sz w:val="20"/>
                <w:szCs w:val="20"/>
              </w:rPr>
            </w:pPr>
          </w:p>
        </w:tc>
        <w:tc>
          <w:tcPr>
            <w:tcW w:w="5" w:type="pct"/>
            <w:vAlign w:val="center"/>
            <w:hideMark/>
          </w:tcPr>
          <w:p w14:paraId="0F865C58" w14:textId="77777777" w:rsidR="00000000" w:rsidRDefault="000C49AD">
            <w:pPr>
              <w:spacing w:after="100"/>
              <w:rPr>
                <w:rFonts w:eastAsia="Times New Roman"/>
                <w:sz w:val="20"/>
                <w:szCs w:val="20"/>
              </w:rPr>
            </w:pPr>
          </w:p>
        </w:tc>
        <w:tc>
          <w:tcPr>
            <w:tcW w:w="50" w:type="pct"/>
            <w:vAlign w:val="center"/>
            <w:hideMark/>
          </w:tcPr>
          <w:p w14:paraId="309150DF" w14:textId="77777777" w:rsidR="00000000" w:rsidRDefault="000C49AD">
            <w:pPr>
              <w:spacing w:after="100"/>
              <w:rPr>
                <w:rFonts w:eastAsia="Times New Roman"/>
                <w:sz w:val="20"/>
                <w:szCs w:val="20"/>
              </w:rPr>
            </w:pPr>
          </w:p>
        </w:tc>
        <w:tc>
          <w:tcPr>
            <w:tcW w:w="1167" w:type="pct"/>
            <w:vAlign w:val="center"/>
            <w:hideMark/>
          </w:tcPr>
          <w:p w14:paraId="51D837A1" w14:textId="77777777" w:rsidR="00000000" w:rsidRDefault="000C49AD">
            <w:pPr>
              <w:spacing w:after="100"/>
              <w:rPr>
                <w:rFonts w:eastAsia="Times New Roman"/>
                <w:sz w:val="20"/>
                <w:szCs w:val="20"/>
              </w:rPr>
            </w:pPr>
          </w:p>
        </w:tc>
        <w:tc>
          <w:tcPr>
            <w:tcW w:w="5" w:type="pct"/>
            <w:vAlign w:val="center"/>
            <w:hideMark/>
          </w:tcPr>
          <w:p w14:paraId="6EDAF34D" w14:textId="77777777" w:rsidR="00000000" w:rsidRDefault="000C49AD">
            <w:pPr>
              <w:spacing w:after="100"/>
              <w:rPr>
                <w:rFonts w:eastAsia="Times New Roman"/>
                <w:sz w:val="20"/>
                <w:szCs w:val="20"/>
              </w:rPr>
            </w:pPr>
          </w:p>
        </w:tc>
      </w:tr>
      <w:tr w:rsidR="00000000" w14:paraId="7F5A3F47" w14:textId="77777777">
        <w:tc>
          <w:tcPr>
            <w:tcW w:w="0" w:type="auto"/>
            <w:gridSpan w:val="3"/>
            <w:tcMar>
              <w:top w:w="30" w:type="dxa"/>
              <w:left w:w="20" w:type="dxa"/>
              <w:bottom w:w="30" w:type="dxa"/>
              <w:right w:w="20" w:type="dxa"/>
            </w:tcMar>
            <w:vAlign w:val="bottom"/>
            <w:hideMark/>
          </w:tcPr>
          <w:p w14:paraId="131D04DB" w14:textId="77777777" w:rsidR="00000000" w:rsidRDefault="000C49AD">
            <w:pPr>
              <w:spacing w:after="100"/>
              <w:rPr>
                <w:rFonts w:eastAsia="Times New Roman"/>
              </w:rPr>
            </w:pPr>
            <w:r>
              <w:rPr>
                <w:rFonts w:eastAsia="Times New Roman"/>
                <w:b/>
                <w:bCs/>
                <w:color w:val="000000"/>
                <w:sz w:val="18"/>
                <w:szCs w:val="18"/>
              </w:rPr>
              <w:t xml:space="preserve">Restricted Share Activity and Other Data: </w:t>
            </w:r>
          </w:p>
        </w:tc>
        <w:tc>
          <w:tcPr>
            <w:tcW w:w="0" w:type="auto"/>
            <w:gridSpan w:val="3"/>
            <w:tcMar>
              <w:top w:w="0" w:type="dxa"/>
              <w:left w:w="20" w:type="dxa"/>
              <w:bottom w:w="0" w:type="dxa"/>
              <w:right w:w="20" w:type="dxa"/>
            </w:tcMar>
            <w:vAlign w:val="center"/>
            <w:hideMark/>
          </w:tcPr>
          <w:p w14:paraId="5B5010A3"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299B1735" w14:textId="77777777" w:rsidR="00000000" w:rsidRDefault="000C49AD">
            <w:pPr>
              <w:spacing w:after="100"/>
              <w:jc w:val="center"/>
              <w:rPr>
                <w:rFonts w:eastAsia="Times New Roman"/>
              </w:rPr>
            </w:pPr>
            <w:r>
              <w:rPr>
                <w:rFonts w:eastAsia="Times New Roman"/>
                <w:b/>
                <w:bCs/>
                <w:color w:val="000000"/>
                <w:sz w:val="18"/>
                <w:szCs w:val="18"/>
              </w:rPr>
              <w:t>Number of Restricted Share Awards</w:t>
            </w:r>
          </w:p>
        </w:tc>
        <w:tc>
          <w:tcPr>
            <w:tcW w:w="0" w:type="auto"/>
            <w:gridSpan w:val="3"/>
            <w:tcMar>
              <w:top w:w="0" w:type="dxa"/>
              <w:left w:w="20" w:type="dxa"/>
              <w:bottom w:w="0" w:type="dxa"/>
              <w:right w:w="20" w:type="dxa"/>
            </w:tcMar>
            <w:vAlign w:val="center"/>
            <w:hideMark/>
          </w:tcPr>
          <w:p w14:paraId="3DD60580"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69DD0A5" w14:textId="77777777" w:rsidR="00000000" w:rsidRDefault="000C49AD">
            <w:pPr>
              <w:spacing w:after="100"/>
              <w:jc w:val="center"/>
              <w:rPr>
                <w:rFonts w:eastAsia="Times New Roman"/>
              </w:rPr>
            </w:pPr>
            <w:r>
              <w:rPr>
                <w:rFonts w:eastAsia="Times New Roman"/>
                <w:b/>
                <w:bCs/>
                <w:color w:val="000000"/>
                <w:sz w:val="18"/>
                <w:szCs w:val="18"/>
              </w:rPr>
              <w:t>Weighted Average Grant Date</w:t>
            </w:r>
            <w:r>
              <w:rPr>
                <w:rFonts w:eastAsia="Times New Roman"/>
                <w:b/>
                <w:bCs/>
                <w:color w:val="000000"/>
                <w:sz w:val="18"/>
                <w:szCs w:val="18"/>
              </w:rPr>
              <w:br/>
              <w:t>Fair Value</w:t>
            </w:r>
          </w:p>
        </w:tc>
      </w:tr>
      <w:tr w:rsidR="00000000" w14:paraId="48FB56D5"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443A71DE"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12F1ADB"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72608C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2C274A"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DEC3007" w14:textId="77777777" w:rsidR="00000000" w:rsidRDefault="000C49AD">
            <w:pPr>
              <w:spacing w:after="100"/>
              <w:rPr>
                <w:rFonts w:eastAsia="Times New Roman"/>
                <w:sz w:val="20"/>
                <w:szCs w:val="20"/>
              </w:rPr>
            </w:pPr>
          </w:p>
        </w:tc>
      </w:tr>
      <w:tr w:rsidR="00000000" w14:paraId="3D54EC46" w14:textId="77777777">
        <w:tc>
          <w:tcPr>
            <w:tcW w:w="0" w:type="auto"/>
            <w:gridSpan w:val="3"/>
            <w:shd w:val="clear" w:color="auto" w:fill="CCEEFF"/>
            <w:tcMar>
              <w:top w:w="30" w:type="dxa"/>
              <w:left w:w="20" w:type="dxa"/>
              <w:bottom w:w="30" w:type="dxa"/>
              <w:right w:w="20" w:type="dxa"/>
            </w:tcMar>
            <w:vAlign w:val="bottom"/>
            <w:hideMark/>
          </w:tcPr>
          <w:p w14:paraId="6D3EFE7F" w14:textId="77777777" w:rsidR="00000000" w:rsidRDefault="000C49AD">
            <w:pPr>
              <w:spacing w:after="100"/>
              <w:divId w:val="1504205023"/>
              <w:rPr>
                <w:rFonts w:eastAsia="Times New Roman"/>
              </w:rPr>
            </w:pPr>
            <w:r>
              <w:rPr>
                <w:rFonts w:eastAsia="Times New Roman"/>
                <w:color w:val="000000"/>
                <w:sz w:val="18"/>
                <w:szCs w:val="18"/>
              </w:rPr>
              <w:t>Non-vested restricted share awards outstanding, January 1, 2021</w:t>
            </w:r>
          </w:p>
        </w:tc>
        <w:tc>
          <w:tcPr>
            <w:tcW w:w="0" w:type="auto"/>
            <w:gridSpan w:val="3"/>
            <w:shd w:val="clear" w:color="auto" w:fill="CCEEFF"/>
            <w:tcMar>
              <w:top w:w="0" w:type="dxa"/>
              <w:left w:w="20" w:type="dxa"/>
              <w:bottom w:w="0" w:type="dxa"/>
              <w:right w:w="20" w:type="dxa"/>
            </w:tcMar>
            <w:vAlign w:val="center"/>
            <w:hideMark/>
          </w:tcPr>
          <w:p w14:paraId="24B6352A"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D225CCD" w14:textId="77777777" w:rsidR="00000000" w:rsidRDefault="000C49AD">
            <w:pPr>
              <w:spacing w:after="100"/>
              <w:jc w:val="right"/>
              <w:rPr>
                <w:rFonts w:eastAsia="Times New Roman"/>
              </w:rPr>
            </w:pPr>
            <w:r>
              <w:rPr>
                <w:rFonts w:eastAsia="Times New Roman"/>
                <w:color w:val="000000"/>
                <w:sz w:val="18"/>
                <w:szCs w:val="18"/>
              </w:rPr>
              <w:t>347 </w:t>
            </w:r>
          </w:p>
        </w:tc>
        <w:tc>
          <w:tcPr>
            <w:tcW w:w="0" w:type="auto"/>
            <w:shd w:val="clear" w:color="auto" w:fill="CCEEFF"/>
            <w:tcMar>
              <w:top w:w="30" w:type="dxa"/>
              <w:left w:w="0" w:type="dxa"/>
              <w:bottom w:w="30" w:type="dxa"/>
              <w:right w:w="20" w:type="dxa"/>
            </w:tcMar>
            <w:vAlign w:val="bottom"/>
            <w:hideMark/>
          </w:tcPr>
          <w:p w14:paraId="2A4F2EC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2E136"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46A8AF"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EC23A22" w14:textId="77777777" w:rsidR="00000000" w:rsidRDefault="000C49AD">
            <w:pPr>
              <w:spacing w:after="100"/>
              <w:jc w:val="right"/>
              <w:rPr>
                <w:rFonts w:eastAsia="Times New Roman"/>
              </w:rPr>
            </w:pPr>
            <w:r>
              <w:rPr>
                <w:rFonts w:eastAsia="Times New Roman"/>
                <w:color w:val="000000"/>
                <w:sz w:val="18"/>
                <w:szCs w:val="18"/>
              </w:rPr>
              <w:t>5.87 </w:t>
            </w:r>
          </w:p>
        </w:tc>
        <w:tc>
          <w:tcPr>
            <w:tcW w:w="0" w:type="auto"/>
            <w:shd w:val="clear" w:color="auto" w:fill="CCEEFF"/>
            <w:tcMar>
              <w:top w:w="30" w:type="dxa"/>
              <w:left w:w="0" w:type="dxa"/>
              <w:bottom w:w="30" w:type="dxa"/>
              <w:right w:w="20" w:type="dxa"/>
            </w:tcMar>
            <w:vAlign w:val="bottom"/>
            <w:hideMark/>
          </w:tcPr>
          <w:p w14:paraId="2C3D0E28" w14:textId="77777777" w:rsidR="00000000" w:rsidRDefault="000C49AD">
            <w:pPr>
              <w:spacing w:after="100"/>
              <w:jc w:val="right"/>
              <w:rPr>
                <w:rFonts w:eastAsia="Times New Roman"/>
              </w:rPr>
            </w:pPr>
          </w:p>
        </w:tc>
      </w:tr>
      <w:tr w:rsidR="00000000" w14:paraId="27D8F6BD" w14:textId="77777777">
        <w:tc>
          <w:tcPr>
            <w:tcW w:w="0" w:type="auto"/>
            <w:gridSpan w:val="3"/>
            <w:tcMar>
              <w:top w:w="30" w:type="dxa"/>
              <w:left w:w="245" w:type="dxa"/>
              <w:bottom w:w="30" w:type="dxa"/>
              <w:right w:w="20" w:type="dxa"/>
            </w:tcMar>
            <w:vAlign w:val="bottom"/>
            <w:hideMark/>
          </w:tcPr>
          <w:p w14:paraId="7DF907CD" w14:textId="77777777" w:rsidR="00000000" w:rsidRDefault="000C49AD">
            <w:pPr>
              <w:spacing w:after="100"/>
              <w:rPr>
                <w:rFonts w:eastAsia="Times New Roman"/>
              </w:rPr>
            </w:pPr>
            <w:r>
              <w:rPr>
                <w:rFonts w:eastAsia="Times New Roman"/>
                <w:color w:val="000000"/>
                <w:sz w:val="18"/>
                <w:szCs w:val="18"/>
              </w:rPr>
              <w:t>Granted</w:t>
            </w:r>
          </w:p>
        </w:tc>
        <w:tc>
          <w:tcPr>
            <w:tcW w:w="0" w:type="auto"/>
            <w:gridSpan w:val="3"/>
            <w:tcMar>
              <w:top w:w="0" w:type="dxa"/>
              <w:left w:w="20" w:type="dxa"/>
              <w:bottom w:w="0" w:type="dxa"/>
              <w:right w:w="20" w:type="dxa"/>
            </w:tcMar>
            <w:vAlign w:val="center"/>
            <w:hideMark/>
          </w:tcPr>
          <w:p w14:paraId="55AD4386" w14:textId="77777777" w:rsidR="00000000" w:rsidRDefault="000C49AD">
            <w:pPr>
              <w:spacing w:after="100"/>
              <w:rPr>
                <w:rFonts w:eastAsia="Times New Roman"/>
              </w:rPr>
            </w:pPr>
          </w:p>
        </w:tc>
        <w:tc>
          <w:tcPr>
            <w:tcW w:w="0" w:type="auto"/>
            <w:gridSpan w:val="2"/>
            <w:tcMar>
              <w:top w:w="30" w:type="dxa"/>
              <w:left w:w="20" w:type="dxa"/>
              <w:bottom w:w="30" w:type="dxa"/>
              <w:right w:w="0" w:type="dxa"/>
            </w:tcMar>
            <w:vAlign w:val="bottom"/>
            <w:hideMark/>
          </w:tcPr>
          <w:p w14:paraId="730455DA" w14:textId="77777777" w:rsidR="00000000" w:rsidRDefault="000C49AD">
            <w:pPr>
              <w:spacing w:after="100"/>
              <w:jc w:val="right"/>
              <w:rPr>
                <w:rFonts w:eastAsia="Times New Roman"/>
              </w:rPr>
            </w:pPr>
            <w:r>
              <w:rPr>
                <w:rFonts w:eastAsia="Times New Roman"/>
                <w:color w:val="000000"/>
                <w:sz w:val="18"/>
                <w:szCs w:val="18"/>
              </w:rPr>
              <w:t>99 </w:t>
            </w:r>
          </w:p>
        </w:tc>
        <w:tc>
          <w:tcPr>
            <w:tcW w:w="0" w:type="auto"/>
            <w:tcMar>
              <w:top w:w="30" w:type="dxa"/>
              <w:left w:w="0" w:type="dxa"/>
              <w:bottom w:w="30" w:type="dxa"/>
              <w:right w:w="20" w:type="dxa"/>
            </w:tcMar>
            <w:vAlign w:val="bottom"/>
            <w:hideMark/>
          </w:tcPr>
          <w:p w14:paraId="085E74CD"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AB37F77"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32DCB67" w14:textId="77777777" w:rsidR="00000000" w:rsidRDefault="000C49AD">
            <w:pPr>
              <w:spacing w:after="100"/>
              <w:jc w:val="right"/>
              <w:rPr>
                <w:rFonts w:eastAsia="Times New Roman"/>
              </w:rPr>
            </w:pPr>
            <w:r>
              <w:rPr>
                <w:rFonts w:eastAsia="Times New Roman"/>
                <w:color w:val="000000"/>
                <w:sz w:val="18"/>
                <w:szCs w:val="18"/>
              </w:rPr>
              <w:t>8.22 </w:t>
            </w:r>
          </w:p>
        </w:tc>
        <w:tc>
          <w:tcPr>
            <w:tcW w:w="0" w:type="auto"/>
            <w:tcMar>
              <w:top w:w="30" w:type="dxa"/>
              <w:left w:w="0" w:type="dxa"/>
              <w:bottom w:w="30" w:type="dxa"/>
              <w:right w:w="20" w:type="dxa"/>
            </w:tcMar>
            <w:vAlign w:val="bottom"/>
            <w:hideMark/>
          </w:tcPr>
          <w:p w14:paraId="4EE0F9B8" w14:textId="77777777" w:rsidR="00000000" w:rsidRDefault="000C49AD">
            <w:pPr>
              <w:spacing w:after="100"/>
              <w:jc w:val="right"/>
              <w:rPr>
                <w:rFonts w:eastAsia="Times New Roman"/>
              </w:rPr>
            </w:pPr>
          </w:p>
        </w:tc>
      </w:tr>
      <w:tr w:rsidR="00000000" w14:paraId="60AB98AC" w14:textId="77777777">
        <w:tc>
          <w:tcPr>
            <w:tcW w:w="0" w:type="auto"/>
            <w:gridSpan w:val="3"/>
            <w:shd w:val="clear" w:color="auto" w:fill="CCEEFF"/>
            <w:tcMar>
              <w:top w:w="30" w:type="dxa"/>
              <w:left w:w="245" w:type="dxa"/>
              <w:bottom w:w="30" w:type="dxa"/>
              <w:right w:w="20" w:type="dxa"/>
            </w:tcMar>
            <w:vAlign w:val="bottom"/>
            <w:hideMark/>
          </w:tcPr>
          <w:p w14:paraId="497E83E8" w14:textId="77777777" w:rsidR="00000000" w:rsidRDefault="000C49AD">
            <w:pPr>
              <w:spacing w:after="100"/>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14:paraId="15972D8E"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BB64FE" w14:textId="77777777" w:rsidR="00000000" w:rsidRDefault="000C49AD">
            <w:pPr>
              <w:spacing w:after="100"/>
              <w:jc w:val="right"/>
              <w:rPr>
                <w:rFonts w:eastAsia="Times New Roman"/>
              </w:rPr>
            </w:pPr>
            <w:r>
              <w:rPr>
                <w:rFonts w:eastAsia="Times New Roman"/>
                <w:color w:val="000000"/>
                <w:sz w:val="18"/>
                <w:szCs w:val="18"/>
              </w:rPr>
              <w:t>(160)</w:t>
            </w:r>
          </w:p>
        </w:tc>
        <w:tc>
          <w:tcPr>
            <w:tcW w:w="0" w:type="auto"/>
            <w:shd w:val="clear" w:color="auto" w:fill="CCEEFF"/>
            <w:tcMar>
              <w:top w:w="30" w:type="dxa"/>
              <w:left w:w="0" w:type="dxa"/>
              <w:bottom w:w="30" w:type="dxa"/>
              <w:right w:w="20" w:type="dxa"/>
            </w:tcMar>
            <w:vAlign w:val="bottom"/>
            <w:hideMark/>
          </w:tcPr>
          <w:p w14:paraId="271E5E4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2D8B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12DBE" w14:textId="77777777" w:rsidR="00000000" w:rsidRDefault="000C49AD">
            <w:pPr>
              <w:spacing w:after="100"/>
              <w:jc w:val="right"/>
              <w:rPr>
                <w:rFonts w:eastAsia="Times New Roman"/>
              </w:rPr>
            </w:pPr>
            <w:r>
              <w:rPr>
                <w:rFonts w:eastAsia="Times New Roman"/>
                <w:color w:val="000000"/>
                <w:sz w:val="18"/>
                <w:szCs w:val="18"/>
              </w:rPr>
              <w:t>5.05 </w:t>
            </w:r>
          </w:p>
        </w:tc>
        <w:tc>
          <w:tcPr>
            <w:tcW w:w="0" w:type="auto"/>
            <w:shd w:val="clear" w:color="auto" w:fill="CCEEFF"/>
            <w:tcMar>
              <w:top w:w="30" w:type="dxa"/>
              <w:left w:w="0" w:type="dxa"/>
              <w:bottom w:w="30" w:type="dxa"/>
              <w:right w:w="20" w:type="dxa"/>
            </w:tcMar>
            <w:vAlign w:val="bottom"/>
            <w:hideMark/>
          </w:tcPr>
          <w:p w14:paraId="4F148127" w14:textId="77777777" w:rsidR="00000000" w:rsidRDefault="000C49AD">
            <w:pPr>
              <w:spacing w:after="100"/>
              <w:jc w:val="right"/>
              <w:rPr>
                <w:rFonts w:eastAsia="Times New Roman"/>
              </w:rPr>
            </w:pPr>
          </w:p>
        </w:tc>
      </w:tr>
      <w:tr w:rsidR="00000000" w14:paraId="25619A7F" w14:textId="77777777">
        <w:tc>
          <w:tcPr>
            <w:tcW w:w="0" w:type="auto"/>
            <w:gridSpan w:val="3"/>
            <w:tcMar>
              <w:top w:w="30" w:type="dxa"/>
              <w:left w:w="245" w:type="dxa"/>
              <w:bottom w:w="30" w:type="dxa"/>
              <w:right w:w="20" w:type="dxa"/>
            </w:tcMar>
            <w:vAlign w:val="bottom"/>
            <w:hideMark/>
          </w:tcPr>
          <w:p w14:paraId="320CE0B7" w14:textId="77777777" w:rsidR="00000000" w:rsidRDefault="000C49AD">
            <w:pPr>
              <w:spacing w:after="100"/>
              <w:rPr>
                <w:rFonts w:eastAsia="Times New Roman"/>
              </w:rPr>
            </w:pPr>
            <w:r>
              <w:rPr>
                <w:rFonts w:eastAsia="Times New Roman"/>
                <w:color w:val="000000"/>
                <w:sz w:val="18"/>
                <w:szCs w:val="18"/>
              </w:rPr>
              <w:t>Forfeited</w:t>
            </w:r>
          </w:p>
        </w:tc>
        <w:tc>
          <w:tcPr>
            <w:tcW w:w="0" w:type="auto"/>
            <w:gridSpan w:val="3"/>
            <w:tcMar>
              <w:top w:w="0" w:type="dxa"/>
              <w:left w:w="20" w:type="dxa"/>
              <w:bottom w:w="0" w:type="dxa"/>
              <w:right w:w="20" w:type="dxa"/>
            </w:tcMar>
            <w:vAlign w:val="center"/>
            <w:hideMark/>
          </w:tcPr>
          <w:p w14:paraId="3315AB57" w14:textId="77777777" w:rsidR="00000000" w:rsidRDefault="000C49AD">
            <w:pPr>
              <w:spacing w:after="100"/>
              <w:rPr>
                <w:rFonts w:eastAsia="Times New Roman"/>
              </w:rPr>
            </w:pPr>
          </w:p>
        </w:tc>
        <w:tc>
          <w:tcPr>
            <w:tcW w:w="0" w:type="auto"/>
            <w:gridSpan w:val="2"/>
            <w:tcMar>
              <w:top w:w="30" w:type="dxa"/>
              <w:left w:w="20" w:type="dxa"/>
              <w:bottom w:w="30" w:type="dxa"/>
              <w:right w:w="0" w:type="dxa"/>
            </w:tcMar>
            <w:vAlign w:val="bottom"/>
            <w:hideMark/>
          </w:tcPr>
          <w:p w14:paraId="615B00CB" w14:textId="77777777" w:rsidR="00000000" w:rsidRDefault="000C49AD">
            <w:pPr>
              <w:spacing w:after="100"/>
              <w:jc w:val="right"/>
              <w:rPr>
                <w:rFonts w:eastAsia="Times New Roman"/>
              </w:rPr>
            </w:pPr>
            <w:r>
              <w:rPr>
                <w:rFonts w:eastAsia="Times New Roman"/>
                <w:color w:val="000000"/>
                <w:sz w:val="18"/>
                <w:szCs w:val="18"/>
              </w:rPr>
              <w:t>(12)</w:t>
            </w:r>
          </w:p>
        </w:tc>
        <w:tc>
          <w:tcPr>
            <w:tcW w:w="0" w:type="auto"/>
            <w:tcMar>
              <w:top w:w="30" w:type="dxa"/>
              <w:left w:w="0" w:type="dxa"/>
              <w:bottom w:w="30" w:type="dxa"/>
              <w:right w:w="20" w:type="dxa"/>
            </w:tcMar>
            <w:vAlign w:val="bottom"/>
            <w:hideMark/>
          </w:tcPr>
          <w:p w14:paraId="7B3A63EE"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1888CA"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A447370" w14:textId="77777777" w:rsidR="00000000" w:rsidRDefault="000C49AD">
            <w:pPr>
              <w:spacing w:after="100"/>
              <w:jc w:val="right"/>
              <w:rPr>
                <w:rFonts w:eastAsia="Times New Roman"/>
              </w:rPr>
            </w:pPr>
            <w:r>
              <w:rPr>
                <w:rFonts w:eastAsia="Times New Roman"/>
                <w:color w:val="000000"/>
                <w:sz w:val="18"/>
                <w:szCs w:val="18"/>
              </w:rPr>
              <w:t>7.08 </w:t>
            </w:r>
          </w:p>
        </w:tc>
        <w:tc>
          <w:tcPr>
            <w:tcW w:w="0" w:type="auto"/>
            <w:tcMar>
              <w:top w:w="30" w:type="dxa"/>
              <w:left w:w="0" w:type="dxa"/>
              <w:bottom w:w="30" w:type="dxa"/>
              <w:right w:w="20" w:type="dxa"/>
            </w:tcMar>
            <w:vAlign w:val="bottom"/>
            <w:hideMark/>
          </w:tcPr>
          <w:p w14:paraId="5F0D8985" w14:textId="77777777" w:rsidR="00000000" w:rsidRDefault="000C49AD">
            <w:pPr>
              <w:spacing w:after="100"/>
              <w:jc w:val="right"/>
              <w:rPr>
                <w:rFonts w:eastAsia="Times New Roman"/>
              </w:rPr>
            </w:pPr>
          </w:p>
        </w:tc>
      </w:tr>
      <w:tr w:rsidR="00000000" w14:paraId="3781540D" w14:textId="77777777">
        <w:tc>
          <w:tcPr>
            <w:tcW w:w="0" w:type="auto"/>
            <w:gridSpan w:val="3"/>
            <w:shd w:val="clear" w:color="auto" w:fill="CCEEFF"/>
            <w:tcMar>
              <w:top w:w="30" w:type="dxa"/>
              <w:left w:w="20" w:type="dxa"/>
              <w:bottom w:w="30" w:type="dxa"/>
              <w:right w:w="20" w:type="dxa"/>
            </w:tcMar>
            <w:vAlign w:val="bottom"/>
            <w:hideMark/>
          </w:tcPr>
          <w:p w14:paraId="2C70B22F" w14:textId="77777777" w:rsidR="00000000" w:rsidRDefault="000C49AD">
            <w:pPr>
              <w:spacing w:after="100"/>
              <w:divId w:val="161822476"/>
              <w:rPr>
                <w:rFonts w:eastAsia="Times New Roman"/>
              </w:rPr>
            </w:pPr>
            <w:r>
              <w:rPr>
                <w:rFonts w:eastAsia="Times New Roman"/>
                <w:color w:val="000000"/>
                <w:sz w:val="18"/>
                <w:szCs w:val="18"/>
              </w:rPr>
              <w:t>Non-vested restricted share awards outstanding, December 31, 2021</w:t>
            </w:r>
          </w:p>
        </w:tc>
        <w:tc>
          <w:tcPr>
            <w:tcW w:w="0" w:type="auto"/>
            <w:gridSpan w:val="3"/>
            <w:shd w:val="clear" w:color="auto" w:fill="CCEEFF"/>
            <w:tcMar>
              <w:top w:w="0" w:type="dxa"/>
              <w:left w:w="20" w:type="dxa"/>
              <w:bottom w:w="0" w:type="dxa"/>
              <w:right w:w="20" w:type="dxa"/>
            </w:tcMar>
            <w:vAlign w:val="center"/>
            <w:hideMark/>
          </w:tcPr>
          <w:p w14:paraId="7A7089D1"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A640179" w14:textId="77777777" w:rsidR="00000000" w:rsidRDefault="000C49AD">
            <w:pPr>
              <w:spacing w:after="100"/>
              <w:jc w:val="right"/>
              <w:rPr>
                <w:rFonts w:eastAsia="Times New Roman"/>
              </w:rPr>
            </w:pPr>
            <w:r>
              <w:rPr>
                <w:rFonts w:eastAsia="Times New Roman"/>
                <w:color w:val="000000"/>
                <w:sz w:val="18"/>
                <w:szCs w:val="18"/>
              </w:rPr>
              <w:t>274 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99642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A54821"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BCCC09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904B626" w14:textId="77777777" w:rsidR="00000000" w:rsidRDefault="000C49AD">
            <w:pPr>
              <w:spacing w:after="100"/>
              <w:jc w:val="right"/>
              <w:rPr>
                <w:rFonts w:eastAsia="Times New Roman"/>
              </w:rPr>
            </w:pPr>
            <w:r>
              <w:rPr>
                <w:rFonts w:eastAsia="Times New Roman"/>
                <w:color w:val="000000"/>
                <w:sz w:val="18"/>
                <w:szCs w:val="18"/>
              </w:rPr>
              <w:t>7.14 </w:t>
            </w:r>
          </w:p>
        </w:tc>
        <w:tc>
          <w:tcPr>
            <w:tcW w:w="0" w:type="auto"/>
            <w:shd w:val="clear" w:color="auto" w:fill="CCEEFF"/>
            <w:tcMar>
              <w:top w:w="30" w:type="dxa"/>
              <w:left w:w="0" w:type="dxa"/>
              <w:bottom w:w="30" w:type="dxa"/>
              <w:right w:w="20" w:type="dxa"/>
            </w:tcMar>
            <w:vAlign w:val="bottom"/>
            <w:hideMark/>
          </w:tcPr>
          <w:p w14:paraId="04CC951E" w14:textId="77777777" w:rsidR="00000000" w:rsidRDefault="000C49AD">
            <w:pPr>
              <w:spacing w:after="100"/>
              <w:jc w:val="right"/>
              <w:rPr>
                <w:rFonts w:eastAsia="Times New Roman"/>
              </w:rPr>
            </w:pPr>
          </w:p>
        </w:tc>
      </w:tr>
    </w:tbl>
    <w:p w14:paraId="77823A61" w14:textId="77777777" w:rsidR="00000000" w:rsidRDefault="000C49AD">
      <w:pPr>
        <w:jc w:val="both"/>
        <w:rPr>
          <w:rFonts w:eastAsia="Times New Roman"/>
        </w:rPr>
      </w:pPr>
    </w:p>
    <w:p w14:paraId="5A069C43" w14:textId="77777777" w:rsidR="00000000" w:rsidRDefault="000C49AD">
      <w:pPr>
        <w:jc w:val="both"/>
        <w:rPr>
          <w:rFonts w:eastAsia="Times New Roman"/>
        </w:rPr>
      </w:pPr>
      <w:r>
        <w:rPr>
          <w:rFonts w:eastAsia="Times New Roman"/>
          <w:color w:val="000000"/>
          <w:sz w:val="20"/>
          <w:szCs w:val="20"/>
        </w:rPr>
        <w:t xml:space="preserve">The weighted average grant date fair value of restricted share awards granted during the years ended December 31, 2021, 2020 and 2019 was $8.22, $7.69 and $2.47, respectively. </w:t>
      </w:r>
    </w:p>
    <w:p w14:paraId="4AA5AE73" w14:textId="77777777" w:rsidR="00000000" w:rsidRDefault="000C49AD">
      <w:pPr>
        <w:jc w:val="both"/>
        <w:rPr>
          <w:rFonts w:eastAsia="Times New Roman"/>
        </w:rPr>
      </w:pPr>
    </w:p>
    <w:p w14:paraId="51225222" w14:textId="77777777" w:rsidR="00000000" w:rsidRDefault="000C49AD">
      <w:pPr>
        <w:jc w:val="both"/>
        <w:rPr>
          <w:rFonts w:eastAsia="Times New Roman"/>
        </w:rPr>
      </w:pPr>
      <w:r>
        <w:rPr>
          <w:rFonts w:eastAsia="Times New Roman"/>
          <w:b/>
          <w:bCs/>
          <w:i/>
          <w:iCs/>
          <w:color w:val="000000"/>
          <w:sz w:val="20"/>
          <w:szCs w:val="20"/>
        </w:rPr>
        <w:t>Performance Share Units Awards</w:t>
      </w:r>
    </w:p>
    <w:p w14:paraId="2CB5D2D2" w14:textId="77777777" w:rsidR="00000000" w:rsidRDefault="000C49AD">
      <w:pPr>
        <w:jc w:val="both"/>
        <w:rPr>
          <w:rFonts w:eastAsia="Times New Roman"/>
        </w:rPr>
      </w:pPr>
    </w:p>
    <w:p w14:paraId="56658E6A" w14:textId="77777777" w:rsidR="00000000" w:rsidRDefault="000C49AD">
      <w:pPr>
        <w:jc w:val="both"/>
        <w:rPr>
          <w:rFonts w:eastAsia="Times New Roman"/>
        </w:rPr>
      </w:pPr>
      <w:r>
        <w:rPr>
          <w:rFonts w:eastAsia="Times New Roman"/>
          <w:color w:val="000000"/>
          <w:sz w:val="20"/>
          <w:szCs w:val="20"/>
        </w:rPr>
        <w:t>Performance share units awards (“PSUs”) represent Company shares issued free of charge to employees of the Company as compensation for achieving various results. The Company measures the total fair value of performance share unit awards on the grant date u</w:t>
      </w:r>
      <w:r>
        <w:rPr>
          <w:rFonts w:eastAsia="Times New Roman"/>
          <w:color w:val="000000"/>
          <w:sz w:val="20"/>
          <w:szCs w:val="20"/>
        </w:rPr>
        <w:t>sing the Company’s stock price at the time of the grant. In 2020, the Company granted performance share awards, of which 50% vest upon the achievement of certain regulatory milestones related to FT218 and the other 50% vest one year following achievement o</w:t>
      </w:r>
      <w:r>
        <w:rPr>
          <w:rFonts w:eastAsia="Times New Roman"/>
          <w:color w:val="000000"/>
          <w:sz w:val="20"/>
          <w:szCs w:val="20"/>
        </w:rPr>
        <w:t>f those milestones (“2020 PSU awards”). The Company has not yet recognized any share-based compensation expense related to the 2020 PSU awards as the regulatory milestones have not yet been met; however, in the event the performance conditions are met befo</w:t>
      </w:r>
      <w:r>
        <w:rPr>
          <w:rFonts w:eastAsia="Times New Roman"/>
          <w:color w:val="000000"/>
          <w:sz w:val="20"/>
          <w:szCs w:val="20"/>
        </w:rPr>
        <w:t>re a certain date, approximately 100% of the outstanding shares, or $1,786 of compensation expense will be recognized by the Company for the 2020 PSU awards outstanding as of December 31, 2021.</w:t>
      </w:r>
    </w:p>
    <w:p w14:paraId="11156754" w14:textId="77777777" w:rsidR="00000000" w:rsidRDefault="000C49AD">
      <w:pPr>
        <w:jc w:val="both"/>
        <w:rPr>
          <w:rFonts w:eastAsia="Times New Roman"/>
        </w:rPr>
      </w:pPr>
    </w:p>
    <w:p w14:paraId="7D29CDCA" w14:textId="77777777" w:rsidR="00000000" w:rsidRDefault="000C49AD">
      <w:pPr>
        <w:jc w:val="both"/>
        <w:rPr>
          <w:rFonts w:eastAsia="Times New Roman"/>
        </w:rPr>
      </w:pPr>
      <w:r>
        <w:rPr>
          <w:rFonts w:eastAsia="Times New Roman"/>
          <w:color w:val="000000"/>
          <w:sz w:val="20"/>
          <w:szCs w:val="20"/>
        </w:rPr>
        <w:t>In 2021, the Company granted performance share awards of whi</w:t>
      </w:r>
      <w:r>
        <w:rPr>
          <w:rFonts w:eastAsia="Times New Roman"/>
          <w:color w:val="000000"/>
          <w:sz w:val="20"/>
          <w:szCs w:val="20"/>
        </w:rPr>
        <w:t>ch 50% vest upon achievement of certain corporate objectives and the second 50% vests one year following achievement of those objectives (“2021 PSU awards”). The Company has not yet recognized any share-based compensation expense related to the 2021 PSU aw</w:t>
      </w:r>
      <w:r>
        <w:rPr>
          <w:rFonts w:eastAsia="Times New Roman"/>
          <w:color w:val="000000"/>
          <w:sz w:val="20"/>
          <w:szCs w:val="20"/>
        </w:rPr>
        <w:t>ards as the objectives have not yet been met; however, in the event the performance conditions are met and exceeded, approximately 150% of the outstanding shares, or $3,509 of compensation expense will be recognized by the Company for the 2021 PSU awards o</w:t>
      </w:r>
      <w:r>
        <w:rPr>
          <w:rFonts w:eastAsia="Times New Roman"/>
          <w:color w:val="000000"/>
          <w:sz w:val="20"/>
          <w:szCs w:val="20"/>
        </w:rPr>
        <w:t>utstanding as of December 31, 2021.</w:t>
      </w:r>
    </w:p>
    <w:p w14:paraId="47C8BB23" w14:textId="77777777" w:rsidR="00000000" w:rsidRDefault="000C49AD">
      <w:pPr>
        <w:divId w:val="20861760"/>
        <w:rPr>
          <w:rFonts w:eastAsia="Times New Roman"/>
        </w:rPr>
      </w:pPr>
    </w:p>
    <w:p w14:paraId="7AC0182F" w14:textId="77777777" w:rsidR="00000000" w:rsidRDefault="000C49AD">
      <w:pPr>
        <w:jc w:val="both"/>
        <w:rPr>
          <w:rFonts w:eastAsia="Times New Roman"/>
        </w:rPr>
      </w:pPr>
      <w:r>
        <w:rPr>
          <w:rFonts w:eastAsia="Times New Roman"/>
          <w:color w:val="000000"/>
          <w:sz w:val="20"/>
          <w:szCs w:val="20"/>
        </w:rPr>
        <w:t xml:space="preserve">A summary of the Company’s performance share units awards as of December 31, 2021, and changes during the year then ended, is reflected in the table below. </w:t>
      </w:r>
    </w:p>
    <w:p w14:paraId="366CC78C" w14:textId="77777777" w:rsidR="00000000" w:rsidRDefault="000C49AD">
      <w:pPr>
        <w:divId w:val="1301616585"/>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51"/>
        <w:gridCol w:w="3993"/>
        <w:gridCol w:w="36"/>
        <w:gridCol w:w="36"/>
        <w:gridCol w:w="36"/>
        <w:gridCol w:w="36"/>
        <w:gridCol w:w="43"/>
        <w:gridCol w:w="1889"/>
        <w:gridCol w:w="36"/>
        <w:gridCol w:w="36"/>
        <w:gridCol w:w="36"/>
        <w:gridCol w:w="36"/>
        <w:gridCol w:w="111"/>
        <w:gridCol w:w="1882"/>
        <w:gridCol w:w="36"/>
      </w:tblGrid>
      <w:tr w:rsidR="00000000" w14:paraId="45EB69AF" w14:textId="77777777">
        <w:tc>
          <w:tcPr>
            <w:tcW w:w="50" w:type="pct"/>
            <w:vAlign w:val="center"/>
            <w:hideMark/>
          </w:tcPr>
          <w:p w14:paraId="06302519" w14:textId="77777777" w:rsidR="00000000" w:rsidRDefault="000C49AD">
            <w:pPr>
              <w:rPr>
                <w:rFonts w:eastAsia="Times New Roman"/>
              </w:rPr>
            </w:pPr>
          </w:p>
        </w:tc>
        <w:tc>
          <w:tcPr>
            <w:tcW w:w="2426" w:type="pct"/>
            <w:vAlign w:val="center"/>
            <w:hideMark/>
          </w:tcPr>
          <w:p w14:paraId="000BDE64" w14:textId="77777777" w:rsidR="00000000" w:rsidRDefault="000C49AD">
            <w:pPr>
              <w:spacing w:after="100"/>
              <w:rPr>
                <w:rFonts w:eastAsia="Times New Roman"/>
                <w:sz w:val="20"/>
                <w:szCs w:val="20"/>
              </w:rPr>
            </w:pPr>
          </w:p>
        </w:tc>
        <w:tc>
          <w:tcPr>
            <w:tcW w:w="5" w:type="pct"/>
            <w:vAlign w:val="center"/>
            <w:hideMark/>
          </w:tcPr>
          <w:p w14:paraId="625F5F8B" w14:textId="77777777" w:rsidR="00000000" w:rsidRDefault="000C49AD">
            <w:pPr>
              <w:spacing w:after="100"/>
              <w:rPr>
                <w:rFonts w:eastAsia="Times New Roman"/>
                <w:sz w:val="20"/>
                <w:szCs w:val="20"/>
              </w:rPr>
            </w:pPr>
          </w:p>
        </w:tc>
        <w:tc>
          <w:tcPr>
            <w:tcW w:w="5" w:type="pct"/>
            <w:vAlign w:val="center"/>
            <w:hideMark/>
          </w:tcPr>
          <w:p w14:paraId="7FE140B1" w14:textId="77777777" w:rsidR="00000000" w:rsidRDefault="000C49AD">
            <w:pPr>
              <w:spacing w:after="100"/>
              <w:rPr>
                <w:rFonts w:eastAsia="Times New Roman"/>
                <w:sz w:val="20"/>
                <w:szCs w:val="20"/>
              </w:rPr>
            </w:pPr>
          </w:p>
        </w:tc>
        <w:tc>
          <w:tcPr>
            <w:tcW w:w="26" w:type="pct"/>
            <w:vAlign w:val="center"/>
            <w:hideMark/>
          </w:tcPr>
          <w:p w14:paraId="7F7BD509" w14:textId="77777777" w:rsidR="00000000" w:rsidRDefault="000C49AD">
            <w:pPr>
              <w:spacing w:after="100"/>
              <w:rPr>
                <w:rFonts w:eastAsia="Times New Roman"/>
                <w:sz w:val="20"/>
                <w:szCs w:val="20"/>
              </w:rPr>
            </w:pPr>
          </w:p>
        </w:tc>
        <w:tc>
          <w:tcPr>
            <w:tcW w:w="5" w:type="pct"/>
            <w:vAlign w:val="center"/>
            <w:hideMark/>
          </w:tcPr>
          <w:p w14:paraId="4CA8BB85" w14:textId="77777777" w:rsidR="00000000" w:rsidRDefault="000C49AD">
            <w:pPr>
              <w:spacing w:after="100"/>
              <w:rPr>
                <w:rFonts w:eastAsia="Times New Roman"/>
                <w:sz w:val="20"/>
                <w:szCs w:val="20"/>
              </w:rPr>
            </w:pPr>
          </w:p>
        </w:tc>
        <w:tc>
          <w:tcPr>
            <w:tcW w:w="50" w:type="pct"/>
            <w:vAlign w:val="center"/>
            <w:hideMark/>
          </w:tcPr>
          <w:p w14:paraId="002EC3E6" w14:textId="77777777" w:rsidR="00000000" w:rsidRDefault="000C49AD">
            <w:pPr>
              <w:spacing w:after="100"/>
              <w:rPr>
                <w:rFonts w:eastAsia="Times New Roman"/>
                <w:sz w:val="20"/>
                <w:szCs w:val="20"/>
              </w:rPr>
            </w:pPr>
          </w:p>
        </w:tc>
        <w:tc>
          <w:tcPr>
            <w:tcW w:w="1167" w:type="pct"/>
            <w:vAlign w:val="center"/>
            <w:hideMark/>
          </w:tcPr>
          <w:p w14:paraId="1D1DF538" w14:textId="77777777" w:rsidR="00000000" w:rsidRDefault="000C49AD">
            <w:pPr>
              <w:spacing w:after="100"/>
              <w:rPr>
                <w:rFonts w:eastAsia="Times New Roman"/>
                <w:sz w:val="20"/>
                <w:szCs w:val="20"/>
              </w:rPr>
            </w:pPr>
          </w:p>
        </w:tc>
        <w:tc>
          <w:tcPr>
            <w:tcW w:w="5" w:type="pct"/>
            <w:vAlign w:val="center"/>
            <w:hideMark/>
          </w:tcPr>
          <w:p w14:paraId="215534B2" w14:textId="77777777" w:rsidR="00000000" w:rsidRDefault="000C49AD">
            <w:pPr>
              <w:spacing w:after="100"/>
              <w:rPr>
                <w:rFonts w:eastAsia="Times New Roman"/>
                <w:sz w:val="20"/>
                <w:szCs w:val="20"/>
              </w:rPr>
            </w:pPr>
          </w:p>
        </w:tc>
        <w:tc>
          <w:tcPr>
            <w:tcW w:w="5" w:type="pct"/>
            <w:vAlign w:val="center"/>
            <w:hideMark/>
          </w:tcPr>
          <w:p w14:paraId="5CD3603D" w14:textId="77777777" w:rsidR="00000000" w:rsidRDefault="000C49AD">
            <w:pPr>
              <w:spacing w:after="100"/>
              <w:rPr>
                <w:rFonts w:eastAsia="Times New Roman"/>
                <w:sz w:val="20"/>
                <w:szCs w:val="20"/>
              </w:rPr>
            </w:pPr>
          </w:p>
        </w:tc>
        <w:tc>
          <w:tcPr>
            <w:tcW w:w="26" w:type="pct"/>
            <w:vAlign w:val="center"/>
            <w:hideMark/>
          </w:tcPr>
          <w:p w14:paraId="341FDA41" w14:textId="77777777" w:rsidR="00000000" w:rsidRDefault="000C49AD">
            <w:pPr>
              <w:spacing w:after="100"/>
              <w:rPr>
                <w:rFonts w:eastAsia="Times New Roman"/>
                <w:sz w:val="20"/>
                <w:szCs w:val="20"/>
              </w:rPr>
            </w:pPr>
          </w:p>
        </w:tc>
        <w:tc>
          <w:tcPr>
            <w:tcW w:w="5" w:type="pct"/>
            <w:vAlign w:val="center"/>
            <w:hideMark/>
          </w:tcPr>
          <w:p w14:paraId="4504BE23" w14:textId="77777777" w:rsidR="00000000" w:rsidRDefault="000C49AD">
            <w:pPr>
              <w:spacing w:after="100"/>
              <w:rPr>
                <w:rFonts w:eastAsia="Times New Roman"/>
                <w:sz w:val="20"/>
                <w:szCs w:val="20"/>
              </w:rPr>
            </w:pPr>
          </w:p>
        </w:tc>
        <w:tc>
          <w:tcPr>
            <w:tcW w:w="50" w:type="pct"/>
            <w:vAlign w:val="center"/>
            <w:hideMark/>
          </w:tcPr>
          <w:p w14:paraId="61FF2C57" w14:textId="77777777" w:rsidR="00000000" w:rsidRDefault="000C49AD">
            <w:pPr>
              <w:spacing w:after="100"/>
              <w:rPr>
                <w:rFonts w:eastAsia="Times New Roman"/>
                <w:sz w:val="20"/>
                <w:szCs w:val="20"/>
              </w:rPr>
            </w:pPr>
          </w:p>
        </w:tc>
        <w:tc>
          <w:tcPr>
            <w:tcW w:w="1167" w:type="pct"/>
            <w:vAlign w:val="center"/>
            <w:hideMark/>
          </w:tcPr>
          <w:p w14:paraId="1554E777" w14:textId="77777777" w:rsidR="00000000" w:rsidRDefault="000C49AD">
            <w:pPr>
              <w:spacing w:after="100"/>
              <w:rPr>
                <w:rFonts w:eastAsia="Times New Roman"/>
                <w:sz w:val="20"/>
                <w:szCs w:val="20"/>
              </w:rPr>
            </w:pPr>
          </w:p>
        </w:tc>
        <w:tc>
          <w:tcPr>
            <w:tcW w:w="5" w:type="pct"/>
            <w:vAlign w:val="center"/>
            <w:hideMark/>
          </w:tcPr>
          <w:p w14:paraId="75407C3F" w14:textId="77777777" w:rsidR="00000000" w:rsidRDefault="000C49AD">
            <w:pPr>
              <w:spacing w:after="100"/>
              <w:rPr>
                <w:rFonts w:eastAsia="Times New Roman"/>
                <w:sz w:val="20"/>
                <w:szCs w:val="20"/>
              </w:rPr>
            </w:pPr>
          </w:p>
        </w:tc>
      </w:tr>
      <w:tr w:rsidR="00000000" w14:paraId="270227E5" w14:textId="77777777">
        <w:tc>
          <w:tcPr>
            <w:tcW w:w="0" w:type="auto"/>
            <w:gridSpan w:val="3"/>
            <w:tcMar>
              <w:top w:w="30" w:type="dxa"/>
              <w:left w:w="20" w:type="dxa"/>
              <w:bottom w:w="30" w:type="dxa"/>
              <w:right w:w="20" w:type="dxa"/>
            </w:tcMar>
            <w:vAlign w:val="bottom"/>
            <w:hideMark/>
          </w:tcPr>
          <w:p w14:paraId="73422E85" w14:textId="77777777" w:rsidR="00000000" w:rsidRDefault="000C49AD">
            <w:pPr>
              <w:spacing w:after="100"/>
              <w:rPr>
                <w:rFonts w:eastAsia="Times New Roman"/>
              </w:rPr>
            </w:pPr>
            <w:r>
              <w:rPr>
                <w:rFonts w:eastAsia="Times New Roman"/>
                <w:b/>
                <w:bCs/>
                <w:color w:val="000000"/>
                <w:sz w:val="18"/>
                <w:szCs w:val="18"/>
              </w:rPr>
              <w:t>Performance Unit Share Activity and Other Data</w:t>
            </w:r>
          </w:p>
        </w:tc>
        <w:tc>
          <w:tcPr>
            <w:tcW w:w="0" w:type="auto"/>
            <w:gridSpan w:val="3"/>
            <w:tcMar>
              <w:top w:w="0" w:type="dxa"/>
              <w:left w:w="20" w:type="dxa"/>
              <w:bottom w:w="0" w:type="dxa"/>
              <w:right w:w="20" w:type="dxa"/>
            </w:tcMar>
            <w:vAlign w:val="center"/>
            <w:hideMark/>
          </w:tcPr>
          <w:p w14:paraId="4CFF9D40"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054080B0" w14:textId="77777777" w:rsidR="00000000" w:rsidRDefault="000C49AD">
            <w:pPr>
              <w:spacing w:after="100"/>
              <w:jc w:val="center"/>
              <w:rPr>
                <w:rFonts w:eastAsia="Times New Roman"/>
              </w:rPr>
            </w:pPr>
            <w:r>
              <w:rPr>
                <w:rFonts w:eastAsia="Times New Roman"/>
                <w:b/>
                <w:bCs/>
                <w:color w:val="000000"/>
                <w:sz w:val="18"/>
                <w:szCs w:val="18"/>
              </w:rPr>
              <w:t>Number of Performance Share Awards</w:t>
            </w:r>
          </w:p>
        </w:tc>
        <w:tc>
          <w:tcPr>
            <w:tcW w:w="0" w:type="auto"/>
            <w:gridSpan w:val="3"/>
            <w:tcMar>
              <w:top w:w="0" w:type="dxa"/>
              <w:left w:w="20" w:type="dxa"/>
              <w:bottom w:w="0" w:type="dxa"/>
              <w:right w:w="20" w:type="dxa"/>
            </w:tcMar>
            <w:vAlign w:val="center"/>
            <w:hideMark/>
          </w:tcPr>
          <w:p w14:paraId="16958AA6"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F4CA51" w14:textId="77777777" w:rsidR="00000000" w:rsidRDefault="000C49AD">
            <w:pPr>
              <w:spacing w:after="100"/>
              <w:jc w:val="center"/>
              <w:rPr>
                <w:rFonts w:eastAsia="Times New Roman"/>
              </w:rPr>
            </w:pPr>
            <w:r>
              <w:rPr>
                <w:rFonts w:eastAsia="Times New Roman"/>
                <w:b/>
                <w:bCs/>
                <w:color w:val="000000"/>
                <w:sz w:val="18"/>
                <w:szCs w:val="18"/>
              </w:rPr>
              <w:t>Weighted Average Grant Date</w:t>
            </w:r>
            <w:r>
              <w:rPr>
                <w:rFonts w:eastAsia="Times New Roman"/>
                <w:b/>
                <w:bCs/>
                <w:color w:val="000000"/>
                <w:sz w:val="18"/>
                <w:szCs w:val="18"/>
              </w:rPr>
              <w:br/>
              <w:t>Fair Value</w:t>
            </w:r>
          </w:p>
        </w:tc>
      </w:tr>
      <w:tr w:rsidR="00000000" w14:paraId="3CC52A2D"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18C144F4"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97EF71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6D92A6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3BB7F5"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20D2159" w14:textId="77777777" w:rsidR="00000000" w:rsidRDefault="000C49AD">
            <w:pPr>
              <w:spacing w:after="100"/>
              <w:rPr>
                <w:rFonts w:eastAsia="Times New Roman"/>
                <w:sz w:val="20"/>
                <w:szCs w:val="20"/>
              </w:rPr>
            </w:pPr>
          </w:p>
        </w:tc>
      </w:tr>
      <w:tr w:rsidR="00000000" w14:paraId="2284FD19" w14:textId="77777777">
        <w:tc>
          <w:tcPr>
            <w:tcW w:w="0" w:type="auto"/>
            <w:gridSpan w:val="3"/>
            <w:shd w:val="clear" w:color="auto" w:fill="CCEEFF"/>
            <w:tcMar>
              <w:top w:w="30" w:type="dxa"/>
              <w:left w:w="20" w:type="dxa"/>
              <w:bottom w:w="30" w:type="dxa"/>
              <w:right w:w="20" w:type="dxa"/>
            </w:tcMar>
            <w:vAlign w:val="bottom"/>
            <w:hideMark/>
          </w:tcPr>
          <w:p w14:paraId="72EFC7D4" w14:textId="77777777" w:rsidR="00000000" w:rsidRDefault="000C49AD">
            <w:pPr>
              <w:spacing w:after="100"/>
              <w:divId w:val="354622843"/>
              <w:rPr>
                <w:rFonts w:eastAsia="Times New Roman"/>
              </w:rPr>
            </w:pPr>
            <w:r>
              <w:rPr>
                <w:rFonts w:eastAsia="Times New Roman"/>
                <w:color w:val="000000"/>
                <w:sz w:val="18"/>
                <w:szCs w:val="18"/>
              </w:rPr>
              <w:t>Non-vested performance share awards outstanding, January 1, 2021</w:t>
            </w:r>
          </w:p>
        </w:tc>
        <w:tc>
          <w:tcPr>
            <w:tcW w:w="0" w:type="auto"/>
            <w:gridSpan w:val="3"/>
            <w:shd w:val="clear" w:color="auto" w:fill="CCEEFF"/>
            <w:tcMar>
              <w:top w:w="0" w:type="dxa"/>
              <w:left w:w="20" w:type="dxa"/>
              <w:bottom w:w="0" w:type="dxa"/>
              <w:right w:w="20" w:type="dxa"/>
            </w:tcMar>
            <w:vAlign w:val="center"/>
            <w:hideMark/>
          </w:tcPr>
          <w:p w14:paraId="73D1F4CB"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A8F56C" w14:textId="77777777" w:rsidR="00000000" w:rsidRDefault="000C49AD">
            <w:pPr>
              <w:spacing w:after="100"/>
              <w:jc w:val="right"/>
              <w:rPr>
                <w:rFonts w:eastAsia="Times New Roman"/>
              </w:rPr>
            </w:pPr>
            <w:r>
              <w:rPr>
                <w:rFonts w:eastAsia="Times New Roman"/>
                <w:color w:val="000000"/>
                <w:sz w:val="18"/>
                <w:szCs w:val="18"/>
              </w:rPr>
              <w:t>257 </w:t>
            </w:r>
          </w:p>
        </w:tc>
        <w:tc>
          <w:tcPr>
            <w:tcW w:w="0" w:type="auto"/>
            <w:shd w:val="clear" w:color="auto" w:fill="CCEEFF"/>
            <w:tcMar>
              <w:top w:w="30" w:type="dxa"/>
              <w:left w:w="0" w:type="dxa"/>
              <w:bottom w:w="30" w:type="dxa"/>
              <w:right w:w="20" w:type="dxa"/>
            </w:tcMar>
            <w:vAlign w:val="bottom"/>
            <w:hideMark/>
          </w:tcPr>
          <w:p w14:paraId="64DC1CC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49EC3E"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DF8E57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08798BD" w14:textId="77777777" w:rsidR="00000000" w:rsidRDefault="000C49AD">
            <w:pPr>
              <w:spacing w:after="100"/>
              <w:jc w:val="right"/>
              <w:rPr>
                <w:rFonts w:eastAsia="Times New Roman"/>
              </w:rPr>
            </w:pPr>
            <w:r>
              <w:rPr>
                <w:rFonts w:eastAsia="Times New Roman"/>
                <w:color w:val="000000"/>
                <w:sz w:val="18"/>
                <w:szCs w:val="18"/>
              </w:rPr>
              <w:t>7.09 </w:t>
            </w:r>
          </w:p>
        </w:tc>
        <w:tc>
          <w:tcPr>
            <w:tcW w:w="0" w:type="auto"/>
            <w:shd w:val="clear" w:color="auto" w:fill="CCEEFF"/>
            <w:tcMar>
              <w:top w:w="30" w:type="dxa"/>
              <w:left w:w="0" w:type="dxa"/>
              <w:bottom w:w="30" w:type="dxa"/>
              <w:right w:w="20" w:type="dxa"/>
            </w:tcMar>
            <w:vAlign w:val="bottom"/>
            <w:hideMark/>
          </w:tcPr>
          <w:p w14:paraId="0CFB5F55" w14:textId="77777777" w:rsidR="00000000" w:rsidRDefault="000C49AD">
            <w:pPr>
              <w:spacing w:after="100"/>
              <w:jc w:val="right"/>
              <w:rPr>
                <w:rFonts w:eastAsia="Times New Roman"/>
              </w:rPr>
            </w:pPr>
          </w:p>
        </w:tc>
      </w:tr>
      <w:tr w:rsidR="00000000" w14:paraId="5D0DF91C" w14:textId="77777777">
        <w:tc>
          <w:tcPr>
            <w:tcW w:w="0" w:type="auto"/>
            <w:gridSpan w:val="3"/>
            <w:tcMar>
              <w:top w:w="30" w:type="dxa"/>
              <w:left w:w="245" w:type="dxa"/>
              <w:bottom w:w="30" w:type="dxa"/>
              <w:right w:w="20" w:type="dxa"/>
            </w:tcMar>
            <w:vAlign w:val="bottom"/>
            <w:hideMark/>
          </w:tcPr>
          <w:p w14:paraId="62EE6AEB" w14:textId="77777777" w:rsidR="00000000" w:rsidRDefault="000C49AD">
            <w:pPr>
              <w:spacing w:after="100"/>
              <w:rPr>
                <w:rFonts w:eastAsia="Times New Roman"/>
              </w:rPr>
            </w:pPr>
            <w:r>
              <w:rPr>
                <w:rFonts w:eastAsia="Times New Roman"/>
                <w:color w:val="000000"/>
                <w:sz w:val="18"/>
                <w:szCs w:val="18"/>
              </w:rPr>
              <w:t>Granted</w:t>
            </w:r>
          </w:p>
        </w:tc>
        <w:tc>
          <w:tcPr>
            <w:tcW w:w="0" w:type="auto"/>
            <w:gridSpan w:val="3"/>
            <w:tcMar>
              <w:top w:w="0" w:type="dxa"/>
              <w:left w:w="20" w:type="dxa"/>
              <w:bottom w:w="0" w:type="dxa"/>
              <w:right w:w="20" w:type="dxa"/>
            </w:tcMar>
            <w:vAlign w:val="center"/>
            <w:hideMark/>
          </w:tcPr>
          <w:p w14:paraId="6F88941B" w14:textId="77777777" w:rsidR="00000000" w:rsidRDefault="000C49AD">
            <w:pPr>
              <w:spacing w:after="100"/>
              <w:rPr>
                <w:rFonts w:eastAsia="Times New Roman"/>
              </w:rPr>
            </w:pPr>
          </w:p>
        </w:tc>
        <w:tc>
          <w:tcPr>
            <w:tcW w:w="0" w:type="auto"/>
            <w:gridSpan w:val="2"/>
            <w:tcMar>
              <w:top w:w="30" w:type="dxa"/>
              <w:left w:w="20" w:type="dxa"/>
              <w:bottom w:w="30" w:type="dxa"/>
              <w:right w:w="0" w:type="dxa"/>
            </w:tcMar>
            <w:vAlign w:val="bottom"/>
            <w:hideMark/>
          </w:tcPr>
          <w:p w14:paraId="65A6CEBC" w14:textId="77777777" w:rsidR="00000000" w:rsidRDefault="000C49AD">
            <w:pPr>
              <w:spacing w:after="100"/>
              <w:jc w:val="right"/>
              <w:rPr>
                <w:rFonts w:eastAsia="Times New Roman"/>
              </w:rPr>
            </w:pPr>
            <w:r>
              <w:rPr>
                <w:rFonts w:eastAsia="Times New Roman"/>
                <w:color w:val="000000"/>
                <w:sz w:val="18"/>
                <w:szCs w:val="18"/>
              </w:rPr>
              <w:t>285 </w:t>
            </w:r>
          </w:p>
        </w:tc>
        <w:tc>
          <w:tcPr>
            <w:tcW w:w="0" w:type="auto"/>
            <w:tcMar>
              <w:top w:w="30" w:type="dxa"/>
              <w:left w:w="0" w:type="dxa"/>
              <w:bottom w:w="30" w:type="dxa"/>
              <w:right w:w="20" w:type="dxa"/>
            </w:tcMar>
            <w:vAlign w:val="bottom"/>
            <w:hideMark/>
          </w:tcPr>
          <w:p w14:paraId="4B55F71C"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F5CDD4"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FE623FE" w14:textId="77777777" w:rsidR="00000000" w:rsidRDefault="000C49AD">
            <w:pPr>
              <w:spacing w:after="100"/>
              <w:jc w:val="right"/>
              <w:rPr>
                <w:rFonts w:eastAsia="Times New Roman"/>
              </w:rPr>
            </w:pPr>
            <w:r>
              <w:rPr>
                <w:rFonts w:eastAsia="Times New Roman"/>
                <w:color w:val="000000"/>
                <w:sz w:val="18"/>
                <w:szCs w:val="18"/>
              </w:rPr>
              <w:t>8.20 </w:t>
            </w:r>
          </w:p>
        </w:tc>
        <w:tc>
          <w:tcPr>
            <w:tcW w:w="0" w:type="auto"/>
            <w:tcMar>
              <w:top w:w="30" w:type="dxa"/>
              <w:left w:w="0" w:type="dxa"/>
              <w:bottom w:w="30" w:type="dxa"/>
              <w:right w:w="20" w:type="dxa"/>
            </w:tcMar>
            <w:vAlign w:val="bottom"/>
            <w:hideMark/>
          </w:tcPr>
          <w:p w14:paraId="1AFFA948" w14:textId="77777777" w:rsidR="00000000" w:rsidRDefault="000C49AD">
            <w:pPr>
              <w:spacing w:after="100"/>
              <w:jc w:val="right"/>
              <w:rPr>
                <w:rFonts w:eastAsia="Times New Roman"/>
              </w:rPr>
            </w:pPr>
          </w:p>
        </w:tc>
      </w:tr>
      <w:tr w:rsidR="00000000" w14:paraId="68948A8F" w14:textId="77777777">
        <w:tc>
          <w:tcPr>
            <w:tcW w:w="0" w:type="auto"/>
            <w:gridSpan w:val="3"/>
            <w:shd w:val="clear" w:color="auto" w:fill="CCEEFF"/>
            <w:tcMar>
              <w:top w:w="30" w:type="dxa"/>
              <w:left w:w="245" w:type="dxa"/>
              <w:bottom w:w="30" w:type="dxa"/>
              <w:right w:w="20" w:type="dxa"/>
            </w:tcMar>
            <w:vAlign w:val="bottom"/>
            <w:hideMark/>
          </w:tcPr>
          <w:p w14:paraId="7C1A8BB9" w14:textId="77777777" w:rsidR="00000000" w:rsidRDefault="000C49AD">
            <w:pPr>
              <w:spacing w:after="100"/>
              <w:rPr>
                <w:rFonts w:eastAsia="Times New Roman"/>
              </w:rPr>
            </w:pPr>
            <w:r>
              <w:rPr>
                <w:rFonts w:eastAsia="Times New Roman"/>
                <w:color w:val="000000"/>
                <w:sz w:val="18"/>
                <w:szCs w:val="18"/>
              </w:rPr>
              <w:t>Vested</w:t>
            </w:r>
          </w:p>
        </w:tc>
        <w:tc>
          <w:tcPr>
            <w:tcW w:w="0" w:type="auto"/>
            <w:gridSpan w:val="3"/>
            <w:shd w:val="clear" w:color="auto" w:fill="CCEEFF"/>
            <w:tcMar>
              <w:top w:w="0" w:type="dxa"/>
              <w:left w:w="20" w:type="dxa"/>
              <w:bottom w:w="0" w:type="dxa"/>
              <w:right w:w="20" w:type="dxa"/>
            </w:tcMar>
            <w:vAlign w:val="center"/>
            <w:hideMark/>
          </w:tcPr>
          <w:p w14:paraId="216F2F45"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17535AB"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4898C58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DE8ECE"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9489C"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05033F00" w14:textId="77777777" w:rsidR="00000000" w:rsidRDefault="000C49AD">
            <w:pPr>
              <w:spacing w:after="100"/>
              <w:jc w:val="right"/>
              <w:rPr>
                <w:rFonts w:eastAsia="Times New Roman"/>
              </w:rPr>
            </w:pPr>
          </w:p>
        </w:tc>
      </w:tr>
      <w:tr w:rsidR="00000000" w14:paraId="072B9D4D" w14:textId="77777777">
        <w:tc>
          <w:tcPr>
            <w:tcW w:w="0" w:type="auto"/>
            <w:gridSpan w:val="3"/>
            <w:tcMar>
              <w:top w:w="30" w:type="dxa"/>
              <w:left w:w="245" w:type="dxa"/>
              <w:bottom w:w="30" w:type="dxa"/>
              <w:right w:w="20" w:type="dxa"/>
            </w:tcMar>
            <w:vAlign w:val="bottom"/>
            <w:hideMark/>
          </w:tcPr>
          <w:p w14:paraId="25948C8F" w14:textId="77777777" w:rsidR="00000000" w:rsidRDefault="000C49AD">
            <w:pPr>
              <w:spacing w:after="100"/>
              <w:rPr>
                <w:rFonts w:eastAsia="Times New Roman"/>
              </w:rPr>
            </w:pPr>
            <w:r>
              <w:rPr>
                <w:rFonts w:eastAsia="Times New Roman"/>
                <w:color w:val="000000"/>
                <w:sz w:val="18"/>
                <w:szCs w:val="18"/>
              </w:rPr>
              <w:t>Forfeited</w:t>
            </w:r>
          </w:p>
        </w:tc>
        <w:tc>
          <w:tcPr>
            <w:tcW w:w="0" w:type="auto"/>
            <w:gridSpan w:val="3"/>
            <w:tcMar>
              <w:top w:w="0" w:type="dxa"/>
              <w:left w:w="20" w:type="dxa"/>
              <w:bottom w:w="0" w:type="dxa"/>
              <w:right w:w="20" w:type="dxa"/>
            </w:tcMar>
            <w:vAlign w:val="center"/>
            <w:hideMark/>
          </w:tcPr>
          <w:p w14:paraId="4EE1000C" w14:textId="77777777" w:rsidR="00000000" w:rsidRDefault="000C49AD">
            <w:pPr>
              <w:spacing w:after="100"/>
              <w:rPr>
                <w:rFonts w:eastAsia="Times New Roman"/>
              </w:rPr>
            </w:pPr>
          </w:p>
        </w:tc>
        <w:tc>
          <w:tcPr>
            <w:tcW w:w="0" w:type="auto"/>
            <w:gridSpan w:val="2"/>
            <w:tcMar>
              <w:top w:w="30" w:type="dxa"/>
              <w:left w:w="20" w:type="dxa"/>
              <w:bottom w:w="30" w:type="dxa"/>
              <w:right w:w="0" w:type="dxa"/>
            </w:tcMar>
            <w:vAlign w:val="bottom"/>
            <w:hideMark/>
          </w:tcPr>
          <w:p w14:paraId="28CBABBF" w14:textId="77777777" w:rsidR="00000000" w:rsidRDefault="000C49AD">
            <w:pPr>
              <w:spacing w:after="100"/>
              <w:jc w:val="right"/>
              <w:rPr>
                <w:rFonts w:eastAsia="Times New Roman"/>
              </w:rPr>
            </w:pPr>
            <w:r>
              <w:rPr>
                <w:rFonts w:eastAsia="Times New Roman"/>
                <w:color w:val="000000"/>
                <w:sz w:val="18"/>
                <w:szCs w:val="18"/>
              </w:rPr>
              <w:t>(7)</w:t>
            </w:r>
          </w:p>
        </w:tc>
        <w:tc>
          <w:tcPr>
            <w:tcW w:w="0" w:type="auto"/>
            <w:tcMar>
              <w:top w:w="30" w:type="dxa"/>
              <w:left w:w="0" w:type="dxa"/>
              <w:bottom w:w="30" w:type="dxa"/>
              <w:right w:w="20" w:type="dxa"/>
            </w:tcMar>
            <w:vAlign w:val="bottom"/>
            <w:hideMark/>
          </w:tcPr>
          <w:p w14:paraId="28887AA1"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6D54DD4" w14:textId="77777777" w:rsidR="00000000" w:rsidRDefault="000C49AD">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017819B" w14:textId="77777777" w:rsidR="00000000" w:rsidRDefault="000C49AD">
            <w:pPr>
              <w:spacing w:after="100"/>
              <w:jc w:val="right"/>
              <w:rPr>
                <w:rFonts w:eastAsia="Times New Roman"/>
              </w:rPr>
            </w:pPr>
            <w:r>
              <w:rPr>
                <w:rFonts w:eastAsia="Times New Roman"/>
                <w:color w:val="000000"/>
                <w:sz w:val="18"/>
                <w:szCs w:val="18"/>
              </w:rPr>
              <w:t>5.36 </w:t>
            </w:r>
          </w:p>
        </w:tc>
        <w:tc>
          <w:tcPr>
            <w:tcW w:w="0" w:type="auto"/>
            <w:tcMar>
              <w:top w:w="30" w:type="dxa"/>
              <w:left w:w="0" w:type="dxa"/>
              <w:bottom w:w="30" w:type="dxa"/>
              <w:right w:w="20" w:type="dxa"/>
            </w:tcMar>
            <w:vAlign w:val="bottom"/>
            <w:hideMark/>
          </w:tcPr>
          <w:p w14:paraId="70D3C4A3" w14:textId="77777777" w:rsidR="00000000" w:rsidRDefault="000C49AD">
            <w:pPr>
              <w:spacing w:after="100"/>
              <w:jc w:val="right"/>
              <w:rPr>
                <w:rFonts w:eastAsia="Times New Roman"/>
              </w:rPr>
            </w:pPr>
          </w:p>
        </w:tc>
      </w:tr>
      <w:tr w:rsidR="00000000" w14:paraId="27C6060F" w14:textId="77777777">
        <w:tc>
          <w:tcPr>
            <w:tcW w:w="0" w:type="auto"/>
            <w:gridSpan w:val="3"/>
            <w:shd w:val="clear" w:color="auto" w:fill="CCEEFF"/>
            <w:tcMar>
              <w:top w:w="30" w:type="dxa"/>
              <w:left w:w="20" w:type="dxa"/>
              <w:bottom w:w="30" w:type="dxa"/>
              <w:right w:w="20" w:type="dxa"/>
            </w:tcMar>
            <w:vAlign w:val="bottom"/>
            <w:hideMark/>
          </w:tcPr>
          <w:p w14:paraId="2F3E3EA8" w14:textId="77777777" w:rsidR="00000000" w:rsidRDefault="000C49AD">
            <w:pPr>
              <w:spacing w:after="100"/>
              <w:divId w:val="2033221260"/>
              <w:rPr>
                <w:rFonts w:eastAsia="Times New Roman"/>
              </w:rPr>
            </w:pPr>
            <w:r>
              <w:rPr>
                <w:rFonts w:eastAsia="Times New Roman"/>
                <w:color w:val="000000"/>
                <w:sz w:val="18"/>
                <w:szCs w:val="18"/>
              </w:rPr>
              <w:t>Non-vested performance share awards outstanding, December 31, 2021</w:t>
            </w:r>
          </w:p>
        </w:tc>
        <w:tc>
          <w:tcPr>
            <w:tcW w:w="0" w:type="auto"/>
            <w:gridSpan w:val="3"/>
            <w:shd w:val="clear" w:color="auto" w:fill="CCEEFF"/>
            <w:tcMar>
              <w:top w:w="0" w:type="dxa"/>
              <w:left w:w="20" w:type="dxa"/>
              <w:bottom w:w="0" w:type="dxa"/>
              <w:right w:w="20" w:type="dxa"/>
            </w:tcMar>
            <w:vAlign w:val="center"/>
            <w:hideMark/>
          </w:tcPr>
          <w:p w14:paraId="01F688E7" w14:textId="77777777" w:rsidR="00000000" w:rsidRDefault="000C49AD">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9EEBF89" w14:textId="77777777" w:rsidR="00000000" w:rsidRDefault="000C49AD">
            <w:pPr>
              <w:spacing w:after="100"/>
              <w:jc w:val="right"/>
              <w:rPr>
                <w:rFonts w:eastAsia="Times New Roman"/>
              </w:rPr>
            </w:pPr>
            <w:r>
              <w:rPr>
                <w:rFonts w:eastAsia="Times New Roman"/>
                <w:color w:val="000000"/>
                <w:sz w:val="18"/>
                <w:szCs w:val="18"/>
              </w:rPr>
              <w:t>535 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36DEC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0CB036"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D0EB8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DE745D8" w14:textId="77777777" w:rsidR="00000000" w:rsidRDefault="000C49AD">
            <w:pPr>
              <w:spacing w:after="100"/>
              <w:jc w:val="right"/>
              <w:rPr>
                <w:rFonts w:eastAsia="Times New Roman"/>
              </w:rPr>
            </w:pPr>
            <w:r>
              <w:rPr>
                <w:rFonts w:eastAsia="Times New Roman"/>
                <w:color w:val="000000"/>
                <w:sz w:val="18"/>
                <w:szCs w:val="18"/>
              </w:rPr>
              <w:t>7.71 </w:t>
            </w:r>
          </w:p>
        </w:tc>
        <w:tc>
          <w:tcPr>
            <w:tcW w:w="0" w:type="auto"/>
            <w:shd w:val="clear" w:color="auto" w:fill="CCEEFF"/>
            <w:tcMar>
              <w:top w:w="30" w:type="dxa"/>
              <w:left w:w="0" w:type="dxa"/>
              <w:bottom w:w="30" w:type="dxa"/>
              <w:right w:w="20" w:type="dxa"/>
            </w:tcMar>
            <w:vAlign w:val="bottom"/>
            <w:hideMark/>
          </w:tcPr>
          <w:p w14:paraId="0C6F6017" w14:textId="77777777" w:rsidR="00000000" w:rsidRDefault="000C49AD">
            <w:pPr>
              <w:spacing w:after="100"/>
              <w:jc w:val="right"/>
              <w:rPr>
                <w:rFonts w:eastAsia="Times New Roman"/>
              </w:rPr>
            </w:pPr>
          </w:p>
        </w:tc>
      </w:tr>
    </w:tbl>
    <w:p w14:paraId="72E32DA9" w14:textId="77777777" w:rsidR="00000000" w:rsidRDefault="000C49AD">
      <w:pPr>
        <w:jc w:val="both"/>
        <w:rPr>
          <w:rFonts w:eastAsia="Times New Roman"/>
        </w:rPr>
      </w:pPr>
    </w:p>
    <w:p w14:paraId="105B9FCA" w14:textId="77777777" w:rsidR="00000000" w:rsidRDefault="000C49AD">
      <w:pPr>
        <w:jc w:val="both"/>
        <w:rPr>
          <w:rFonts w:eastAsia="Times New Roman"/>
        </w:rPr>
      </w:pPr>
      <w:r>
        <w:rPr>
          <w:rFonts w:eastAsia="Times New Roman"/>
          <w:color w:val="000000"/>
          <w:sz w:val="20"/>
          <w:szCs w:val="20"/>
        </w:rPr>
        <w:t xml:space="preserve">The weighted average grant date fair value of performance share awards granted during the years ended December 31, 2021 and 2020 was $8.20 and $7.09 per share, respectively. There were no performance share awards granted during the year ended December 31, </w:t>
      </w:r>
      <w:r>
        <w:rPr>
          <w:rFonts w:eastAsia="Times New Roman"/>
          <w:color w:val="000000"/>
          <w:sz w:val="20"/>
          <w:szCs w:val="20"/>
        </w:rPr>
        <w:t xml:space="preserve">2019. </w:t>
      </w:r>
    </w:p>
    <w:p w14:paraId="260DB15F" w14:textId="77777777" w:rsidR="00000000" w:rsidRDefault="000C49AD">
      <w:pPr>
        <w:divId w:val="193886650"/>
        <w:rPr>
          <w:rFonts w:eastAsia="Times New Roman"/>
        </w:rPr>
      </w:pPr>
    </w:p>
    <w:p w14:paraId="765A4AB2" w14:textId="77777777" w:rsidR="00000000" w:rsidRDefault="000C49AD">
      <w:pPr>
        <w:jc w:val="center"/>
        <w:divId w:val="57365310"/>
        <w:rPr>
          <w:rFonts w:eastAsia="Times New Roman"/>
        </w:rPr>
      </w:pPr>
      <w:r>
        <w:rPr>
          <w:rFonts w:eastAsia="Times New Roman"/>
          <w:color w:val="000000"/>
          <w:sz w:val="20"/>
          <w:szCs w:val="20"/>
        </w:rPr>
        <w:t>-102-</w:t>
      </w:r>
    </w:p>
    <w:p w14:paraId="00F08FEB" w14:textId="77777777" w:rsidR="00000000" w:rsidRDefault="000C49AD">
      <w:pPr>
        <w:rPr>
          <w:rFonts w:eastAsia="Times New Roman"/>
        </w:rPr>
      </w:pPr>
      <w:r>
        <w:rPr>
          <w:rFonts w:eastAsia="Times New Roman"/>
        </w:rPr>
        <w:pict w14:anchorId="3F0DD759">
          <v:rect id="_x0000_i1127" style="width:0;height:1.5pt" o:hralign="center" o:hrstd="t" o:hr="t" fillcolor="#a0a0a0" stroked="f"/>
        </w:pict>
      </w:r>
    </w:p>
    <w:p w14:paraId="27CDEA96" w14:textId="77777777" w:rsidR="00000000" w:rsidRDefault="000C49AD">
      <w:pPr>
        <w:divId w:val="1505392722"/>
        <w:rPr>
          <w:rFonts w:eastAsia="Times New Roman"/>
        </w:rPr>
      </w:pPr>
    </w:p>
    <w:p w14:paraId="21AD4986" w14:textId="77777777" w:rsidR="00000000" w:rsidRDefault="000C49AD">
      <w:pPr>
        <w:jc w:val="both"/>
        <w:rPr>
          <w:rFonts w:eastAsia="Times New Roman"/>
        </w:rPr>
      </w:pPr>
      <w:r>
        <w:rPr>
          <w:rFonts w:eastAsia="Times New Roman"/>
          <w:b/>
          <w:bCs/>
          <w:i/>
          <w:iCs/>
          <w:color w:val="000000"/>
          <w:sz w:val="20"/>
          <w:szCs w:val="20"/>
        </w:rPr>
        <w:t>Employee Share Purchase Plan</w:t>
      </w:r>
    </w:p>
    <w:p w14:paraId="0FEA4E2C" w14:textId="77777777" w:rsidR="00000000" w:rsidRDefault="000C49AD">
      <w:pPr>
        <w:jc w:val="both"/>
        <w:rPr>
          <w:rFonts w:eastAsia="Times New Roman"/>
        </w:rPr>
      </w:pPr>
    </w:p>
    <w:p w14:paraId="2AC59775" w14:textId="77777777" w:rsidR="00000000" w:rsidRDefault="000C49AD">
      <w:pPr>
        <w:jc w:val="both"/>
        <w:rPr>
          <w:rFonts w:eastAsia="Times New Roman"/>
        </w:rPr>
      </w:pPr>
      <w:r>
        <w:rPr>
          <w:rFonts w:eastAsia="Times New Roman"/>
          <w:color w:val="000000"/>
          <w:sz w:val="20"/>
          <w:szCs w:val="20"/>
        </w:rPr>
        <w:t xml:space="preserve">In 2017, the Board of Directors approved the Avadel Pharmaceuticals plc 2017 Avadel Employee Share Purchase Plan (“ESPP”). The total number of Company ordinary shares, nominal value $0.01 per share, or ADSs representing such ordinary shares (collectively, </w:t>
      </w:r>
      <w:r>
        <w:rPr>
          <w:rFonts w:eastAsia="Times New Roman"/>
          <w:color w:val="000000"/>
          <w:sz w:val="20"/>
          <w:szCs w:val="20"/>
        </w:rPr>
        <w:t>“Shares”) which may be issued under the ESPP is 1,000. The purchase price at which a share will be issued or sold for a given offering period will be established by the Compensation Committee of the Board (“Committee”) (and may differ among participants, a</w:t>
      </w:r>
      <w:r>
        <w:rPr>
          <w:rFonts w:eastAsia="Times New Roman"/>
          <w:color w:val="000000"/>
          <w:sz w:val="20"/>
          <w:szCs w:val="20"/>
        </w:rPr>
        <w:t>s determined by the Committee in its sole discretion) but will in no event be less than 85% of the lesser of: (a) the fair market value of a Share on the offering date; or (b) the fair market value of a Share on the purchase date. During the years ended De</w:t>
      </w:r>
      <w:r>
        <w:rPr>
          <w:rFonts w:eastAsia="Times New Roman"/>
          <w:color w:val="000000"/>
          <w:sz w:val="20"/>
          <w:szCs w:val="20"/>
        </w:rPr>
        <w:t>cember 31, 2021 and 2020, the Company issued 17 and 49 ordinary shares to employees, respectively. Expense related to the ESPP for the years ended December 31, 2021, 2020 and 2019 was immaterial.</w:t>
      </w:r>
    </w:p>
    <w:p w14:paraId="79503ECD" w14:textId="77777777" w:rsidR="00000000" w:rsidRDefault="000C49AD">
      <w:pPr>
        <w:jc w:val="both"/>
        <w:rPr>
          <w:rFonts w:eastAsia="Times New Roman"/>
        </w:rPr>
      </w:pPr>
    </w:p>
    <w:p w14:paraId="1686381F" w14:textId="77777777" w:rsidR="00000000" w:rsidRDefault="000C49AD">
      <w:pPr>
        <w:jc w:val="both"/>
        <w:divId w:val="772896415"/>
        <w:rPr>
          <w:rFonts w:eastAsia="Times New Roman"/>
        </w:rPr>
      </w:pPr>
      <w:r>
        <w:rPr>
          <w:rFonts w:eastAsia="Times New Roman"/>
          <w:b/>
          <w:bCs/>
          <w:color w:val="000000"/>
          <w:sz w:val="20"/>
          <w:szCs w:val="20"/>
        </w:rPr>
        <w:t>NOTE 19:</w:t>
      </w:r>
      <w:r>
        <w:rPr>
          <w:rFonts w:eastAsia="Times New Roman"/>
          <w:color w:val="000000"/>
          <w:sz w:val="20"/>
          <w:szCs w:val="20"/>
        </w:rPr>
        <w:t xml:space="preserve"> </w:t>
      </w:r>
      <w:r>
        <w:rPr>
          <w:rFonts w:eastAsia="Times New Roman"/>
          <w:b/>
          <w:bCs/>
          <w:color w:val="000000"/>
          <w:sz w:val="20"/>
          <w:szCs w:val="20"/>
        </w:rPr>
        <w:t>Net (Loss) Income Per Share</w:t>
      </w:r>
      <w:r>
        <w:rPr>
          <w:rFonts w:eastAsia="Times New Roman"/>
          <w:color w:val="000000"/>
          <w:sz w:val="20"/>
          <w:szCs w:val="20"/>
        </w:rPr>
        <w:t> </w:t>
      </w:r>
    </w:p>
    <w:p w14:paraId="3623BFE0" w14:textId="77777777" w:rsidR="00000000" w:rsidRDefault="000C49AD">
      <w:pPr>
        <w:jc w:val="both"/>
        <w:rPr>
          <w:rFonts w:eastAsia="Times New Roman"/>
        </w:rPr>
      </w:pPr>
      <w:r>
        <w:rPr>
          <w:rFonts w:eastAsia="Times New Roman"/>
          <w:color w:val="000000"/>
          <w:sz w:val="20"/>
          <w:szCs w:val="20"/>
        </w:rPr>
        <w:t>Basic net (loss) inc</w:t>
      </w:r>
      <w:r>
        <w:rPr>
          <w:rFonts w:eastAsia="Times New Roman"/>
          <w:color w:val="000000"/>
          <w:sz w:val="20"/>
          <w:szCs w:val="20"/>
        </w:rPr>
        <w:t>ome per share is calculated by dividing net (loss) income by the weighted average number of shares outstanding during each period. Diluted net (loss) income per share is calculated by dividing net (loss) income - diluted by the diluted number of shares out</w:t>
      </w:r>
      <w:r>
        <w:rPr>
          <w:rFonts w:eastAsia="Times New Roman"/>
          <w:color w:val="000000"/>
          <w:sz w:val="20"/>
          <w:szCs w:val="20"/>
        </w:rPr>
        <w:t>standing during each period. Except where the result would be anti-dilutive to net (loss) income, diluted net (loss) income per share would be calculated assuming the impact of the conversion of the 2023 Notes, the conversion of the Company’s preferred sha</w:t>
      </w:r>
      <w:r>
        <w:rPr>
          <w:rFonts w:eastAsia="Times New Roman"/>
          <w:color w:val="000000"/>
          <w:sz w:val="20"/>
          <w:szCs w:val="20"/>
        </w:rPr>
        <w:t>res, the exercise of outstanding equity compensation awards, and ordinary shares expected to be issued under the Company’s ESPP.</w:t>
      </w:r>
    </w:p>
    <w:p w14:paraId="1484BA36" w14:textId="77777777" w:rsidR="00000000" w:rsidRDefault="000C49AD">
      <w:pPr>
        <w:jc w:val="both"/>
        <w:rPr>
          <w:rFonts w:eastAsia="Times New Roman"/>
        </w:rPr>
      </w:pPr>
    </w:p>
    <w:p w14:paraId="42E8682F" w14:textId="77777777" w:rsidR="00000000" w:rsidRDefault="000C49AD">
      <w:pPr>
        <w:jc w:val="both"/>
        <w:rPr>
          <w:rFonts w:eastAsia="Times New Roman"/>
        </w:rPr>
      </w:pPr>
      <w:r>
        <w:rPr>
          <w:rFonts w:eastAsia="Times New Roman"/>
          <w:color w:val="000000"/>
          <w:sz w:val="20"/>
          <w:szCs w:val="20"/>
        </w:rPr>
        <w:t>The Company has a choice to settle the conversion obligation under the 2023 Notes in cash, shares or any combination of the t</w:t>
      </w:r>
      <w:r>
        <w:rPr>
          <w:rFonts w:eastAsia="Times New Roman"/>
          <w:color w:val="000000"/>
          <w:sz w:val="20"/>
          <w:szCs w:val="20"/>
        </w:rPr>
        <w:t>wo. The Company utilizes the if-converted method to reflect the impact of the conversion of the 2023 Notes, unless the result is anti-dilutive. This method assumes the conversion of the 2023 Notes into shares of the Company’s ordinary shares and reflects t</w:t>
      </w:r>
      <w:r>
        <w:rPr>
          <w:rFonts w:eastAsia="Times New Roman"/>
          <w:color w:val="000000"/>
          <w:sz w:val="20"/>
          <w:szCs w:val="20"/>
        </w:rPr>
        <w:t>he elimination of the interest expense related to the 2023 Notes.</w:t>
      </w:r>
    </w:p>
    <w:p w14:paraId="68F1A040" w14:textId="77777777" w:rsidR="00000000" w:rsidRDefault="000C49AD">
      <w:pPr>
        <w:jc w:val="both"/>
        <w:rPr>
          <w:rFonts w:eastAsia="Times New Roman"/>
        </w:rPr>
      </w:pPr>
    </w:p>
    <w:p w14:paraId="189D948A" w14:textId="77777777" w:rsidR="00000000" w:rsidRDefault="000C49AD">
      <w:pPr>
        <w:jc w:val="both"/>
        <w:rPr>
          <w:rFonts w:eastAsia="Times New Roman"/>
        </w:rPr>
      </w:pPr>
      <w:r>
        <w:rPr>
          <w:rFonts w:eastAsia="Times New Roman"/>
          <w:color w:val="000000"/>
          <w:sz w:val="20"/>
          <w:szCs w:val="20"/>
        </w:rPr>
        <w:t>The dilutive effect of the stock options, restricted stock units, preferred shares and ordinary shares expected to be issued under the Company’s ESPP has been calculated using the treasury</w:t>
      </w:r>
      <w:r>
        <w:rPr>
          <w:rFonts w:eastAsia="Times New Roman"/>
          <w:color w:val="000000"/>
          <w:sz w:val="20"/>
          <w:szCs w:val="20"/>
        </w:rPr>
        <w:t xml:space="preserve"> stock method. The dilutive effect of the PSUs will be calculated using the treasury stock method, if and when the contingent vesting condition is achieved.</w:t>
      </w:r>
    </w:p>
    <w:p w14:paraId="70582B13" w14:textId="77777777" w:rsidR="00000000" w:rsidRDefault="000C49AD">
      <w:pPr>
        <w:jc w:val="both"/>
        <w:rPr>
          <w:rFonts w:eastAsia="Times New Roman"/>
        </w:rPr>
      </w:pPr>
    </w:p>
    <w:p w14:paraId="017979E8" w14:textId="77777777" w:rsidR="00000000" w:rsidRDefault="000C49AD">
      <w:pPr>
        <w:jc w:val="both"/>
        <w:divId w:val="1690138506"/>
        <w:rPr>
          <w:rFonts w:eastAsia="Times New Roman"/>
        </w:rPr>
      </w:pPr>
      <w:r>
        <w:rPr>
          <w:rFonts w:eastAsia="Times New Roman"/>
          <w:color w:val="000000"/>
          <w:sz w:val="20"/>
          <w:szCs w:val="20"/>
        </w:rPr>
        <w:t>A reconciliation of basic and diluted net (loss) income per share, together with the related shar</w:t>
      </w:r>
      <w:r>
        <w:rPr>
          <w:rFonts w:eastAsia="Times New Roman"/>
          <w:color w:val="000000"/>
          <w:sz w:val="20"/>
          <w:szCs w:val="20"/>
        </w:rPr>
        <w:t>es outstanding in thousands for the years ended December 31, 2021, 2020 and 2019, is as follows:   </w:t>
      </w:r>
    </w:p>
    <w:tbl>
      <w:tblPr>
        <w:tblW w:w="4985" w:type="pct"/>
        <w:tblCellMar>
          <w:top w:w="15" w:type="dxa"/>
          <w:left w:w="15" w:type="dxa"/>
          <w:bottom w:w="15" w:type="dxa"/>
          <w:right w:w="15" w:type="dxa"/>
        </w:tblCellMar>
        <w:tblLook w:val="04A0" w:firstRow="1" w:lastRow="0" w:firstColumn="1" w:lastColumn="0" w:noHBand="0" w:noVBand="1"/>
      </w:tblPr>
      <w:tblGrid>
        <w:gridCol w:w="40"/>
        <w:gridCol w:w="4525"/>
        <w:gridCol w:w="39"/>
        <w:gridCol w:w="36"/>
        <w:gridCol w:w="36"/>
        <w:gridCol w:w="36"/>
        <w:gridCol w:w="110"/>
        <w:gridCol w:w="980"/>
        <w:gridCol w:w="36"/>
        <w:gridCol w:w="36"/>
        <w:gridCol w:w="36"/>
        <w:gridCol w:w="36"/>
        <w:gridCol w:w="110"/>
        <w:gridCol w:w="955"/>
        <w:gridCol w:w="36"/>
        <w:gridCol w:w="36"/>
        <w:gridCol w:w="36"/>
        <w:gridCol w:w="36"/>
        <w:gridCol w:w="110"/>
        <w:gridCol w:w="980"/>
        <w:gridCol w:w="36"/>
      </w:tblGrid>
      <w:tr w:rsidR="00000000" w14:paraId="467D4D57" w14:textId="77777777">
        <w:trPr>
          <w:divId w:val="1264075903"/>
        </w:trPr>
        <w:tc>
          <w:tcPr>
            <w:tcW w:w="50" w:type="pct"/>
            <w:vAlign w:val="center"/>
            <w:hideMark/>
          </w:tcPr>
          <w:p w14:paraId="2C467274" w14:textId="77777777" w:rsidR="00000000" w:rsidRDefault="000C49AD">
            <w:pPr>
              <w:jc w:val="both"/>
              <w:rPr>
                <w:rFonts w:eastAsia="Times New Roman"/>
              </w:rPr>
            </w:pPr>
          </w:p>
        </w:tc>
        <w:tc>
          <w:tcPr>
            <w:tcW w:w="2760" w:type="pct"/>
            <w:vAlign w:val="center"/>
            <w:hideMark/>
          </w:tcPr>
          <w:p w14:paraId="25A19653" w14:textId="77777777" w:rsidR="00000000" w:rsidRDefault="000C49AD">
            <w:pPr>
              <w:spacing w:after="100"/>
              <w:rPr>
                <w:rFonts w:eastAsia="Times New Roman"/>
                <w:sz w:val="20"/>
                <w:szCs w:val="20"/>
              </w:rPr>
            </w:pPr>
          </w:p>
        </w:tc>
        <w:tc>
          <w:tcPr>
            <w:tcW w:w="5" w:type="pct"/>
            <w:vAlign w:val="center"/>
            <w:hideMark/>
          </w:tcPr>
          <w:p w14:paraId="4310A663" w14:textId="77777777" w:rsidR="00000000" w:rsidRDefault="000C49AD">
            <w:pPr>
              <w:spacing w:after="100"/>
              <w:rPr>
                <w:rFonts w:eastAsia="Times New Roman"/>
                <w:sz w:val="20"/>
                <w:szCs w:val="20"/>
              </w:rPr>
            </w:pPr>
          </w:p>
        </w:tc>
        <w:tc>
          <w:tcPr>
            <w:tcW w:w="5" w:type="pct"/>
            <w:vAlign w:val="center"/>
            <w:hideMark/>
          </w:tcPr>
          <w:p w14:paraId="70CBF6F2" w14:textId="77777777" w:rsidR="00000000" w:rsidRDefault="000C49AD">
            <w:pPr>
              <w:spacing w:after="100"/>
              <w:rPr>
                <w:rFonts w:eastAsia="Times New Roman"/>
                <w:sz w:val="20"/>
                <w:szCs w:val="20"/>
              </w:rPr>
            </w:pPr>
          </w:p>
        </w:tc>
        <w:tc>
          <w:tcPr>
            <w:tcW w:w="26" w:type="pct"/>
            <w:vAlign w:val="center"/>
            <w:hideMark/>
          </w:tcPr>
          <w:p w14:paraId="5BCD954D" w14:textId="77777777" w:rsidR="00000000" w:rsidRDefault="000C49AD">
            <w:pPr>
              <w:spacing w:after="100"/>
              <w:rPr>
                <w:rFonts w:eastAsia="Times New Roman"/>
                <w:sz w:val="20"/>
                <w:szCs w:val="20"/>
              </w:rPr>
            </w:pPr>
          </w:p>
        </w:tc>
        <w:tc>
          <w:tcPr>
            <w:tcW w:w="5" w:type="pct"/>
            <w:vAlign w:val="center"/>
            <w:hideMark/>
          </w:tcPr>
          <w:p w14:paraId="78E5A0AF" w14:textId="77777777" w:rsidR="00000000" w:rsidRDefault="000C49AD">
            <w:pPr>
              <w:spacing w:after="100"/>
              <w:rPr>
                <w:rFonts w:eastAsia="Times New Roman"/>
                <w:sz w:val="20"/>
                <w:szCs w:val="20"/>
              </w:rPr>
            </w:pPr>
          </w:p>
        </w:tc>
        <w:tc>
          <w:tcPr>
            <w:tcW w:w="50" w:type="pct"/>
            <w:vAlign w:val="center"/>
            <w:hideMark/>
          </w:tcPr>
          <w:p w14:paraId="1C524121" w14:textId="77777777" w:rsidR="00000000" w:rsidRDefault="000C49AD">
            <w:pPr>
              <w:spacing w:after="100"/>
              <w:rPr>
                <w:rFonts w:eastAsia="Times New Roman"/>
                <w:sz w:val="20"/>
                <w:szCs w:val="20"/>
              </w:rPr>
            </w:pPr>
          </w:p>
        </w:tc>
        <w:tc>
          <w:tcPr>
            <w:tcW w:w="641" w:type="pct"/>
            <w:vAlign w:val="center"/>
            <w:hideMark/>
          </w:tcPr>
          <w:p w14:paraId="1A9943AA" w14:textId="77777777" w:rsidR="00000000" w:rsidRDefault="000C49AD">
            <w:pPr>
              <w:spacing w:after="100"/>
              <w:rPr>
                <w:rFonts w:eastAsia="Times New Roman"/>
                <w:sz w:val="20"/>
                <w:szCs w:val="20"/>
              </w:rPr>
            </w:pPr>
          </w:p>
        </w:tc>
        <w:tc>
          <w:tcPr>
            <w:tcW w:w="5" w:type="pct"/>
            <w:vAlign w:val="center"/>
            <w:hideMark/>
          </w:tcPr>
          <w:p w14:paraId="04C59ED6" w14:textId="77777777" w:rsidR="00000000" w:rsidRDefault="000C49AD">
            <w:pPr>
              <w:spacing w:after="100"/>
              <w:rPr>
                <w:rFonts w:eastAsia="Times New Roman"/>
                <w:sz w:val="20"/>
                <w:szCs w:val="20"/>
              </w:rPr>
            </w:pPr>
          </w:p>
        </w:tc>
        <w:tc>
          <w:tcPr>
            <w:tcW w:w="5" w:type="pct"/>
            <w:vAlign w:val="center"/>
            <w:hideMark/>
          </w:tcPr>
          <w:p w14:paraId="2C6B358F" w14:textId="77777777" w:rsidR="00000000" w:rsidRDefault="000C49AD">
            <w:pPr>
              <w:spacing w:after="100"/>
              <w:rPr>
                <w:rFonts w:eastAsia="Times New Roman"/>
                <w:sz w:val="20"/>
                <w:szCs w:val="20"/>
              </w:rPr>
            </w:pPr>
          </w:p>
        </w:tc>
        <w:tc>
          <w:tcPr>
            <w:tcW w:w="26" w:type="pct"/>
            <w:vAlign w:val="center"/>
            <w:hideMark/>
          </w:tcPr>
          <w:p w14:paraId="27F2832C" w14:textId="77777777" w:rsidR="00000000" w:rsidRDefault="000C49AD">
            <w:pPr>
              <w:spacing w:after="100"/>
              <w:rPr>
                <w:rFonts w:eastAsia="Times New Roman"/>
                <w:sz w:val="20"/>
                <w:szCs w:val="20"/>
              </w:rPr>
            </w:pPr>
          </w:p>
        </w:tc>
        <w:tc>
          <w:tcPr>
            <w:tcW w:w="5" w:type="pct"/>
            <w:vAlign w:val="center"/>
            <w:hideMark/>
          </w:tcPr>
          <w:p w14:paraId="1D9EE8C2" w14:textId="77777777" w:rsidR="00000000" w:rsidRDefault="000C49AD">
            <w:pPr>
              <w:spacing w:after="100"/>
              <w:rPr>
                <w:rFonts w:eastAsia="Times New Roman"/>
                <w:sz w:val="20"/>
                <w:szCs w:val="20"/>
              </w:rPr>
            </w:pPr>
          </w:p>
        </w:tc>
        <w:tc>
          <w:tcPr>
            <w:tcW w:w="50" w:type="pct"/>
            <w:vAlign w:val="center"/>
            <w:hideMark/>
          </w:tcPr>
          <w:p w14:paraId="74540FAC" w14:textId="77777777" w:rsidR="00000000" w:rsidRDefault="000C49AD">
            <w:pPr>
              <w:spacing w:after="100"/>
              <w:rPr>
                <w:rFonts w:eastAsia="Times New Roman"/>
                <w:sz w:val="20"/>
                <w:szCs w:val="20"/>
              </w:rPr>
            </w:pPr>
          </w:p>
        </w:tc>
        <w:tc>
          <w:tcPr>
            <w:tcW w:w="626" w:type="pct"/>
            <w:vAlign w:val="center"/>
            <w:hideMark/>
          </w:tcPr>
          <w:p w14:paraId="57EA3856" w14:textId="77777777" w:rsidR="00000000" w:rsidRDefault="000C49AD">
            <w:pPr>
              <w:spacing w:after="100"/>
              <w:rPr>
                <w:rFonts w:eastAsia="Times New Roman"/>
                <w:sz w:val="20"/>
                <w:szCs w:val="20"/>
              </w:rPr>
            </w:pPr>
          </w:p>
        </w:tc>
        <w:tc>
          <w:tcPr>
            <w:tcW w:w="5" w:type="pct"/>
            <w:vAlign w:val="center"/>
            <w:hideMark/>
          </w:tcPr>
          <w:p w14:paraId="4F802903" w14:textId="77777777" w:rsidR="00000000" w:rsidRDefault="000C49AD">
            <w:pPr>
              <w:spacing w:after="100"/>
              <w:rPr>
                <w:rFonts w:eastAsia="Times New Roman"/>
                <w:sz w:val="20"/>
                <w:szCs w:val="20"/>
              </w:rPr>
            </w:pPr>
          </w:p>
        </w:tc>
        <w:tc>
          <w:tcPr>
            <w:tcW w:w="5" w:type="pct"/>
            <w:vAlign w:val="center"/>
            <w:hideMark/>
          </w:tcPr>
          <w:p w14:paraId="02B235E7" w14:textId="77777777" w:rsidR="00000000" w:rsidRDefault="000C49AD">
            <w:pPr>
              <w:spacing w:after="100"/>
              <w:rPr>
                <w:rFonts w:eastAsia="Times New Roman"/>
                <w:sz w:val="20"/>
                <w:szCs w:val="20"/>
              </w:rPr>
            </w:pPr>
          </w:p>
        </w:tc>
        <w:tc>
          <w:tcPr>
            <w:tcW w:w="26" w:type="pct"/>
            <w:vAlign w:val="center"/>
            <w:hideMark/>
          </w:tcPr>
          <w:p w14:paraId="09CAA248" w14:textId="77777777" w:rsidR="00000000" w:rsidRDefault="000C49AD">
            <w:pPr>
              <w:spacing w:after="100"/>
              <w:rPr>
                <w:rFonts w:eastAsia="Times New Roman"/>
                <w:sz w:val="20"/>
                <w:szCs w:val="20"/>
              </w:rPr>
            </w:pPr>
          </w:p>
        </w:tc>
        <w:tc>
          <w:tcPr>
            <w:tcW w:w="5" w:type="pct"/>
            <w:vAlign w:val="center"/>
            <w:hideMark/>
          </w:tcPr>
          <w:p w14:paraId="3DC062F3" w14:textId="77777777" w:rsidR="00000000" w:rsidRDefault="000C49AD">
            <w:pPr>
              <w:spacing w:after="100"/>
              <w:rPr>
                <w:rFonts w:eastAsia="Times New Roman"/>
                <w:sz w:val="20"/>
                <w:szCs w:val="20"/>
              </w:rPr>
            </w:pPr>
          </w:p>
        </w:tc>
        <w:tc>
          <w:tcPr>
            <w:tcW w:w="50" w:type="pct"/>
            <w:vAlign w:val="center"/>
            <w:hideMark/>
          </w:tcPr>
          <w:p w14:paraId="18A0D6FE" w14:textId="77777777" w:rsidR="00000000" w:rsidRDefault="000C49AD">
            <w:pPr>
              <w:spacing w:after="100"/>
              <w:rPr>
                <w:rFonts w:eastAsia="Times New Roman"/>
                <w:sz w:val="20"/>
                <w:szCs w:val="20"/>
              </w:rPr>
            </w:pPr>
          </w:p>
        </w:tc>
        <w:tc>
          <w:tcPr>
            <w:tcW w:w="641" w:type="pct"/>
            <w:vAlign w:val="center"/>
            <w:hideMark/>
          </w:tcPr>
          <w:p w14:paraId="6D6486D8" w14:textId="77777777" w:rsidR="00000000" w:rsidRDefault="000C49AD">
            <w:pPr>
              <w:spacing w:after="100"/>
              <w:rPr>
                <w:rFonts w:eastAsia="Times New Roman"/>
                <w:sz w:val="20"/>
                <w:szCs w:val="20"/>
              </w:rPr>
            </w:pPr>
          </w:p>
        </w:tc>
        <w:tc>
          <w:tcPr>
            <w:tcW w:w="5" w:type="pct"/>
            <w:vAlign w:val="center"/>
            <w:hideMark/>
          </w:tcPr>
          <w:p w14:paraId="4495EBA1" w14:textId="77777777" w:rsidR="00000000" w:rsidRDefault="000C49AD">
            <w:pPr>
              <w:spacing w:after="100"/>
              <w:rPr>
                <w:rFonts w:eastAsia="Times New Roman"/>
                <w:sz w:val="20"/>
                <w:szCs w:val="20"/>
              </w:rPr>
            </w:pPr>
          </w:p>
        </w:tc>
      </w:tr>
      <w:tr w:rsidR="00000000" w14:paraId="06661279" w14:textId="77777777">
        <w:trPr>
          <w:divId w:val="1264075903"/>
        </w:trPr>
        <w:tc>
          <w:tcPr>
            <w:tcW w:w="0" w:type="auto"/>
            <w:gridSpan w:val="3"/>
            <w:tcMar>
              <w:top w:w="30" w:type="dxa"/>
              <w:left w:w="20" w:type="dxa"/>
              <w:bottom w:w="30" w:type="dxa"/>
              <w:right w:w="20" w:type="dxa"/>
            </w:tcMar>
            <w:vAlign w:val="bottom"/>
            <w:hideMark/>
          </w:tcPr>
          <w:p w14:paraId="500CD1E1" w14:textId="77777777" w:rsidR="00000000" w:rsidRDefault="000C49AD">
            <w:pPr>
              <w:spacing w:after="100"/>
              <w:rPr>
                <w:rFonts w:eastAsia="Times New Roman"/>
              </w:rPr>
            </w:pPr>
            <w:r>
              <w:rPr>
                <w:rFonts w:eastAsia="Times New Roman"/>
                <w:b/>
                <w:bCs/>
                <w:color w:val="000000"/>
                <w:sz w:val="18"/>
                <w:szCs w:val="18"/>
              </w:rPr>
              <w:t xml:space="preserve">Net (Loss) Income Per Share: </w:t>
            </w:r>
          </w:p>
        </w:tc>
        <w:tc>
          <w:tcPr>
            <w:tcW w:w="0" w:type="auto"/>
            <w:gridSpan w:val="3"/>
            <w:tcMar>
              <w:top w:w="0" w:type="dxa"/>
              <w:left w:w="20" w:type="dxa"/>
              <w:bottom w:w="0" w:type="dxa"/>
              <w:right w:w="20" w:type="dxa"/>
            </w:tcMar>
            <w:vAlign w:val="center"/>
            <w:hideMark/>
          </w:tcPr>
          <w:p w14:paraId="16DC8553"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24F379CD"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2B946D3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2F86BD"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5250E8BC"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4FD59AE"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573204B8" w14:textId="77777777">
        <w:trPr>
          <w:divId w:val="1264075903"/>
          <w:trHeight w:val="60"/>
        </w:trPr>
        <w:tc>
          <w:tcPr>
            <w:tcW w:w="0" w:type="auto"/>
            <w:gridSpan w:val="3"/>
            <w:tcBorders>
              <w:top w:val="single" w:sz="8" w:space="0" w:color="000000"/>
            </w:tcBorders>
            <w:tcMar>
              <w:top w:w="0" w:type="dxa"/>
              <w:left w:w="20" w:type="dxa"/>
              <w:bottom w:w="0" w:type="dxa"/>
              <w:right w:w="20" w:type="dxa"/>
            </w:tcMar>
            <w:vAlign w:val="center"/>
            <w:hideMark/>
          </w:tcPr>
          <w:p w14:paraId="14DF7085"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AEC598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832BD1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8D3F0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B6B17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C2696F"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53AD73" w14:textId="77777777" w:rsidR="00000000" w:rsidRDefault="000C49AD">
            <w:pPr>
              <w:spacing w:after="100"/>
              <w:rPr>
                <w:rFonts w:eastAsia="Times New Roman"/>
                <w:sz w:val="20"/>
                <w:szCs w:val="20"/>
              </w:rPr>
            </w:pPr>
          </w:p>
        </w:tc>
      </w:tr>
      <w:tr w:rsidR="00000000" w14:paraId="17DD5C16" w14:textId="77777777">
        <w:trPr>
          <w:divId w:val="1264075903"/>
        </w:trPr>
        <w:tc>
          <w:tcPr>
            <w:tcW w:w="0" w:type="auto"/>
            <w:gridSpan w:val="3"/>
            <w:shd w:val="clear" w:color="auto" w:fill="CCEEFF"/>
            <w:tcMar>
              <w:top w:w="30" w:type="dxa"/>
              <w:left w:w="155" w:type="dxa"/>
              <w:bottom w:w="30" w:type="dxa"/>
              <w:right w:w="20" w:type="dxa"/>
            </w:tcMar>
            <w:vAlign w:val="bottom"/>
            <w:hideMark/>
          </w:tcPr>
          <w:p w14:paraId="34EBEEEC" w14:textId="77777777" w:rsidR="00000000" w:rsidRDefault="000C49AD">
            <w:pPr>
              <w:spacing w:after="100"/>
              <w:rPr>
                <w:rFonts w:eastAsia="Times New Roman"/>
              </w:rPr>
            </w:pPr>
            <w:r>
              <w:rPr>
                <w:rFonts w:eastAsia="Times New Roman"/>
                <w:color w:val="000000"/>
                <w:sz w:val="18"/>
                <w:szCs w:val="18"/>
              </w:rPr>
              <w:t>Net (loss) income</w:t>
            </w:r>
          </w:p>
        </w:tc>
        <w:tc>
          <w:tcPr>
            <w:tcW w:w="0" w:type="auto"/>
            <w:gridSpan w:val="3"/>
            <w:shd w:val="clear" w:color="auto" w:fill="CCEEFF"/>
            <w:tcMar>
              <w:top w:w="0" w:type="dxa"/>
              <w:left w:w="20" w:type="dxa"/>
              <w:bottom w:w="0" w:type="dxa"/>
              <w:right w:w="20" w:type="dxa"/>
            </w:tcMar>
            <w:vAlign w:val="center"/>
            <w:hideMark/>
          </w:tcPr>
          <w:p w14:paraId="5A3992AC"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DBCC080"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D31DD8A" w14:textId="77777777" w:rsidR="00000000" w:rsidRDefault="000C49AD">
            <w:pPr>
              <w:spacing w:after="100"/>
              <w:jc w:val="right"/>
              <w:rPr>
                <w:rFonts w:eastAsia="Times New Roman"/>
              </w:rPr>
            </w:pPr>
            <w:r>
              <w:rPr>
                <w:rFonts w:eastAsia="Times New Roman"/>
                <w:color w:val="000000"/>
                <w:sz w:val="18"/>
                <w:szCs w:val="18"/>
              </w:rPr>
              <w:t>(77,329)</w:t>
            </w:r>
          </w:p>
        </w:tc>
        <w:tc>
          <w:tcPr>
            <w:tcW w:w="0" w:type="auto"/>
            <w:shd w:val="clear" w:color="auto" w:fill="CCEEFF"/>
            <w:tcMar>
              <w:top w:w="30" w:type="dxa"/>
              <w:left w:w="0" w:type="dxa"/>
              <w:bottom w:w="30" w:type="dxa"/>
              <w:right w:w="20" w:type="dxa"/>
            </w:tcMar>
            <w:vAlign w:val="bottom"/>
            <w:hideMark/>
          </w:tcPr>
          <w:p w14:paraId="7D0CFED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98E30E"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4B7A6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4A3DE66" w14:textId="77777777" w:rsidR="00000000" w:rsidRDefault="000C49AD">
            <w:pPr>
              <w:spacing w:after="100"/>
              <w:jc w:val="right"/>
              <w:rPr>
                <w:rFonts w:eastAsia="Times New Roman"/>
              </w:rPr>
            </w:pPr>
            <w:r>
              <w:rPr>
                <w:rFonts w:eastAsia="Times New Roman"/>
                <w:color w:val="000000"/>
                <w:sz w:val="18"/>
                <w:szCs w:val="18"/>
              </w:rPr>
              <w:t>7,028 </w:t>
            </w:r>
          </w:p>
        </w:tc>
        <w:tc>
          <w:tcPr>
            <w:tcW w:w="0" w:type="auto"/>
            <w:shd w:val="clear" w:color="auto" w:fill="CCEEFF"/>
            <w:tcMar>
              <w:top w:w="30" w:type="dxa"/>
              <w:left w:w="0" w:type="dxa"/>
              <w:bottom w:w="30" w:type="dxa"/>
              <w:right w:w="20" w:type="dxa"/>
            </w:tcMar>
            <w:vAlign w:val="bottom"/>
            <w:hideMark/>
          </w:tcPr>
          <w:p w14:paraId="1D9790C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99CBBA"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929899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98F6834" w14:textId="77777777" w:rsidR="00000000" w:rsidRDefault="000C49AD">
            <w:pPr>
              <w:spacing w:after="100"/>
              <w:jc w:val="right"/>
              <w:rPr>
                <w:rFonts w:eastAsia="Times New Roman"/>
              </w:rPr>
            </w:pPr>
            <w:r>
              <w:rPr>
                <w:rFonts w:eastAsia="Times New Roman"/>
                <w:color w:val="000000"/>
                <w:sz w:val="18"/>
                <w:szCs w:val="18"/>
              </w:rPr>
              <w:t>(33,226)</w:t>
            </w:r>
          </w:p>
        </w:tc>
        <w:tc>
          <w:tcPr>
            <w:tcW w:w="0" w:type="auto"/>
            <w:shd w:val="clear" w:color="auto" w:fill="CCEEFF"/>
            <w:tcMar>
              <w:top w:w="30" w:type="dxa"/>
              <w:left w:w="0" w:type="dxa"/>
              <w:bottom w:w="30" w:type="dxa"/>
              <w:right w:w="20" w:type="dxa"/>
            </w:tcMar>
            <w:vAlign w:val="bottom"/>
            <w:hideMark/>
          </w:tcPr>
          <w:p w14:paraId="7D9D5546" w14:textId="77777777" w:rsidR="00000000" w:rsidRDefault="000C49AD">
            <w:pPr>
              <w:spacing w:after="100"/>
              <w:jc w:val="right"/>
              <w:rPr>
                <w:rFonts w:eastAsia="Times New Roman"/>
              </w:rPr>
            </w:pPr>
          </w:p>
        </w:tc>
      </w:tr>
      <w:tr w:rsidR="00000000" w14:paraId="4B27201B" w14:textId="77777777">
        <w:trPr>
          <w:divId w:val="1264075903"/>
          <w:trHeight w:val="280"/>
        </w:trPr>
        <w:tc>
          <w:tcPr>
            <w:tcW w:w="0" w:type="auto"/>
            <w:gridSpan w:val="3"/>
            <w:shd w:val="clear" w:color="auto" w:fill="FFFFFF"/>
            <w:tcMar>
              <w:top w:w="0" w:type="dxa"/>
              <w:left w:w="20" w:type="dxa"/>
              <w:bottom w:w="0" w:type="dxa"/>
              <w:right w:w="20" w:type="dxa"/>
            </w:tcMar>
            <w:vAlign w:val="center"/>
            <w:hideMark/>
          </w:tcPr>
          <w:p w14:paraId="222282FF"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0843A9"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51867C3"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51749D"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3F37D88"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23A3B9"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4CB776" w14:textId="77777777" w:rsidR="00000000" w:rsidRDefault="000C49AD">
            <w:pPr>
              <w:spacing w:after="100"/>
              <w:rPr>
                <w:rFonts w:eastAsia="Times New Roman"/>
                <w:sz w:val="20"/>
                <w:szCs w:val="20"/>
              </w:rPr>
            </w:pPr>
          </w:p>
        </w:tc>
      </w:tr>
      <w:tr w:rsidR="00000000" w14:paraId="632A06A2" w14:textId="77777777">
        <w:trPr>
          <w:divId w:val="1264075903"/>
        </w:trPr>
        <w:tc>
          <w:tcPr>
            <w:tcW w:w="0" w:type="auto"/>
            <w:gridSpan w:val="3"/>
            <w:shd w:val="clear" w:color="auto" w:fill="CCEEFF"/>
            <w:tcMar>
              <w:top w:w="30" w:type="dxa"/>
              <w:left w:w="155" w:type="dxa"/>
              <w:bottom w:w="30" w:type="dxa"/>
              <w:right w:w="20" w:type="dxa"/>
            </w:tcMar>
            <w:vAlign w:val="bottom"/>
            <w:hideMark/>
          </w:tcPr>
          <w:p w14:paraId="3707776A" w14:textId="77777777" w:rsidR="00000000" w:rsidRDefault="000C49AD">
            <w:pPr>
              <w:spacing w:after="100"/>
              <w:rPr>
                <w:rFonts w:eastAsia="Times New Roman"/>
              </w:rPr>
            </w:pPr>
            <w:r>
              <w:rPr>
                <w:rFonts w:eastAsia="Times New Roman"/>
                <w:color w:val="000000"/>
                <w:sz w:val="18"/>
                <w:szCs w:val="18"/>
              </w:rPr>
              <w:t>Weighted average shares:</w:t>
            </w:r>
          </w:p>
        </w:tc>
        <w:tc>
          <w:tcPr>
            <w:tcW w:w="0" w:type="auto"/>
            <w:gridSpan w:val="3"/>
            <w:shd w:val="clear" w:color="auto" w:fill="CCEEFF"/>
            <w:tcMar>
              <w:top w:w="0" w:type="dxa"/>
              <w:left w:w="20" w:type="dxa"/>
              <w:bottom w:w="0" w:type="dxa"/>
              <w:right w:w="20" w:type="dxa"/>
            </w:tcMar>
            <w:vAlign w:val="center"/>
            <w:hideMark/>
          </w:tcPr>
          <w:p w14:paraId="347CDB8D"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4FF72FC"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6EB0151"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09E5D1D"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1666EF77"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5FD581D" w14:textId="77777777" w:rsidR="00000000" w:rsidRDefault="000C49AD">
            <w:pPr>
              <w:spacing w:after="100"/>
              <w:jc w:val="right"/>
              <w:rPr>
                <w:rFonts w:eastAsia="Times New Roman"/>
              </w:rPr>
            </w:pPr>
            <w:r>
              <w:rPr>
                <w:rFonts w:eastAsia="Times New Roman"/>
                <w:color w:val="000000"/>
                <w:sz w:val="18"/>
                <w:szCs w:val="18"/>
              </w:rPr>
              <w:t> </w:t>
            </w:r>
          </w:p>
        </w:tc>
      </w:tr>
      <w:tr w:rsidR="00000000" w14:paraId="7723CF32" w14:textId="77777777">
        <w:trPr>
          <w:divId w:val="1264075903"/>
        </w:trPr>
        <w:tc>
          <w:tcPr>
            <w:tcW w:w="0" w:type="auto"/>
            <w:gridSpan w:val="3"/>
            <w:shd w:val="clear" w:color="auto" w:fill="FFFFFF"/>
            <w:tcMar>
              <w:top w:w="30" w:type="dxa"/>
              <w:left w:w="245" w:type="dxa"/>
              <w:bottom w:w="30" w:type="dxa"/>
              <w:right w:w="20" w:type="dxa"/>
            </w:tcMar>
            <w:vAlign w:val="bottom"/>
            <w:hideMark/>
          </w:tcPr>
          <w:p w14:paraId="5E4D543C" w14:textId="77777777" w:rsidR="00000000" w:rsidRDefault="000C49AD">
            <w:pPr>
              <w:spacing w:after="100"/>
              <w:rPr>
                <w:rFonts w:eastAsia="Times New Roman"/>
              </w:rPr>
            </w:pPr>
            <w:r>
              <w:rPr>
                <w:rFonts w:eastAsia="Times New Roman"/>
                <w:color w:val="000000"/>
                <w:sz w:val="18"/>
                <w:szCs w:val="18"/>
              </w:rPr>
              <w:t>Basic shares</w:t>
            </w:r>
          </w:p>
        </w:tc>
        <w:tc>
          <w:tcPr>
            <w:tcW w:w="0" w:type="auto"/>
            <w:gridSpan w:val="3"/>
            <w:shd w:val="clear" w:color="auto" w:fill="FFFFFF"/>
            <w:tcMar>
              <w:top w:w="0" w:type="dxa"/>
              <w:left w:w="20" w:type="dxa"/>
              <w:bottom w:w="0" w:type="dxa"/>
              <w:right w:w="20" w:type="dxa"/>
            </w:tcMar>
            <w:vAlign w:val="center"/>
            <w:hideMark/>
          </w:tcPr>
          <w:p w14:paraId="57A56467"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F099EC1" w14:textId="77777777" w:rsidR="00000000" w:rsidRDefault="000C49AD">
            <w:pPr>
              <w:spacing w:after="100"/>
              <w:jc w:val="right"/>
              <w:rPr>
                <w:rFonts w:eastAsia="Times New Roman"/>
              </w:rPr>
            </w:pPr>
            <w:r>
              <w:rPr>
                <w:rFonts w:eastAsia="Times New Roman"/>
                <w:color w:val="000000"/>
                <w:sz w:val="18"/>
                <w:szCs w:val="18"/>
              </w:rPr>
              <w:t>58,535 </w:t>
            </w:r>
          </w:p>
        </w:tc>
        <w:tc>
          <w:tcPr>
            <w:tcW w:w="0" w:type="auto"/>
            <w:shd w:val="clear" w:color="auto" w:fill="FFFFFF"/>
            <w:tcMar>
              <w:top w:w="30" w:type="dxa"/>
              <w:left w:w="0" w:type="dxa"/>
              <w:bottom w:w="30" w:type="dxa"/>
              <w:right w:w="20" w:type="dxa"/>
            </w:tcMar>
            <w:vAlign w:val="bottom"/>
            <w:hideMark/>
          </w:tcPr>
          <w:p w14:paraId="2F1C3C1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3905A8"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9AE1AF" w14:textId="77777777" w:rsidR="00000000" w:rsidRDefault="000C49AD">
            <w:pPr>
              <w:spacing w:after="100"/>
              <w:jc w:val="right"/>
              <w:rPr>
                <w:rFonts w:eastAsia="Times New Roman"/>
              </w:rPr>
            </w:pPr>
            <w:r>
              <w:rPr>
                <w:rFonts w:eastAsia="Times New Roman"/>
                <w:color w:val="000000"/>
                <w:sz w:val="18"/>
                <w:szCs w:val="18"/>
              </w:rPr>
              <w:t>52,996 </w:t>
            </w:r>
          </w:p>
        </w:tc>
        <w:tc>
          <w:tcPr>
            <w:tcW w:w="0" w:type="auto"/>
            <w:shd w:val="clear" w:color="auto" w:fill="FFFFFF"/>
            <w:tcMar>
              <w:top w:w="30" w:type="dxa"/>
              <w:left w:w="0" w:type="dxa"/>
              <w:bottom w:w="30" w:type="dxa"/>
              <w:right w:w="20" w:type="dxa"/>
            </w:tcMar>
            <w:vAlign w:val="bottom"/>
            <w:hideMark/>
          </w:tcPr>
          <w:p w14:paraId="0FD0E6B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30DDA4"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B3B584" w14:textId="77777777" w:rsidR="00000000" w:rsidRDefault="000C49AD">
            <w:pPr>
              <w:spacing w:after="100"/>
              <w:jc w:val="right"/>
              <w:rPr>
                <w:rFonts w:eastAsia="Times New Roman"/>
              </w:rPr>
            </w:pPr>
            <w:r>
              <w:rPr>
                <w:rFonts w:eastAsia="Times New Roman"/>
                <w:color w:val="000000"/>
                <w:sz w:val="18"/>
                <w:szCs w:val="18"/>
              </w:rPr>
              <w:t>37,403 </w:t>
            </w:r>
          </w:p>
        </w:tc>
        <w:tc>
          <w:tcPr>
            <w:tcW w:w="0" w:type="auto"/>
            <w:shd w:val="clear" w:color="auto" w:fill="FFFFFF"/>
            <w:tcMar>
              <w:top w:w="30" w:type="dxa"/>
              <w:left w:w="0" w:type="dxa"/>
              <w:bottom w:w="30" w:type="dxa"/>
              <w:right w:w="20" w:type="dxa"/>
            </w:tcMar>
            <w:vAlign w:val="bottom"/>
            <w:hideMark/>
          </w:tcPr>
          <w:p w14:paraId="5E477A18" w14:textId="77777777" w:rsidR="00000000" w:rsidRDefault="000C49AD">
            <w:pPr>
              <w:spacing w:after="100"/>
              <w:jc w:val="right"/>
              <w:rPr>
                <w:rFonts w:eastAsia="Times New Roman"/>
              </w:rPr>
            </w:pPr>
          </w:p>
        </w:tc>
      </w:tr>
      <w:tr w:rsidR="00000000" w14:paraId="2E762F39" w14:textId="77777777">
        <w:trPr>
          <w:divId w:val="1264075903"/>
        </w:trPr>
        <w:tc>
          <w:tcPr>
            <w:tcW w:w="0" w:type="auto"/>
            <w:gridSpan w:val="3"/>
            <w:shd w:val="clear" w:color="auto" w:fill="CCEEFF"/>
            <w:tcMar>
              <w:top w:w="30" w:type="dxa"/>
              <w:left w:w="245" w:type="dxa"/>
              <w:bottom w:w="30" w:type="dxa"/>
              <w:right w:w="20" w:type="dxa"/>
            </w:tcMar>
            <w:vAlign w:val="bottom"/>
            <w:hideMark/>
          </w:tcPr>
          <w:p w14:paraId="33D0A142" w14:textId="77777777" w:rsidR="00000000" w:rsidRDefault="000C49AD">
            <w:pPr>
              <w:spacing w:after="100"/>
              <w:rPr>
                <w:rFonts w:eastAsia="Times New Roman"/>
              </w:rPr>
            </w:pPr>
            <w:r>
              <w:rPr>
                <w:rFonts w:eastAsia="Times New Roman"/>
                <w:color w:val="000000"/>
                <w:sz w:val="18"/>
                <w:szCs w:val="18"/>
              </w:rPr>
              <w:t>Effect of dilutive securities—</w:t>
            </w:r>
            <w:r>
              <w:rPr>
                <w:rFonts w:eastAsia="Times New Roman"/>
                <w:color w:val="000000"/>
                <w:sz w:val="18"/>
                <w:szCs w:val="18"/>
              </w:rPr>
              <w:t>employee and director equity awards outstanding</w:t>
            </w:r>
          </w:p>
        </w:tc>
        <w:tc>
          <w:tcPr>
            <w:tcW w:w="0" w:type="auto"/>
            <w:gridSpan w:val="3"/>
            <w:shd w:val="clear" w:color="auto" w:fill="CCEEFF"/>
            <w:tcMar>
              <w:top w:w="0" w:type="dxa"/>
              <w:left w:w="20" w:type="dxa"/>
              <w:bottom w:w="0" w:type="dxa"/>
              <w:right w:w="20" w:type="dxa"/>
            </w:tcMar>
            <w:vAlign w:val="center"/>
            <w:hideMark/>
          </w:tcPr>
          <w:p w14:paraId="65C730A0"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5A14730"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734C6D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BD0E1A"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D30025" w14:textId="77777777" w:rsidR="00000000" w:rsidRDefault="000C49AD">
            <w:pPr>
              <w:spacing w:after="100"/>
              <w:jc w:val="right"/>
              <w:rPr>
                <w:rFonts w:eastAsia="Times New Roman"/>
              </w:rPr>
            </w:pPr>
            <w:r>
              <w:rPr>
                <w:rFonts w:eastAsia="Times New Roman"/>
                <w:color w:val="000000"/>
                <w:sz w:val="18"/>
                <w:szCs w:val="18"/>
              </w:rPr>
              <w:t>1,945 </w:t>
            </w:r>
          </w:p>
        </w:tc>
        <w:tc>
          <w:tcPr>
            <w:tcW w:w="0" w:type="auto"/>
            <w:shd w:val="clear" w:color="auto" w:fill="CCEEFF"/>
            <w:tcMar>
              <w:top w:w="30" w:type="dxa"/>
              <w:left w:w="0" w:type="dxa"/>
              <w:bottom w:w="30" w:type="dxa"/>
              <w:right w:w="20" w:type="dxa"/>
            </w:tcMar>
            <w:vAlign w:val="bottom"/>
            <w:hideMark/>
          </w:tcPr>
          <w:p w14:paraId="7AB9594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A36185"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E10C0D"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5D98154E" w14:textId="77777777" w:rsidR="00000000" w:rsidRDefault="000C49AD">
            <w:pPr>
              <w:spacing w:after="100"/>
              <w:jc w:val="right"/>
              <w:rPr>
                <w:rFonts w:eastAsia="Times New Roman"/>
              </w:rPr>
            </w:pPr>
          </w:p>
        </w:tc>
      </w:tr>
      <w:tr w:rsidR="00000000" w14:paraId="217E0F16" w14:textId="77777777">
        <w:trPr>
          <w:divId w:val="1264075903"/>
        </w:trPr>
        <w:tc>
          <w:tcPr>
            <w:tcW w:w="0" w:type="auto"/>
            <w:gridSpan w:val="3"/>
            <w:shd w:val="clear" w:color="auto" w:fill="FFFFFF"/>
            <w:tcMar>
              <w:top w:w="30" w:type="dxa"/>
              <w:left w:w="155" w:type="dxa"/>
              <w:bottom w:w="30" w:type="dxa"/>
              <w:right w:w="20" w:type="dxa"/>
            </w:tcMar>
            <w:vAlign w:val="bottom"/>
            <w:hideMark/>
          </w:tcPr>
          <w:p w14:paraId="06FE680A" w14:textId="77777777" w:rsidR="00000000" w:rsidRDefault="000C49AD">
            <w:pPr>
              <w:spacing w:after="100"/>
              <w:rPr>
                <w:rFonts w:eastAsia="Times New Roman"/>
              </w:rPr>
            </w:pPr>
            <w:r>
              <w:rPr>
                <w:rFonts w:eastAsia="Times New Roman"/>
                <w:color w:val="000000"/>
                <w:sz w:val="18"/>
                <w:szCs w:val="18"/>
              </w:rPr>
              <w:t>Diluted shares</w:t>
            </w:r>
          </w:p>
        </w:tc>
        <w:tc>
          <w:tcPr>
            <w:tcW w:w="0" w:type="auto"/>
            <w:gridSpan w:val="3"/>
            <w:shd w:val="clear" w:color="auto" w:fill="FFFFFF"/>
            <w:tcMar>
              <w:top w:w="0" w:type="dxa"/>
              <w:left w:w="20" w:type="dxa"/>
              <w:bottom w:w="0" w:type="dxa"/>
              <w:right w:w="20" w:type="dxa"/>
            </w:tcMar>
            <w:vAlign w:val="center"/>
            <w:hideMark/>
          </w:tcPr>
          <w:p w14:paraId="68EA024D" w14:textId="77777777" w:rsidR="00000000" w:rsidRDefault="000C49AD">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467266D" w14:textId="77777777" w:rsidR="00000000" w:rsidRDefault="000C49AD">
            <w:pPr>
              <w:spacing w:after="100"/>
              <w:jc w:val="right"/>
              <w:rPr>
                <w:rFonts w:eastAsia="Times New Roman"/>
              </w:rPr>
            </w:pPr>
            <w:r>
              <w:rPr>
                <w:rFonts w:eastAsia="Times New Roman"/>
                <w:color w:val="000000"/>
                <w:sz w:val="18"/>
                <w:szCs w:val="18"/>
              </w:rPr>
              <w:t>58,535 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3A175D"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9F16B0"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93637D9" w14:textId="77777777" w:rsidR="00000000" w:rsidRDefault="000C49AD">
            <w:pPr>
              <w:spacing w:after="100"/>
              <w:jc w:val="right"/>
              <w:rPr>
                <w:rFonts w:eastAsia="Times New Roman"/>
              </w:rPr>
            </w:pPr>
            <w:r>
              <w:rPr>
                <w:rFonts w:eastAsia="Times New Roman"/>
                <w:color w:val="000000"/>
                <w:sz w:val="18"/>
                <w:szCs w:val="18"/>
              </w:rPr>
              <w:t>54,941 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097ED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3AD15" w14:textId="77777777" w:rsidR="00000000" w:rsidRDefault="000C49AD">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23FA8F" w14:textId="77777777" w:rsidR="00000000" w:rsidRDefault="000C49AD">
            <w:pPr>
              <w:spacing w:after="100"/>
              <w:jc w:val="right"/>
              <w:rPr>
                <w:rFonts w:eastAsia="Times New Roman"/>
              </w:rPr>
            </w:pPr>
            <w:r>
              <w:rPr>
                <w:rFonts w:eastAsia="Times New Roman"/>
                <w:color w:val="000000"/>
                <w:sz w:val="18"/>
                <w:szCs w:val="18"/>
              </w:rPr>
              <w:t>37,403 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502A92" w14:textId="77777777" w:rsidR="00000000" w:rsidRDefault="000C49AD">
            <w:pPr>
              <w:spacing w:after="100"/>
              <w:jc w:val="right"/>
              <w:rPr>
                <w:rFonts w:eastAsia="Times New Roman"/>
              </w:rPr>
            </w:pPr>
          </w:p>
        </w:tc>
      </w:tr>
      <w:tr w:rsidR="00000000" w14:paraId="150BC6CE" w14:textId="77777777">
        <w:trPr>
          <w:divId w:val="1264075903"/>
          <w:trHeight w:val="280"/>
        </w:trPr>
        <w:tc>
          <w:tcPr>
            <w:tcW w:w="0" w:type="auto"/>
            <w:gridSpan w:val="3"/>
            <w:shd w:val="clear" w:color="auto" w:fill="CCEEFF"/>
            <w:tcMar>
              <w:top w:w="0" w:type="dxa"/>
              <w:left w:w="20" w:type="dxa"/>
              <w:bottom w:w="0" w:type="dxa"/>
              <w:right w:w="20" w:type="dxa"/>
            </w:tcMar>
            <w:vAlign w:val="center"/>
            <w:hideMark/>
          </w:tcPr>
          <w:p w14:paraId="7C1595FB" w14:textId="77777777" w:rsidR="00000000" w:rsidRDefault="000C49AD">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327B9F7"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6161545"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3AB80F"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FB3CF93"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2EEFC0" w14:textId="77777777" w:rsidR="00000000" w:rsidRDefault="000C49AD">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B07F2E" w14:textId="77777777" w:rsidR="00000000" w:rsidRDefault="000C49AD">
            <w:pPr>
              <w:spacing w:after="100"/>
              <w:rPr>
                <w:rFonts w:eastAsia="Times New Roman"/>
                <w:sz w:val="20"/>
                <w:szCs w:val="20"/>
              </w:rPr>
            </w:pPr>
          </w:p>
        </w:tc>
      </w:tr>
      <w:tr w:rsidR="00000000" w14:paraId="267B4CF2" w14:textId="77777777">
        <w:trPr>
          <w:divId w:val="1264075903"/>
        </w:trPr>
        <w:tc>
          <w:tcPr>
            <w:tcW w:w="0" w:type="auto"/>
            <w:gridSpan w:val="3"/>
            <w:shd w:val="clear" w:color="auto" w:fill="FFFFFF"/>
            <w:tcMar>
              <w:top w:w="30" w:type="dxa"/>
              <w:left w:w="155" w:type="dxa"/>
              <w:bottom w:w="30" w:type="dxa"/>
              <w:right w:w="20" w:type="dxa"/>
            </w:tcMar>
            <w:vAlign w:val="bottom"/>
            <w:hideMark/>
          </w:tcPr>
          <w:p w14:paraId="7FD67E0F" w14:textId="77777777" w:rsidR="00000000" w:rsidRDefault="000C49AD">
            <w:pPr>
              <w:spacing w:after="100"/>
              <w:rPr>
                <w:rFonts w:eastAsia="Times New Roman"/>
              </w:rPr>
            </w:pPr>
            <w:r>
              <w:rPr>
                <w:rFonts w:eastAsia="Times New Roman"/>
                <w:color w:val="000000"/>
                <w:sz w:val="18"/>
                <w:szCs w:val="18"/>
              </w:rPr>
              <w:t>Net (loss) income per share - basic</w:t>
            </w:r>
          </w:p>
        </w:tc>
        <w:tc>
          <w:tcPr>
            <w:tcW w:w="0" w:type="auto"/>
            <w:gridSpan w:val="3"/>
            <w:shd w:val="clear" w:color="auto" w:fill="FFFFFF"/>
            <w:tcMar>
              <w:top w:w="0" w:type="dxa"/>
              <w:left w:w="20" w:type="dxa"/>
              <w:bottom w:w="0" w:type="dxa"/>
              <w:right w:w="20" w:type="dxa"/>
            </w:tcMar>
            <w:vAlign w:val="center"/>
            <w:hideMark/>
          </w:tcPr>
          <w:p w14:paraId="62AF129D" w14:textId="77777777" w:rsidR="00000000" w:rsidRDefault="000C49A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169F2F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089AD715" w14:textId="77777777" w:rsidR="00000000" w:rsidRDefault="000C49AD">
            <w:pPr>
              <w:spacing w:after="100"/>
              <w:jc w:val="right"/>
              <w:rPr>
                <w:rFonts w:eastAsia="Times New Roman"/>
              </w:rPr>
            </w:pPr>
            <w:r>
              <w:rPr>
                <w:rFonts w:eastAsia="Times New Roman"/>
                <w:color w:val="000000"/>
                <w:sz w:val="18"/>
                <w:szCs w:val="18"/>
              </w:rPr>
              <w:t>(1.32)</w:t>
            </w:r>
          </w:p>
        </w:tc>
        <w:tc>
          <w:tcPr>
            <w:tcW w:w="0" w:type="auto"/>
            <w:shd w:val="clear" w:color="auto" w:fill="FFFFFF"/>
            <w:tcMar>
              <w:top w:w="30" w:type="dxa"/>
              <w:left w:w="0" w:type="dxa"/>
              <w:bottom w:w="30" w:type="dxa"/>
              <w:right w:w="20" w:type="dxa"/>
            </w:tcMar>
            <w:vAlign w:val="bottom"/>
            <w:hideMark/>
          </w:tcPr>
          <w:p w14:paraId="373A031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95679D"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9B4DF3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3AE3C0AE" w14:textId="77777777" w:rsidR="00000000" w:rsidRDefault="000C49AD">
            <w:pPr>
              <w:spacing w:after="100"/>
              <w:jc w:val="right"/>
              <w:rPr>
                <w:rFonts w:eastAsia="Times New Roman"/>
              </w:rPr>
            </w:pPr>
            <w:r>
              <w:rPr>
                <w:rFonts w:eastAsia="Times New Roman"/>
                <w:color w:val="000000"/>
                <w:sz w:val="18"/>
                <w:szCs w:val="18"/>
              </w:rPr>
              <w:t>0.13 </w:t>
            </w:r>
          </w:p>
        </w:tc>
        <w:tc>
          <w:tcPr>
            <w:tcW w:w="0" w:type="auto"/>
            <w:shd w:val="clear" w:color="auto" w:fill="FFFFFF"/>
            <w:tcMar>
              <w:top w:w="30" w:type="dxa"/>
              <w:left w:w="0" w:type="dxa"/>
              <w:bottom w:w="30" w:type="dxa"/>
              <w:right w:w="20" w:type="dxa"/>
            </w:tcMar>
            <w:vAlign w:val="bottom"/>
            <w:hideMark/>
          </w:tcPr>
          <w:p w14:paraId="4E63B78A"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850B49"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0EEDC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8C4A13E" w14:textId="77777777" w:rsidR="00000000" w:rsidRDefault="000C49AD">
            <w:pPr>
              <w:spacing w:after="100"/>
              <w:jc w:val="right"/>
              <w:rPr>
                <w:rFonts w:eastAsia="Times New Roman"/>
              </w:rPr>
            </w:pPr>
            <w:r>
              <w:rPr>
                <w:rFonts w:eastAsia="Times New Roman"/>
                <w:color w:val="000000"/>
                <w:sz w:val="18"/>
                <w:szCs w:val="18"/>
              </w:rPr>
              <w:t>(0.89)</w:t>
            </w:r>
          </w:p>
        </w:tc>
        <w:tc>
          <w:tcPr>
            <w:tcW w:w="0" w:type="auto"/>
            <w:shd w:val="clear" w:color="auto" w:fill="FFFFFF"/>
            <w:tcMar>
              <w:top w:w="30" w:type="dxa"/>
              <w:left w:w="0" w:type="dxa"/>
              <w:bottom w:w="30" w:type="dxa"/>
              <w:right w:w="20" w:type="dxa"/>
            </w:tcMar>
            <w:vAlign w:val="bottom"/>
            <w:hideMark/>
          </w:tcPr>
          <w:p w14:paraId="3A6A98F9" w14:textId="77777777" w:rsidR="00000000" w:rsidRDefault="000C49AD">
            <w:pPr>
              <w:spacing w:after="100"/>
              <w:jc w:val="right"/>
              <w:rPr>
                <w:rFonts w:eastAsia="Times New Roman"/>
              </w:rPr>
            </w:pPr>
          </w:p>
        </w:tc>
      </w:tr>
      <w:tr w:rsidR="00000000" w14:paraId="30D1CEBB" w14:textId="77777777">
        <w:trPr>
          <w:divId w:val="1264075903"/>
        </w:trPr>
        <w:tc>
          <w:tcPr>
            <w:tcW w:w="0" w:type="auto"/>
            <w:gridSpan w:val="3"/>
            <w:shd w:val="clear" w:color="auto" w:fill="CCEEFF"/>
            <w:tcMar>
              <w:top w:w="30" w:type="dxa"/>
              <w:left w:w="155" w:type="dxa"/>
              <w:bottom w:w="30" w:type="dxa"/>
              <w:right w:w="20" w:type="dxa"/>
            </w:tcMar>
            <w:vAlign w:val="bottom"/>
            <w:hideMark/>
          </w:tcPr>
          <w:p w14:paraId="63439423" w14:textId="77777777" w:rsidR="00000000" w:rsidRDefault="000C49AD">
            <w:pPr>
              <w:spacing w:after="100"/>
              <w:rPr>
                <w:rFonts w:eastAsia="Times New Roman"/>
              </w:rPr>
            </w:pPr>
            <w:r>
              <w:rPr>
                <w:rFonts w:eastAsia="Times New Roman"/>
                <w:color w:val="000000"/>
                <w:sz w:val="18"/>
                <w:szCs w:val="18"/>
              </w:rPr>
              <w:t>Net (loss) income per share - diluted</w:t>
            </w:r>
          </w:p>
        </w:tc>
        <w:tc>
          <w:tcPr>
            <w:tcW w:w="0" w:type="auto"/>
            <w:gridSpan w:val="3"/>
            <w:shd w:val="clear" w:color="auto" w:fill="CCEEFF"/>
            <w:tcMar>
              <w:top w:w="0" w:type="dxa"/>
              <w:left w:w="20" w:type="dxa"/>
              <w:bottom w:w="0" w:type="dxa"/>
              <w:right w:w="20" w:type="dxa"/>
            </w:tcMar>
            <w:vAlign w:val="center"/>
            <w:hideMark/>
          </w:tcPr>
          <w:p w14:paraId="3296F3B5"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4103D4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E0C5E94" w14:textId="77777777" w:rsidR="00000000" w:rsidRDefault="000C49AD">
            <w:pPr>
              <w:spacing w:after="100"/>
              <w:jc w:val="right"/>
              <w:rPr>
                <w:rFonts w:eastAsia="Times New Roman"/>
              </w:rPr>
            </w:pPr>
            <w:r>
              <w:rPr>
                <w:rFonts w:eastAsia="Times New Roman"/>
                <w:color w:val="000000"/>
                <w:sz w:val="18"/>
                <w:szCs w:val="18"/>
              </w:rPr>
              <w:t>(1.32)</w:t>
            </w:r>
          </w:p>
        </w:tc>
        <w:tc>
          <w:tcPr>
            <w:tcW w:w="0" w:type="auto"/>
            <w:shd w:val="clear" w:color="auto" w:fill="CCEEFF"/>
            <w:tcMar>
              <w:top w:w="30" w:type="dxa"/>
              <w:left w:w="0" w:type="dxa"/>
              <w:bottom w:w="30" w:type="dxa"/>
              <w:right w:w="20" w:type="dxa"/>
            </w:tcMar>
            <w:vAlign w:val="bottom"/>
            <w:hideMark/>
          </w:tcPr>
          <w:p w14:paraId="1B954908"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1F75A6"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6F12E8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D93E1D6" w14:textId="77777777" w:rsidR="00000000" w:rsidRDefault="000C49AD">
            <w:pPr>
              <w:spacing w:after="100"/>
              <w:jc w:val="right"/>
              <w:rPr>
                <w:rFonts w:eastAsia="Times New Roman"/>
              </w:rPr>
            </w:pPr>
            <w:r>
              <w:rPr>
                <w:rFonts w:eastAsia="Times New Roman"/>
                <w:color w:val="000000"/>
                <w:sz w:val="18"/>
                <w:szCs w:val="18"/>
              </w:rPr>
              <w:t>0.13 </w:t>
            </w:r>
          </w:p>
        </w:tc>
        <w:tc>
          <w:tcPr>
            <w:tcW w:w="0" w:type="auto"/>
            <w:shd w:val="clear" w:color="auto" w:fill="CCEEFF"/>
            <w:tcMar>
              <w:top w:w="30" w:type="dxa"/>
              <w:left w:w="0" w:type="dxa"/>
              <w:bottom w:w="30" w:type="dxa"/>
              <w:right w:w="20" w:type="dxa"/>
            </w:tcMar>
            <w:vAlign w:val="bottom"/>
            <w:hideMark/>
          </w:tcPr>
          <w:p w14:paraId="2D4BD04B"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82A955"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A704C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56F63DF" w14:textId="77777777" w:rsidR="00000000" w:rsidRDefault="000C49AD">
            <w:pPr>
              <w:spacing w:after="100"/>
              <w:jc w:val="right"/>
              <w:rPr>
                <w:rFonts w:eastAsia="Times New Roman"/>
              </w:rPr>
            </w:pPr>
            <w:r>
              <w:rPr>
                <w:rFonts w:eastAsia="Times New Roman"/>
                <w:color w:val="000000"/>
                <w:sz w:val="18"/>
                <w:szCs w:val="18"/>
              </w:rPr>
              <w:t>(0.89)</w:t>
            </w:r>
          </w:p>
        </w:tc>
        <w:tc>
          <w:tcPr>
            <w:tcW w:w="0" w:type="auto"/>
            <w:shd w:val="clear" w:color="auto" w:fill="CCEEFF"/>
            <w:tcMar>
              <w:top w:w="30" w:type="dxa"/>
              <w:left w:w="0" w:type="dxa"/>
              <w:bottom w:w="30" w:type="dxa"/>
              <w:right w:w="20" w:type="dxa"/>
            </w:tcMar>
            <w:vAlign w:val="bottom"/>
            <w:hideMark/>
          </w:tcPr>
          <w:p w14:paraId="1D57151E" w14:textId="77777777" w:rsidR="00000000" w:rsidRDefault="000C49AD">
            <w:pPr>
              <w:spacing w:after="100"/>
              <w:jc w:val="right"/>
              <w:rPr>
                <w:rFonts w:eastAsia="Times New Roman"/>
              </w:rPr>
            </w:pPr>
          </w:p>
        </w:tc>
      </w:tr>
    </w:tbl>
    <w:p w14:paraId="7BF4A390" w14:textId="77777777" w:rsidR="00000000" w:rsidRDefault="000C49AD">
      <w:pPr>
        <w:jc w:val="both"/>
        <w:rPr>
          <w:rFonts w:eastAsia="Times New Roman"/>
        </w:rPr>
      </w:pPr>
      <w:r>
        <w:rPr>
          <w:rFonts w:eastAsia="Times New Roman"/>
          <w:color w:val="000000"/>
          <w:sz w:val="20"/>
          <w:szCs w:val="20"/>
        </w:rPr>
        <w:t>Potential ordinary shares of 15,327, 14,915, and 16,740 were excluded from the calculation of weighted average shares for the years ended Decem</w:t>
      </w:r>
      <w:r>
        <w:rPr>
          <w:rFonts w:eastAsia="Times New Roman"/>
          <w:color w:val="000000"/>
          <w:sz w:val="20"/>
          <w:szCs w:val="20"/>
        </w:rPr>
        <w:t>ber 31, 2021, 2020 and 2019, respectively, because either their effect was considered to be anti-dilutive or they were related to shares from PSUs for which the contingent vesting condition had not been achieved. For the years ended December 31, 2021 and 2</w:t>
      </w:r>
      <w:r>
        <w:rPr>
          <w:rFonts w:eastAsia="Times New Roman"/>
          <w:color w:val="000000"/>
          <w:sz w:val="20"/>
          <w:szCs w:val="20"/>
        </w:rPr>
        <w:t>019, the effects of dilutive securities were entirely excluded from the calculation of net (loss) income per share as a net loss was reported in these periods.</w:t>
      </w:r>
      <w:r>
        <w:rPr>
          <w:rFonts w:eastAsia="Times New Roman"/>
          <w:b/>
          <w:bCs/>
          <w:color w:val="000000"/>
          <w:sz w:val="20"/>
          <w:szCs w:val="20"/>
        </w:rPr>
        <w:t> </w:t>
      </w:r>
    </w:p>
    <w:p w14:paraId="7333BE06" w14:textId="77777777" w:rsidR="00000000" w:rsidRDefault="000C49AD">
      <w:pPr>
        <w:jc w:val="both"/>
        <w:rPr>
          <w:rFonts w:eastAsia="Times New Roman"/>
        </w:rPr>
      </w:pPr>
    </w:p>
    <w:p w14:paraId="230DEFFB" w14:textId="77777777" w:rsidR="00000000" w:rsidRDefault="000C49AD">
      <w:pPr>
        <w:jc w:val="center"/>
        <w:divId w:val="1340541517"/>
        <w:rPr>
          <w:rFonts w:eastAsia="Times New Roman"/>
        </w:rPr>
      </w:pPr>
      <w:r>
        <w:rPr>
          <w:rFonts w:eastAsia="Times New Roman"/>
          <w:color w:val="000000"/>
          <w:sz w:val="20"/>
          <w:szCs w:val="20"/>
        </w:rPr>
        <w:t>-103-</w:t>
      </w:r>
    </w:p>
    <w:p w14:paraId="68BC3723" w14:textId="77777777" w:rsidR="00000000" w:rsidRDefault="000C49AD">
      <w:pPr>
        <w:rPr>
          <w:rFonts w:eastAsia="Times New Roman"/>
        </w:rPr>
      </w:pPr>
      <w:r>
        <w:rPr>
          <w:rFonts w:eastAsia="Times New Roman"/>
        </w:rPr>
        <w:pict w14:anchorId="110B4A93">
          <v:rect id="_x0000_i1128" style="width:0;height:1.5pt" o:hralign="center" o:hrstd="t" o:hr="t" fillcolor="#a0a0a0" stroked="f"/>
        </w:pict>
      </w:r>
    </w:p>
    <w:p w14:paraId="179C3A72" w14:textId="77777777" w:rsidR="00000000" w:rsidRDefault="000C49AD">
      <w:pPr>
        <w:divId w:val="1507591530"/>
        <w:rPr>
          <w:rFonts w:eastAsia="Times New Roman"/>
        </w:rPr>
      </w:pPr>
    </w:p>
    <w:p w14:paraId="5F7ADD23" w14:textId="77777777" w:rsidR="00000000" w:rsidRDefault="000C49AD">
      <w:pPr>
        <w:jc w:val="both"/>
        <w:divId w:val="1927575237"/>
        <w:rPr>
          <w:rFonts w:eastAsia="Times New Roman"/>
        </w:rPr>
      </w:pPr>
      <w:r>
        <w:rPr>
          <w:rFonts w:eastAsia="Times New Roman"/>
          <w:b/>
          <w:bCs/>
          <w:color w:val="000000"/>
          <w:sz w:val="20"/>
          <w:szCs w:val="20"/>
        </w:rPr>
        <w:t>NOTE 20:</w:t>
      </w:r>
      <w:r>
        <w:rPr>
          <w:rFonts w:eastAsia="Times New Roman"/>
          <w:color w:val="000000"/>
          <w:sz w:val="20"/>
          <w:szCs w:val="20"/>
        </w:rPr>
        <w:t xml:space="preserve"> </w:t>
      </w:r>
      <w:r>
        <w:rPr>
          <w:rFonts w:eastAsia="Times New Roman"/>
          <w:b/>
          <w:bCs/>
          <w:color w:val="000000"/>
          <w:sz w:val="20"/>
          <w:szCs w:val="20"/>
        </w:rPr>
        <w:t>Comprehensive Loss</w:t>
      </w:r>
    </w:p>
    <w:p w14:paraId="07826AA0" w14:textId="77777777" w:rsidR="00000000" w:rsidRDefault="000C49AD">
      <w:pPr>
        <w:jc w:val="both"/>
        <w:rPr>
          <w:rFonts w:eastAsia="Times New Roman"/>
        </w:rPr>
      </w:pPr>
      <w:r>
        <w:rPr>
          <w:rFonts w:eastAsia="Times New Roman"/>
          <w:color w:val="000000"/>
          <w:sz w:val="20"/>
          <w:szCs w:val="20"/>
        </w:rPr>
        <w:t xml:space="preserve">The following table </w:t>
      </w:r>
      <w:r>
        <w:rPr>
          <w:rFonts w:eastAsia="Times New Roman"/>
          <w:color w:val="000000"/>
          <w:sz w:val="20"/>
          <w:szCs w:val="20"/>
        </w:rPr>
        <w:t>shows the components of accumulated other comprehensive loss for the year ended December 31, net of immaterial tax effects:</w:t>
      </w:r>
    </w:p>
    <w:tbl>
      <w:tblPr>
        <w:tblW w:w="4970" w:type="pct"/>
        <w:tblCellMar>
          <w:top w:w="15" w:type="dxa"/>
          <w:left w:w="15" w:type="dxa"/>
          <w:bottom w:w="15" w:type="dxa"/>
          <w:right w:w="15" w:type="dxa"/>
        </w:tblCellMar>
        <w:tblLook w:val="04A0" w:firstRow="1" w:lastRow="0" w:firstColumn="1" w:lastColumn="0" w:noHBand="0" w:noVBand="1"/>
      </w:tblPr>
      <w:tblGrid>
        <w:gridCol w:w="38"/>
        <w:gridCol w:w="4005"/>
        <w:gridCol w:w="37"/>
        <w:gridCol w:w="36"/>
        <w:gridCol w:w="36"/>
        <w:gridCol w:w="36"/>
        <w:gridCol w:w="110"/>
        <w:gridCol w:w="1137"/>
        <w:gridCol w:w="36"/>
        <w:gridCol w:w="36"/>
        <w:gridCol w:w="36"/>
        <w:gridCol w:w="36"/>
        <w:gridCol w:w="110"/>
        <w:gridCol w:w="1138"/>
        <w:gridCol w:w="36"/>
        <w:gridCol w:w="36"/>
        <w:gridCol w:w="36"/>
        <w:gridCol w:w="36"/>
        <w:gridCol w:w="110"/>
        <w:gridCol w:w="1139"/>
        <w:gridCol w:w="36"/>
      </w:tblGrid>
      <w:tr w:rsidR="00000000" w14:paraId="6E4F320D" w14:textId="77777777">
        <w:trPr>
          <w:divId w:val="859856815"/>
        </w:trPr>
        <w:tc>
          <w:tcPr>
            <w:tcW w:w="50" w:type="pct"/>
            <w:vAlign w:val="center"/>
            <w:hideMark/>
          </w:tcPr>
          <w:p w14:paraId="3141269C" w14:textId="77777777" w:rsidR="00000000" w:rsidRDefault="000C49AD">
            <w:pPr>
              <w:jc w:val="both"/>
              <w:rPr>
                <w:rFonts w:eastAsia="Times New Roman"/>
              </w:rPr>
            </w:pPr>
          </w:p>
        </w:tc>
        <w:tc>
          <w:tcPr>
            <w:tcW w:w="2452" w:type="pct"/>
            <w:vAlign w:val="center"/>
            <w:hideMark/>
          </w:tcPr>
          <w:p w14:paraId="2B730823" w14:textId="77777777" w:rsidR="00000000" w:rsidRDefault="000C49AD">
            <w:pPr>
              <w:spacing w:after="100"/>
              <w:rPr>
                <w:rFonts w:eastAsia="Times New Roman"/>
                <w:sz w:val="20"/>
                <w:szCs w:val="20"/>
              </w:rPr>
            </w:pPr>
          </w:p>
        </w:tc>
        <w:tc>
          <w:tcPr>
            <w:tcW w:w="5" w:type="pct"/>
            <w:vAlign w:val="center"/>
            <w:hideMark/>
          </w:tcPr>
          <w:p w14:paraId="770BFBE8" w14:textId="77777777" w:rsidR="00000000" w:rsidRDefault="000C49AD">
            <w:pPr>
              <w:spacing w:after="100"/>
              <w:rPr>
                <w:rFonts w:eastAsia="Times New Roman"/>
                <w:sz w:val="20"/>
                <w:szCs w:val="20"/>
              </w:rPr>
            </w:pPr>
          </w:p>
        </w:tc>
        <w:tc>
          <w:tcPr>
            <w:tcW w:w="5" w:type="pct"/>
            <w:vAlign w:val="center"/>
            <w:hideMark/>
          </w:tcPr>
          <w:p w14:paraId="21CBE147" w14:textId="77777777" w:rsidR="00000000" w:rsidRDefault="000C49AD">
            <w:pPr>
              <w:spacing w:after="100"/>
              <w:rPr>
                <w:rFonts w:eastAsia="Times New Roman"/>
                <w:sz w:val="20"/>
                <w:szCs w:val="20"/>
              </w:rPr>
            </w:pPr>
          </w:p>
        </w:tc>
        <w:tc>
          <w:tcPr>
            <w:tcW w:w="26" w:type="pct"/>
            <w:vAlign w:val="center"/>
            <w:hideMark/>
          </w:tcPr>
          <w:p w14:paraId="258E2D26" w14:textId="77777777" w:rsidR="00000000" w:rsidRDefault="000C49AD">
            <w:pPr>
              <w:spacing w:after="100"/>
              <w:rPr>
                <w:rFonts w:eastAsia="Times New Roman"/>
                <w:sz w:val="20"/>
                <w:szCs w:val="20"/>
              </w:rPr>
            </w:pPr>
          </w:p>
        </w:tc>
        <w:tc>
          <w:tcPr>
            <w:tcW w:w="5" w:type="pct"/>
            <w:vAlign w:val="center"/>
            <w:hideMark/>
          </w:tcPr>
          <w:p w14:paraId="5A66C1CD" w14:textId="77777777" w:rsidR="00000000" w:rsidRDefault="000C49AD">
            <w:pPr>
              <w:spacing w:after="100"/>
              <w:rPr>
                <w:rFonts w:eastAsia="Times New Roman"/>
                <w:sz w:val="20"/>
                <w:szCs w:val="20"/>
              </w:rPr>
            </w:pPr>
          </w:p>
        </w:tc>
        <w:tc>
          <w:tcPr>
            <w:tcW w:w="50" w:type="pct"/>
            <w:vAlign w:val="center"/>
            <w:hideMark/>
          </w:tcPr>
          <w:p w14:paraId="3325BBC0" w14:textId="77777777" w:rsidR="00000000" w:rsidRDefault="000C49AD">
            <w:pPr>
              <w:spacing w:after="100"/>
              <w:rPr>
                <w:rFonts w:eastAsia="Times New Roman"/>
                <w:sz w:val="20"/>
                <w:szCs w:val="20"/>
              </w:rPr>
            </w:pPr>
          </w:p>
        </w:tc>
        <w:tc>
          <w:tcPr>
            <w:tcW w:w="739" w:type="pct"/>
            <w:vAlign w:val="center"/>
            <w:hideMark/>
          </w:tcPr>
          <w:p w14:paraId="49A08C44" w14:textId="77777777" w:rsidR="00000000" w:rsidRDefault="000C49AD">
            <w:pPr>
              <w:spacing w:after="100"/>
              <w:rPr>
                <w:rFonts w:eastAsia="Times New Roman"/>
                <w:sz w:val="20"/>
                <w:szCs w:val="20"/>
              </w:rPr>
            </w:pPr>
          </w:p>
        </w:tc>
        <w:tc>
          <w:tcPr>
            <w:tcW w:w="5" w:type="pct"/>
            <w:vAlign w:val="center"/>
            <w:hideMark/>
          </w:tcPr>
          <w:p w14:paraId="2F31EC8A" w14:textId="77777777" w:rsidR="00000000" w:rsidRDefault="000C49AD">
            <w:pPr>
              <w:spacing w:after="100"/>
              <w:rPr>
                <w:rFonts w:eastAsia="Times New Roman"/>
                <w:sz w:val="20"/>
                <w:szCs w:val="20"/>
              </w:rPr>
            </w:pPr>
          </w:p>
        </w:tc>
        <w:tc>
          <w:tcPr>
            <w:tcW w:w="5" w:type="pct"/>
            <w:vAlign w:val="center"/>
            <w:hideMark/>
          </w:tcPr>
          <w:p w14:paraId="294C29D3" w14:textId="77777777" w:rsidR="00000000" w:rsidRDefault="000C49AD">
            <w:pPr>
              <w:spacing w:after="100"/>
              <w:rPr>
                <w:rFonts w:eastAsia="Times New Roman"/>
                <w:sz w:val="20"/>
                <w:szCs w:val="20"/>
              </w:rPr>
            </w:pPr>
          </w:p>
        </w:tc>
        <w:tc>
          <w:tcPr>
            <w:tcW w:w="26" w:type="pct"/>
            <w:vAlign w:val="center"/>
            <w:hideMark/>
          </w:tcPr>
          <w:p w14:paraId="69ED4643" w14:textId="77777777" w:rsidR="00000000" w:rsidRDefault="000C49AD">
            <w:pPr>
              <w:spacing w:after="100"/>
              <w:rPr>
                <w:rFonts w:eastAsia="Times New Roman"/>
                <w:sz w:val="20"/>
                <w:szCs w:val="20"/>
              </w:rPr>
            </w:pPr>
          </w:p>
        </w:tc>
        <w:tc>
          <w:tcPr>
            <w:tcW w:w="5" w:type="pct"/>
            <w:vAlign w:val="center"/>
            <w:hideMark/>
          </w:tcPr>
          <w:p w14:paraId="4EAD6489" w14:textId="77777777" w:rsidR="00000000" w:rsidRDefault="000C49AD">
            <w:pPr>
              <w:spacing w:after="100"/>
              <w:rPr>
                <w:rFonts w:eastAsia="Times New Roman"/>
                <w:sz w:val="20"/>
                <w:szCs w:val="20"/>
              </w:rPr>
            </w:pPr>
          </w:p>
        </w:tc>
        <w:tc>
          <w:tcPr>
            <w:tcW w:w="50" w:type="pct"/>
            <w:vAlign w:val="center"/>
            <w:hideMark/>
          </w:tcPr>
          <w:p w14:paraId="6CF6C0B2" w14:textId="77777777" w:rsidR="00000000" w:rsidRDefault="000C49AD">
            <w:pPr>
              <w:spacing w:after="100"/>
              <w:rPr>
                <w:rFonts w:eastAsia="Times New Roman"/>
                <w:sz w:val="20"/>
                <w:szCs w:val="20"/>
              </w:rPr>
            </w:pPr>
          </w:p>
        </w:tc>
        <w:tc>
          <w:tcPr>
            <w:tcW w:w="739" w:type="pct"/>
            <w:vAlign w:val="center"/>
            <w:hideMark/>
          </w:tcPr>
          <w:p w14:paraId="514B6034" w14:textId="77777777" w:rsidR="00000000" w:rsidRDefault="000C49AD">
            <w:pPr>
              <w:spacing w:after="100"/>
              <w:rPr>
                <w:rFonts w:eastAsia="Times New Roman"/>
                <w:sz w:val="20"/>
                <w:szCs w:val="20"/>
              </w:rPr>
            </w:pPr>
          </w:p>
        </w:tc>
        <w:tc>
          <w:tcPr>
            <w:tcW w:w="5" w:type="pct"/>
            <w:vAlign w:val="center"/>
            <w:hideMark/>
          </w:tcPr>
          <w:p w14:paraId="53B68853" w14:textId="77777777" w:rsidR="00000000" w:rsidRDefault="000C49AD">
            <w:pPr>
              <w:spacing w:after="100"/>
              <w:rPr>
                <w:rFonts w:eastAsia="Times New Roman"/>
                <w:sz w:val="20"/>
                <w:szCs w:val="20"/>
              </w:rPr>
            </w:pPr>
          </w:p>
        </w:tc>
        <w:tc>
          <w:tcPr>
            <w:tcW w:w="5" w:type="pct"/>
            <w:vAlign w:val="center"/>
            <w:hideMark/>
          </w:tcPr>
          <w:p w14:paraId="1C98C566" w14:textId="77777777" w:rsidR="00000000" w:rsidRDefault="000C49AD">
            <w:pPr>
              <w:spacing w:after="100"/>
              <w:rPr>
                <w:rFonts w:eastAsia="Times New Roman"/>
                <w:sz w:val="20"/>
                <w:szCs w:val="20"/>
              </w:rPr>
            </w:pPr>
          </w:p>
        </w:tc>
        <w:tc>
          <w:tcPr>
            <w:tcW w:w="26" w:type="pct"/>
            <w:vAlign w:val="center"/>
            <w:hideMark/>
          </w:tcPr>
          <w:p w14:paraId="2BD9AD74" w14:textId="77777777" w:rsidR="00000000" w:rsidRDefault="000C49AD">
            <w:pPr>
              <w:spacing w:after="100"/>
              <w:rPr>
                <w:rFonts w:eastAsia="Times New Roman"/>
                <w:sz w:val="20"/>
                <w:szCs w:val="20"/>
              </w:rPr>
            </w:pPr>
          </w:p>
        </w:tc>
        <w:tc>
          <w:tcPr>
            <w:tcW w:w="5" w:type="pct"/>
            <w:vAlign w:val="center"/>
            <w:hideMark/>
          </w:tcPr>
          <w:p w14:paraId="58DFF4FC" w14:textId="77777777" w:rsidR="00000000" w:rsidRDefault="000C49AD">
            <w:pPr>
              <w:spacing w:after="100"/>
              <w:rPr>
                <w:rFonts w:eastAsia="Times New Roman"/>
                <w:sz w:val="20"/>
                <w:szCs w:val="20"/>
              </w:rPr>
            </w:pPr>
          </w:p>
        </w:tc>
        <w:tc>
          <w:tcPr>
            <w:tcW w:w="50" w:type="pct"/>
            <w:vAlign w:val="center"/>
            <w:hideMark/>
          </w:tcPr>
          <w:p w14:paraId="22C64A14" w14:textId="77777777" w:rsidR="00000000" w:rsidRDefault="000C49AD">
            <w:pPr>
              <w:spacing w:after="100"/>
              <w:rPr>
                <w:rFonts w:eastAsia="Times New Roman"/>
                <w:sz w:val="20"/>
                <w:szCs w:val="20"/>
              </w:rPr>
            </w:pPr>
          </w:p>
        </w:tc>
        <w:tc>
          <w:tcPr>
            <w:tcW w:w="739" w:type="pct"/>
            <w:vAlign w:val="center"/>
            <w:hideMark/>
          </w:tcPr>
          <w:p w14:paraId="2C14B5A3" w14:textId="77777777" w:rsidR="00000000" w:rsidRDefault="000C49AD">
            <w:pPr>
              <w:spacing w:after="100"/>
              <w:rPr>
                <w:rFonts w:eastAsia="Times New Roman"/>
                <w:sz w:val="20"/>
                <w:szCs w:val="20"/>
              </w:rPr>
            </w:pPr>
          </w:p>
        </w:tc>
        <w:tc>
          <w:tcPr>
            <w:tcW w:w="5" w:type="pct"/>
            <w:vAlign w:val="center"/>
            <w:hideMark/>
          </w:tcPr>
          <w:p w14:paraId="3188F5EC" w14:textId="77777777" w:rsidR="00000000" w:rsidRDefault="000C49AD">
            <w:pPr>
              <w:spacing w:after="100"/>
              <w:rPr>
                <w:rFonts w:eastAsia="Times New Roman"/>
                <w:sz w:val="20"/>
                <w:szCs w:val="20"/>
              </w:rPr>
            </w:pPr>
          </w:p>
        </w:tc>
      </w:tr>
      <w:tr w:rsidR="00000000" w14:paraId="199D4B87" w14:textId="77777777">
        <w:trPr>
          <w:divId w:val="859856815"/>
        </w:trPr>
        <w:tc>
          <w:tcPr>
            <w:tcW w:w="0" w:type="auto"/>
            <w:gridSpan w:val="3"/>
            <w:tcMar>
              <w:top w:w="30" w:type="dxa"/>
              <w:left w:w="20" w:type="dxa"/>
              <w:bottom w:w="30" w:type="dxa"/>
              <w:right w:w="20" w:type="dxa"/>
            </w:tcMar>
            <w:vAlign w:val="bottom"/>
            <w:hideMark/>
          </w:tcPr>
          <w:p w14:paraId="6F401C53" w14:textId="77777777" w:rsidR="00000000" w:rsidRDefault="000C49AD">
            <w:pPr>
              <w:spacing w:after="100"/>
              <w:rPr>
                <w:rFonts w:eastAsia="Times New Roman"/>
              </w:rPr>
            </w:pPr>
            <w:r>
              <w:rPr>
                <w:rFonts w:eastAsia="Times New Roman"/>
                <w:b/>
                <w:bCs/>
                <w:color w:val="000000"/>
                <w:sz w:val="18"/>
                <w:szCs w:val="18"/>
              </w:rPr>
              <w:t>Accumulated Other Comprehensive Loss:</w:t>
            </w:r>
          </w:p>
        </w:tc>
        <w:tc>
          <w:tcPr>
            <w:tcW w:w="0" w:type="auto"/>
            <w:gridSpan w:val="3"/>
            <w:tcMar>
              <w:top w:w="0" w:type="dxa"/>
              <w:left w:w="20" w:type="dxa"/>
              <w:bottom w:w="0" w:type="dxa"/>
              <w:right w:w="20" w:type="dxa"/>
            </w:tcMar>
            <w:vAlign w:val="center"/>
            <w:hideMark/>
          </w:tcPr>
          <w:p w14:paraId="098B82E2"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4828CCC7"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6044BC5E"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FB4654"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0DC5D8B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A18846D"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01F8258D" w14:textId="77777777">
        <w:trPr>
          <w:divId w:val="859856815"/>
          <w:trHeight w:val="60"/>
        </w:trPr>
        <w:tc>
          <w:tcPr>
            <w:tcW w:w="0" w:type="auto"/>
            <w:gridSpan w:val="3"/>
            <w:tcBorders>
              <w:top w:val="single" w:sz="8" w:space="0" w:color="000000"/>
            </w:tcBorders>
            <w:tcMar>
              <w:top w:w="0" w:type="dxa"/>
              <w:left w:w="20" w:type="dxa"/>
              <w:bottom w:w="0" w:type="dxa"/>
              <w:right w:w="20" w:type="dxa"/>
            </w:tcMar>
            <w:vAlign w:val="center"/>
            <w:hideMark/>
          </w:tcPr>
          <w:p w14:paraId="42672C52"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B1C1B1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46DD0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9B03F4"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AF38560"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B5096A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DAF87C3" w14:textId="77777777" w:rsidR="00000000" w:rsidRDefault="000C49AD">
            <w:pPr>
              <w:spacing w:after="100"/>
              <w:rPr>
                <w:rFonts w:eastAsia="Times New Roman"/>
                <w:sz w:val="20"/>
                <w:szCs w:val="20"/>
              </w:rPr>
            </w:pPr>
          </w:p>
        </w:tc>
      </w:tr>
      <w:tr w:rsidR="00000000" w14:paraId="385ABBE7" w14:textId="77777777">
        <w:trPr>
          <w:divId w:val="859856815"/>
        </w:trPr>
        <w:tc>
          <w:tcPr>
            <w:tcW w:w="0" w:type="auto"/>
            <w:gridSpan w:val="3"/>
            <w:tcMar>
              <w:top w:w="30" w:type="dxa"/>
              <w:left w:w="245" w:type="dxa"/>
              <w:bottom w:w="30" w:type="dxa"/>
              <w:right w:w="20" w:type="dxa"/>
            </w:tcMar>
            <w:vAlign w:val="bottom"/>
            <w:hideMark/>
          </w:tcPr>
          <w:p w14:paraId="27C5404E" w14:textId="77777777" w:rsidR="00000000" w:rsidRDefault="000C49AD">
            <w:pPr>
              <w:spacing w:after="100"/>
              <w:rPr>
                <w:rFonts w:eastAsia="Times New Roman"/>
              </w:rPr>
            </w:pPr>
            <w:r>
              <w:rPr>
                <w:rFonts w:eastAsia="Times New Roman"/>
                <w:color w:val="000000"/>
                <w:sz w:val="18"/>
                <w:szCs w:val="18"/>
              </w:rPr>
              <w:t>Foreign currency translation adjustment:</w:t>
            </w:r>
          </w:p>
        </w:tc>
        <w:tc>
          <w:tcPr>
            <w:tcW w:w="0" w:type="auto"/>
            <w:gridSpan w:val="3"/>
            <w:tcMar>
              <w:top w:w="0" w:type="dxa"/>
              <w:left w:w="20" w:type="dxa"/>
              <w:bottom w:w="0" w:type="dxa"/>
              <w:right w:w="20" w:type="dxa"/>
            </w:tcMar>
            <w:vAlign w:val="center"/>
            <w:hideMark/>
          </w:tcPr>
          <w:p w14:paraId="5540BF03"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2FECBC4B"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280059CC" w14:textId="77777777" w:rsidR="00000000" w:rsidRDefault="000C49AD">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3081A4B4"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78984CB4" w14:textId="77777777" w:rsidR="00000000" w:rsidRDefault="000C49AD">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5C381E4" w14:textId="77777777" w:rsidR="00000000" w:rsidRDefault="000C49AD">
            <w:pPr>
              <w:spacing w:after="100"/>
              <w:rPr>
                <w:rFonts w:eastAsia="Times New Roman"/>
                <w:sz w:val="20"/>
                <w:szCs w:val="20"/>
              </w:rPr>
            </w:pPr>
          </w:p>
        </w:tc>
      </w:tr>
      <w:tr w:rsidR="00000000" w14:paraId="7FE512C7" w14:textId="77777777">
        <w:trPr>
          <w:divId w:val="859856815"/>
        </w:trPr>
        <w:tc>
          <w:tcPr>
            <w:tcW w:w="0" w:type="auto"/>
            <w:gridSpan w:val="3"/>
            <w:shd w:val="clear" w:color="auto" w:fill="CCEEFF"/>
            <w:tcMar>
              <w:top w:w="30" w:type="dxa"/>
              <w:left w:w="380" w:type="dxa"/>
              <w:bottom w:w="30" w:type="dxa"/>
              <w:right w:w="20" w:type="dxa"/>
            </w:tcMar>
            <w:vAlign w:val="bottom"/>
            <w:hideMark/>
          </w:tcPr>
          <w:p w14:paraId="0BE76FFA" w14:textId="77777777" w:rsidR="00000000" w:rsidRDefault="000C49AD">
            <w:pPr>
              <w:spacing w:after="100"/>
              <w:rPr>
                <w:rFonts w:eastAsia="Times New Roman"/>
              </w:rPr>
            </w:pPr>
            <w:r>
              <w:rPr>
                <w:rFonts w:eastAsia="Times New Roman"/>
                <w:color w:val="000000"/>
                <w:sz w:val="18"/>
                <w:szCs w:val="18"/>
              </w:rPr>
              <w:t>Beginning balance</w:t>
            </w:r>
          </w:p>
        </w:tc>
        <w:tc>
          <w:tcPr>
            <w:tcW w:w="0" w:type="auto"/>
            <w:gridSpan w:val="3"/>
            <w:shd w:val="clear" w:color="auto" w:fill="CCEEFF"/>
            <w:tcMar>
              <w:top w:w="0" w:type="dxa"/>
              <w:left w:w="20" w:type="dxa"/>
              <w:bottom w:w="0" w:type="dxa"/>
              <w:right w:w="20" w:type="dxa"/>
            </w:tcMar>
            <w:vAlign w:val="center"/>
            <w:hideMark/>
          </w:tcPr>
          <w:p w14:paraId="48BF823E"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5F455B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98A5655" w14:textId="77777777" w:rsidR="00000000" w:rsidRDefault="000C49AD">
            <w:pPr>
              <w:spacing w:after="100"/>
              <w:jc w:val="right"/>
              <w:rPr>
                <w:rFonts w:eastAsia="Times New Roman"/>
              </w:rPr>
            </w:pPr>
            <w:r>
              <w:rPr>
                <w:rFonts w:eastAsia="Times New Roman"/>
                <w:color w:val="000000"/>
                <w:sz w:val="18"/>
                <w:szCs w:val="18"/>
              </w:rPr>
              <w:t>(22,627)</w:t>
            </w:r>
          </w:p>
        </w:tc>
        <w:tc>
          <w:tcPr>
            <w:tcW w:w="0" w:type="auto"/>
            <w:shd w:val="clear" w:color="auto" w:fill="CCEEFF"/>
            <w:tcMar>
              <w:top w:w="30" w:type="dxa"/>
              <w:left w:w="0" w:type="dxa"/>
              <w:bottom w:w="30" w:type="dxa"/>
              <w:right w:w="20" w:type="dxa"/>
            </w:tcMar>
            <w:vAlign w:val="bottom"/>
            <w:hideMark/>
          </w:tcPr>
          <w:p w14:paraId="0B1EBB8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D93F8"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4F26E1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4375DF11" w14:textId="77777777" w:rsidR="00000000" w:rsidRDefault="000C49AD">
            <w:pPr>
              <w:spacing w:after="100"/>
              <w:jc w:val="right"/>
              <w:rPr>
                <w:rFonts w:eastAsia="Times New Roman"/>
              </w:rPr>
            </w:pPr>
            <w:r>
              <w:rPr>
                <w:rFonts w:eastAsia="Times New Roman"/>
                <w:color w:val="000000"/>
                <w:sz w:val="18"/>
                <w:szCs w:val="18"/>
              </w:rPr>
              <w:t>(23,738)</w:t>
            </w:r>
          </w:p>
        </w:tc>
        <w:tc>
          <w:tcPr>
            <w:tcW w:w="0" w:type="auto"/>
            <w:shd w:val="clear" w:color="auto" w:fill="CCEEFF"/>
            <w:tcMar>
              <w:top w:w="30" w:type="dxa"/>
              <w:left w:w="0" w:type="dxa"/>
              <w:bottom w:w="30" w:type="dxa"/>
              <w:right w:w="20" w:type="dxa"/>
            </w:tcMar>
            <w:vAlign w:val="bottom"/>
            <w:hideMark/>
          </w:tcPr>
          <w:p w14:paraId="1BFB54F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632CA"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7071A5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6897257" w14:textId="77777777" w:rsidR="00000000" w:rsidRDefault="000C49AD">
            <w:pPr>
              <w:spacing w:after="100"/>
              <w:jc w:val="right"/>
              <w:rPr>
                <w:rFonts w:eastAsia="Times New Roman"/>
              </w:rPr>
            </w:pPr>
            <w:r>
              <w:rPr>
                <w:rFonts w:eastAsia="Times New Roman"/>
                <w:color w:val="000000"/>
                <w:sz w:val="18"/>
                <w:szCs w:val="18"/>
              </w:rPr>
              <w:t>(23,621)</w:t>
            </w:r>
          </w:p>
        </w:tc>
        <w:tc>
          <w:tcPr>
            <w:tcW w:w="0" w:type="auto"/>
            <w:shd w:val="clear" w:color="auto" w:fill="CCEEFF"/>
            <w:tcMar>
              <w:top w:w="30" w:type="dxa"/>
              <w:left w:w="0" w:type="dxa"/>
              <w:bottom w:w="30" w:type="dxa"/>
              <w:right w:w="20" w:type="dxa"/>
            </w:tcMar>
            <w:vAlign w:val="bottom"/>
            <w:hideMark/>
          </w:tcPr>
          <w:p w14:paraId="31F43013" w14:textId="77777777" w:rsidR="00000000" w:rsidRDefault="000C49AD">
            <w:pPr>
              <w:spacing w:after="100"/>
              <w:jc w:val="right"/>
              <w:rPr>
                <w:rFonts w:eastAsia="Times New Roman"/>
              </w:rPr>
            </w:pPr>
          </w:p>
        </w:tc>
      </w:tr>
      <w:tr w:rsidR="00000000" w14:paraId="66A4B686" w14:textId="77777777">
        <w:trPr>
          <w:divId w:val="859856815"/>
        </w:trPr>
        <w:tc>
          <w:tcPr>
            <w:tcW w:w="0" w:type="auto"/>
            <w:gridSpan w:val="3"/>
            <w:shd w:val="clear" w:color="auto" w:fill="FFFFFF"/>
            <w:tcMar>
              <w:top w:w="30" w:type="dxa"/>
              <w:left w:w="515" w:type="dxa"/>
              <w:bottom w:w="30" w:type="dxa"/>
              <w:right w:w="20" w:type="dxa"/>
            </w:tcMar>
            <w:vAlign w:val="bottom"/>
            <w:hideMark/>
          </w:tcPr>
          <w:p w14:paraId="120E603F" w14:textId="77777777" w:rsidR="00000000" w:rsidRDefault="000C49AD">
            <w:pPr>
              <w:spacing w:after="100"/>
              <w:rPr>
                <w:rFonts w:eastAsia="Times New Roman"/>
              </w:rPr>
            </w:pPr>
            <w:r>
              <w:rPr>
                <w:rFonts w:eastAsia="Times New Roman"/>
                <w:color w:val="000000"/>
                <w:sz w:val="18"/>
                <w:szCs w:val="18"/>
              </w:rPr>
              <w:t xml:space="preserve">Net other comprehensive (loss) income </w:t>
            </w:r>
          </w:p>
        </w:tc>
        <w:tc>
          <w:tcPr>
            <w:tcW w:w="0" w:type="auto"/>
            <w:gridSpan w:val="3"/>
            <w:shd w:val="clear" w:color="auto" w:fill="FFFFFF"/>
            <w:tcMar>
              <w:top w:w="0" w:type="dxa"/>
              <w:left w:w="20" w:type="dxa"/>
              <w:bottom w:w="0" w:type="dxa"/>
              <w:right w:w="20" w:type="dxa"/>
            </w:tcMar>
            <w:vAlign w:val="center"/>
            <w:hideMark/>
          </w:tcPr>
          <w:p w14:paraId="4C8EFF6B"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E97DFF" w14:textId="77777777" w:rsidR="00000000" w:rsidRDefault="000C49AD">
            <w:pPr>
              <w:spacing w:after="100"/>
              <w:jc w:val="right"/>
              <w:rPr>
                <w:rFonts w:eastAsia="Times New Roman"/>
              </w:rPr>
            </w:pPr>
            <w:r>
              <w:rPr>
                <w:rFonts w:eastAsia="Times New Roman"/>
                <w:color w:val="000000"/>
                <w:sz w:val="18"/>
                <w:szCs w:val="18"/>
              </w:rPr>
              <w:t>(1,228)</w:t>
            </w:r>
          </w:p>
        </w:tc>
        <w:tc>
          <w:tcPr>
            <w:tcW w:w="0" w:type="auto"/>
            <w:shd w:val="clear" w:color="auto" w:fill="FFFFFF"/>
            <w:tcMar>
              <w:top w:w="30" w:type="dxa"/>
              <w:left w:w="0" w:type="dxa"/>
              <w:bottom w:w="30" w:type="dxa"/>
              <w:right w:w="20" w:type="dxa"/>
            </w:tcMar>
            <w:vAlign w:val="bottom"/>
            <w:hideMark/>
          </w:tcPr>
          <w:p w14:paraId="2C93561C"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5B4C09"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80C345" w14:textId="77777777" w:rsidR="00000000" w:rsidRDefault="000C49AD">
            <w:pPr>
              <w:spacing w:after="100"/>
              <w:jc w:val="right"/>
              <w:rPr>
                <w:rFonts w:eastAsia="Times New Roman"/>
              </w:rPr>
            </w:pPr>
            <w:r>
              <w:rPr>
                <w:rFonts w:eastAsia="Times New Roman"/>
                <w:color w:val="000000"/>
                <w:sz w:val="18"/>
                <w:szCs w:val="18"/>
              </w:rPr>
              <w:t>1,111 </w:t>
            </w:r>
          </w:p>
        </w:tc>
        <w:tc>
          <w:tcPr>
            <w:tcW w:w="0" w:type="auto"/>
            <w:shd w:val="clear" w:color="auto" w:fill="FFFFFF"/>
            <w:tcMar>
              <w:top w:w="30" w:type="dxa"/>
              <w:left w:w="0" w:type="dxa"/>
              <w:bottom w:w="30" w:type="dxa"/>
              <w:right w:w="20" w:type="dxa"/>
            </w:tcMar>
            <w:vAlign w:val="bottom"/>
            <w:hideMark/>
          </w:tcPr>
          <w:p w14:paraId="2ED00B4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4D7B21"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79A71B" w14:textId="77777777" w:rsidR="00000000" w:rsidRDefault="000C49AD">
            <w:pPr>
              <w:spacing w:after="100"/>
              <w:jc w:val="right"/>
              <w:rPr>
                <w:rFonts w:eastAsia="Times New Roman"/>
              </w:rPr>
            </w:pPr>
            <w:r>
              <w:rPr>
                <w:rFonts w:eastAsia="Times New Roman"/>
                <w:color w:val="000000"/>
                <w:sz w:val="18"/>
                <w:szCs w:val="18"/>
              </w:rPr>
              <w:t>(117)</w:t>
            </w:r>
          </w:p>
        </w:tc>
        <w:tc>
          <w:tcPr>
            <w:tcW w:w="0" w:type="auto"/>
            <w:shd w:val="clear" w:color="auto" w:fill="FFFFFF"/>
            <w:tcMar>
              <w:top w:w="30" w:type="dxa"/>
              <w:left w:w="0" w:type="dxa"/>
              <w:bottom w:w="30" w:type="dxa"/>
              <w:right w:w="20" w:type="dxa"/>
            </w:tcMar>
            <w:vAlign w:val="bottom"/>
            <w:hideMark/>
          </w:tcPr>
          <w:p w14:paraId="3F0CBC68" w14:textId="77777777" w:rsidR="00000000" w:rsidRDefault="000C49AD">
            <w:pPr>
              <w:spacing w:after="100"/>
              <w:jc w:val="right"/>
              <w:rPr>
                <w:rFonts w:eastAsia="Times New Roman"/>
              </w:rPr>
            </w:pPr>
          </w:p>
        </w:tc>
      </w:tr>
      <w:tr w:rsidR="00000000" w14:paraId="05C934A7" w14:textId="77777777">
        <w:trPr>
          <w:divId w:val="859856815"/>
        </w:trPr>
        <w:tc>
          <w:tcPr>
            <w:tcW w:w="0" w:type="auto"/>
            <w:gridSpan w:val="3"/>
            <w:shd w:val="clear" w:color="auto" w:fill="CCEEFF"/>
            <w:tcMar>
              <w:top w:w="30" w:type="dxa"/>
              <w:left w:w="380" w:type="dxa"/>
              <w:bottom w:w="30" w:type="dxa"/>
              <w:right w:w="20" w:type="dxa"/>
            </w:tcMar>
            <w:vAlign w:val="bottom"/>
            <w:hideMark/>
          </w:tcPr>
          <w:p w14:paraId="57FB1D3A" w14:textId="77777777" w:rsidR="00000000" w:rsidRDefault="000C49AD">
            <w:pPr>
              <w:spacing w:after="100"/>
              <w:rPr>
                <w:rFonts w:eastAsia="Times New Roman"/>
              </w:rPr>
            </w:pPr>
            <w:r>
              <w:rPr>
                <w:rFonts w:eastAsia="Times New Roman"/>
                <w:color w:val="000000"/>
                <w:sz w:val="18"/>
                <w:szCs w:val="18"/>
              </w:rPr>
              <w:t>Balance at December 31,</w:t>
            </w:r>
          </w:p>
        </w:tc>
        <w:tc>
          <w:tcPr>
            <w:tcW w:w="0" w:type="auto"/>
            <w:gridSpan w:val="3"/>
            <w:shd w:val="clear" w:color="auto" w:fill="CCEEFF"/>
            <w:tcMar>
              <w:top w:w="0" w:type="dxa"/>
              <w:left w:w="20" w:type="dxa"/>
              <w:bottom w:w="0" w:type="dxa"/>
              <w:right w:w="20" w:type="dxa"/>
            </w:tcMar>
            <w:vAlign w:val="center"/>
            <w:hideMark/>
          </w:tcPr>
          <w:p w14:paraId="579D1F26" w14:textId="77777777" w:rsidR="00000000" w:rsidRDefault="000C49AD">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C0CFEB"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F53F6B" w14:textId="77777777" w:rsidR="00000000" w:rsidRDefault="000C49AD">
            <w:pPr>
              <w:spacing w:after="100"/>
              <w:jc w:val="right"/>
              <w:rPr>
                <w:rFonts w:eastAsia="Times New Roman"/>
              </w:rPr>
            </w:pPr>
            <w:r>
              <w:rPr>
                <w:rFonts w:eastAsia="Times New Roman"/>
                <w:color w:val="000000"/>
                <w:sz w:val="18"/>
                <w:szCs w:val="18"/>
              </w:rPr>
              <w:t>(23,855)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78EA59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728046"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1AFB3AD"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8CE12A" w14:textId="77777777" w:rsidR="00000000" w:rsidRDefault="000C49AD">
            <w:pPr>
              <w:spacing w:after="100"/>
              <w:jc w:val="right"/>
              <w:rPr>
                <w:rFonts w:eastAsia="Times New Roman"/>
              </w:rPr>
            </w:pPr>
            <w:r>
              <w:rPr>
                <w:rFonts w:eastAsia="Times New Roman"/>
                <w:color w:val="000000"/>
                <w:sz w:val="18"/>
                <w:szCs w:val="18"/>
              </w:rPr>
              <w:t>(</w:t>
            </w:r>
            <w:r>
              <w:rPr>
                <w:rFonts w:eastAsia="Times New Roman"/>
                <w:color w:val="000000"/>
                <w:sz w:val="18"/>
                <w:szCs w:val="18"/>
              </w:rPr>
              <w:t>22,627)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A7090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36793"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797E84"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F78192" w14:textId="77777777" w:rsidR="00000000" w:rsidRDefault="000C49AD">
            <w:pPr>
              <w:spacing w:after="100"/>
              <w:jc w:val="right"/>
              <w:rPr>
                <w:rFonts w:eastAsia="Times New Roman"/>
              </w:rPr>
            </w:pPr>
            <w:r>
              <w:rPr>
                <w:rFonts w:eastAsia="Times New Roman"/>
                <w:color w:val="000000"/>
                <w:sz w:val="18"/>
                <w:szCs w:val="18"/>
              </w:rPr>
              <w:t>(23,738)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327BEF" w14:textId="77777777" w:rsidR="00000000" w:rsidRDefault="000C49AD">
            <w:pPr>
              <w:spacing w:after="100"/>
              <w:jc w:val="right"/>
              <w:rPr>
                <w:rFonts w:eastAsia="Times New Roman"/>
              </w:rPr>
            </w:pPr>
          </w:p>
        </w:tc>
      </w:tr>
      <w:tr w:rsidR="00000000" w14:paraId="416EB6D2" w14:textId="77777777">
        <w:trPr>
          <w:divId w:val="859856815"/>
          <w:trHeight w:val="280"/>
        </w:trPr>
        <w:tc>
          <w:tcPr>
            <w:tcW w:w="0" w:type="auto"/>
            <w:gridSpan w:val="3"/>
            <w:shd w:val="clear" w:color="auto" w:fill="FFFFFF"/>
            <w:tcMar>
              <w:top w:w="0" w:type="dxa"/>
              <w:left w:w="20" w:type="dxa"/>
              <w:bottom w:w="0" w:type="dxa"/>
              <w:right w:w="20" w:type="dxa"/>
            </w:tcMar>
            <w:vAlign w:val="center"/>
            <w:hideMark/>
          </w:tcPr>
          <w:p w14:paraId="12F5A052" w14:textId="77777777" w:rsidR="00000000" w:rsidRDefault="000C49AD">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141F5C"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30407C1"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AA505B"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CD97358"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2AF154"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78EED2" w14:textId="77777777" w:rsidR="00000000" w:rsidRDefault="000C49AD">
            <w:pPr>
              <w:spacing w:after="100"/>
              <w:rPr>
                <w:rFonts w:eastAsia="Times New Roman"/>
                <w:sz w:val="20"/>
                <w:szCs w:val="20"/>
              </w:rPr>
            </w:pPr>
          </w:p>
        </w:tc>
      </w:tr>
      <w:tr w:rsidR="00000000" w14:paraId="2AD8F540" w14:textId="77777777">
        <w:trPr>
          <w:divId w:val="859856815"/>
        </w:trPr>
        <w:tc>
          <w:tcPr>
            <w:tcW w:w="0" w:type="auto"/>
            <w:gridSpan w:val="3"/>
            <w:shd w:val="clear" w:color="auto" w:fill="CCEEFF"/>
            <w:tcMar>
              <w:top w:w="30" w:type="dxa"/>
              <w:left w:w="245" w:type="dxa"/>
              <w:bottom w:w="30" w:type="dxa"/>
              <w:right w:w="20" w:type="dxa"/>
            </w:tcMar>
            <w:vAlign w:val="bottom"/>
            <w:hideMark/>
          </w:tcPr>
          <w:p w14:paraId="4F686989" w14:textId="77777777" w:rsidR="00000000" w:rsidRDefault="000C49AD">
            <w:pPr>
              <w:spacing w:after="100"/>
              <w:rPr>
                <w:rFonts w:eastAsia="Times New Roman"/>
              </w:rPr>
            </w:pPr>
            <w:r>
              <w:rPr>
                <w:rFonts w:eastAsia="Times New Roman"/>
                <w:color w:val="000000"/>
                <w:sz w:val="18"/>
                <w:szCs w:val="18"/>
              </w:rPr>
              <w:t>Unrealized (loss) gain on marketable securities, net</w:t>
            </w:r>
          </w:p>
        </w:tc>
        <w:tc>
          <w:tcPr>
            <w:tcW w:w="0" w:type="auto"/>
            <w:gridSpan w:val="3"/>
            <w:shd w:val="clear" w:color="auto" w:fill="CCEEFF"/>
            <w:tcMar>
              <w:top w:w="0" w:type="dxa"/>
              <w:left w:w="20" w:type="dxa"/>
              <w:bottom w:w="0" w:type="dxa"/>
              <w:right w:w="20" w:type="dxa"/>
            </w:tcMar>
            <w:vAlign w:val="center"/>
            <w:hideMark/>
          </w:tcPr>
          <w:p w14:paraId="73A57F0A" w14:textId="77777777" w:rsidR="00000000" w:rsidRDefault="000C49AD">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F078D68"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4FC8A27A" w14:textId="77777777" w:rsidR="00000000" w:rsidRDefault="000C49AD">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F0DF809" w14:textId="77777777" w:rsidR="00000000" w:rsidRDefault="000C49AD">
            <w:pPr>
              <w:spacing w:after="100"/>
              <w:jc w:val="right"/>
              <w:rPr>
                <w:rFonts w:eastAsia="Times New Roman"/>
              </w:rPr>
            </w:pPr>
            <w:r>
              <w:rPr>
                <w:rFonts w:eastAsia="Times New Roman"/>
                <w:color w:val="000000"/>
                <w:sz w:val="18"/>
                <w:szCs w:val="18"/>
              </w:rPr>
              <w:t> </w:t>
            </w:r>
          </w:p>
        </w:tc>
        <w:tc>
          <w:tcPr>
            <w:tcW w:w="0" w:type="auto"/>
            <w:gridSpan w:val="3"/>
            <w:shd w:val="clear" w:color="auto" w:fill="CCEEFF"/>
            <w:tcMar>
              <w:top w:w="0" w:type="dxa"/>
              <w:left w:w="20" w:type="dxa"/>
              <w:bottom w:w="0" w:type="dxa"/>
              <w:right w:w="20" w:type="dxa"/>
            </w:tcMar>
            <w:vAlign w:val="center"/>
            <w:hideMark/>
          </w:tcPr>
          <w:p w14:paraId="35F169A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700E15" w14:textId="77777777" w:rsidR="00000000" w:rsidRDefault="000C49AD">
            <w:pPr>
              <w:spacing w:after="100"/>
              <w:rPr>
                <w:rFonts w:eastAsia="Times New Roman"/>
                <w:sz w:val="20"/>
                <w:szCs w:val="20"/>
              </w:rPr>
            </w:pPr>
          </w:p>
        </w:tc>
      </w:tr>
      <w:tr w:rsidR="00000000" w14:paraId="68A525AE" w14:textId="77777777">
        <w:trPr>
          <w:divId w:val="859856815"/>
        </w:trPr>
        <w:tc>
          <w:tcPr>
            <w:tcW w:w="0" w:type="auto"/>
            <w:gridSpan w:val="3"/>
            <w:shd w:val="clear" w:color="auto" w:fill="FFFFFF"/>
            <w:tcMar>
              <w:top w:w="30" w:type="dxa"/>
              <w:left w:w="380" w:type="dxa"/>
              <w:bottom w:w="30" w:type="dxa"/>
              <w:right w:w="20" w:type="dxa"/>
            </w:tcMar>
            <w:vAlign w:val="bottom"/>
            <w:hideMark/>
          </w:tcPr>
          <w:p w14:paraId="604565E0" w14:textId="77777777" w:rsidR="00000000" w:rsidRDefault="000C49AD">
            <w:pPr>
              <w:spacing w:after="100"/>
              <w:rPr>
                <w:rFonts w:eastAsia="Times New Roman"/>
              </w:rPr>
            </w:pPr>
            <w:r>
              <w:rPr>
                <w:rFonts w:eastAsia="Times New Roman"/>
                <w:color w:val="000000"/>
                <w:sz w:val="18"/>
                <w:szCs w:val="18"/>
              </w:rPr>
              <w:t>Beginning balance</w:t>
            </w:r>
          </w:p>
        </w:tc>
        <w:tc>
          <w:tcPr>
            <w:tcW w:w="0" w:type="auto"/>
            <w:gridSpan w:val="3"/>
            <w:shd w:val="clear" w:color="auto" w:fill="FFFFFF"/>
            <w:tcMar>
              <w:top w:w="0" w:type="dxa"/>
              <w:left w:w="20" w:type="dxa"/>
              <w:bottom w:w="0" w:type="dxa"/>
              <w:right w:w="20" w:type="dxa"/>
            </w:tcMar>
            <w:vAlign w:val="center"/>
            <w:hideMark/>
          </w:tcPr>
          <w:p w14:paraId="6162231B" w14:textId="77777777" w:rsidR="00000000" w:rsidRDefault="000C49A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0CE9AFC2"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C085CFF" w14:textId="77777777" w:rsidR="00000000" w:rsidRDefault="000C49AD">
            <w:pPr>
              <w:spacing w:after="100"/>
              <w:jc w:val="right"/>
              <w:rPr>
                <w:rFonts w:eastAsia="Times New Roman"/>
              </w:rPr>
            </w:pPr>
            <w:r>
              <w:rPr>
                <w:rFonts w:eastAsia="Times New Roman"/>
                <w:color w:val="000000"/>
                <w:sz w:val="18"/>
                <w:szCs w:val="18"/>
              </w:rPr>
              <w:t>1,576 </w:t>
            </w:r>
          </w:p>
        </w:tc>
        <w:tc>
          <w:tcPr>
            <w:tcW w:w="0" w:type="auto"/>
            <w:shd w:val="clear" w:color="auto" w:fill="FFFFFF"/>
            <w:tcMar>
              <w:top w:w="30" w:type="dxa"/>
              <w:left w:w="0" w:type="dxa"/>
              <w:bottom w:w="30" w:type="dxa"/>
              <w:right w:w="20" w:type="dxa"/>
            </w:tcMar>
            <w:vAlign w:val="bottom"/>
            <w:hideMark/>
          </w:tcPr>
          <w:p w14:paraId="67E4935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F4DE8C"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0A835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D5C87D4" w14:textId="77777777" w:rsidR="00000000" w:rsidRDefault="000C49AD">
            <w:pPr>
              <w:spacing w:after="100"/>
              <w:jc w:val="right"/>
              <w:rPr>
                <w:rFonts w:eastAsia="Times New Roman"/>
              </w:rPr>
            </w:pPr>
            <w:r>
              <w:rPr>
                <w:rFonts w:eastAsia="Times New Roman"/>
                <w:color w:val="000000"/>
                <w:sz w:val="18"/>
                <w:szCs w:val="18"/>
              </w:rPr>
              <w:t>932 </w:t>
            </w:r>
          </w:p>
        </w:tc>
        <w:tc>
          <w:tcPr>
            <w:tcW w:w="0" w:type="auto"/>
            <w:shd w:val="clear" w:color="auto" w:fill="FFFFFF"/>
            <w:tcMar>
              <w:top w:w="30" w:type="dxa"/>
              <w:left w:w="0" w:type="dxa"/>
              <w:bottom w:w="30" w:type="dxa"/>
              <w:right w:w="20" w:type="dxa"/>
            </w:tcMar>
            <w:vAlign w:val="bottom"/>
            <w:hideMark/>
          </w:tcPr>
          <w:p w14:paraId="01D39BD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E806A"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613F4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16C525F7" w14:textId="77777777" w:rsidR="00000000" w:rsidRDefault="000C49AD">
            <w:pPr>
              <w:spacing w:after="100"/>
              <w:jc w:val="right"/>
              <w:rPr>
                <w:rFonts w:eastAsia="Times New Roman"/>
              </w:rPr>
            </w:pPr>
            <w:r>
              <w:rPr>
                <w:rFonts w:eastAsia="Times New Roman"/>
                <w:color w:val="000000"/>
                <w:sz w:val="18"/>
                <w:szCs w:val="18"/>
              </w:rPr>
              <w:t>205 </w:t>
            </w:r>
          </w:p>
        </w:tc>
        <w:tc>
          <w:tcPr>
            <w:tcW w:w="0" w:type="auto"/>
            <w:shd w:val="clear" w:color="auto" w:fill="FFFFFF"/>
            <w:tcMar>
              <w:top w:w="30" w:type="dxa"/>
              <w:left w:w="0" w:type="dxa"/>
              <w:bottom w:w="30" w:type="dxa"/>
              <w:right w:w="20" w:type="dxa"/>
            </w:tcMar>
            <w:vAlign w:val="bottom"/>
            <w:hideMark/>
          </w:tcPr>
          <w:p w14:paraId="244E3DCA" w14:textId="77777777" w:rsidR="00000000" w:rsidRDefault="000C49AD">
            <w:pPr>
              <w:spacing w:after="100"/>
              <w:jc w:val="right"/>
              <w:rPr>
                <w:rFonts w:eastAsia="Times New Roman"/>
              </w:rPr>
            </w:pPr>
          </w:p>
        </w:tc>
      </w:tr>
      <w:tr w:rsidR="00000000" w14:paraId="0CE9EC41" w14:textId="77777777">
        <w:trPr>
          <w:divId w:val="859856815"/>
        </w:trPr>
        <w:tc>
          <w:tcPr>
            <w:tcW w:w="0" w:type="auto"/>
            <w:gridSpan w:val="3"/>
            <w:shd w:val="clear" w:color="auto" w:fill="CCEEFF"/>
            <w:tcMar>
              <w:top w:w="30" w:type="dxa"/>
              <w:left w:w="20" w:type="dxa"/>
              <w:bottom w:w="30" w:type="dxa"/>
              <w:right w:w="20" w:type="dxa"/>
            </w:tcMar>
            <w:vAlign w:val="bottom"/>
            <w:hideMark/>
          </w:tcPr>
          <w:p w14:paraId="22A36000" w14:textId="77777777" w:rsidR="00000000" w:rsidRDefault="000C49AD">
            <w:pPr>
              <w:spacing w:after="100"/>
              <w:divId w:val="149638914"/>
              <w:rPr>
                <w:rFonts w:eastAsia="Times New Roman"/>
              </w:rPr>
            </w:pPr>
            <w:r>
              <w:rPr>
                <w:rFonts w:eastAsia="Times New Roman"/>
                <w:color w:val="000000"/>
                <w:sz w:val="18"/>
                <w:szCs w:val="18"/>
              </w:rPr>
              <w:t>Net other comprehensive (loss) income, net of income tax benefit (expense) of $214, $(202), $(43), respectively</w:t>
            </w:r>
          </w:p>
        </w:tc>
        <w:tc>
          <w:tcPr>
            <w:tcW w:w="0" w:type="auto"/>
            <w:gridSpan w:val="3"/>
            <w:shd w:val="clear" w:color="auto" w:fill="CCEEFF"/>
            <w:tcMar>
              <w:top w:w="0" w:type="dxa"/>
              <w:left w:w="20" w:type="dxa"/>
              <w:bottom w:w="0" w:type="dxa"/>
              <w:right w:w="20" w:type="dxa"/>
            </w:tcMar>
            <w:vAlign w:val="center"/>
            <w:hideMark/>
          </w:tcPr>
          <w:p w14:paraId="70A6A708"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62BF3D" w14:textId="77777777" w:rsidR="00000000" w:rsidRDefault="000C49AD">
            <w:pPr>
              <w:spacing w:after="100"/>
              <w:jc w:val="right"/>
              <w:rPr>
                <w:rFonts w:eastAsia="Times New Roman"/>
              </w:rPr>
            </w:pPr>
            <w:r>
              <w:rPr>
                <w:rFonts w:eastAsia="Times New Roman"/>
                <w:color w:val="000000"/>
                <w:sz w:val="18"/>
                <w:szCs w:val="18"/>
              </w:rPr>
              <w:t>(1,661)</w:t>
            </w:r>
          </w:p>
        </w:tc>
        <w:tc>
          <w:tcPr>
            <w:tcW w:w="0" w:type="auto"/>
            <w:shd w:val="clear" w:color="auto" w:fill="CCEEFF"/>
            <w:tcMar>
              <w:top w:w="30" w:type="dxa"/>
              <w:left w:w="0" w:type="dxa"/>
              <w:bottom w:w="30" w:type="dxa"/>
              <w:right w:w="20" w:type="dxa"/>
            </w:tcMar>
            <w:vAlign w:val="bottom"/>
            <w:hideMark/>
          </w:tcPr>
          <w:p w14:paraId="1B4F5F3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0411C6"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2AC87F" w14:textId="77777777" w:rsidR="00000000" w:rsidRDefault="000C49AD">
            <w:pPr>
              <w:spacing w:after="100"/>
              <w:jc w:val="right"/>
              <w:rPr>
                <w:rFonts w:eastAsia="Times New Roman"/>
              </w:rPr>
            </w:pPr>
            <w:r>
              <w:rPr>
                <w:rFonts w:eastAsia="Times New Roman"/>
                <w:color w:val="000000"/>
                <w:sz w:val="18"/>
                <w:szCs w:val="18"/>
              </w:rPr>
              <w:t>644 </w:t>
            </w:r>
          </w:p>
        </w:tc>
        <w:tc>
          <w:tcPr>
            <w:tcW w:w="0" w:type="auto"/>
            <w:shd w:val="clear" w:color="auto" w:fill="CCEEFF"/>
            <w:tcMar>
              <w:top w:w="30" w:type="dxa"/>
              <w:left w:w="0" w:type="dxa"/>
              <w:bottom w:w="30" w:type="dxa"/>
              <w:right w:w="20" w:type="dxa"/>
            </w:tcMar>
            <w:vAlign w:val="bottom"/>
            <w:hideMark/>
          </w:tcPr>
          <w:p w14:paraId="065A9BB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54ED7"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7E7C41" w14:textId="77777777" w:rsidR="00000000" w:rsidRDefault="000C49AD">
            <w:pPr>
              <w:spacing w:after="100"/>
              <w:jc w:val="right"/>
              <w:rPr>
                <w:rFonts w:eastAsia="Times New Roman"/>
              </w:rPr>
            </w:pPr>
            <w:r>
              <w:rPr>
                <w:rFonts w:eastAsia="Times New Roman"/>
                <w:color w:val="000000"/>
                <w:sz w:val="18"/>
                <w:szCs w:val="18"/>
              </w:rPr>
              <w:t>727 </w:t>
            </w:r>
          </w:p>
        </w:tc>
        <w:tc>
          <w:tcPr>
            <w:tcW w:w="0" w:type="auto"/>
            <w:shd w:val="clear" w:color="auto" w:fill="CCEEFF"/>
            <w:tcMar>
              <w:top w:w="30" w:type="dxa"/>
              <w:left w:w="0" w:type="dxa"/>
              <w:bottom w:w="30" w:type="dxa"/>
              <w:right w:w="20" w:type="dxa"/>
            </w:tcMar>
            <w:vAlign w:val="bottom"/>
            <w:hideMark/>
          </w:tcPr>
          <w:p w14:paraId="30717D8A" w14:textId="77777777" w:rsidR="00000000" w:rsidRDefault="000C49AD">
            <w:pPr>
              <w:spacing w:after="100"/>
              <w:jc w:val="right"/>
              <w:rPr>
                <w:rFonts w:eastAsia="Times New Roman"/>
              </w:rPr>
            </w:pPr>
          </w:p>
        </w:tc>
      </w:tr>
      <w:tr w:rsidR="00000000" w14:paraId="0182F7C5" w14:textId="77777777">
        <w:trPr>
          <w:divId w:val="859856815"/>
        </w:trPr>
        <w:tc>
          <w:tcPr>
            <w:tcW w:w="0" w:type="auto"/>
            <w:gridSpan w:val="3"/>
            <w:shd w:val="clear" w:color="auto" w:fill="FFFFFF"/>
            <w:tcMar>
              <w:top w:w="30" w:type="dxa"/>
              <w:left w:w="245" w:type="dxa"/>
              <w:bottom w:w="30" w:type="dxa"/>
              <w:right w:w="20" w:type="dxa"/>
            </w:tcMar>
            <w:vAlign w:val="bottom"/>
            <w:hideMark/>
          </w:tcPr>
          <w:p w14:paraId="05193A48" w14:textId="77777777" w:rsidR="00000000" w:rsidRDefault="000C49AD">
            <w:pPr>
              <w:spacing w:after="100"/>
              <w:rPr>
                <w:rFonts w:eastAsia="Times New Roman"/>
              </w:rPr>
            </w:pPr>
            <w:r>
              <w:rPr>
                <w:rFonts w:eastAsia="Times New Roman"/>
                <w:color w:val="000000"/>
                <w:sz w:val="18"/>
                <w:szCs w:val="18"/>
              </w:rPr>
              <w:t>Balance at December 31,</w:t>
            </w:r>
          </w:p>
        </w:tc>
        <w:tc>
          <w:tcPr>
            <w:tcW w:w="0" w:type="auto"/>
            <w:gridSpan w:val="3"/>
            <w:shd w:val="clear" w:color="auto" w:fill="FFFFFF"/>
            <w:tcMar>
              <w:top w:w="0" w:type="dxa"/>
              <w:left w:w="20" w:type="dxa"/>
              <w:bottom w:w="0" w:type="dxa"/>
              <w:right w:w="20" w:type="dxa"/>
            </w:tcMar>
            <w:vAlign w:val="center"/>
            <w:hideMark/>
          </w:tcPr>
          <w:p w14:paraId="33DD8644" w14:textId="77777777" w:rsidR="00000000" w:rsidRDefault="000C49AD">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74BBB0"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D5138BD" w14:textId="77777777" w:rsidR="00000000" w:rsidRDefault="000C49AD">
            <w:pPr>
              <w:spacing w:after="100"/>
              <w:jc w:val="right"/>
              <w:rPr>
                <w:rFonts w:eastAsia="Times New Roman"/>
              </w:rPr>
            </w:pPr>
            <w:r>
              <w:rPr>
                <w:rFonts w:eastAsia="Times New Roman"/>
                <w:color w:val="000000"/>
                <w:sz w:val="18"/>
                <w:szCs w:val="18"/>
              </w:rPr>
              <w:t>(85)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FA706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B796D5"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223AA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F31DBC2" w14:textId="77777777" w:rsidR="00000000" w:rsidRDefault="000C49AD">
            <w:pPr>
              <w:spacing w:after="100"/>
              <w:jc w:val="right"/>
              <w:rPr>
                <w:rFonts w:eastAsia="Times New Roman"/>
              </w:rPr>
            </w:pPr>
            <w:r>
              <w:rPr>
                <w:rFonts w:eastAsia="Times New Roman"/>
                <w:color w:val="000000"/>
                <w:sz w:val="18"/>
                <w:szCs w:val="18"/>
              </w:rPr>
              <w:t>1,576 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C8844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889495" w14:textId="77777777" w:rsidR="00000000" w:rsidRDefault="000C49AD">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3B8CF5B"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F78483" w14:textId="77777777" w:rsidR="00000000" w:rsidRDefault="000C49AD">
            <w:pPr>
              <w:spacing w:after="100"/>
              <w:jc w:val="right"/>
              <w:rPr>
                <w:rFonts w:eastAsia="Times New Roman"/>
              </w:rPr>
            </w:pPr>
            <w:r>
              <w:rPr>
                <w:rFonts w:eastAsia="Times New Roman"/>
                <w:color w:val="000000"/>
                <w:sz w:val="18"/>
                <w:szCs w:val="18"/>
              </w:rPr>
              <w:t>932 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A3871C" w14:textId="77777777" w:rsidR="00000000" w:rsidRDefault="000C49AD">
            <w:pPr>
              <w:spacing w:after="100"/>
              <w:jc w:val="right"/>
              <w:rPr>
                <w:rFonts w:eastAsia="Times New Roman"/>
              </w:rPr>
            </w:pPr>
          </w:p>
        </w:tc>
      </w:tr>
      <w:tr w:rsidR="00000000" w14:paraId="13A4A705" w14:textId="77777777">
        <w:trPr>
          <w:divId w:val="859856815"/>
        </w:trPr>
        <w:tc>
          <w:tcPr>
            <w:tcW w:w="0" w:type="auto"/>
            <w:gridSpan w:val="3"/>
            <w:shd w:val="clear" w:color="auto" w:fill="CCEEFF"/>
            <w:tcMar>
              <w:top w:w="30" w:type="dxa"/>
              <w:left w:w="155" w:type="dxa"/>
              <w:bottom w:w="30" w:type="dxa"/>
              <w:right w:w="20" w:type="dxa"/>
            </w:tcMar>
            <w:vAlign w:val="bottom"/>
            <w:hideMark/>
          </w:tcPr>
          <w:p w14:paraId="1867F5B1" w14:textId="77777777" w:rsidR="00000000" w:rsidRDefault="000C49AD">
            <w:pPr>
              <w:spacing w:after="100"/>
              <w:rPr>
                <w:rFonts w:eastAsia="Times New Roman"/>
              </w:rPr>
            </w:pPr>
            <w:r>
              <w:rPr>
                <w:rFonts w:eastAsia="Times New Roman"/>
                <w:color w:val="000000"/>
                <w:sz w:val="18"/>
                <w:szCs w:val="18"/>
              </w:rPr>
              <w:t>Accumulated other comprehensive loss at December 31,</w:t>
            </w:r>
          </w:p>
        </w:tc>
        <w:tc>
          <w:tcPr>
            <w:tcW w:w="0" w:type="auto"/>
            <w:gridSpan w:val="3"/>
            <w:shd w:val="clear" w:color="auto" w:fill="CCEEFF"/>
            <w:tcMar>
              <w:top w:w="0" w:type="dxa"/>
              <w:left w:w="20" w:type="dxa"/>
              <w:bottom w:w="0" w:type="dxa"/>
              <w:right w:w="20" w:type="dxa"/>
            </w:tcMar>
            <w:vAlign w:val="center"/>
            <w:hideMark/>
          </w:tcPr>
          <w:p w14:paraId="674958D2"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E16D9C"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A36B875" w14:textId="77777777" w:rsidR="00000000" w:rsidRDefault="000C49AD">
            <w:pPr>
              <w:spacing w:after="100"/>
              <w:jc w:val="right"/>
              <w:rPr>
                <w:rFonts w:eastAsia="Times New Roman"/>
              </w:rPr>
            </w:pPr>
            <w:r>
              <w:rPr>
                <w:rFonts w:eastAsia="Times New Roman"/>
                <w:color w:val="000000"/>
                <w:sz w:val="18"/>
                <w:szCs w:val="18"/>
              </w:rPr>
              <w:t>(23,940)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04F68F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A0347"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DC7BD4"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5876756" w14:textId="77777777" w:rsidR="00000000" w:rsidRDefault="000C49AD">
            <w:pPr>
              <w:spacing w:after="100"/>
              <w:jc w:val="right"/>
              <w:rPr>
                <w:rFonts w:eastAsia="Times New Roman"/>
              </w:rPr>
            </w:pPr>
            <w:r>
              <w:rPr>
                <w:rFonts w:eastAsia="Times New Roman"/>
                <w:color w:val="000000"/>
                <w:sz w:val="18"/>
                <w:szCs w:val="18"/>
              </w:rPr>
              <w:t>(21,051)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693F04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74FFA6"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7805DD1"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9C04F4" w14:textId="77777777" w:rsidR="00000000" w:rsidRDefault="000C49AD">
            <w:pPr>
              <w:spacing w:after="100"/>
              <w:jc w:val="right"/>
              <w:rPr>
                <w:rFonts w:eastAsia="Times New Roman"/>
              </w:rPr>
            </w:pPr>
            <w:r>
              <w:rPr>
                <w:rFonts w:eastAsia="Times New Roman"/>
                <w:color w:val="000000"/>
                <w:sz w:val="18"/>
                <w:szCs w:val="18"/>
              </w:rPr>
              <w:t>(22,806)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76B905" w14:textId="77777777" w:rsidR="00000000" w:rsidRDefault="000C49AD">
            <w:pPr>
              <w:spacing w:after="100"/>
              <w:jc w:val="right"/>
              <w:rPr>
                <w:rFonts w:eastAsia="Times New Roman"/>
              </w:rPr>
            </w:pPr>
          </w:p>
        </w:tc>
      </w:tr>
    </w:tbl>
    <w:p w14:paraId="2EA8391E" w14:textId="77777777" w:rsidR="00000000" w:rsidRDefault="000C49AD">
      <w:pPr>
        <w:jc w:val="both"/>
        <w:rPr>
          <w:rFonts w:eastAsia="Times New Roman"/>
        </w:rPr>
      </w:pPr>
    </w:p>
    <w:p w14:paraId="06A406A0" w14:textId="77777777" w:rsidR="00000000" w:rsidRDefault="000C49AD">
      <w:pPr>
        <w:jc w:val="both"/>
        <w:divId w:val="1580941612"/>
        <w:rPr>
          <w:rFonts w:eastAsia="Times New Roman"/>
        </w:rPr>
      </w:pPr>
      <w:r>
        <w:rPr>
          <w:rFonts w:eastAsia="Times New Roman"/>
          <w:b/>
          <w:bCs/>
          <w:color w:val="000000"/>
          <w:sz w:val="20"/>
          <w:szCs w:val="20"/>
        </w:rPr>
        <w:t>NOTE 21:</w:t>
      </w:r>
      <w:r>
        <w:rPr>
          <w:rFonts w:eastAsia="Times New Roman"/>
          <w:color w:val="000000"/>
          <w:sz w:val="20"/>
          <w:szCs w:val="20"/>
        </w:rPr>
        <w:t xml:space="preserve"> </w:t>
      </w:r>
      <w:r>
        <w:rPr>
          <w:rFonts w:eastAsia="Times New Roman"/>
          <w:b/>
          <w:bCs/>
          <w:color w:val="000000"/>
          <w:sz w:val="20"/>
          <w:szCs w:val="20"/>
        </w:rPr>
        <w:t>Company Op</w:t>
      </w:r>
      <w:r>
        <w:rPr>
          <w:rFonts w:eastAsia="Times New Roman"/>
          <w:b/>
          <w:bCs/>
          <w:color w:val="000000"/>
          <w:sz w:val="20"/>
          <w:szCs w:val="20"/>
        </w:rPr>
        <w:t>erations by Product, Customer and Geographic Area</w:t>
      </w:r>
      <w:r>
        <w:rPr>
          <w:rFonts w:eastAsia="Times New Roman"/>
          <w:color w:val="000000"/>
          <w:sz w:val="20"/>
          <w:szCs w:val="20"/>
        </w:rPr>
        <w:t> </w:t>
      </w:r>
    </w:p>
    <w:p w14:paraId="5D9EC99E" w14:textId="77777777" w:rsidR="00000000" w:rsidRDefault="000C49AD">
      <w:pPr>
        <w:jc w:val="both"/>
        <w:divId w:val="1100880868"/>
        <w:rPr>
          <w:rFonts w:eastAsia="Times New Roman"/>
        </w:rPr>
      </w:pPr>
      <w:r>
        <w:rPr>
          <w:rFonts w:eastAsia="Times New Roman"/>
          <w:color w:val="000000"/>
          <w:sz w:val="20"/>
          <w:szCs w:val="20"/>
        </w:rPr>
        <w:t xml:space="preserve">The Company has determined that it operates in one </w:t>
      </w:r>
      <w:r>
        <w:rPr>
          <w:rFonts w:eastAsia="Times New Roman"/>
          <w:color w:val="000000"/>
          <w:sz w:val="20"/>
          <w:szCs w:val="20"/>
        </w:rPr>
        <w:t xml:space="preserve">segment, the development and commercialization of pharmaceutical products, including controlled-release therapeutic products based on its proprietary polymer based technology. The Company’s Chief Operating Decision Maker is the CEO. The CEO reviews profit </w:t>
      </w:r>
      <w:r>
        <w:rPr>
          <w:rFonts w:eastAsia="Times New Roman"/>
          <w:color w:val="000000"/>
          <w:sz w:val="20"/>
          <w:szCs w:val="20"/>
        </w:rPr>
        <w:t>and loss information on a consolidated basis to assess performance and make overall operating decisions as well as resource allocations. All products are included in one segment because the Company’s products have similar economic and other characteristics</w:t>
      </w:r>
      <w:r>
        <w:rPr>
          <w:rFonts w:eastAsia="Times New Roman"/>
          <w:color w:val="000000"/>
          <w:sz w:val="20"/>
          <w:szCs w:val="20"/>
        </w:rPr>
        <w:t>, including the nature of the products and production processes, type of customers, distribution methods and regulatory environment. </w:t>
      </w:r>
    </w:p>
    <w:p w14:paraId="2FA993A8" w14:textId="77777777" w:rsidR="00000000" w:rsidRDefault="000C49AD">
      <w:pPr>
        <w:jc w:val="both"/>
        <w:rPr>
          <w:rFonts w:eastAsia="Times New Roman"/>
        </w:rPr>
      </w:pPr>
      <w:r>
        <w:rPr>
          <w:rFonts w:eastAsia="Times New Roman"/>
          <w:color w:val="000000"/>
          <w:sz w:val="20"/>
          <w:szCs w:val="20"/>
        </w:rPr>
        <w:t xml:space="preserve">On June 30, 2020, the Company sold the Hospital Products. See </w:t>
      </w:r>
      <w:r>
        <w:rPr>
          <w:rFonts w:eastAsia="Times New Roman"/>
          <w:i/>
          <w:iCs/>
          <w:color w:val="000000"/>
          <w:sz w:val="20"/>
          <w:szCs w:val="20"/>
        </w:rPr>
        <w:t>Note 4: Disposition of the Hospital Products</w:t>
      </w:r>
      <w:r>
        <w:rPr>
          <w:rFonts w:eastAsia="Times New Roman"/>
          <w:color w:val="000000"/>
          <w:sz w:val="20"/>
          <w:szCs w:val="20"/>
        </w:rPr>
        <w:t>. The Company ha</w:t>
      </w:r>
      <w:r>
        <w:rPr>
          <w:rFonts w:eastAsia="Times New Roman"/>
          <w:color w:val="000000"/>
          <w:sz w:val="20"/>
          <w:szCs w:val="20"/>
        </w:rPr>
        <w:t>d no revenue during the twelve months ended December 31, 2021.</w:t>
      </w:r>
    </w:p>
    <w:p w14:paraId="17926508" w14:textId="77777777" w:rsidR="00000000" w:rsidRDefault="000C49AD">
      <w:pPr>
        <w:jc w:val="both"/>
        <w:rPr>
          <w:rFonts w:eastAsia="Times New Roman"/>
        </w:rPr>
      </w:pPr>
    </w:p>
    <w:p w14:paraId="663AA4F1" w14:textId="77777777" w:rsidR="00000000" w:rsidRDefault="000C49AD">
      <w:pPr>
        <w:jc w:val="both"/>
        <w:rPr>
          <w:rFonts w:eastAsia="Times New Roman"/>
        </w:rPr>
      </w:pPr>
      <w:r>
        <w:rPr>
          <w:rFonts w:eastAsia="Times New Roman"/>
          <w:color w:val="000000"/>
          <w:sz w:val="20"/>
          <w:szCs w:val="20"/>
        </w:rPr>
        <w:t>The following table presents a summary of total revenues by product for the twelve months ended December 31, 2020 and 2019:</w:t>
      </w:r>
    </w:p>
    <w:p w14:paraId="72D6A4DD" w14:textId="77777777" w:rsidR="00000000" w:rsidRDefault="000C49AD">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5360"/>
        <w:gridCol w:w="37"/>
        <w:gridCol w:w="36"/>
        <w:gridCol w:w="36"/>
        <w:gridCol w:w="36"/>
        <w:gridCol w:w="36"/>
        <w:gridCol w:w="36"/>
        <w:gridCol w:w="110"/>
        <w:gridCol w:w="1144"/>
        <w:gridCol w:w="36"/>
        <w:gridCol w:w="36"/>
        <w:gridCol w:w="36"/>
        <w:gridCol w:w="36"/>
        <w:gridCol w:w="110"/>
        <w:gridCol w:w="1144"/>
        <w:gridCol w:w="36"/>
      </w:tblGrid>
      <w:tr w:rsidR="00000000" w14:paraId="4A0FCCB2" w14:textId="77777777">
        <w:tc>
          <w:tcPr>
            <w:tcW w:w="50" w:type="pct"/>
            <w:vAlign w:val="center"/>
            <w:hideMark/>
          </w:tcPr>
          <w:p w14:paraId="2F7FA108" w14:textId="77777777" w:rsidR="00000000" w:rsidRDefault="000C49AD">
            <w:pPr>
              <w:jc w:val="both"/>
              <w:rPr>
                <w:rFonts w:eastAsia="Times New Roman"/>
              </w:rPr>
            </w:pPr>
          </w:p>
        </w:tc>
        <w:tc>
          <w:tcPr>
            <w:tcW w:w="3278" w:type="pct"/>
            <w:vAlign w:val="center"/>
            <w:hideMark/>
          </w:tcPr>
          <w:p w14:paraId="4E51755D" w14:textId="77777777" w:rsidR="00000000" w:rsidRDefault="000C49AD">
            <w:pPr>
              <w:spacing w:after="100"/>
              <w:rPr>
                <w:rFonts w:eastAsia="Times New Roman"/>
                <w:sz w:val="20"/>
                <w:szCs w:val="20"/>
              </w:rPr>
            </w:pPr>
          </w:p>
        </w:tc>
        <w:tc>
          <w:tcPr>
            <w:tcW w:w="5" w:type="pct"/>
            <w:vAlign w:val="center"/>
            <w:hideMark/>
          </w:tcPr>
          <w:p w14:paraId="2610593D" w14:textId="77777777" w:rsidR="00000000" w:rsidRDefault="000C49AD">
            <w:pPr>
              <w:spacing w:after="100"/>
              <w:rPr>
                <w:rFonts w:eastAsia="Times New Roman"/>
                <w:sz w:val="20"/>
                <w:szCs w:val="20"/>
              </w:rPr>
            </w:pPr>
          </w:p>
        </w:tc>
        <w:tc>
          <w:tcPr>
            <w:tcW w:w="0" w:type="auto"/>
            <w:vAlign w:val="center"/>
            <w:hideMark/>
          </w:tcPr>
          <w:p w14:paraId="5C3C3494" w14:textId="77777777" w:rsidR="00000000" w:rsidRDefault="000C49AD">
            <w:pPr>
              <w:spacing w:after="100"/>
              <w:rPr>
                <w:rFonts w:eastAsia="Times New Roman"/>
                <w:sz w:val="20"/>
                <w:szCs w:val="20"/>
              </w:rPr>
            </w:pPr>
          </w:p>
        </w:tc>
        <w:tc>
          <w:tcPr>
            <w:tcW w:w="0" w:type="auto"/>
            <w:vAlign w:val="center"/>
            <w:hideMark/>
          </w:tcPr>
          <w:p w14:paraId="0CB9ED2E" w14:textId="77777777" w:rsidR="00000000" w:rsidRDefault="000C49AD">
            <w:pPr>
              <w:spacing w:after="100"/>
              <w:rPr>
                <w:rFonts w:eastAsia="Times New Roman"/>
                <w:sz w:val="20"/>
                <w:szCs w:val="20"/>
              </w:rPr>
            </w:pPr>
          </w:p>
        </w:tc>
        <w:tc>
          <w:tcPr>
            <w:tcW w:w="5" w:type="pct"/>
            <w:vAlign w:val="center"/>
            <w:hideMark/>
          </w:tcPr>
          <w:p w14:paraId="53CCC844" w14:textId="77777777" w:rsidR="00000000" w:rsidRDefault="000C49AD">
            <w:pPr>
              <w:spacing w:after="100"/>
              <w:rPr>
                <w:rFonts w:eastAsia="Times New Roman"/>
                <w:sz w:val="20"/>
                <w:szCs w:val="20"/>
              </w:rPr>
            </w:pPr>
          </w:p>
        </w:tc>
        <w:tc>
          <w:tcPr>
            <w:tcW w:w="26" w:type="pct"/>
            <w:vAlign w:val="center"/>
            <w:hideMark/>
          </w:tcPr>
          <w:p w14:paraId="722BA846" w14:textId="77777777" w:rsidR="00000000" w:rsidRDefault="000C49AD">
            <w:pPr>
              <w:spacing w:after="100"/>
              <w:rPr>
                <w:rFonts w:eastAsia="Times New Roman"/>
                <w:sz w:val="20"/>
                <w:szCs w:val="20"/>
              </w:rPr>
            </w:pPr>
          </w:p>
        </w:tc>
        <w:tc>
          <w:tcPr>
            <w:tcW w:w="5" w:type="pct"/>
            <w:vAlign w:val="center"/>
            <w:hideMark/>
          </w:tcPr>
          <w:p w14:paraId="0FE381E4" w14:textId="77777777" w:rsidR="00000000" w:rsidRDefault="000C49AD">
            <w:pPr>
              <w:spacing w:after="100"/>
              <w:rPr>
                <w:rFonts w:eastAsia="Times New Roman"/>
                <w:sz w:val="20"/>
                <w:szCs w:val="20"/>
              </w:rPr>
            </w:pPr>
          </w:p>
        </w:tc>
        <w:tc>
          <w:tcPr>
            <w:tcW w:w="50" w:type="pct"/>
            <w:vAlign w:val="center"/>
            <w:hideMark/>
          </w:tcPr>
          <w:p w14:paraId="25FAB011" w14:textId="77777777" w:rsidR="00000000" w:rsidRDefault="000C49AD">
            <w:pPr>
              <w:spacing w:after="100"/>
              <w:rPr>
                <w:rFonts w:eastAsia="Times New Roman"/>
                <w:sz w:val="20"/>
                <w:szCs w:val="20"/>
              </w:rPr>
            </w:pPr>
          </w:p>
        </w:tc>
        <w:tc>
          <w:tcPr>
            <w:tcW w:w="741" w:type="pct"/>
            <w:vAlign w:val="center"/>
            <w:hideMark/>
          </w:tcPr>
          <w:p w14:paraId="1D414469" w14:textId="77777777" w:rsidR="00000000" w:rsidRDefault="000C49AD">
            <w:pPr>
              <w:spacing w:after="100"/>
              <w:rPr>
                <w:rFonts w:eastAsia="Times New Roman"/>
                <w:sz w:val="20"/>
                <w:szCs w:val="20"/>
              </w:rPr>
            </w:pPr>
          </w:p>
        </w:tc>
        <w:tc>
          <w:tcPr>
            <w:tcW w:w="5" w:type="pct"/>
            <w:vAlign w:val="center"/>
            <w:hideMark/>
          </w:tcPr>
          <w:p w14:paraId="6BEA2784" w14:textId="77777777" w:rsidR="00000000" w:rsidRDefault="000C49AD">
            <w:pPr>
              <w:spacing w:after="100"/>
              <w:rPr>
                <w:rFonts w:eastAsia="Times New Roman"/>
                <w:sz w:val="20"/>
                <w:szCs w:val="20"/>
              </w:rPr>
            </w:pPr>
          </w:p>
        </w:tc>
        <w:tc>
          <w:tcPr>
            <w:tcW w:w="5" w:type="pct"/>
            <w:vAlign w:val="center"/>
            <w:hideMark/>
          </w:tcPr>
          <w:p w14:paraId="10FAD5B6" w14:textId="77777777" w:rsidR="00000000" w:rsidRDefault="000C49AD">
            <w:pPr>
              <w:spacing w:after="100"/>
              <w:rPr>
                <w:rFonts w:eastAsia="Times New Roman"/>
                <w:sz w:val="20"/>
                <w:szCs w:val="20"/>
              </w:rPr>
            </w:pPr>
          </w:p>
        </w:tc>
        <w:tc>
          <w:tcPr>
            <w:tcW w:w="26" w:type="pct"/>
            <w:vAlign w:val="center"/>
            <w:hideMark/>
          </w:tcPr>
          <w:p w14:paraId="01E56A2F" w14:textId="77777777" w:rsidR="00000000" w:rsidRDefault="000C49AD">
            <w:pPr>
              <w:spacing w:after="100"/>
              <w:rPr>
                <w:rFonts w:eastAsia="Times New Roman"/>
                <w:sz w:val="20"/>
                <w:szCs w:val="20"/>
              </w:rPr>
            </w:pPr>
          </w:p>
        </w:tc>
        <w:tc>
          <w:tcPr>
            <w:tcW w:w="5" w:type="pct"/>
            <w:vAlign w:val="center"/>
            <w:hideMark/>
          </w:tcPr>
          <w:p w14:paraId="59272FFD" w14:textId="77777777" w:rsidR="00000000" w:rsidRDefault="000C49AD">
            <w:pPr>
              <w:spacing w:after="100"/>
              <w:rPr>
                <w:rFonts w:eastAsia="Times New Roman"/>
                <w:sz w:val="20"/>
                <w:szCs w:val="20"/>
              </w:rPr>
            </w:pPr>
          </w:p>
        </w:tc>
        <w:tc>
          <w:tcPr>
            <w:tcW w:w="50" w:type="pct"/>
            <w:vAlign w:val="center"/>
            <w:hideMark/>
          </w:tcPr>
          <w:p w14:paraId="4F68EF7A" w14:textId="77777777" w:rsidR="00000000" w:rsidRDefault="000C49AD">
            <w:pPr>
              <w:spacing w:after="100"/>
              <w:rPr>
                <w:rFonts w:eastAsia="Times New Roman"/>
                <w:sz w:val="20"/>
                <w:szCs w:val="20"/>
              </w:rPr>
            </w:pPr>
          </w:p>
        </w:tc>
        <w:tc>
          <w:tcPr>
            <w:tcW w:w="741" w:type="pct"/>
            <w:vAlign w:val="center"/>
            <w:hideMark/>
          </w:tcPr>
          <w:p w14:paraId="07B801C0" w14:textId="77777777" w:rsidR="00000000" w:rsidRDefault="000C49AD">
            <w:pPr>
              <w:spacing w:after="100"/>
              <w:rPr>
                <w:rFonts w:eastAsia="Times New Roman"/>
                <w:sz w:val="20"/>
                <w:szCs w:val="20"/>
              </w:rPr>
            </w:pPr>
          </w:p>
        </w:tc>
        <w:tc>
          <w:tcPr>
            <w:tcW w:w="5" w:type="pct"/>
            <w:vAlign w:val="center"/>
            <w:hideMark/>
          </w:tcPr>
          <w:p w14:paraId="3927E1D7" w14:textId="77777777" w:rsidR="00000000" w:rsidRDefault="000C49AD">
            <w:pPr>
              <w:spacing w:after="100"/>
              <w:rPr>
                <w:rFonts w:eastAsia="Times New Roman"/>
                <w:sz w:val="20"/>
                <w:szCs w:val="20"/>
              </w:rPr>
            </w:pPr>
          </w:p>
        </w:tc>
      </w:tr>
      <w:tr w:rsidR="00000000" w14:paraId="3DD72CAF" w14:textId="77777777">
        <w:tc>
          <w:tcPr>
            <w:tcW w:w="0" w:type="auto"/>
            <w:gridSpan w:val="3"/>
            <w:tcMar>
              <w:top w:w="30" w:type="dxa"/>
              <w:left w:w="20" w:type="dxa"/>
              <w:bottom w:w="30" w:type="dxa"/>
              <w:right w:w="20" w:type="dxa"/>
            </w:tcMar>
            <w:vAlign w:val="bottom"/>
            <w:hideMark/>
          </w:tcPr>
          <w:p w14:paraId="5B2CAF77" w14:textId="77777777" w:rsidR="00000000" w:rsidRDefault="000C49AD">
            <w:pPr>
              <w:spacing w:after="100"/>
              <w:rPr>
                <w:rFonts w:eastAsia="Times New Roman"/>
              </w:rPr>
            </w:pPr>
            <w:r>
              <w:rPr>
                <w:rFonts w:eastAsia="Times New Roman"/>
                <w:b/>
                <w:bCs/>
                <w:color w:val="000000"/>
                <w:sz w:val="18"/>
                <w:szCs w:val="18"/>
              </w:rPr>
              <w:t xml:space="preserve"> Revenue by Product: </w:t>
            </w:r>
          </w:p>
        </w:tc>
        <w:tc>
          <w:tcPr>
            <w:tcW w:w="0" w:type="auto"/>
            <w:vAlign w:val="center"/>
            <w:hideMark/>
          </w:tcPr>
          <w:p w14:paraId="5C544A29" w14:textId="77777777" w:rsidR="00000000" w:rsidRDefault="000C49AD">
            <w:pPr>
              <w:spacing w:after="100"/>
              <w:rPr>
                <w:rFonts w:eastAsia="Times New Roman"/>
              </w:rPr>
            </w:pPr>
          </w:p>
        </w:tc>
        <w:tc>
          <w:tcPr>
            <w:tcW w:w="0" w:type="auto"/>
            <w:vAlign w:val="center"/>
            <w:hideMark/>
          </w:tcPr>
          <w:p w14:paraId="28ADF03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E66333" w14:textId="77777777" w:rsidR="00000000" w:rsidRDefault="000C49A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8786BDA"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2ECE593F"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D429191"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608659ED" w14:textId="77777777">
        <w:trPr>
          <w:trHeight w:val="60"/>
        </w:trPr>
        <w:tc>
          <w:tcPr>
            <w:tcW w:w="0" w:type="auto"/>
            <w:gridSpan w:val="3"/>
            <w:tcBorders>
              <w:top w:val="single" w:sz="8" w:space="0" w:color="000000"/>
            </w:tcBorders>
            <w:tcMar>
              <w:top w:w="0" w:type="dxa"/>
              <w:left w:w="20" w:type="dxa"/>
              <w:bottom w:w="0" w:type="dxa"/>
              <w:right w:w="20" w:type="dxa"/>
            </w:tcMar>
            <w:vAlign w:val="center"/>
            <w:hideMark/>
          </w:tcPr>
          <w:p w14:paraId="02DA1A95" w14:textId="77777777" w:rsidR="00000000" w:rsidRDefault="000C49AD">
            <w:pPr>
              <w:spacing w:after="100"/>
              <w:jc w:val="center"/>
              <w:rPr>
                <w:rFonts w:eastAsia="Times New Roman"/>
              </w:rPr>
            </w:pPr>
          </w:p>
        </w:tc>
        <w:tc>
          <w:tcPr>
            <w:tcW w:w="0" w:type="auto"/>
            <w:vAlign w:val="center"/>
            <w:hideMark/>
          </w:tcPr>
          <w:p w14:paraId="043A73EA" w14:textId="77777777" w:rsidR="00000000" w:rsidRDefault="000C49AD">
            <w:pPr>
              <w:spacing w:after="100"/>
              <w:rPr>
                <w:rFonts w:eastAsia="Times New Roman"/>
                <w:sz w:val="20"/>
                <w:szCs w:val="20"/>
              </w:rPr>
            </w:pPr>
          </w:p>
        </w:tc>
        <w:tc>
          <w:tcPr>
            <w:tcW w:w="0" w:type="auto"/>
            <w:vAlign w:val="center"/>
            <w:hideMark/>
          </w:tcPr>
          <w:p w14:paraId="517D8AD0"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431DE0"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DE008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C61E7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78ABD21" w14:textId="77777777" w:rsidR="00000000" w:rsidRDefault="000C49AD">
            <w:pPr>
              <w:spacing w:after="100"/>
              <w:rPr>
                <w:rFonts w:eastAsia="Times New Roman"/>
                <w:sz w:val="20"/>
                <w:szCs w:val="20"/>
              </w:rPr>
            </w:pPr>
          </w:p>
        </w:tc>
      </w:tr>
      <w:tr w:rsidR="00000000" w14:paraId="414185F3" w14:textId="77777777">
        <w:tc>
          <w:tcPr>
            <w:tcW w:w="0" w:type="auto"/>
            <w:gridSpan w:val="3"/>
            <w:shd w:val="clear" w:color="auto" w:fill="CCEEFF"/>
            <w:tcMar>
              <w:top w:w="30" w:type="dxa"/>
              <w:left w:w="155" w:type="dxa"/>
              <w:bottom w:w="30" w:type="dxa"/>
              <w:right w:w="20" w:type="dxa"/>
            </w:tcMar>
            <w:vAlign w:val="bottom"/>
            <w:hideMark/>
          </w:tcPr>
          <w:p w14:paraId="1D34C91E" w14:textId="77777777" w:rsidR="00000000" w:rsidRDefault="000C49AD">
            <w:pPr>
              <w:spacing w:after="100"/>
              <w:rPr>
                <w:rFonts w:eastAsia="Times New Roman"/>
              </w:rPr>
            </w:pPr>
            <w:r>
              <w:rPr>
                <w:rFonts w:eastAsia="Times New Roman"/>
                <w:color w:val="000000"/>
                <w:sz w:val="18"/>
                <w:szCs w:val="18"/>
              </w:rPr>
              <w:t>Bloxiverz</w:t>
            </w:r>
          </w:p>
        </w:tc>
        <w:tc>
          <w:tcPr>
            <w:tcW w:w="0" w:type="auto"/>
            <w:vAlign w:val="center"/>
            <w:hideMark/>
          </w:tcPr>
          <w:p w14:paraId="0D144C95" w14:textId="77777777" w:rsidR="00000000" w:rsidRDefault="000C49AD">
            <w:pPr>
              <w:spacing w:after="100"/>
              <w:rPr>
                <w:rFonts w:eastAsia="Times New Roman"/>
              </w:rPr>
            </w:pPr>
          </w:p>
        </w:tc>
        <w:tc>
          <w:tcPr>
            <w:tcW w:w="0" w:type="auto"/>
            <w:vAlign w:val="center"/>
            <w:hideMark/>
          </w:tcPr>
          <w:p w14:paraId="5ECAAAF2"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0CF64F" w14:textId="77777777" w:rsidR="00000000" w:rsidRDefault="000C49A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C51F9DC"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FEB397F" w14:textId="77777777" w:rsidR="00000000" w:rsidRDefault="000C49AD">
            <w:pPr>
              <w:spacing w:after="100"/>
              <w:jc w:val="right"/>
              <w:rPr>
                <w:rFonts w:eastAsia="Times New Roman"/>
              </w:rPr>
            </w:pPr>
            <w:r>
              <w:rPr>
                <w:rFonts w:eastAsia="Times New Roman"/>
                <w:color w:val="000000"/>
                <w:sz w:val="18"/>
                <w:szCs w:val="18"/>
              </w:rPr>
              <w:t>2,201 </w:t>
            </w:r>
          </w:p>
        </w:tc>
        <w:tc>
          <w:tcPr>
            <w:tcW w:w="0" w:type="auto"/>
            <w:shd w:val="clear" w:color="auto" w:fill="CCEEFF"/>
            <w:tcMar>
              <w:top w:w="30" w:type="dxa"/>
              <w:left w:w="0" w:type="dxa"/>
              <w:bottom w:w="30" w:type="dxa"/>
              <w:right w:w="20" w:type="dxa"/>
            </w:tcMar>
            <w:vAlign w:val="bottom"/>
            <w:hideMark/>
          </w:tcPr>
          <w:p w14:paraId="5E09AF6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ADC55"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403818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58CA097" w14:textId="77777777" w:rsidR="00000000" w:rsidRDefault="000C49AD">
            <w:pPr>
              <w:spacing w:after="100"/>
              <w:jc w:val="right"/>
              <w:rPr>
                <w:rFonts w:eastAsia="Times New Roman"/>
              </w:rPr>
            </w:pPr>
            <w:r>
              <w:rPr>
                <w:rFonts w:eastAsia="Times New Roman"/>
                <w:color w:val="000000"/>
                <w:sz w:val="18"/>
                <w:szCs w:val="18"/>
              </w:rPr>
              <w:t>7,479 </w:t>
            </w:r>
          </w:p>
        </w:tc>
        <w:tc>
          <w:tcPr>
            <w:tcW w:w="0" w:type="auto"/>
            <w:shd w:val="clear" w:color="auto" w:fill="CCEEFF"/>
            <w:tcMar>
              <w:top w:w="30" w:type="dxa"/>
              <w:left w:w="0" w:type="dxa"/>
              <w:bottom w:w="30" w:type="dxa"/>
              <w:right w:w="20" w:type="dxa"/>
            </w:tcMar>
            <w:vAlign w:val="bottom"/>
            <w:hideMark/>
          </w:tcPr>
          <w:p w14:paraId="7EF96917" w14:textId="77777777" w:rsidR="00000000" w:rsidRDefault="000C49AD">
            <w:pPr>
              <w:spacing w:after="100"/>
              <w:jc w:val="right"/>
              <w:rPr>
                <w:rFonts w:eastAsia="Times New Roman"/>
              </w:rPr>
            </w:pPr>
          </w:p>
        </w:tc>
      </w:tr>
      <w:tr w:rsidR="00000000" w14:paraId="1D2C7D1F" w14:textId="77777777">
        <w:tc>
          <w:tcPr>
            <w:tcW w:w="0" w:type="auto"/>
            <w:gridSpan w:val="3"/>
            <w:shd w:val="clear" w:color="auto" w:fill="FFFFFF"/>
            <w:tcMar>
              <w:top w:w="30" w:type="dxa"/>
              <w:left w:w="155" w:type="dxa"/>
              <w:bottom w:w="30" w:type="dxa"/>
              <w:right w:w="20" w:type="dxa"/>
            </w:tcMar>
            <w:vAlign w:val="bottom"/>
            <w:hideMark/>
          </w:tcPr>
          <w:p w14:paraId="09BC9904" w14:textId="77777777" w:rsidR="00000000" w:rsidRDefault="000C49AD">
            <w:pPr>
              <w:spacing w:after="100"/>
              <w:rPr>
                <w:rFonts w:eastAsia="Times New Roman"/>
              </w:rPr>
            </w:pPr>
            <w:r>
              <w:rPr>
                <w:rFonts w:eastAsia="Times New Roman"/>
                <w:color w:val="000000"/>
                <w:sz w:val="18"/>
                <w:szCs w:val="18"/>
              </w:rPr>
              <w:t>Vazculep</w:t>
            </w:r>
          </w:p>
        </w:tc>
        <w:tc>
          <w:tcPr>
            <w:tcW w:w="0" w:type="auto"/>
            <w:vAlign w:val="center"/>
            <w:hideMark/>
          </w:tcPr>
          <w:p w14:paraId="2346EAD9" w14:textId="77777777" w:rsidR="00000000" w:rsidRDefault="000C49AD">
            <w:pPr>
              <w:spacing w:after="100"/>
              <w:rPr>
                <w:rFonts w:eastAsia="Times New Roman"/>
              </w:rPr>
            </w:pPr>
          </w:p>
        </w:tc>
        <w:tc>
          <w:tcPr>
            <w:tcW w:w="0" w:type="auto"/>
            <w:vAlign w:val="center"/>
            <w:hideMark/>
          </w:tcPr>
          <w:p w14:paraId="72AC49BD"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95DFBB" w14:textId="77777777" w:rsidR="00000000" w:rsidRDefault="000C49A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B4DD61" w14:textId="77777777" w:rsidR="00000000" w:rsidRDefault="000C49AD">
            <w:pPr>
              <w:spacing w:after="100"/>
              <w:jc w:val="right"/>
              <w:rPr>
                <w:rFonts w:eastAsia="Times New Roman"/>
              </w:rPr>
            </w:pPr>
            <w:r>
              <w:rPr>
                <w:rFonts w:eastAsia="Times New Roman"/>
                <w:color w:val="000000"/>
                <w:sz w:val="18"/>
                <w:szCs w:val="18"/>
              </w:rPr>
              <w:t>10,429 </w:t>
            </w:r>
          </w:p>
        </w:tc>
        <w:tc>
          <w:tcPr>
            <w:tcW w:w="0" w:type="auto"/>
            <w:shd w:val="clear" w:color="auto" w:fill="FFFFFF"/>
            <w:tcMar>
              <w:top w:w="30" w:type="dxa"/>
              <w:left w:w="0" w:type="dxa"/>
              <w:bottom w:w="30" w:type="dxa"/>
              <w:right w:w="20" w:type="dxa"/>
            </w:tcMar>
            <w:vAlign w:val="bottom"/>
            <w:hideMark/>
          </w:tcPr>
          <w:p w14:paraId="0B9DA0EB"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330035"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9BCADE" w14:textId="77777777" w:rsidR="00000000" w:rsidRDefault="000C49AD">
            <w:pPr>
              <w:spacing w:after="100"/>
              <w:jc w:val="right"/>
              <w:rPr>
                <w:rFonts w:eastAsia="Times New Roman"/>
              </w:rPr>
            </w:pPr>
            <w:r>
              <w:rPr>
                <w:rFonts w:eastAsia="Times New Roman"/>
                <w:color w:val="000000"/>
                <w:sz w:val="18"/>
                <w:szCs w:val="18"/>
              </w:rPr>
              <w:t>33,152 </w:t>
            </w:r>
          </w:p>
        </w:tc>
        <w:tc>
          <w:tcPr>
            <w:tcW w:w="0" w:type="auto"/>
            <w:shd w:val="clear" w:color="auto" w:fill="FFFFFF"/>
            <w:tcMar>
              <w:top w:w="30" w:type="dxa"/>
              <w:left w:w="0" w:type="dxa"/>
              <w:bottom w:w="30" w:type="dxa"/>
              <w:right w:w="20" w:type="dxa"/>
            </w:tcMar>
            <w:vAlign w:val="bottom"/>
            <w:hideMark/>
          </w:tcPr>
          <w:p w14:paraId="17C289C8" w14:textId="77777777" w:rsidR="00000000" w:rsidRDefault="000C49AD">
            <w:pPr>
              <w:spacing w:after="100"/>
              <w:jc w:val="right"/>
              <w:rPr>
                <w:rFonts w:eastAsia="Times New Roman"/>
              </w:rPr>
            </w:pPr>
          </w:p>
        </w:tc>
      </w:tr>
      <w:tr w:rsidR="00000000" w14:paraId="7D8898E9" w14:textId="77777777">
        <w:tc>
          <w:tcPr>
            <w:tcW w:w="0" w:type="auto"/>
            <w:gridSpan w:val="3"/>
            <w:shd w:val="clear" w:color="auto" w:fill="CCEEFF"/>
            <w:tcMar>
              <w:top w:w="30" w:type="dxa"/>
              <w:left w:w="155" w:type="dxa"/>
              <w:bottom w:w="30" w:type="dxa"/>
              <w:right w:w="20" w:type="dxa"/>
            </w:tcMar>
            <w:vAlign w:val="bottom"/>
            <w:hideMark/>
          </w:tcPr>
          <w:p w14:paraId="4EC8E255" w14:textId="77777777" w:rsidR="00000000" w:rsidRDefault="000C49AD">
            <w:pPr>
              <w:spacing w:after="100"/>
              <w:rPr>
                <w:rFonts w:eastAsia="Times New Roman"/>
              </w:rPr>
            </w:pPr>
            <w:r>
              <w:rPr>
                <w:rFonts w:eastAsia="Times New Roman"/>
                <w:color w:val="000000"/>
                <w:sz w:val="18"/>
                <w:szCs w:val="18"/>
              </w:rPr>
              <w:t>Akovaz</w:t>
            </w:r>
          </w:p>
        </w:tc>
        <w:tc>
          <w:tcPr>
            <w:tcW w:w="0" w:type="auto"/>
            <w:vAlign w:val="center"/>
            <w:hideMark/>
          </w:tcPr>
          <w:p w14:paraId="0B9FA914" w14:textId="77777777" w:rsidR="00000000" w:rsidRDefault="000C49AD">
            <w:pPr>
              <w:spacing w:after="100"/>
              <w:rPr>
                <w:rFonts w:eastAsia="Times New Roman"/>
              </w:rPr>
            </w:pPr>
          </w:p>
        </w:tc>
        <w:tc>
          <w:tcPr>
            <w:tcW w:w="0" w:type="auto"/>
            <w:vAlign w:val="center"/>
            <w:hideMark/>
          </w:tcPr>
          <w:p w14:paraId="072621B6"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E7F47E" w14:textId="77777777" w:rsidR="00000000" w:rsidRDefault="000C49A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9B7A83" w14:textId="77777777" w:rsidR="00000000" w:rsidRDefault="000C49AD">
            <w:pPr>
              <w:spacing w:after="100"/>
              <w:jc w:val="right"/>
              <w:rPr>
                <w:rFonts w:eastAsia="Times New Roman"/>
              </w:rPr>
            </w:pPr>
            <w:r>
              <w:rPr>
                <w:rFonts w:eastAsia="Times New Roman"/>
                <w:color w:val="000000"/>
                <w:sz w:val="18"/>
                <w:szCs w:val="18"/>
              </w:rPr>
              <w:t>9,545 </w:t>
            </w:r>
          </w:p>
        </w:tc>
        <w:tc>
          <w:tcPr>
            <w:tcW w:w="0" w:type="auto"/>
            <w:shd w:val="clear" w:color="auto" w:fill="CCEEFF"/>
            <w:tcMar>
              <w:top w:w="30" w:type="dxa"/>
              <w:left w:w="0" w:type="dxa"/>
              <w:bottom w:w="30" w:type="dxa"/>
              <w:right w:w="20" w:type="dxa"/>
            </w:tcMar>
            <w:vAlign w:val="bottom"/>
            <w:hideMark/>
          </w:tcPr>
          <w:p w14:paraId="6CB7CD47"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4B06E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543A75" w14:textId="77777777" w:rsidR="00000000" w:rsidRDefault="000C49AD">
            <w:pPr>
              <w:spacing w:after="100"/>
              <w:jc w:val="right"/>
              <w:rPr>
                <w:rFonts w:eastAsia="Times New Roman"/>
              </w:rPr>
            </w:pPr>
            <w:r>
              <w:rPr>
                <w:rFonts w:eastAsia="Times New Roman"/>
                <w:color w:val="000000"/>
                <w:sz w:val="18"/>
                <w:szCs w:val="18"/>
              </w:rPr>
              <w:t>18,642 </w:t>
            </w:r>
          </w:p>
        </w:tc>
        <w:tc>
          <w:tcPr>
            <w:tcW w:w="0" w:type="auto"/>
            <w:shd w:val="clear" w:color="auto" w:fill="CCEEFF"/>
            <w:tcMar>
              <w:top w:w="30" w:type="dxa"/>
              <w:left w:w="0" w:type="dxa"/>
              <w:bottom w:w="30" w:type="dxa"/>
              <w:right w:w="20" w:type="dxa"/>
            </w:tcMar>
            <w:vAlign w:val="bottom"/>
            <w:hideMark/>
          </w:tcPr>
          <w:p w14:paraId="01538E59" w14:textId="77777777" w:rsidR="00000000" w:rsidRDefault="000C49AD">
            <w:pPr>
              <w:spacing w:after="100"/>
              <w:jc w:val="right"/>
              <w:rPr>
                <w:rFonts w:eastAsia="Times New Roman"/>
              </w:rPr>
            </w:pPr>
          </w:p>
        </w:tc>
      </w:tr>
      <w:tr w:rsidR="00000000" w14:paraId="41CA00B4" w14:textId="77777777">
        <w:tc>
          <w:tcPr>
            <w:tcW w:w="0" w:type="auto"/>
            <w:gridSpan w:val="3"/>
            <w:shd w:val="clear" w:color="auto" w:fill="FFFFFF"/>
            <w:tcMar>
              <w:top w:w="30" w:type="dxa"/>
              <w:left w:w="155" w:type="dxa"/>
              <w:bottom w:w="30" w:type="dxa"/>
              <w:right w:w="20" w:type="dxa"/>
            </w:tcMar>
            <w:vAlign w:val="bottom"/>
            <w:hideMark/>
          </w:tcPr>
          <w:p w14:paraId="7C5F25C4" w14:textId="77777777" w:rsidR="00000000" w:rsidRDefault="000C49AD">
            <w:pPr>
              <w:spacing w:after="100"/>
              <w:rPr>
                <w:rFonts w:eastAsia="Times New Roman"/>
              </w:rPr>
            </w:pPr>
            <w:r>
              <w:rPr>
                <w:rFonts w:eastAsia="Times New Roman"/>
                <w:color w:val="000000"/>
                <w:sz w:val="18"/>
                <w:szCs w:val="18"/>
              </w:rPr>
              <w:t>Other</w:t>
            </w:r>
          </w:p>
        </w:tc>
        <w:tc>
          <w:tcPr>
            <w:tcW w:w="0" w:type="auto"/>
            <w:vAlign w:val="center"/>
            <w:hideMark/>
          </w:tcPr>
          <w:p w14:paraId="6938D6FF" w14:textId="77777777" w:rsidR="00000000" w:rsidRDefault="000C49AD">
            <w:pPr>
              <w:spacing w:after="100"/>
              <w:rPr>
                <w:rFonts w:eastAsia="Times New Roman"/>
              </w:rPr>
            </w:pPr>
          </w:p>
        </w:tc>
        <w:tc>
          <w:tcPr>
            <w:tcW w:w="0" w:type="auto"/>
            <w:vAlign w:val="center"/>
            <w:hideMark/>
          </w:tcPr>
          <w:p w14:paraId="449CEC26"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1C3CC7" w14:textId="77777777" w:rsidR="00000000" w:rsidRDefault="000C49A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54895D" w14:textId="77777777" w:rsidR="00000000" w:rsidRDefault="000C49AD">
            <w:pPr>
              <w:spacing w:after="100"/>
              <w:jc w:val="right"/>
              <w:rPr>
                <w:rFonts w:eastAsia="Times New Roman"/>
              </w:rPr>
            </w:pPr>
            <w:r>
              <w:rPr>
                <w:rFonts w:eastAsia="Times New Roman"/>
                <w:color w:val="000000"/>
                <w:sz w:val="18"/>
                <w:szCs w:val="18"/>
              </w:rPr>
              <w:t>159 </w:t>
            </w:r>
          </w:p>
        </w:tc>
        <w:tc>
          <w:tcPr>
            <w:tcW w:w="0" w:type="auto"/>
            <w:shd w:val="clear" w:color="auto" w:fill="FFFFFF"/>
            <w:tcMar>
              <w:top w:w="30" w:type="dxa"/>
              <w:left w:w="0" w:type="dxa"/>
              <w:bottom w:w="30" w:type="dxa"/>
              <w:right w:w="20" w:type="dxa"/>
            </w:tcMar>
            <w:vAlign w:val="bottom"/>
            <w:hideMark/>
          </w:tcPr>
          <w:p w14:paraId="2F26A448"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791C6B"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4432E6" w14:textId="77777777" w:rsidR="00000000" w:rsidRDefault="000C49AD">
            <w:pPr>
              <w:spacing w:after="100"/>
              <w:jc w:val="right"/>
              <w:rPr>
                <w:rFonts w:eastAsia="Times New Roman"/>
              </w:rPr>
            </w:pPr>
            <w:r>
              <w:rPr>
                <w:rFonts w:eastAsia="Times New Roman"/>
                <w:color w:val="000000"/>
                <w:sz w:val="18"/>
                <w:szCs w:val="18"/>
              </w:rPr>
              <w:t>(58)</w:t>
            </w:r>
          </w:p>
        </w:tc>
        <w:tc>
          <w:tcPr>
            <w:tcW w:w="0" w:type="auto"/>
            <w:shd w:val="clear" w:color="auto" w:fill="FFFFFF"/>
            <w:tcMar>
              <w:top w:w="30" w:type="dxa"/>
              <w:left w:w="0" w:type="dxa"/>
              <w:bottom w:w="30" w:type="dxa"/>
              <w:right w:w="20" w:type="dxa"/>
            </w:tcMar>
            <w:vAlign w:val="bottom"/>
            <w:hideMark/>
          </w:tcPr>
          <w:p w14:paraId="28618F7A" w14:textId="77777777" w:rsidR="00000000" w:rsidRDefault="000C49AD">
            <w:pPr>
              <w:spacing w:after="100"/>
              <w:jc w:val="right"/>
              <w:rPr>
                <w:rFonts w:eastAsia="Times New Roman"/>
              </w:rPr>
            </w:pPr>
          </w:p>
        </w:tc>
      </w:tr>
      <w:tr w:rsidR="00000000" w14:paraId="232DF23E" w14:textId="77777777">
        <w:tc>
          <w:tcPr>
            <w:tcW w:w="0" w:type="auto"/>
            <w:gridSpan w:val="3"/>
            <w:shd w:val="clear" w:color="auto" w:fill="CCEEFF"/>
            <w:tcMar>
              <w:top w:w="30" w:type="dxa"/>
              <w:left w:w="245" w:type="dxa"/>
              <w:bottom w:w="30" w:type="dxa"/>
              <w:right w:w="20" w:type="dxa"/>
            </w:tcMar>
            <w:vAlign w:val="bottom"/>
            <w:hideMark/>
          </w:tcPr>
          <w:p w14:paraId="7D89DADE" w14:textId="77777777" w:rsidR="00000000" w:rsidRDefault="000C49AD">
            <w:pPr>
              <w:spacing w:after="100"/>
              <w:rPr>
                <w:rFonts w:eastAsia="Times New Roman"/>
              </w:rPr>
            </w:pPr>
            <w:r>
              <w:rPr>
                <w:rFonts w:eastAsia="Times New Roman"/>
                <w:color w:val="000000"/>
                <w:sz w:val="18"/>
                <w:szCs w:val="18"/>
              </w:rPr>
              <w:t>Product sales</w:t>
            </w:r>
          </w:p>
        </w:tc>
        <w:tc>
          <w:tcPr>
            <w:tcW w:w="0" w:type="auto"/>
            <w:vAlign w:val="center"/>
            <w:hideMark/>
          </w:tcPr>
          <w:p w14:paraId="2C9E82EA" w14:textId="77777777" w:rsidR="00000000" w:rsidRDefault="000C49AD">
            <w:pPr>
              <w:spacing w:after="100"/>
              <w:rPr>
                <w:rFonts w:eastAsia="Times New Roman"/>
              </w:rPr>
            </w:pPr>
          </w:p>
        </w:tc>
        <w:tc>
          <w:tcPr>
            <w:tcW w:w="0" w:type="auto"/>
            <w:vAlign w:val="center"/>
            <w:hideMark/>
          </w:tcPr>
          <w:p w14:paraId="5811260B"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ED6870" w14:textId="77777777" w:rsidR="00000000" w:rsidRDefault="000C49AD">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2CC4E81"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2EC7F15" w14:textId="77777777" w:rsidR="00000000" w:rsidRDefault="000C49AD">
            <w:pPr>
              <w:spacing w:after="100"/>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D428C3"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2C9C67"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578F3E8"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31F8FA" w14:textId="77777777" w:rsidR="00000000" w:rsidRDefault="000C49AD">
            <w:pPr>
              <w:spacing w:after="100"/>
              <w:jc w:val="right"/>
              <w:rPr>
                <w:rFonts w:eastAsia="Times New Roman"/>
              </w:rPr>
            </w:pPr>
            <w:r>
              <w:rPr>
                <w:rFonts w:eastAsia="Times New Roman"/>
                <w:color w:val="000000"/>
                <w:sz w:val="18"/>
                <w:szCs w:val="18"/>
              </w:rPr>
              <w:t>59,215 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42965A9" w14:textId="77777777" w:rsidR="00000000" w:rsidRDefault="000C49AD">
            <w:pPr>
              <w:spacing w:after="100"/>
              <w:jc w:val="right"/>
              <w:rPr>
                <w:rFonts w:eastAsia="Times New Roman"/>
              </w:rPr>
            </w:pPr>
          </w:p>
        </w:tc>
      </w:tr>
    </w:tbl>
    <w:p w14:paraId="34B2F2F1" w14:textId="77777777" w:rsidR="00000000" w:rsidRDefault="000C49AD">
      <w:pPr>
        <w:jc w:val="both"/>
        <w:rPr>
          <w:rFonts w:eastAsia="Times New Roman"/>
        </w:rPr>
      </w:pPr>
    </w:p>
    <w:p w14:paraId="501EC6CA" w14:textId="77777777" w:rsidR="00000000" w:rsidRDefault="000C49AD">
      <w:pPr>
        <w:jc w:val="both"/>
        <w:rPr>
          <w:rFonts w:eastAsia="Times New Roman"/>
        </w:rPr>
      </w:pPr>
    </w:p>
    <w:p w14:paraId="47BD18E9" w14:textId="77777777" w:rsidR="00000000" w:rsidRDefault="000C49AD">
      <w:pPr>
        <w:jc w:val="both"/>
        <w:divId w:val="501579581"/>
        <w:rPr>
          <w:rFonts w:eastAsia="Times New Roman"/>
        </w:rPr>
      </w:pPr>
      <w:r>
        <w:rPr>
          <w:rFonts w:eastAsia="Times New Roman"/>
          <w:color w:val="000000"/>
          <w:sz w:val="20"/>
          <w:szCs w:val="20"/>
        </w:rPr>
        <w:t>The following table presents a summary of total revenues by significant customer for the twelve months ended December 31, 2020 and 2019: </w:t>
      </w:r>
    </w:p>
    <w:tbl>
      <w:tblPr>
        <w:tblW w:w="5000" w:type="pct"/>
        <w:tblCellMar>
          <w:top w:w="15" w:type="dxa"/>
          <w:left w:w="15" w:type="dxa"/>
          <w:bottom w:w="15" w:type="dxa"/>
          <w:right w:w="15" w:type="dxa"/>
        </w:tblCellMar>
        <w:tblLook w:val="04A0" w:firstRow="1" w:lastRow="0" w:firstColumn="1" w:lastColumn="0" w:noHBand="0" w:noVBand="1"/>
      </w:tblPr>
      <w:tblGrid>
        <w:gridCol w:w="40"/>
        <w:gridCol w:w="5360"/>
        <w:gridCol w:w="38"/>
        <w:gridCol w:w="36"/>
        <w:gridCol w:w="36"/>
        <w:gridCol w:w="36"/>
        <w:gridCol w:w="36"/>
        <w:gridCol w:w="36"/>
        <w:gridCol w:w="110"/>
        <w:gridCol w:w="1144"/>
        <w:gridCol w:w="36"/>
        <w:gridCol w:w="36"/>
        <w:gridCol w:w="36"/>
        <w:gridCol w:w="36"/>
        <w:gridCol w:w="110"/>
        <w:gridCol w:w="1144"/>
        <w:gridCol w:w="36"/>
      </w:tblGrid>
      <w:tr w:rsidR="00000000" w14:paraId="313050F4" w14:textId="77777777">
        <w:trPr>
          <w:divId w:val="557936055"/>
        </w:trPr>
        <w:tc>
          <w:tcPr>
            <w:tcW w:w="50" w:type="pct"/>
            <w:vAlign w:val="center"/>
            <w:hideMark/>
          </w:tcPr>
          <w:p w14:paraId="3C718134" w14:textId="77777777" w:rsidR="00000000" w:rsidRDefault="000C49AD">
            <w:pPr>
              <w:jc w:val="both"/>
              <w:rPr>
                <w:rFonts w:eastAsia="Times New Roman"/>
              </w:rPr>
            </w:pPr>
          </w:p>
        </w:tc>
        <w:tc>
          <w:tcPr>
            <w:tcW w:w="3278" w:type="pct"/>
            <w:vAlign w:val="center"/>
            <w:hideMark/>
          </w:tcPr>
          <w:p w14:paraId="69768A92" w14:textId="77777777" w:rsidR="00000000" w:rsidRDefault="000C49AD">
            <w:pPr>
              <w:spacing w:after="100"/>
              <w:rPr>
                <w:rFonts w:eastAsia="Times New Roman"/>
                <w:sz w:val="20"/>
                <w:szCs w:val="20"/>
              </w:rPr>
            </w:pPr>
          </w:p>
        </w:tc>
        <w:tc>
          <w:tcPr>
            <w:tcW w:w="5" w:type="pct"/>
            <w:vAlign w:val="center"/>
            <w:hideMark/>
          </w:tcPr>
          <w:p w14:paraId="03AEE559" w14:textId="77777777" w:rsidR="00000000" w:rsidRDefault="000C49AD">
            <w:pPr>
              <w:spacing w:after="100"/>
              <w:rPr>
                <w:rFonts w:eastAsia="Times New Roman"/>
                <w:sz w:val="20"/>
                <w:szCs w:val="20"/>
              </w:rPr>
            </w:pPr>
          </w:p>
        </w:tc>
        <w:tc>
          <w:tcPr>
            <w:tcW w:w="0" w:type="auto"/>
            <w:vAlign w:val="center"/>
            <w:hideMark/>
          </w:tcPr>
          <w:p w14:paraId="67A146CB" w14:textId="77777777" w:rsidR="00000000" w:rsidRDefault="000C49AD">
            <w:pPr>
              <w:spacing w:after="100"/>
              <w:rPr>
                <w:rFonts w:eastAsia="Times New Roman"/>
                <w:sz w:val="20"/>
                <w:szCs w:val="20"/>
              </w:rPr>
            </w:pPr>
          </w:p>
        </w:tc>
        <w:tc>
          <w:tcPr>
            <w:tcW w:w="0" w:type="auto"/>
            <w:vAlign w:val="center"/>
            <w:hideMark/>
          </w:tcPr>
          <w:p w14:paraId="3125D42E" w14:textId="77777777" w:rsidR="00000000" w:rsidRDefault="000C49AD">
            <w:pPr>
              <w:spacing w:after="100"/>
              <w:rPr>
                <w:rFonts w:eastAsia="Times New Roman"/>
                <w:sz w:val="20"/>
                <w:szCs w:val="20"/>
              </w:rPr>
            </w:pPr>
          </w:p>
        </w:tc>
        <w:tc>
          <w:tcPr>
            <w:tcW w:w="5" w:type="pct"/>
            <w:vAlign w:val="center"/>
            <w:hideMark/>
          </w:tcPr>
          <w:p w14:paraId="1349BAE9" w14:textId="77777777" w:rsidR="00000000" w:rsidRDefault="000C49AD">
            <w:pPr>
              <w:spacing w:after="100"/>
              <w:rPr>
                <w:rFonts w:eastAsia="Times New Roman"/>
                <w:sz w:val="20"/>
                <w:szCs w:val="20"/>
              </w:rPr>
            </w:pPr>
          </w:p>
        </w:tc>
        <w:tc>
          <w:tcPr>
            <w:tcW w:w="26" w:type="pct"/>
            <w:vAlign w:val="center"/>
            <w:hideMark/>
          </w:tcPr>
          <w:p w14:paraId="0E943A17" w14:textId="77777777" w:rsidR="00000000" w:rsidRDefault="000C49AD">
            <w:pPr>
              <w:spacing w:after="100"/>
              <w:rPr>
                <w:rFonts w:eastAsia="Times New Roman"/>
                <w:sz w:val="20"/>
                <w:szCs w:val="20"/>
              </w:rPr>
            </w:pPr>
          </w:p>
        </w:tc>
        <w:tc>
          <w:tcPr>
            <w:tcW w:w="5" w:type="pct"/>
            <w:vAlign w:val="center"/>
            <w:hideMark/>
          </w:tcPr>
          <w:p w14:paraId="678535BB" w14:textId="77777777" w:rsidR="00000000" w:rsidRDefault="000C49AD">
            <w:pPr>
              <w:spacing w:after="100"/>
              <w:rPr>
                <w:rFonts w:eastAsia="Times New Roman"/>
                <w:sz w:val="20"/>
                <w:szCs w:val="20"/>
              </w:rPr>
            </w:pPr>
          </w:p>
        </w:tc>
        <w:tc>
          <w:tcPr>
            <w:tcW w:w="50" w:type="pct"/>
            <w:vAlign w:val="center"/>
            <w:hideMark/>
          </w:tcPr>
          <w:p w14:paraId="7C6B3BAB" w14:textId="77777777" w:rsidR="00000000" w:rsidRDefault="000C49AD">
            <w:pPr>
              <w:spacing w:after="100"/>
              <w:rPr>
                <w:rFonts w:eastAsia="Times New Roman"/>
                <w:sz w:val="20"/>
                <w:szCs w:val="20"/>
              </w:rPr>
            </w:pPr>
          </w:p>
        </w:tc>
        <w:tc>
          <w:tcPr>
            <w:tcW w:w="741" w:type="pct"/>
            <w:vAlign w:val="center"/>
            <w:hideMark/>
          </w:tcPr>
          <w:p w14:paraId="38DD0F2D" w14:textId="77777777" w:rsidR="00000000" w:rsidRDefault="000C49AD">
            <w:pPr>
              <w:spacing w:after="100"/>
              <w:rPr>
                <w:rFonts w:eastAsia="Times New Roman"/>
                <w:sz w:val="20"/>
                <w:szCs w:val="20"/>
              </w:rPr>
            </w:pPr>
          </w:p>
        </w:tc>
        <w:tc>
          <w:tcPr>
            <w:tcW w:w="5" w:type="pct"/>
            <w:vAlign w:val="center"/>
            <w:hideMark/>
          </w:tcPr>
          <w:p w14:paraId="139BF529" w14:textId="77777777" w:rsidR="00000000" w:rsidRDefault="000C49AD">
            <w:pPr>
              <w:spacing w:after="100"/>
              <w:rPr>
                <w:rFonts w:eastAsia="Times New Roman"/>
                <w:sz w:val="20"/>
                <w:szCs w:val="20"/>
              </w:rPr>
            </w:pPr>
          </w:p>
        </w:tc>
        <w:tc>
          <w:tcPr>
            <w:tcW w:w="5" w:type="pct"/>
            <w:vAlign w:val="center"/>
            <w:hideMark/>
          </w:tcPr>
          <w:p w14:paraId="6118E821" w14:textId="77777777" w:rsidR="00000000" w:rsidRDefault="000C49AD">
            <w:pPr>
              <w:spacing w:after="100"/>
              <w:rPr>
                <w:rFonts w:eastAsia="Times New Roman"/>
                <w:sz w:val="20"/>
                <w:szCs w:val="20"/>
              </w:rPr>
            </w:pPr>
          </w:p>
        </w:tc>
        <w:tc>
          <w:tcPr>
            <w:tcW w:w="26" w:type="pct"/>
            <w:vAlign w:val="center"/>
            <w:hideMark/>
          </w:tcPr>
          <w:p w14:paraId="138E29B6" w14:textId="77777777" w:rsidR="00000000" w:rsidRDefault="000C49AD">
            <w:pPr>
              <w:spacing w:after="100"/>
              <w:rPr>
                <w:rFonts w:eastAsia="Times New Roman"/>
                <w:sz w:val="20"/>
                <w:szCs w:val="20"/>
              </w:rPr>
            </w:pPr>
          </w:p>
        </w:tc>
        <w:tc>
          <w:tcPr>
            <w:tcW w:w="5" w:type="pct"/>
            <w:vAlign w:val="center"/>
            <w:hideMark/>
          </w:tcPr>
          <w:p w14:paraId="4FE2D7EC" w14:textId="77777777" w:rsidR="00000000" w:rsidRDefault="000C49AD">
            <w:pPr>
              <w:spacing w:after="100"/>
              <w:rPr>
                <w:rFonts w:eastAsia="Times New Roman"/>
                <w:sz w:val="20"/>
                <w:szCs w:val="20"/>
              </w:rPr>
            </w:pPr>
          </w:p>
        </w:tc>
        <w:tc>
          <w:tcPr>
            <w:tcW w:w="50" w:type="pct"/>
            <w:vAlign w:val="center"/>
            <w:hideMark/>
          </w:tcPr>
          <w:p w14:paraId="4C826A66" w14:textId="77777777" w:rsidR="00000000" w:rsidRDefault="000C49AD">
            <w:pPr>
              <w:spacing w:after="100"/>
              <w:rPr>
                <w:rFonts w:eastAsia="Times New Roman"/>
                <w:sz w:val="20"/>
                <w:szCs w:val="20"/>
              </w:rPr>
            </w:pPr>
          </w:p>
        </w:tc>
        <w:tc>
          <w:tcPr>
            <w:tcW w:w="741" w:type="pct"/>
            <w:vAlign w:val="center"/>
            <w:hideMark/>
          </w:tcPr>
          <w:p w14:paraId="4238B9F3" w14:textId="77777777" w:rsidR="00000000" w:rsidRDefault="000C49AD">
            <w:pPr>
              <w:spacing w:after="100"/>
              <w:rPr>
                <w:rFonts w:eastAsia="Times New Roman"/>
                <w:sz w:val="20"/>
                <w:szCs w:val="20"/>
              </w:rPr>
            </w:pPr>
          </w:p>
        </w:tc>
        <w:tc>
          <w:tcPr>
            <w:tcW w:w="5" w:type="pct"/>
            <w:vAlign w:val="center"/>
            <w:hideMark/>
          </w:tcPr>
          <w:p w14:paraId="15427287" w14:textId="77777777" w:rsidR="00000000" w:rsidRDefault="000C49AD">
            <w:pPr>
              <w:spacing w:after="100"/>
              <w:rPr>
                <w:rFonts w:eastAsia="Times New Roman"/>
                <w:sz w:val="20"/>
                <w:szCs w:val="20"/>
              </w:rPr>
            </w:pPr>
          </w:p>
        </w:tc>
      </w:tr>
      <w:tr w:rsidR="00000000" w14:paraId="73519EE4" w14:textId="77777777">
        <w:trPr>
          <w:divId w:val="557936055"/>
        </w:trPr>
        <w:tc>
          <w:tcPr>
            <w:tcW w:w="0" w:type="auto"/>
            <w:gridSpan w:val="3"/>
            <w:tcMar>
              <w:top w:w="30" w:type="dxa"/>
              <w:left w:w="20" w:type="dxa"/>
              <w:bottom w:w="30" w:type="dxa"/>
              <w:right w:w="20" w:type="dxa"/>
            </w:tcMar>
            <w:vAlign w:val="bottom"/>
            <w:hideMark/>
          </w:tcPr>
          <w:p w14:paraId="259E650D" w14:textId="77777777" w:rsidR="00000000" w:rsidRDefault="000C49AD">
            <w:pPr>
              <w:spacing w:after="100"/>
              <w:rPr>
                <w:rFonts w:eastAsia="Times New Roman"/>
              </w:rPr>
            </w:pPr>
            <w:r>
              <w:rPr>
                <w:rFonts w:eastAsia="Times New Roman"/>
                <w:b/>
                <w:bCs/>
                <w:color w:val="000000"/>
                <w:sz w:val="18"/>
                <w:szCs w:val="18"/>
              </w:rPr>
              <w:t>Revenue by Significant Customer:</w:t>
            </w:r>
          </w:p>
        </w:tc>
        <w:tc>
          <w:tcPr>
            <w:tcW w:w="0" w:type="auto"/>
            <w:vAlign w:val="center"/>
            <w:hideMark/>
          </w:tcPr>
          <w:p w14:paraId="48977758" w14:textId="77777777" w:rsidR="00000000" w:rsidRDefault="000C49AD">
            <w:pPr>
              <w:spacing w:after="100"/>
              <w:rPr>
                <w:rFonts w:eastAsia="Times New Roman"/>
              </w:rPr>
            </w:pPr>
          </w:p>
        </w:tc>
        <w:tc>
          <w:tcPr>
            <w:tcW w:w="0" w:type="auto"/>
            <w:vAlign w:val="center"/>
            <w:hideMark/>
          </w:tcPr>
          <w:p w14:paraId="75CA39B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151E02" w14:textId="77777777" w:rsidR="00000000" w:rsidRDefault="000C49AD">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2D2EBC"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2B66AD60"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D1615DE"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38B4F023" w14:textId="77777777">
        <w:trPr>
          <w:divId w:val="557936055"/>
          <w:trHeight w:val="60"/>
        </w:trPr>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498857" w14:textId="77777777" w:rsidR="00000000" w:rsidRDefault="000C49AD">
            <w:pPr>
              <w:spacing w:after="100"/>
              <w:jc w:val="center"/>
              <w:rPr>
                <w:rFonts w:eastAsia="Times New Roman"/>
              </w:rPr>
            </w:pPr>
          </w:p>
        </w:tc>
        <w:tc>
          <w:tcPr>
            <w:tcW w:w="0" w:type="auto"/>
            <w:vAlign w:val="center"/>
            <w:hideMark/>
          </w:tcPr>
          <w:p w14:paraId="290040A8" w14:textId="77777777" w:rsidR="00000000" w:rsidRDefault="000C49AD">
            <w:pPr>
              <w:spacing w:after="100"/>
              <w:rPr>
                <w:rFonts w:eastAsia="Times New Roman"/>
                <w:sz w:val="20"/>
                <w:szCs w:val="20"/>
              </w:rPr>
            </w:pPr>
          </w:p>
        </w:tc>
        <w:tc>
          <w:tcPr>
            <w:tcW w:w="0" w:type="auto"/>
            <w:vAlign w:val="center"/>
            <w:hideMark/>
          </w:tcPr>
          <w:p w14:paraId="09BD38B6"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356320"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28A7A2"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B39FA2" w14:textId="77777777" w:rsidR="00000000" w:rsidRDefault="000C49AD">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9FFE305" w14:textId="77777777" w:rsidR="00000000" w:rsidRDefault="000C49AD">
            <w:pPr>
              <w:spacing w:after="100"/>
              <w:rPr>
                <w:rFonts w:eastAsia="Times New Roman"/>
                <w:sz w:val="20"/>
                <w:szCs w:val="20"/>
              </w:rPr>
            </w:pPr>
          </w:p>
        </w:tc>
      </w:tr>
      <w:tr w:rsidR="00000000" w14:paraId="55F3EB93" w14:textId="77777777">
        <w:trPr>
          <w:divId w:val="557936055"/>
        </w:trPr>
        <w:tc>
          <w:tcPr>
            <w:tcW w:w="0" w:type="auto"/>
            <w:gridSpan w:val="3"/>
            <w:shd w:val="clear" w:color="auto" w:fill="CCEEFF"/>
            <w:tcMar>
              <w:top w:w="30" w:type="dxa"/>
              <w:left w:w="155" w:type="dxa"/>
              <w:bottom w:w="30" w:type="dxa"/>
              <w:right w:w="20" w:type="dxa"/>
            </w:tcMar>
            <w:vAlign w:val="bottom"/>
            <w:hideMark/>
          </w:tcPr>
          <w:p w14:paraId="106D46D5" w14:textId="77777777" w:rsidR="00000000" w:rsidRDefault="000C49AD">
            <w:pPr>
              <w:spacing w:after="100"/>
              <w:rPr>
                <w:rFonts w:eastAsia="Times New Roman"/>
              </w:rPr>
            </w:pPr>
            <w:r>
              <w:rPr>
                <w:rFonts w:eastAsia="Times New Roman"/>
                <w:color w:val="000000"/>
                <w:sz w:val="18"/>
                <w:szCs w:val="18"/>
              </w:rPr>
              <w:t>McKesson Corporation</w:t>
            </w:r>
          </w:p>
        </w:tc>
        <w:tc>
          <w:tcPr>
            <w:tcW w:w="0" w:type="auto"/>
            <w:vAlign w:val="center"/>
            <w:hideMark/>
          </w:tcPr>
          <w:p w14:paraId="4B43243B" w14:textId="77777777" w:rsidR="00000000" w:rsidRDefault="000C49AD">
            <w:pPr>
              <w:spacing w:after="100"/>
              <w:rPr>
                <w:rFonts w:eastAsia="Times New Roman"/>
              </w:rPr>
            </w:pPr>
          </w:p>
        </w:tc>
        <w:tc>
          <w:tcPr>
            <w:tcW w:w="0" w:type="auto"/>
            <w:vAlign w:val="center"/>
            <w:hideMark/>
          </w:tcPr>
          <w:p w14:paraId="69D1D6E1"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2D61B6" w14:textId="77777777" w:rsidR="00000000" w:rsidRDefault="000C49AD">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20A532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124659E" w14:textId="77777777" w:rsidR="00000000" w:rsidRDefault="000C49AD">
            <w:pPr>
              <w:spacing w:after="100"/>
              <w:jc w:val="right"/>
              <w:rPr>
                <w:rFonts w:eastAsia="Times New Roman"/>
              </w:rPr>
            </w:pPr>
            <w:r>
              <w:rPr>
                <w:rFonts w:eastAsia="Times New Roman"/>
                <w:color w:val="000000"/>
                <w:sz w:val="18"/>
                <w:szCs w:val="18"/>
              </w:rPr>
              <w:t>5,758 </w:t>
            </w:r>
          </w:p>
        </w:tc>
        <w:tc>
          <w:tcPr>
            <w:tcW w:w="0" w:type="auto"/>
            <w:shd w:val="clear" w:color="auto" w:fill="CCEEFF"/>
            <w:tcMar>
              <w:top w:w="30" w:type="dxa"/>
              <w:left w:w="0" w:type="dxa"/>
              <w:bottom w:w="30" w:type="dxa"/>
              <w:right w:w="20" w:type="dxa"/>
            </w:tcMar>
            <w:vAlign w:val="bottom"/>
            <w:hideMark/>
          </w:tcPr>
          <w:p w14:paraId="5C5B3A8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269D3"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3029061"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469B315" w14:textId="77777777" w:rsidR="00000000" w:rsidRDefault="000C49AD">
            <w:pPr>
              <w:spacing w:after="100"/>
              <w:jc w:val="right"/>
              <w:rPr>
                <w:rFonts w:eastAsia="Times New Roman"/>
              </w:rPr>
            </w:pPr>
            <w:r>
              <w:rPr>
                <w:rFonts w:eastAsia="Times New Roman"/>
                <w:color w:val="000000"/>
                <w:sz w:val="18"/>
                <w:szCs w:val="18"/>
              </w:rPr>
              <w:t>14,900 </w:t>
            </w:r>
          </w:p>
        </w:tc>
        <w:tc>
          <w:tcPr>
            <w:tcW w:w="0" w:type="auto"/>
            <w:shd w:val="clear" w:color="auto" w:fill="CCEEFF"/>
            <w:tcMar>
              <w:top w:w="30" w:type="dxa"/>
              <w:left w:w="0" w:type="dxa"/>
              <w:bottom w:w="30" w:type="dxa"/>
              <w:right w:w="20" w:type="dxa"/>
            </w:tcMar>
            <w:vAlign w:val="bottom"/>
            <w:hideMark/>
          </w:tcPr>
          <w:p w14:paraId="6607D7EF" w14:textId="77777777" w:rsidR="00000000" w:rsidRDefault="000C49AD">
            <w:pPr>
              <w:spacing w:after="100"/>
              <w:jc w:val="right"/>
              <w:rPr>
                <w:rFonts w:eastAsia="Times New Roman"/>
              </w:rPr>
            </w:pPr>
          </w:p>
        </w:tc>
      </w:tr>
      <w:tr w:rsidR="00000000" w14:paraId="60ADA8AB" w14:textId="77777777">
        <w:trPr>
          <w:divId w:val="557936055"/>
        </w:trPr>
        <w:tc>
          <w:tcPr>
            <w:tcW w:w="0" w:type="auto"/>
            <w:gridSpan w:val="3"/>
            <w:shd w:val="clear" w:color="auto" w:fill="FFFFFF"/>
            <w:tcMar>
              <w:top w:w="30" w:type="dxa"/>
              <w:left w:w="155" w:type="dxa"/>
              <w:bottom w:w="30" w:type="dxa"/>
              <w:right w:w="20" w:type="dxa"/>
            </w:tcMar>
            <w:vAlign w:val="bottom"/>
            <w:hideMark/>
          </w:tcPr>
          <w:p w14:paraId="09A15AFF" w14:textId="77777777" w:rsidR="00000000" w:rsidRDefault="000C49AD">
            <w:pPr>
              <w:spacing w:after="100"/>
              <w:rPr>
                <w:rFonts w:eastAsia="Times New Roman"/>
              </w:rPr>
            </w:pPr>
            <w:r>
              <w:rPr>
                <w:rFonts w:eastAsia="Times New Roman"/>
                <w:color w:val="000000"/>
                <w:sz w:val="18"/>
                <w:szCs w:val="18"/>
              </w:rPr>
              <w:t>Cardinal Health</w:t>
            </w:r>
          </w:p>
        </w:tc>
        <w:tc>
          <w:tcPr>
            <w:tcW w:w="0" w:type="auto"/>
            <w:vAlign w:val="center"/>
            <w:hideMark/>
          </w:tcPr>
          <w:p w14:paraId="0E2C8E08" w14:textId="77777777" w:rsidR="00000000" w:rsidRDefault="000C49AD">
            <w:pPr>
              <w:spacing w:after="100"/>
              <w:rPr>
                <w:rFonts w:eastAsia="Times New Roman"/>
              </w:rPr>
            </w:pPr>
          </w:p>
        </w:tc>
        <w:tc>
          <w:tcPr>
            <w:tcW w:w="0" w:type="auto"/>
            <w:vAlign w:val="center"/>
            <w:hideMark/>
          </w:tcPr>
          <w:p w14:paraId="5E516E85"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09C532" w14:textId="77777777" w:rsidR="00000000" w:rsidRDefault="000C49A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DF0A0D" w14:textId="77777777" w:rsidR="00000000" w:rsidRDefault="000C49AD">
            <w:pPr>
              <w:spacing w:after="100"/>
              <w:jc w:val="right"/>
              <w:rPr>
                <w:rFonts w:eastAsia="Times New Roman"/>
              </w:rPr>
            </w:pPr>
            <w:r>
              <w:rPr>
                <w:rFonts w:eastAsia="Times New Roman"/>
                <w:color w:val="000000"/>
                <w:sz w:val="18"/>
                <w:szCs w:val="18"/>
              </w:rPr>
              <w:t>5,155 </w:t>
            </w:r>
          </w:p>
        </w:tc>
        <w:tc>
          <w:tcPr>
            <w:tcW w:w="0" w:type="auto"/>
            <w:shd w:val="clear" w:color="auto" w:fill="FFFFFF"/>
            <w:tcMar>
              <w:top w:w="30" w:type="dxa"/>
              <w:left w:w="0" w:type="dxa"/>
              <w:bottom w:w="30" w:type="dxa"/>
              <w:right w:w="20" w:type="dxa"/>
            </w:tcMar>
            <w:vAlign w:val="bottom"/>
            <w:hideMark/>
          </w:tcPr>
          <w:p w14:paraId="11914401"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EAA572"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D9BA0B" w14:textId="77777777" w:rsidR="00000000" w:rsidRDefault="000C49AD">
            <w:pPr>
              <w:spacing w:after="100"/>
              <w:jc w:val="right"/>
              <w:rPr>
                <w:rFonts w:eastAsia="Times New Roman"/>
              </w:rPr>
            </w:pPr>
            <w:r>
              <w:rPr>
                <w:rFonts w:eastAsia="Times New Roman"/>
                <w:color w:val="000000"/>
                <w:sz w:val="18"/>
                <w:szCs w:val="18"/>
              </w:rPr>
              <w:t>15,088 </w:t>
            </w:r>
          </w:p>
        </w:tc>
        <w:tc>
          <w:tcPr>
            <w:tcW w:w="0" w:type="auto"/>
            <w:shd w:val="clear" w:color="auto" w:fill="FFFFFF"/>
            <w:tcMar>
              <w:top w:w="30" w:type="dxa"/>
              <w:left w:w="0" w:type="dxa"/>
              <w:bottom w:w="30" w:type="dxa"/>
              <w:right w:w="20" w:type="dxa"/>
            </w:tcMar>
            <w:vAlign w:val="bottom"/>
            <w:hideMark/>
          </w:tcPr>
          <w:p w14:paraId="5BC2F13D" w14:textId="77777777" w:rsidR="00000000" w:rsidRDefault="000C49AD">
            <w:pPr>
              <w:spacing w:after="100"/>
              <w:jc w:val="right"/>
              <w:rPr>
                <w:rFonts w:eastAsia="Times New Roman"/>
              </w:rPr>
            </w:pPr>
          </w:p>
        </w:tc>
      </w:tr>
      <w:tr w:rsidR="00000000" w14:paraId="183EC6BD" w14:textId="77777777">
        <w:trPr>
          <w:divId w:val="557936055"/>
        </w:trPr>
        <w:tc>
          <w:tcPr>
            <w:tcW w:w="0" w:type="auto"/>
            <w:gridSpan w:val="3"/>
            <w:shd w:val="clear" w:color="auto" w:fill="CCEEFF"/>
            <w:tcMar>
              <w:top w:w="30" w:type="dxa"/>
              <w:left w:w="155" w:type="dxa"/>
              <w:bottom w:w="30" w:type="dxa"/>
              <w:right w:w="20" w:type="dxa"/>
            </w:tcMar>
            <w:vAlign w:val="bottom"/>
            <w:hideMark/>
          </w:tcPr>
          <w:p w14:paraId="012C9D77" w14:textId="77777777" w:rsidR="00000000" w:rsidRDefault="000C49AD">
            <w:pPr>
              <w:spacing w:after="100"/>
              <w:rPr>
                <w:rFonts w:eastAsia="Times New Roman"/>
              </w:rPr>
            </w:pPr>
            <w:r>
              <w:rPr>
                <w:rFonts w:eastAsia="Times New Roman"/>
                <w:color w:val="000000"/>
                <w:sz w:val="18"/>
                <w:szCs w:val="18"/>
              </w:rPr>
              <w:t xml:space="preserve">AmerisourceBergen </w:t>
            </w:r>
          </w:p>
        </w:tc>
        <w:tc>
          <w:tcPr>
            <w:tcW w:w="0" w:type="auto"/>
            <w:vAlign w:val="center"/>
            <w:hideMark/>
          </w:tcPr>
          <w:p w14:paraId="27A17C94" w14:textId="77777777" w:rsidR="00000000" w:rsidRDefault="000C49AD">
            <w:pPr>
              <w:spacing w:after="100"/>
              <w:rPr>
                <w:rFonts w:eastAsia="Times New Roman"/>
              </w:rPr>
            </w:pPr>
          </w:p>
        </w:tc>
        <w:tc>
          <w:tcPr>
            <w:tcW w:w="0" w:type="auto"/>
            <w:vAlign w:val="center"/>
            <w:hideMark/>
          </w:tcPr>
          <w:p w14:paraId="793502E5"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BCFB53" w14:textId="77777777" w:rsidR="00000000" w:rsidRDefault="000C49A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025F37" w14:textId="77777777" w:rsidR="00000000" w:rsidRDefault="000C49AD">
            <w:pPr>
              <w:spacing w:after="100"/>
              <w:jc w:val="right"/>
              <w:rPr>
                <w:rFonts w:eastAsia="Times New Roman"/>
              </w:rPr>
            </w:pPr>
            <w:r>
              <w:rPr>
                <w:rFonts w:eastAsia="Times New Roman"/>
                <w:color w:val="000000"/>
                <w:sz w:val="18"/>
                <w:szCs w:val="18"/>
              </w:rPr>
              <w:t>3,155 </w:t>
            </w:r>
          </w:p>
        </w:tc>
        <w:tc>
          <w:tcPr>
            <w:tcW w:w="0" w:type="auto"/>
            <w:shd w:val="clear" w:color="auto" w:fill="CCEEFF"/>
            <w:tcMar>
              <w:top w:w="30" w:type="dxa"/>
              <w:left w:w="0" w:type="dxa"/>
              <w:bottom w:w="30" w:type="dxa"/>
              <w:right w:w="20" w:type="dxa"/>
            </w:tcMar>
            <w:vAlign w:val="bottom"/>
            <w:hideMark/>
          </w:tcPr>
          <w:p w14:paraId="580BA66F"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FCDEEB"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00BB1B" w14:textId="77777777" w:rsidR="00000000" w:rsidRDefault="000C49AD">
            <w:pPr>
              <w:spacing w:after="100"/>
              <w:jc w:val="right"/>
              <w:rPr>
                <w:rFonts w:eastAsia="Times New Roman"/>
              </w:rPr>
            </w:pPr>
            <w:r>
              <w:rPr>
                <w:rFonts w:eastAsia="Times New Roman"/>
                <w:color w:val="000000"/>
                <w:sz w:val="18"/>
                <w:szCs w:val="18"/>
              </w:rPr>
              <w:t>12,059 </w:t>
            </w:r>
          </w:p>
        </w:tc>
        <w:tc>
          <w:tcPr>
            <w:tcW w:w="0" w:type="auto"/>
            <w:shd w:val="clear" w:color="auto" w:fill="CCEEFF"/>
            <w:tcMar>
              <w:top w:w="30" w:type="dxa"/>
              <w:left w:w="0" w:type="dxa"/>
              <w:bottom w:w="30" w:type="dxa"/>
              <w:right w:w="20" w:type="dxa"/>
            </w:tcMar>
            <w:vAlign w:val="bottom"/>
            <w:hideMark/>
          </w:tcPr>
          <w:p w14:paraId="5016DD90" w14:textId="77777777" w:rsidR="00000000" w:rsidRDefault="000C49AD">
            <w:pPr>
              <w:spacing w:after="100"/>
              <w:jc w:val="right"/>
              <w:rPr>
                <w:rFonts w:eastAsia="Times New Roman"/>
              </w:rPr>
            </w:pPr>
          </w:p>
        </w:tc>
      </w:tr>
      <w:tr w:rsidR="00000000" w14:paraId="5016CB93" w14:textId="77777777">
        <w:trPr>
          <w:divId w:val="557936055"/>
        </w:trPr>
        <w:tc>
          <w:tcPr>
            <w:tcW w:w="0" w:type="auto"/>
            <w:gridSpan w:val="3"/>
            <w:shd w:val="clear" w:color="auto" w:fill="FFFFFF"/>
            <w:tcMar>
              <w:top w:w="30" w:type="dxa"/>
              <w:left w:w="155" w:type="dxa"/>
              <w:bottom w:w="30" w:type="dxa"/>
              <w:right w:w="20" w:type="dxa"/>
            </w:tcMar>
            <w:vAlign w:val="bottom"/>
            <w:hideMark/>
          </w:tcPr>
          <w:p w14:paraId="3B5B09F1" w14:textId="77777777" w:rsidR="00000000" w:rsidRDefault="000C49AD">
            <w:pPr>
              <w:spacing w:after="100"/>
              <w:rPr>
                <w:rFonts w:eastAsia="Times New Roman"/>
              </w:rPr>
            </w:pPr>
            <w:r>
              <w:rPr>
                <w:rFonts w:eastAsia="Times New Roman"/>
                <w:color w:val="000000"/>
                <w:sz w:val="18"/>
                <w:szCs w:val="18"/>
              </w:rPr>
              <w:t>QuVa Pharma</w:t>
            </w:r>
          </w:p>
        </w:tc>
        <w:tc>
          <w:tcPr>
            <w:tcW w:w="0" w:type="auto"/>
            <w:vAlign w:val="center"/>
            <w:hideMark/>
          </w:tcPr>
          <w:p w14:paraId="2E992EC1" w14:textId="77777777" w:rsidR="00000000" w:rsidRDefault="000C49AD">
            <w:pPr>
              <w:spacing w:after="100"/>
              <w:rPr>
                <w:rFonts w:eastAsia="Times New Roman"/>
              </w:rPr>
            </w:pPr>
          </w:p>
        </w:tc>
        <w:tc>
          <w:tcPr>
            <w:tcW w:w="0" w:type="auto"/>
            <w:vAlign w:val="center"/>
            <w:hideMark/>
          </w:tcPr>
          <w:p w14:paraId="45A3718A"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47834A" w14:textId="77777777" w:rsidR="00000000" w:rsidRDefault="000C49AD">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8484A7" w14:textId="77777777" w:rsidR="00000000" w:rsidRDefault="000C49AD">
            <w:pPr>
              <w:spacing w:after="100"/>
              <w:jc w:val="right"/>
              <w:rPr>
                <w:rFonts w:eastAsia="Times New Roman"/>
              </w:rPr>
            </w:pPr>
            <w:r>
              <w:rPr>
                <w:rFonts w:eastAsia="Times New Roman"/>
                <w:color w:val="000000"/>
                <w:sz w:val="18"/>
                <w:szCs w:val="18"/>
              </w:rPr>
              <w:t>3,117 </w:t>
            </w:r>
          </w:p>
        </w:tc>
        <w:tc>
          <w:tcPr>
            <w:tcW w:w="0" w:type="auto"/>
            <w:shd w:val="clear" w:color="auto" w:fill="FFFFFF"/>
            <w:tcMar>
              <w:top w:w="30" w:type="dxa"/>
              <w:left w:w="0" w:type="dxa"/>
              <w:bottom w:w="30" w:type="dxa"/>
              <w:right w:w="20" w:type="dxa"/>
            </w:tcMar>
            <w:vAlign w:val="bottom"/>
            <w:hideMark/>
          </w:tcPr>
          <w:p w14:paraId="3AE1BB2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D6BC9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0E91E6" w14:textId="77777777" w:rsidR="00000000" w:rsidRDefault="000C49AD">
            <w:pPr>
              <w:spacing w:after="100"/>
              <w:jc w:val="right"/>
              <w:rPr>
                <w:rFonts w:eastAsia="Times New Roman"/>
              </w:rPr>
            </w:pPr>
            <w:r>
              <w:rPr>
                <w:rFonts w:eastAsia="Times New Roman"/>
                <w:color w:val="000000"/>
                <w:sz w:val="18"/>
                <w:szCs w:val="18"/>
              </w:rPr>
              <w:t>3,252 </w:t>
            </w:r>
          </w:p>
        </w:tc>
        <w:tc>
          <w:tcPr>
            <w:tcW w:w="0" w:type="auto"/>
            <w:shd w:val="clear" w:color="auto" w:fill="FFFFFF"/>
            <w:tcMar>
              <w:top w:w="30" w:type="dxa"/>
              <w:left w:w="0" w:type="dxa"/>
              <w:bottom w:w="30" w:type="dxa"/>
              <w:right w:w="20" w:type="dxa"/>
            </w:tcMar>
            <w:vAlign w:val="bottom"/>
            <w:hideMark/>
          </w:tcPr>
          <w:p w14:paraId="4F000D9B" w14:textId="77777777" w:rsidR="00000000" w:rsidRDefault="000C49AD">
            <w:pPr>
              <w:spacing w:after="100"/>
              <w:jc w:val="right"/>
              <w:rPr>
                <w:rFonts w:eastAsia="Times New Roman"/>
              </w:rPr>
            </w:pPr>
          </w:p>
        </w:tc>
      </w:tr>
      <w:tr w:rsidR="00000000" w14:paraId="22B5EB89" w14:textId="77777777">
        <w:trPr>
          <w:divId w:val="557936055"/>
        </w:trPr>
        <w:tc>
          <w:tcPr>
            <w:tcW w:w="0" w:type="auto"/>
            <w:gridSpan w:val="3"/>
            <w:shd w:val="clear" w:color="auto" w:fill="CCEEFF"/>
            <w:tcMar>
              <w:top w:w="30" w:type="dxa"/>
              <w:left w:w="155" w:type="dxa"/>
              <w:bottom w:w="30" w:type="dxa"/>
              <w:right w:w="20" w:type="dxa"/>
            </w:tcMar>
            <w:vAlign w:val="bottom"/>
            <w:hideMark/>
          </w:tcPr>
          <w:p w14:paraId="158C9F32" w14:textId="77777777" w:rsidR="00000000" w:rsidRDefault="000C49AD">
            <w:pPr>
              <w:spacing w:after="100"/>
              <w:rPr>
                <w:rFonts w:eastAsia="Times New Roman"/>
              </w:rPr>
            </w:pPr>
            <w:r>
              <w:rPr>
                <w:rFonts w:eastAsia="Times New Roman"/>
                <w:color w:val="000000"/>
                <w:sz w:val="18"/>
                <w:szCs w:val="18"/>
              </w:rPr>
              <w:t>Others</w:t>
            </w:r>
          </w:p>
        </w:tc>
        <w:tc>
          <w:tcPr>
            <w:tcW w:w="0" w:type="auto"/>
            <w:vAlign w:val="center"/>
            <w:hideMark/>
          </w:tcPr>
          <w:p w14:paraId="4EC3FE01" w14:textId="77777777" w:rsidR="00000000" w:rsidRDefault="000C49AD">
            <w:pPr>
              <w:spacing w:after="100"/>
              <w:rPr>
                <w:rFonts w:eastAsia="Times New Roman"/>
              </w:rPr>
            </w:pPr>
          </w:p>
        </w:tc>
        <w:tc>
          <w:tcPr>
            <w:tcW w:w="0" w:type="auto"/>
            <w:vAlign w:val="center"/>
            <w:hideMark/>
          </w:tcPr>
          <w:p w14:paraId="4FF45915" w14:textId="77777777" w:rsidR="00000000" w:rsidRDefault="000C49AD">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0A69F8" w14:textId="77777777" w:rsidR="00000000" w:rsidRDefault="000C49AD">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904C26" w14:textId="77777777" w:rsidR="00000000" w:rsidRDefault="000C49AD">
            <w:pPr>
              <w:spacing w:after="100"/>
              <w:jc w:val="right"/>
              <w:rPr>
                <w:rFonts w:eastAsia="Times New Roman"/>
              </w:rPr>
            </w:pPr>
            <w:r>
              <w:rPr>
                <w:rFonts w:eastAsia="Times New Roman"/>
                <w:color w:val="000000"/>
                <w:sz w:val="18"/>
                <w:szCs w:val="18"/>
              </w:rPr>
              <w:t>5,149 </w:t>
            </w:r>
          </w:p>
        </w:tc>
        <w:tc>
          <w:tcPr>
            <w:tcW w:w="0" w:type="auto"/>
            <w:shd w:val="clear" w:color="auto" w:fill="CCEEFF"/>
            <w:tcMar>
              <w:top w:w="30" w:type="dxa"/>
              <w:left w:w="0" w:type="dxa"/>
              <w:bottom w:w="30" w:type="dxa"/>
              <w:right w:w="20" w:type="dxa"/>
            </w:tcMar>
            <w:vAlign w:val="bottom"/>
            <w:hideMark/>
          </w:tcPr>
          <w:p w14:paraId="48C62DC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D76C01"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576975" w14:textId="77777777" w:rsidR="00000000" w:rsidRDefault="000C49AD">
            <w:pPr>
              <w:spacing w:after="100"/>
              <w:jc w:val="right"/>
              <w:rPr>
                <w:rFonts w:eastAsia="Times New Roman"/>
              </w:rPr>
            </w:pPr>
            <w:r>
              <w:rPr>
                <w:rFonts w:eastAsia="Times New Roman"/>
                <w:color w:val="000000"/>
                <w:sz w:val="18"/>
                <w:szCs w:val="18"/>
              </w:rPr>
              <w:t>13,916 </w:t>
            </w:r>
          </w:p>
        </w:tc>
        <w:tc>
          <w:tcPr>
            <w:tcW w:w="0" w:type="auto"/>
            <w:shd w:val="clear" w:color="auto" w:fill="CCEEFF"/>
            <w:tcMar>
              <w:top w:w="30" w:type="dxa"/>
              <w:left w:w="0" w:type="dxa"/>
              <w:bottom w:w="30" w:type="dxa"/>
              <w:right w:w="20" w:type="dxa"/>
            </w:tcMar>
            <w:vAlign w:val="bottom"/>
            <w:hideMark/>
          </w:tcPr>
          <w:p w14:paraId="08759A87" w14:textId="77777777" w:rsidR="00000000" w:rsidRDefault="000C49AD">
            <w:pPr>
              <w:spacing w:after="100"/>
              <w:jc w:val="right"/>
              <w:rPr>
                <w:rFonts w:eastAsia="Times New Roman"/>
              </w:rPr>
            </w:pPr>
          </w:p>
        </w:tc>
      </w:tr>
      <w:tr w:rsidR="00000000" w14:paraId="68595B41" w14:textId="77777777">
        <w:trPr>
          <w:divId w:val="557936055"/>
        </w:trPr>
        <w:tc>
          <w:tcPr>
            <w:tcW w:w="0" w:type="auto"/>
            <w:gridSpan w:val="3"/>
            <w:shd w:val="clear" w:color="auto" w:fill="FFFFFF"/>
            <w:tcMar>
              <w:top w:w="30" w:type="dxa"/>
              <w:left w:w="245" w:type="dxa"/>
              <w:bottom w:w="30" w:type="dxa"/>
              <w:right w:w="20" w:type="dxa"/>
            </w:tcMar>
            <w:vAlign w:val="bottom"/>
            <w:hideMark/>
          </w:tcPr>
          <w:p w14:paraId="3819ACFA" w14:textId="77777777" w:rsidR="00000000" w:rsidRDefault="000C49AD">
            <w:pPr>
              <w:spacing w:after="100"/>
              <w:rPr>
                <w:rFonts w:eastAsia="Times New Roman"/>
              </w:rPr>
            </w:pPr>
            <w:r>
              <w:rPr>
                <w:rFonts w:eastAsia="Times New Roman"/>
                <w:color w:val="000000"/>
                <w:sz w:val="18"/>
                <w:szCs w:val="18"/>
              </w:rPr>
              <w:t>Product sales</w:t>
            </w:r>
          </w:p>
        </w:tc>
        <w:tc>
          <w:tcPr>
            <w:tcW w:w="0" w:type="auto"/>
            <w:vAlign w:val="center"/>
            <w:hideMark/>
          </w:tcPr>
          <w:p w14:paraId="4C0DD43A" w14:textId="77777777" w:rsidR="00000000" w:rsidRDefault="000C49AD">
            <w:pPr>
              <w:spacing w:after="100"/>
              <w:rPr>
                <w:rFonts w:eastAsia="Times New Roman"/>
              </w:rPr>
            </w:pPr>
          </w:p>
        </w:tc>
        <w:tc>
          <w:tcPr>
            <w:tcW w:w="0" w:type="auto"/>
            <w:vAlign w:val="center"/>
            <w:hideMark/>
          </w:tcPr>
          <w:p w14:paraId="49939401" w14:textId="77777777" w:rsidR="00000000" w:rsidRDefault="000C49AD">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A1C986" w14:textId="77777777" w:rsidR="00000000" w:rsidRDefault="000C49AD">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2BCE762"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4055BF1" w14:textId="77777777" w:rsidR="00000000" w:rsidRDefault="000C49AD">
            <w:pPr>
              <w:spacing w:after="100"/>
              <w:jc w:val="right"/>
              <w:rPr>
                <w:rFonts w:eastAsia="Times New Roman"/>
              </w:rPr>
            </w:pPr>
            <w:r>
              <w:rPr>
                <w:rFonts w:eastAsia="Times New Roman"/>
                <w:color w:val="000000"/>
                <w:sz w:val="18"/>
                <w:szCs w:val="18"/>
              </w:rPr>
              <w:t>22,334 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CA4EF03"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723B5A"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5BCFDF"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0429898" w14:textId="77777777" w:rsidR="00000000" w:rsidRDefault="000C49AD">
            <w:pPr>
              <w:spacing w:after="100"/>
              <w:jc w:val="right"/>
              <w:rPr>
                <w:rFonts w:eastAsia="Times New Roman"/>
              </w:rPr>
            </w:pPr>
            <w:r>
              <w:rPr>
                <w:rFonts w:eastAsia="Times New Roman"/>
                <w:color w:val="000000"/>
                <w:sz w:val="18"/>
                <w:szCs w:val="18"/>
              </w:rPr>
              <w:t>59,215 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E4DF59" w14:textId="77777777" w:rsidR="00000000" w:rsidRDefault="000C49AD">
            <w:pPr>
              <w:spacing w:after="100"/>
              <w:jc w:val="right"/>
              <w:rPr>
                <w:rFonts w:eastAsia="Times New Roman"/>
              </w:rPr>
            </w:pPr>
          </w:p>
        </w:tc>
      </w:tr>
    </w:tbl>
    <w:p w14:paraId="470ECB9E" w14:textId="77777777" w:rsidR="00000000" w:rsidRDefault="000C49AD">
      <w:pPr>
        <w:jc w:val="both"/>
        <w:rPr>
          <w:rFonts w:eastAsia="Times New Roman"/>
        </w:rPr>
      </w:pPr>
    </w:p>
    <w:p w14:paraId="1DA641AB" w14:textId="77777777" w:rsidR="00000000" w:rsidRDefault="000C49AD">
      <w:pPr>
        <w:jc w:val="both"/>
        <w:rPr>
          <w:rFonts w:eastAsia="Times New Roman"/>
        </w:rPr>
      </w:pPr>
      <w:r>
        <w:rPr>
          <w:rFonts w:eastAsia="Times New Roman"/>
          <w:color w:val="000000"/>
          <w:sz w:val="20"/>
          <w:szCs w:val="20"/>
        </w:rPr>
        <w:t>All revenue earned during the years ended December 31, 2020 and 2019 was generated in the U.S.</w:t>
      </w:r>
    </w:p>
    <w:p w14:paraId="0E320BB9" w14:textId="77777777" w:rsidR="00000000" w:rsidRDefault="000C49AD">
      <w:pPr>
        <w:jc w:val="center"/>
        <w:divId w:val="991105428"/>
        <w:rPr>
          <w:rFonts w:eastAsia="Times New Roman"/>
        </w:rPr>
      </w:pPr>
      <w:r>
        <w:rPr>
          <w:rFonts w:eastAsia="Times New Roman"/>
          <w:color w:val="000000"/>
          <w:sz w:val="20"/>
          <w:szCs w:val="20"/>
        </w:rPr>
        <w:t>-104-</w:t>
      </w:r>
    </w:p>
    <w:p w14:paraId="30F88070" w14:textId="77777777" w:rsidR="00000000" w:rsidRDefault="000C49AD">
      <w:pPr>
        <w:rPr>
          <w:rFonts w:eastAsia="Times New Roman"/>
        </w:rPr>
      </w:pPr>
      <w:r>
        <w:rPr>
          <w:rFonts w:eastAsia="Times New Roman"/>
        </w:rPr>
        <w:pict w14:anchorId="7938A9B0">
          <v:rect id="_x0000_i1129" style="width:0;height:1.5pt" o:hralign="center" o:hrstd="t" o:hr="t" fillcolor="#a0a0a0" stroked="f"/>
        </w:pict>
      </w:r>
    </w:p>
    <w:p w14:paraId="4864266C" w14:textId="77777777" w:rsidR="00000000" w:rsidRDefault="000C49AD">
      <w:pPr>
        <w:divId w:val="1561749173"/>
        <w:rPr>
          <w:rFonts w:eastAsia="Times New Roman"/>
        </w:rPr>
      </w:pPr>
    </w:p>
    <w:p w14:paraId="4522DFFD" w14:textId="77777777" w:rsidR="00000000" w:rsidRDefault="000C49AD">
      <w:pPr>
        <w:jc w:val="both"/>
        <w:rPr>
          <w:rFonts w:eastAsia="Times New Roman"/>
        </w:rPr>
      </w:pPr>
    </w:p>
    <w:p w14:paraId="65F7D62F" w14:textId="77777777" w:rsidR="00000000" w:rsidRDefault="000C49AD">
      <w:pPr>
        <w:jc w:val="both"/>
        <w:rPr>
          <w:rFonts w:eastAsia="Times New Roman"/>
        </w:rPr>
      </w:pPr>
      <w:r>
        <w:rPr>
          <w:rFonts w:eastAsia="Times New Roman"/>
          <w:color w:val="000000"/>
          <w:sz w:val="20"/>
          <w:szCs w:val="20"/>
        </w:rPr>
        <w:t>Concentration of credit risk with respect to accounts receivable was limited due to the high credit quality comprising a significant portion of the Company’s customers. Management periodically monitors the creditwort</w:t>
      </w:r>
      <w:r>
        <w:rPr>
          <w:rFonts w:eastAsia="Times New Roman"/>
          <w:color w:val="000000"/>
          <w:sz w:val="20"/>
          <w:szCs w:val="20"/>
        </w:rPr>
        <w:t xml:space="preserve">hiness of the Company’s customers and believes that it has adequately provided for any exposure to potential credit loss. </w:t>
      </w:r>
    </w:p>
    <w:p w14:paraId="6FE0AAC7" w14:textId="77777777" w:rsidR="00000000" w:rsidRDefault="000C49AD">
      <w:pPr>
        <w:jc w:val="both"/>
        <w:rPr>
          <w:rFonts w:eastAsia="Times New Roman"/>
        </w:rPr>
      </w:pPr>
    </w:p>
    <w:p w14:paraId="19048F1A" w14:textId="77777777" w:rsidR="00000000" w:rsidRDefault="000C49AD">
      <w:pPr>
        <w:jc w:val="both"/>
        <w:rPr>
          <w:rFonts w:eastAsia="Times New Roman"/>
        </w:rPr>
      </w:pPr>
      <w:r>
        <w:rPr>
          <w:rFonts w:eastAsia="Times New Roman"/>
          <w:color w:val="000000"/>
          <w:sz w:val="20"/>
          <w:szCs w:val="20"/>
        </w:rPr>
        <w:t>Currently, the Company is working with contract manufacturing organizations for the manufacture of FT218. Additionally, the Company</w:t>
      </w:r>
      <w:r>
        <w:rPr>
          <w:rFonts w:eastAsia="Times New Roman"/>
          <w:color w:val="000000"/>
          <w:sz w:val="20"/>
          <w:szCs w:val="20"/>
        </w:rPr>
        <w:t xml:space="preserve"> purchases raw materials used in FT218 from a limited number of suppliers, including a single supplier for certain key ingredients.</w:t>
      </w:r>
    </w:p>
    <w:p w14:paraId="5EF2A732" w14:textId="77777777" w:rsidR="00000000" w:rsidRDefault="000C49AD">
      <w:pPr>
        <w:divId w:val="686178653"/>
        <w:rPr>
          <w:rFonts w:eastAsia="Times New Roman"/>
        </w:rPr>
      </w:pPr>
    </w:p>
    <w:p w14:paraId="1E04FF56" w14:textId="77777777" w:rsidR="00000000" w:rsidRDefault="000C49AD">
      <w:pPr>
        <w:jc w:val="both"/>
        <w:divId w:val="375742481"/>
        <w:rPr>
          <w:rFonts w:eastAsia="Times New Roman"/>
        </w:rPr>
      </w:pPr>
      <w:r>
        <w:rPr>
          <w:rFonts w:eastAsia="Times New Roman"/>
          <w:color w:val="000000"/>
          <w:sz w:val="20"/>
          <w:szCs w:val="20"/>
        </w:rPr>
        <w:t>Non-monetary long-lived assets primarily consist of property and equipment, goodwill, intangible assets and operating righ</w:t>
      </w:r>
      <w:r>
        <w:rPr>
          <w:rFonts w:eastAsia="Times New Roman"/>
          <w:color w:val="000000"/>
          <w:sz w:val="20"/>
          <w:szCs w:val="20"/>
        </w:rPr>
        <w:t>t-of use-assets. The following table summarizes non-monetary long-lived assets by geographic region as of December 31, 2021, 2020, and 2019:</w:t>
      </w:r>
    </w:p>
    <w:tbl>
      <w:tblPr>
        <w:tblW w:w="4978" w:type="pct"/>
        <w:tblCellMar>
          <w:top w:w="15" w:type="dxa"/>
          <w:left w:w="15" w:type="dxa"/>
          <w:bottom w:w="15" w:type="dxa"/>
          <w:right w:w="15" w:type="dxa"/>
        </w:tblCellMar>
        <w:tblLook w:val="04A0" w:firstRow="1" w:lastRow="0" w:firstColumn="1" w:lastColumn="0" w:noHBand="0" w:noVBand="1"/>
      </w:tblPr>
      <w:tblGrid>
        <w:gridCol w:w="37"/>
        <w:gridCol w:w="3981"/>
        <w:gridCol w:w="36"/>
        <w:gridCol w:w="36"/>
        <w:gridCol w:w="36"/>
        <w:gridCol w:w="36"/>
        <w:gridCol w:w="110"/>
        <w:gridCol w:w="1151"/>
        <w:gridCol w:w="36"/>
        <w:gridCol w:w="36"/>
        <w:gridCol w:w="36"/>
        <w:gridCol w:w="36"/>
        <w:gridCol w:w="110"/>
        <w:gridCol w:w="1151"/>
        <w:gridCol w:w="36"/>
        <w:gridCol w:w="36"/>
        <w:gridCol w:w="36"/>
        <w:gridCol w:w="36"/>
        <w:gridCol w:w="110"/>
        <w:gridCol w:w="1151"/>
        <w:gridCol w:w="36"/>
      </w:tblGrid>
      <w:tr w:rsidR="00000000" w14:paraId="0C22A450" w14:textId="77777777">
        <w:trPr>
          <w:divId w:val="1429275642"/>
        </w:trPr>
        <w:tc>
          <w:tcPr>
            <w:tcW w:w="50" w:type="pct"/>
            <w:vAlign w:val="center"/>
            <w:hideMark/>
          </w:tcPr>
          <w:p w14:paraId="40C4355F" w14:textId="77777777" w:rsidR="00000000" w:rsidRDefault="000C49AD">
            <w:pPr>
              <w:jc w:val="both"/>
              <w:rPr>
                <w:rFonts w:eastAsia="Times New Roman"/>
              </w:rPr>
            </w:pPr>
          </w:p>
        </w:tc>
        <w:tc>
          <w:tcPr>
            <w:tcW w:w="2433" w:type="pct"/>
            <w:vAlign w:val="center"/>
            <w:hideMark/>
          </w:tcPr>
          <w:p w14:paraId="42406104" w14:textId="77777777" w:rsidR="00000000" w:rsidRDefault="000C49AD">
            <w:pPr>
              <w:spacing w:after="100"/>
              <w:rPr>
                <w:rFonts w:eastAsia="Times New Roman"/>
                <w:sz w:val="20"/>
                <w:szCs w:val="20"/>
              </w:rPr>
            </w:pPr>
          </w:p>
        </w:tc>
        <w:tc>
          <w:tcPr>
            <w:tcW w:w="5" w:type="pct"/>
            <w:vAlign w:val="center"/>
            <w:hideMark/>
          </w:tcPr>
          <w:p w14:paraId="3AD6B8AF" w14:textId="77777777" w:rsidR="00000000" w:rsidRDefault="000C49AD">
            <w:pPr>
              <w:spacing w:after="100"/>
              <w:rPr>
                <w:rFonts w:eastAsia="Times New Roman"/>
                <w:sz w:val="20"/>
                <w:szCs w:val="20"/>
              </w:rPr>
            </w:pPr>
          </w:p>
        </w:tc>
        <w:tc>
          <w:tcPr>
            <w:tcW w:w="5" w:type="pct"/>
            <w:vAlign w:val="center"/>
            <w:hideMark/>
          </w:tcPr>
          <w:p w14:paraId="5A77F06F" w14:textId="77777777" w:rsidR="00000000" w:rsidRDefault="000C49AD">
            <w:pPr>
              <w:spacing w:after="100"/>
              <w:rPr>
                <w:rFonts w:eastAsia="Times New Roman"/>
                <w:sz w:val="20"/>
                <w:szCs w:val="20"/>
              </w:rPr>
            </w:pPr>
          </w:p>
        </w:tc>
        <w:tc>
          <w:tcPr>
            <w:tcW w:w="26" w:type="pct"/>
            <w:vAlign w:val="center"/>
            <w:hideMark/>
          </w:tcPr>
          <w:p w14:paraId="464FAA84" w14:textId="77777777" w:rsidR="00000000" w:rsidRDefault="000C49AD">
            <w:pPr>
              <w:spacing w:after="100"/>
              <w:rPr>
                <w:rFonts w:eastAsia="Times New Roman"/>
                <w:sz w:val="20"/>
                <w:szCs w:val="20"/>
              </w:rPr>
            </w:pPr>
          </w:p>
        </w:tc>
        <w:tc>
          <w:tcPr>
            <w:tcW w:w="5" w:type="pct"/>
            <w:vAlign w:val="center"/>
            <w:hideMark/>
          </w:tcPr>
          <w:p w14:paraId="794D5BC6" w14:textId="77777777" w:rsidR="00000000" w:rsidRDefault="000C49AD">
            <w:pPr>
              <w:spacing w:after="100"/>
              <w:rPr>
                <w:rFonts w:eastAsia="Times New Roman"/>
                <w:sz w:val="20"/>
                <w:szCs w:val="20"/>
              </w:rPr>
            </w:pPr>
          </w:p>
        </w:tc>
        <w:tc>
          <w:tcPr>
            <w:tcW w:w="50" w:type="pct"/>
            <w:vAlign w:val="center"/>
            <w:hideMark/>
          </w:tcPr>
          <w:p w14:paraId="27C6A242" w14:textId="77777777" w:rsidR="00000000" w:rsidRDefault="000C49AD">
            <w:pPr>
              <w:spacing w:after="100"/>
              <w:rPr>
                <w:rFonts w:eastAsia="Times New Roman"/>
                <w:sz w:val="20"/>
                <w:szCs w:val="20"/>
              </w:rPr>
            </w:pPr>
          </w:p>
        </w:tc>
        <w:tc>
          <w:tcPr>
            <w:tcW w:w="745" w:type="pct"/>
            <w:vAlign w:val="center"/>
            <w:hideMark/>
          </w:tcPr>
          <w:p w14:paraId="0A4B840A" w14:textId="77777777" w:rsidR="00000000" w:rsidRDefault="000C49AD">
            <w:pPr>
              <w:spacing w:after="100"/>
              <w:rPr>
                <w:rFonts w:eastAsia="Times New Roman"/>
                <w:sz w:val="20"/>
                <w:szCs w:val="20"/>
              </w:rPr>
            </w:pPr>
          </w:p>
        </w:tc>
        <w:tc>
          <w:tcPr>
            <w:tcW w:w="5" w:type="pct"/>
            <w:vAlign w:val="center"/>
            <w:hideMark/>
          </w:tcPr>
          <w:p w14:paraId="0E1520BE" w14:textId="77777777" w:rsidR="00000000" w:rsidRDefault="000C49AD">
            <w:pPr>
              <w:spacing w:after="100"/>
              <w:rPr>
                <w:rFonts w:eastAsia="Times New Roman"/>
                <w:sz w:val="20"/>
                <w:szCs w:val="20"/>
              </w:rPr>
            </w:pPr>
          </w:p>
        </w:tc>
        <w:tc>
          <w:tcPr>
            <w:tcW w:w="5" w:type="pct"/>
            <w:vAlign w:val="center"/>
            <w:hideMark/>
          </w:tcPr>
          <w:p w14:paraId="5B95D9D6" w14:textId="77777777" w:rsidR="00000000" w:rsidRDefault="000C49AD">
            <w:pPr>
              <w:spacing w:after="100"/>
              <w:rPr>
                <w:rFonts w:eastAsia="Times New Roman"/>
                <w:sz w:val="20"/>
                <w:szCs w:val="20"/>
              </w:rPr>
            </w:pPr>
          </w:p>
        </w:tc>
        <w:tc>
          <w:tcPr>
            <w:tcW w:w="26" w:type="pct"/>
            <w:vAlign w:val="center"/>
            <w:hideMark/>
          </w:tcPr>
          <w:p w14:paraId="1ED2C527" w14:textId="77777777" w:rsidR="00000000" w:rsidRDefault="000C49AD">
            <w:pPr>
              <w:spacing w:after="100"/>
              <w:rPr>
                <w:rFonts w:eastAsia="Times New Roman"/>
                <w:sz w:val="20"/>
                <w:szCs w:val="20"/>
              </w:rPr>
            </w:pPr>
          </w:p>
        </w:tc>
        <w:tc>
          <w:tcPr>
            <w:tcW w:w="5" w:type="pct"/>
            <w:vAlign w:val="center"/>
            <w:hideMark/>
          </w:tcPr>
          <w:p w14:paraId="16E23DEA" w14:textId="77777777" w:rsidR="00000000" w:rsidRDefault="000C49AD">
            <w:pPr>
              <w:spacing w:after="100"/>
              <w:rPr>
                <w:rFonts w:eastAsia="Times New Roman"/>
                <w:sz w:val="20"/>
                <w:szCs w:val="20"/>
              </w:rPr>
            </w:pPr>
          </w:p>
        </w:tc>
        <w:tc>
          <w:tcPr>
            <w:tcW w:w="50" w:type="pct"/>
            <w:vAlign w:val="center"/>
            <w:hideMark/>
          </w:tcPr>
          <w:p w14:paraId="006DFE32" w14:textId="77777777" w:rsidR="00000000" w:rsidRDefault="000C49AD">
            <w:pPr>
              <w:spacing w:after="100"/>
              <w:rPr>
                <w:rFonts w:eastAsia="Times New Roman"/>
                <w:sz w:val="20"/>
                <w:szCs w:val="20"/>
              </w:rPr>
            </w:pPr>
          </w:p>
        </w:tc>
        <w:tc>
          <w:tcPr>
            <w:tcW w:w="745" w:type="pct"/>
            <w:vAlign w:val="center"/>
            <w:hideMark/>
          </w:tcPr>
          <w:p w14:paraId="16BD82E2" w14:textId="77777777" w:rsidR="00000000" w:rsidRDefault="000C49AD">
            <w:pPr>
              <w:spacing w:after="100"/>
              <w:rPr>
                <w:rFonts w:eastAsia="Times New Roman"/>
                <w:sz w:val="20"/>
                <w:szCs w:val="20"/>
              </w:rPr>
            </w:pPr>
          </w:p>
        </w:tc>
        <w:tc>
          <w:tcPr>
            <w:tcW w:w="5" w:type="pct"/>
            <w:vAlign w:val="center"/>
            <w:hideMark/>
          </w:tcPr>
          <w:p w14:paraId="7F52CCD9" w14:textId="77777777" w:rsidR="00000000" w:rsidRDefault="000C49AD">
            <w:pPr>
              <w:spacing w:after="100"/>
              <w:rPr>
                <w:rFonts w:eastAsia="Times New Roman"/>
                <w:sz w:val="20"/>
                <w:szCs w:val="20"/>
              </w:rPr>
            </w:pPr>
          </w:p>
        </w:tc>
        <w:tc>
          <w:tcPr>
            <w:tcW w:w="5" w:type="pct"/>
            <w:vAlign w:val="center"/>
            <w:hideMark/>
          </w:tcPr>
          <w:p w14:paraId="2689A7BE" w14:textId="77777777" w:rsidR="00000000" w:rsidRDefault="000C49AD">
            <w:pPr>
              <w:spacing w:after="100"/>
              <w:rPr>
                <w:rFonts w:eastAsia="Times New Roman"/>
                <w:sz w:val="20"/>
                <w:szCs w:val="20"/>
              </w:rPr>
            </w:pPr>
          </w:p>
        </w:tc>
        <w:tc>
          <w:tcPr>
            <w:tcW w:w="26" w:type="pct"/>
            <w:vAlign w:val="center"/>
            <w:hideMark/>
          </w:tcPr>
          <w:p w14:paraId="09F4EC7C" w14:textId="77777777" w:rsidR="00000000" w:rsidRDefault="000C49AD">
            <w:pPr>
              <w:spacing w:after="100"/>
              <w:rPr>
                <w:rFonts w:eastAsia="Times New Roman"/>
                <w:sz w:val="20"/>
                <w:szCs w:val="20"/>
              </w:rPr>
            </w:pPr>
          </w:p>
        </w:tc>
        <w:tc>
          <w:tcPr>
            <w:tcW w:w="5" w:type="pct"/>
            <w:vAlign w:val="center"/>
            <w:hideMark/>
          </w:tcPr>
          <w:p w14:paraId="1420F6F7" w14:textId="77777777" w:rsidR="00000000" w:rsidRDefault="000C49AD">
            <w:pPr>
              <w:spacing w:after="100"/>
              <w:rPr>
                <w:rFonts w:eastAsia="Times New Roman"/>
                <w:sz w:val="20"/>
                <w:szCs w:val="20"/>
              </w:rPr>
            </w:pPr>
          </w:p>
        </w:tc>
        <w:tc>
          <w:tcPr>
            <w:tcW w:w="50" w:type="pct"/>
            <w:vAlign w:val="center"/>
            <w:hideMark/>
          </w:tcPr>
          <w:p w14:paraId="4FAF11C2" w14:textId="77777777" w:rsidR="00000000" w:rsidRDefault="000C49AD">
            <w:pPr>
              <w:spacing w:after="100"/>
              <w:rPr>
                <w:rFonts w:eastAsia="Times New Roman"/>
                <w:sz w:val="20"/>
                <w:szCs w:val="20"/>
              </w:rPr>
            </w:pPr>
          </w:p>
        </w:tc>
        <w:tc>
          <w:tcPr>
            <w:tcW w:w="745" w:type="pct"/>
            <w:vAlign w:val="center"/>
            <w:hideMark/>
          </w:tcPr>
          <w:p w14:paraId="0A4929E1" w14:textId="77777777" w:rsidR="00000000" w:rsidRDefault="000C49AD">
            <w:pPr>
              <w:spacing w:after="100"/>
              <w:rPr>
                <w:rFonts w:eastAsia="Times New Roman"/>
                <w:sz w:val="20"/>
                <w:szCs w:val="20"/>
              </w:rPr>
            </w:pPr>
          </w:p>
        </w:tc>
        <w:tc>
          <w:tcPr>
            <w:tcW w:w="5" w:type="pct"/>
            <w:vAlign w:val="center"/>
            <w:hideMark/>
          </w:tcPr>
          <w:p w14:paraId="33D84D85" w14:textId="77777777" w:rsidR="00000000" w:rsidRDefault="000C49AD">
            <w:pPr>
              <w:spacing w:after="100"/>
              <w:rPr>
                <w:rFonts w:eastAsia="Times New Roman"/>
                <w:sz w:val="20"/>
                <w:szCs w:val="20"/>
              </w:rPr>
            </w:pPr>
          </w:p>
        </w:tc>
      </w:tr>
      <w:tr w:rsidR="00000000" w14:paraId="3E12666B" w14:textId="77777777">
        <w:trPr>
          <w:divId w:val="1429275642"/>
        </w:trPr>
        <w:tc>
          <w:tcPr>
            <w:tcW w:w="0" w:type="auto"/>
            <w:gridSpan w:val="3"/>
            <w:tcMar>
              <w:top w:w="30" w:type="dxa"/>
              <w:left w:w="20" w:type="dxa"/>
              <w:bottom w:w="30" w:type="dxa"/>
              <w:right w:w="20" w:type="dxa"/>
            </w:tcMar>
            <w:vAlign w:val="bottom"/>
            <w:hideMark/>
          </w:tcPr>
          <w:p w14:paraId="28063EFF" w14:textId="77777777" w:rsidR="00000000" w:rsidRDefault="000C49AD">
            <w:pPr>
              <w:spacing w:after="100"/>
              <w:rPr>
                <w:rFonts w:eastAsia="Times New Roman"/>
              </w:rPr>
            </w:pPr>
            <w:r>
              <w:rPr>
                <w:rFonts w:eastAsia="Times New Roman"/>
                <w:b/>
                <w:bCs/>
                <w:color w:val="000000"/>
                <w:sz w:val="18"/>
                <w:szCs w:val="18"/>
              </w:rPr>
              <w:t xml:space="preserve">Long-lived Assets by Geographic Region: </w:t>
            </w:r>
          </w:p>
        </w:tc>
        <w:tc>
          <w:tcPr>
            <w:tcW w:w="0" w:type="auto"/>
            <w:gridSpan w:val="3"/>
            <w:tcMar>
              <w:top w:w="0" w:type="dxa"/>
              <w:left w:w="20" w:type="dxa"/>
              <w:bottom w:w="0" w:type="dxa"/>
              <w:right w:w="20" w:type="dxa"/>
            </w:tcMar>
            <w:vAlign w:val="center"/>
            <w:hideMark/>
          </w:tcPr>
          <w:p w14:paraId="12AB7D61"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57F5A351" w14:textId="77777777" w:rsidR="00000000" w:rsidRDefault="000C49AD">
            <w:pPr>
              <w:spacing w:after="100"/>
              <w:jc w:val="center"/>
              <w:rPr>
                <w:rFonts w:eastAsia="Times New Roman"/>
              </w:rPr>
            </w:pPr>
            <w:r>
              <w:rPr>
                <w:rFonts w:eastAsia="Times New Roman"/>
                <w:b/>
                <w:bCs/>
                <w:color w:val="000000"/>
                <w:sz w:val="18"/>
                <w:szCs w:val="18"/>
              </w:rPr>
              <w:t>2021</w:t>
            </w:r>
          </w:p>
        </w:tc>
        <w:tc>
          <w:tcPr>
            <w:tcW w:w="0" w:type="auto"/>
            <w:gridSpan w:val="3"/>
            <w:tcMar>
              <w:top w:w="0" w:type="dxa"/>
              <w:left w:w="20" w:type="dxa"/>
              <w:bottom w:w="0" w:type="dxa"/>
              <w:right w:w="20" w:type="dxa"/>
            </w:tcMar>
            <w:vAlign w:val="center"/>
            <w:hideMark/>
          </w:tcPr>
          <w:p w14:paraId="0587334B"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C7880F" w14:textId="77777777" w:rsidR="00000000" w:rsidRDefault="000C49AD">
            <w:pPr>
              <w:spacing w:after="100"/>
              <w:jc w:val="center"/>
              <w:rPr>
                <w:rFonts w:eastAsia="Times New Roman"/>
              </w:rPr>
            </w:pPr>
            <w:r>
              <w:rPr>
                <w:rFonts w:eastAsia="Times New Roman"/>
                <w:b/>
                <w:bCs/>
                <w:color w:val="000000"/>
                <w:sz w:val="18"/>
                <w:szCs w:val="18"/>
              </w:rPr>
              <w:t>2020</w:t>
            </w:r>
          </w:p>
        </w:tc>
        <w:tc>
          <w:tcPr>
            <w:tcW w:w="0" w:type="auto"/>
            <w:gridSpan w:val="3"/>
            <w:tcMar>
              <w:top w:w="0" w:type="dxa"/>
              <w:left w:w="20" w:type="dxa"/>
              <w:bottom w:w="0" w:type="dxa"/>
              <w:right w:w="20" w:type="dxa"/>
            </w:tcMar>
            <w:vAlign w:val="center"/>
            <w:hideMark/>
          </w:tcPr>
          <w:p w14:paraId="37BB69B0"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BD24E4B" w14:textId="77777777" w:rsidR="00000000" w:rsidRDefault="000C49AD">
            <w:pPr>
              <w:spacing w:after="100"/>
              <w:jc w:val="center"/>
              <w:rPr>
                <w:rFonts w:eastAsia="Times New Roman"/>
              </w:rPr>
            </w:pPr>
            <w:r>
              <w:rPr>
                <w:rFonts w:eastAsia="Times New Roman"/>
                <w:b/>
                <w:bCs/>
                <w:color w:val="000000"/>
                <w:sz w:val="18"/>
                <w:szCs w:val="18"/>
              </w:rPr>
              <w:t>2019</w:t>
            </w:r>
          </w:p>
        </w:tc>
      </w:tr>
      <w:tr w:rsidR="00000000" w14:paraId="22060B41" w14:textId="77777777">
        <w:trPr>
          <w:divId w:val="1429275642"/>
          <w:trHeight w:val="60"/>
        </w:trPr>
        <w:tc>
          <w:tcPr>
            <w:tcW w:w="0" w:type="auto"/>
            <w:gridSpan w:val="3"/>
            <w:tcBorders>
              <w:top w:val="single" w:sz="8" w:space="0" w:color="000000"/>
            </w:tcBorders>
            <w:tcMar>
              <w:top w:w="0" w:type="dxa"/>
              <w:left w:w="20" w:type="dxa"/>
              <w:bottom w:w="0" w:type="dxa"/>
              <w:right w:w="20" w:type="dxa"/>
            </w:tcMar>
            <w:vAlign w:val="center"/>
            <w:hideMark/>
          </w:tcPr>
          <w:p w14:paraId="62EFE22C"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7C4A0E1"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D5CAAF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1857D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EDD7B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78C1A6"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9A9CC0F" w14:textId="77777777" w:rsidR="00000000" w:rsidRDefault="000C49AD">
            <w:pPr>
              <w:spacing w:after="100"/>
              <w:rPr>
                <w:rFonts w:eastAsia="Times New Roman"/>
                <w:sz w:val="20"/>
                <w:szCs w:val="20"/>
              </w:rPr>
            </w:pPr>
          </w:p>
        </w:tc>
      </w:tr>
      <w:tr w:rsidR="00000000" w14:paraId="057BD494" w14:textId="77777777">
        <w:trPr>
          <w:divId w:val="1429275642"/>
        </w:trPr>
        <w:tc>
          <w:tcPr>
            <w:tcW w:w="0" w:type="auto"/>
            <w:gridSpan w:val="3"/>
            <w:shd w:val="clear" w:color="auto" w:fill="CCEEFF"/>
            <w:tcMar>
              <w:top w:w="30" w:type="dxa"/>
              <w:left w:w="155" w:type="dxa"/>
              <w:bottom w:w="30" w:type="dxa"/>
              <w:right w:w="20" w:type="dxa"/>
            </w:tcMar>
            <w:vAlign w:val="bottom"/>
            <w:hideMark/>
          </w:tcPr>
          <w:p w14:paraId="5CEA921B" w14:textId="77777777" w:rsidR="00000000" w:rsidRDefault="000C49AD">
            <w:pPr>
              <w:spacing w:after="100"/>
              <w:rPr>
                <w:rFonts w:eastAsia="Times New Roman"/>
              </w:rPr>
            </w:pPr>
            <w:r>
              <w:rPr>
                <w:rFonts w:eastAsia="Times New Roman"/>
                <w:color w:val="000000"/>
                <w:sz w:val="18"/>
                <w:szCs w:val="18"/>
              </w:rPr>
              <w:t>U.S.</w:t>
            </w:r>
          </w:p>
        </w:tc>
        <w:tc>
          <w:tcPr>
            <w:tcW w:w="0" w:type="auto"/>
            <w:gridSpan w:val="3"/>
            <w:shd w:val="clear" w:color="auto" w:fill="CCEEFF"/>
            <w:tcMar>
              <w:top w:w="0" w:type="dxa"/>
              <w:left w:w="20" w:type="dxa"/>
              <w:bottom w:w="0" w:type="dxa"/>
              <w:right w:w="20" w:type="dxa"/>
            </w:tcMar>
            <w:vAlign w:val="center"/>
            <w:hideMark/>
          </w:tcPr>
          <w:p w14:paraId="2DF3F951"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03B0544C"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E9EA01C" w14:textId="77777777" w:rsidR="00000000" w:rsidRDefault="000C49AD">
            <w:pPr>
              <w:spacing w:after="100"/>
              <w:jc w:val="right"/>
              <w:rPr>
                <w:rFonts w:eastAsia="Times New Roman"/>
              </w:rPr>
            </w:pPr>
            <w:r>
              <w:rPr>
                <w:rFonts w:eastAsia="Times New Roman"/>
                <w:color w:val="000000"/>
                <w:sz w:val="18"/>
                <w:szCs w:val="18"/>
              </w:rPr>
              <w:t>19,605 </w:t>
            </w:r>
          </w:p>
        </w:tc>
        <w:tc>
          <w:tcPr>
            <w:tcW w:w="0" w:type="auto"/>
            <w:shd w:val="clear" w:color="auto" w:fill="CCEEFF"/>
            <w:tcMar>
              <w:top w:w="30" w:type="dxa"/>
              <w:left w:w="0" w:type="dxa"/>
              <w:bottom w:w="30" w:type="dxa"/>
              <w:right w:w="20" w:type="dxa"/>
            </w:tcMar>
            <w:vAlign w:val="bottom"/>
            <w:hideMark/>
          </w:tcPr>
          <w:p w14:paraId="4671040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B345D2"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08A709E"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A0F2375" w14:textId="77777777" w:rsidR="00000000" w:rsidRDefault="000C49AD">
            <w:pPr>
              <w:spacing w:after="100"/>
              <w:jc w:val="right"/>
              <w:rPr>
                <w:rFonts w:eastAsia="Times New Roman"/>
              </w:rPr>
            </w:pPr>
            <w:r>
              <w:rPr>
                <w:rFonts w:eastAsia="Times New Roman"/>
                <w:color w:val="000000"/>
                <w:sz w:val="18"/>
                <w:szCs w:val="18"/>
              </w:rPr>
              <w:t>20,424 </w:t>
            </w:r>
          </w:p>
        </w:tc>
        <w:tc>
          <w:tcPr>
            <w:tcW w:w="0" w:type="auto"/>
            <w:shd w:val="clear" w:color="auto" w:fill="CCEEFF"/>
            <w:tcMar>
              <w:top w:w="30" w:type="dxa"/>
              <w:left w:w="0" w:type="dxa"/>
              <w:bottom w:w="30" w:type="dxa"/>
              <w:right w:w="20" w:type="dxa"/>
            </w:tcMar>
            <w:vAlign w:val="bottom"/>
            <w:hideMark/>
          </w:tcPr>
          <w:p w14:paraId="21D012FA"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74C1A2"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354244"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E3BD915" w14:textId="77777777" w:rsidR="00000000" w:rsidRDefault="000C49AD">
            <w:pPr>
              <w:spacing w:after="100"/>
              <w:jc w:val="right"/>
              <w:rPr>
                <w:rFonts w:eastAsia="Times New Roman"/>
              </w:rPr>
            </w:pPr>
            <w:r>
              <w:rPr>
                <w:rFonts w:eastAsia="Times New Roman"/>
                <w:color w:val="000000"/>
                <w:sz w:val="18"/>
                <w:szCs w:val="18"/>
              </w:rPr>
              <w:t>22,254 </w:t>
            </w:r>
          </w:p>
        </w:tc>
        <w:tc>
          <w:tcPr>
            <w:tcW w:w="0" w:type="auto"/>
            <w:shd w:val="clear" w:color="auto" w:fill="CCEEFF"/>
            <w:tcMar>
              <w:top w:w="30" w:type="dxa"/>
              <w:left w:w="0" w:type="dxa"/>
              <w:bottom w:w="30" w:type="dxa"/>
              <w:right w:w="20" w:type="dxa"/>
            </w:tcMar>
            <w:vAlign w:val="bottom"/>
            <w:hideMark/>
          </w:tcPr>
          <w:p w14:paraId="5903E52D" w14:textId="77777777" w:rsidR="00000000" w:rsidRDefault="000C49AD">
            <w:pPr>
              <w:spacing w:after="100"/>
              <w:jc w:val="right"/>
              <w:rPr>
                <w:rFonts w:eastAsia="Times New Roman"/>
              </w:rPr>
            </w:pPr>
          </w:p>
        </w:tc>
      </w:tr>
      <w:tr w:rsidR="00000000" w14:paraId="7D05A54F" w14:textId="77777777">
        <w:trPr>
          <w:divId w:val="1429275642"/>
        </w:trPr>
        <w:tc>
          <w:tcPr>
            <w:tcW w:w="0" w:type="auto"/>
            <w:gridSpan w:val="3"/>
            <w:shd w:val="clear" w:color="auto" w:fill="FFFFFF"/>
            <w:tcMar>
              <w:top w:w="30" w:type="dxa"/>
              <w:left w:w="155" w:type="dxa"/>
              <w:bottom w:w="30" w:type="dxa"/>
              <w:right w:w="20" w:type="dxa"/>
            </w:tcMar>
            <w:vAlign w:val="bottom"/>
            <w:hideMark/>
          </w:tcPr>
          <w:p w14:paraId="7A96F473" w14:textId="77777777" w:rsidR="00000000" w:rsidRDefault="000C49AD">
            <w:pPr>
              <w:spacing w:after="100"/>
              <w:rPr>
                <w:rFonts w:eastAsia="Times New Roman"/>
              </w:rPr>
            </w:pPr>
            <w:r>
              <w:rPr>
                <w:rFonts w:eastAsia="Times New Roman"/>
                <w:color w:val="000000"/>
                <w:sz w:val="18"/>
                <w:szCs w:val="18"/>
              </w:rPr>
              <w:t>France</w:t>
            </w:r>
          </w:p>
        </w:tc>
        <w:tc>
          <w:tcPr>
            <w:tcW w:w="0" w:type="auto"/>
            <w:gridSpan w:val="3"/>
            <w:shd w:val="clear" w:color="auto" w:fill="FFFFFF"/>
            <w:tcMar>
              <w:top w:w="0" w:type="dxa"/>
              <w:left w:w="20" w:type="dxa"/>
              <w:bottom w:w="0" w:type="dxa"/>
              <w:right w:w="20" w:type="dxa"/>
            </w:tcMar>
            <w:vAlign w:val="center"/>
            <w:hideMark/>
          </w:tcPr>
          <w:p w14:paraId="0C2CD2F2" w14:textId="77777777" w:rsidR="00000000" w:rsidRDefault="000C49AD">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A5486F"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15D89ED9"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529A1D"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EF159D" w14:textId="77777777" w:rsidR="00000000" w:rsidRDefault="000C49AD">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14:paraId="601D0206"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37FCA" w14:textId="77777777" w:rsidR="00000000" w:rsidRDefault="000C49AD">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AA3987" w14:textId="77777777" w:rsidR="00000000" w:rsidRDefault="000C49AD">
            <w:pPr>
              <w:spacing w:after="100"/>
              <w:jc w:val="right"/>
              <w:rPr>
                <w:rFonts w:eastAsia="Times New Roman"/>
              </w:rPr>
            </w:pPr>
            <w:r>
              <w:rPr>
                <w:rFonts w:eastAsia="Times New Roman"/>
                <w:color w:val="000000"/>
                <w:sz w:val="18"/>
                <w:szCs w:val="18"/>
              </w:rPr>
              <w:t>196 </w:t>
            </w:r>
          </w:p>
        </w:tc>
        <w:tc>
          <w:tcPr>
            <w:tcW w:w="0" w:type="auto"/>
            <w:shd w:val="clear" w:color="auto" w:fill="FFFFFF"/>
            <w:tcMar>
              <w:top w:w="30" w:type="dxa"/>
              <w:left w:w="0" w:type="dxa"/>
              <w:bottom w:w="30" w:type="dxa"/>
              <w:right w:w="20" w:type="dxa"/>
            </w:tcMar>
            <w:vAlign w:val="bottom"/>
            <w:hideMark/>
          </w:tcPr>
          <w:p w14:paraId="726DE561" w14:textId="77777777" w:rsidR="00000000" w:rsidRDefault="000C49AD">
            <w:pPr>
              <w:spacing w:after="100"/>
              <w:jc w:val="right"/>
              <w:rPr>
                <w:rFonts w:eastAsia="Times New Roman"/>
              </w:rPr>
            </w:pPr>
          </w:p>
        </w:tc>
      </w:tr>
      <w:tr w:rsidR="00000000" w14:paraId="4A0D2AB2" w14:textId="77777777">
        <w:trPr>
          <w:divId w:val="1429275642"/>
        </w:trPr>
        <w:tc>
          <w:tcPr>
            <w:tcW w:w="0" w:type="auto"/>
            <w:gridSpan w:val="3"/>
            <w:shd w:val="clear" w:color="auto" w:fill="CCEEFF"/>
            <w:tcMar>
              <w:top w:w="30" w:type="dxa"/>
              <w:left w:w="155" w:type="dxa"/>
              <w:bottom w:w="30" w:type="dxa"/>
              <w:right w:w="20" w:type="dxa"/>
            </w:tcMar>
            <w:vAlign w:val="bottom"/>
            <w:hideMark/>
          </w:tcPr>
          <w:p w14:paraId="5CA3B744" w14:textId="77777777" w:rsidR="00000000" w:rsidRDefault="000C49AD">
            <w:pPr>
              <w:spacing w:after="100"/>
              <w:rPr>
                <w:rFonts w:eastAsia="Times New Roman"/>
              </w:rPr>
            </w:pPr>
            <w:r>
              <w:rPr>
                <w:rFonts w:eastAsia="Times New Roman"/>
                <w:color w:val="000000"/>
                <w:sz w:val="18"/>
                <w:szCs w:val="18"/>
              </w:rPr>
              <w:t>Ireland</w:t>
            </w:r>
          </w:p>
        </w:tc>
        <w:tc>
          <w:tcPr>
            <w:tcW w:w="0" w:type="auto"/>
            <w:gridSpan w:val="3"/>
            <w:shd w:val="clear" w:color="auto" w:fill="CCEEFF"/>
            <w:tcMar>
              <w:top w:w="0" w:type="dxa"/>
              <w:left w:w="20" w:type="dxa"/>
              <w:bottom w:w="0" w:type="dxa"/>
              <w:right w:w="20" w:type="dxa"/>
            </w:tcMar>
            <w:vAlign w:val="center"/>
            <w:hideMark/>
          </w:tcPr>
          <w:p w14:paraId="0FBA9761" w14:textId="77777777" w:rsidR="00000000" w:rsidRDefault="000C49AD">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4E1864" w14:textId="77777777" w:rsidR="00000000" w:rsidRDefault="000C49AD">
            <w:pPr>
              <w:spacing w:after="100"/>
              <w:jc w:val="right"/>
              <w:rPr>
                <w:rFonts w:eastAsia="Times New Roman"/>
              </w:rPr>
            </w:pPr>
            <w:r>
              <w:rPr>
                <w:rFonts w:eastAsia="Times New Roman"/>
                <w:color w:val="000000"/>
                <w:sz w:val="18"/>
                <w:szCs w:val="18"/>
              </w:rPr>
              <w:t>9,817 </w:t>
            </w:r>
          </w:p>
        </w:tc>
        <w:tc>
          <w:tcPr>
            <w:tcW w:w="0" w:type="auto"/>
            <w:shd w:val="clear" w:color="auto" w:fill="CCEEFF"/>
            <w:tcMar>
              <w:top w:w="30" w:type="dxa"/>
              <w:left w:w="0" w:type="dxa"/>
              <w:bottom w:w="30" w:type="dxa"/>
              <w:right w:w="20" w:type="dxa"/>
            </w:tcMar>
            <w:vAlign w:val="bottom"/>
            <w:hideMark/>
          </w:tcPr>
          <w:p w14:paraId="430A77F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A9FF9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E7C00" w14:textId="77777777" w:rsidR="00000000" w:rsidRDefault="000C49AD">
            <w:pPr>
              <w:spacing w:after="100"/>
              <w:jc w:val="right"/>
              <w:rPr>
                <w:rFonts w:eastAsia="Times New Roman"/>
              </w:rPr>
            </w:pPr>
            <w:r>
              <w:rPr>
                <w:rFonts w:eastAsia="Times New Roman"/>
                <w:color w:val="000000"/>
                <w:sz w:val="18"/>
                <w:szCs w:val="18"/>
              </w:rPr>
              <w:t>6,047 </w:t>
            </w:r>
          </w:p>
        </w:tc>
        <w:tc>
          <w:tcPr>
            <w:tcW w:w="0" w:type="auto"/>
            <w:shd w:val="clear" w:color="auto" w:fill="CCEEFF"/>
            <w:tcMar>
              <w:top w:w="30" w:type="dxa"/>
              <w:left w:w="0" w:type="dxa"/>
              <w:bottom w:w="30" w:type="dxa"/>
              <w:right w:w="20" w:type="dxa"/>
            </w:tcMar>
            <w:vAlign w:val="bottom"/>
            <w:hideMark/>
          </w:tcPr>
          <w:p w14:paraId="45A7DE6C"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0CA794" w14:textId="77777777" w:rsidR="00000000" w:rsidRDefault="000C49AD">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85CA83" w14:textId="77777777" w:rsidR="00000000" w:rsidRDefault="000C49AD">
            <w:pPr>
              <w:spacing w:after="100"/>
              <w:jc w:val="right"/>
              <w:rPr>
                <w:rFonts w:eastAsia="Times New Roman"/>
              </w:rPr>
            </w:pPr>
            <w:r>
              <w:rPr>
                <w:rFonts w:eastAsia="Times New Roman"/>
                <w:color w:val="000000"/>
                <w:sz w:val="18"/>
                <w:szCs w:val="18"/>
              </w:rPr>
              <w:t>7,244 </w:t>
            </w:r>
          </w:p>
        </w:tc>
        <w:tc>
          <w:tcPr>
            <w:tcW w:w="0" w:type="auto"/>
            <w:shd w:val="clear" w:color="auto" w:fill="CCEEFF"/>
            <w:tcMar>
              <w:top w:w="30" w:type="dxa"/>
              <w:left w:w="0" w:type="dxa"/>
              <w:bottom w:w="30" w:type="dxa"/>
              <w:right w:w="20" w:type="dxa"/>
            </w:tcMar>
            <w:vAlign w:val="bottom"/>
            <w:hideMark/>
          </w:tcPr>
          <w:p w14:paraId="1BB6ACBA" w14:textId="77777777" w:rsidR="00000000" w:rsidRDefault="000C49AD">
            <w:pPr>
              <w:spacing w:after="100"/>
              <w:jc w:val="right"/>
              <w:rPr>
                <w:rFonts w:eastAsia="Times New Roman"/>
              </w:rPr>
            </w:pPr>
          </w:p>
        </w:tc>
      </w:tr>
      <w:tr w:rsidR="00000000" w14:paraId="14518A9D" w14:textId="77777777">
        <w:trPr>
          <w:divId w:val="1429275642"/>
        </w:trPr>
        <w:tc>
          <w:tcPr>
            <w:tcW w:w="0" w:type="auto"/>
            <w:gridSpan w:val="3"/>
            <w:shd w:val="clear" w:color="auto" w:fill="FFFFFF"/>
            <w:tcMar>
              <w:top w:w="30" w:type="dxa"/>
              <w:left w:w="245" w:type="dxa"/>
              <w:bottom w:w="30" w:type="dxa"/>
              <w:right w:w="20" w:type="dxa"/>
            </w:tcMar>
            <w:vAlign w:val="bottom"/>
            <w:hideMark/>
          </w:tcPr>
          <w:p w14:paraId="762BC14F" w14:textId="77777777" w:rsidR="00000000" w:rsidRDefault="000C49AD">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14:paraId="07A3DAF4" w14:textId="77777777" w:rsidR="00000000" w:rsidRDefault="000C49AD">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41381CE"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B679A65" w14:textId="77777777" w:rsidR="00000000" w:rsidRDefault="000C49AD">
            <w:pPr>
              <w:spacing w:after="100"/>
              <w:jc w:val="right"/>
              <w:rPr>
                <w:rFonts w:eastAsia="Times New Roman"/>
              </w:rPr>
            </w:pPr>
            <w:r>
              <w:rPr>
                <w:rFonts w:eastAsia="Times New Roman"/>
                <w:color w:val="000000"/>
                <w:sz w:val="18"/>
                <w:szCs w:val="18"/>
              </w:rPr>
              <w:t>29,422 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09AF760"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10D9E4"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583ECA1"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1199189" w14:textId="77777777" w:rsidR="00000000" w:rsidRDefault="000C49AD">
            <w:pPr>
              <w:spacing w:after="100"/>
              <w:jc w:val="right"/>
              <w:rPr>
                <w:rFonts w:eastAsia="Times New Roman"/>
              </w:rPr>
            </w:pPr>
            <w:r>
              <w:rPr>
                <w:rFonts w:eastAsia="Times New Roman"/>
                <w:color w:val="000000"/>
                <w:sz w:val="18"/>
                <w:szCs w:val="18"/>
              </w:rPr>
              <w:t>26,482 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F125A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3FA083" w14:textId="77777777" w:rsidR="00000000" w:rsidRDefault="000C49AD">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FD97AE" w14:textId="77777777" w:rsidR="00000000" w:rsidRDefault="000C49AD">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CB0E319" w14:textId="77777777" w:rsidR="00000000" w:rsidRDefault="000C49AD">
            <w:pPr>
              <w:spacing w:after="100"/>
              <w:jc w:val="right"/>
              <w:rPr>
                <w:rFonts w:eastAsia="Times New Roman"/>
              </w:rPr>
            </w:pPr>
            <w:r>
              <w:rPr>
                <w:rFonts w:eastAsia="Times New Roman"/>
                <w:color w:val="000000"/>
                <w:sz w:val="18"/>
                <w:szCs w:val="18"/>
              </w:rPr>
              <w:t>29,694 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9051DB5" w14:textId="77777777" w:rsidR="00000000" w:rsidRDefault="000C49AD">
            <w:pPr>
              <w:spacing w:after="100"/>
              <w:jc w:val="right"/>
              <w:rPr>
                <w:rFonts w:eastAsia="Times New Roman"/>
              </w:rPr>
            </w:pPr>
          </w:p>
        </w:tc>
      </w:tr>
    </w:tbl>
    <w:p w14:paraId="173F650E" w14:textId="77777777" w:rsidR="00000000" w:rsidRDefault="000C49AD">
      <w:pPr>
        <w:jc w:val="both"/>
        <w:rPr>
          <w:rFonts w:eastAsia="Times New Roman"/>
        </w:rPr>
      </w:pPr>
      <w:r>
        <w:rPr>
          <w:rFonts w:eastAsia="Times New Roman"/>
          <w:color w:val="000000"/>
          <w:sz w:val="20"/>
          <w:szCs w:val="20"/>
        </w:rPr>
        <w:t> </w:t>
      </w:r>
    </w:p>
    <w:p w14:paraId="76149084" w14:textId="77777777" w:rsidR="00000000" w:rsidRDefault="000C49AD">
      <w:pPr>
        <w:jc w:val="both"/>
        <w:divId w:val="74058030"/>
        <w:rPr>
          <w:rFonts w:eastAsia="Times New Roman"/>
        </w:rPr>
      </w:pPr>
      <w:r>
        <w:rPr>
          <w:rFonts w:eastAsia="Times New Roman"/>
          <w:b/>
          <w:bCs/>
          <w:color w:val="000000"/>
          <w:sz w:val="20"/>
          <w:szCs w:val="20"/>
        </w:rPr>
        <w:t>NOTE 22:</w:t>
      </w:r>
      <w:r>
        <w:rPr>
          <w:rFonts w:eastAsia="Times New Roman"/>
          <w:color w:val="000000"/>
          <w:sz w:val="20"/>
          <w:szCs w:val="20"/>
        </w:rPr>
        <w:t xml:space="preserve"> </w:t>
      </w:r>
      <w:r>
        <w:rPr>
          <w:rFonts w:eastAsia="Times New Roman"/>
          <w:b/>
          <w:bCs/>
          <w:color w:val="000000"/>
          <w:sz w:val="20"/>
          <w:szCs w:val="20"/>
        </w:rPr>
        <w:t>Related Party Transactions</w:t>
      </w:r>
    </w:p>
    <w:p w14:paraId="0DF90E45" w14:textId="77777777" w:rsidR="00000000" w:rsidRDefault="000C49AD">
      <w:pPr>
        <w:jc w:val="both"/>
        <w:divId w:val="1162889846"/>
        <w:rPr>
          <w:rFonts w:eastAsia="Times New Roman"/>
        </w:rPr>
      </w:pPr>
      <w:r>
        <w:rPr>
          <w:rFonts w:eastAsia="Times New Roman"/>
          <w:color w:val="000000"/>
          <w:sz w:val="20"/>
          <w:szCs w:val="20"/>
        </w:rPr>
        <w:t xml:space="preserve">As noted in </w:t>
      </w:r>
      <w:r>
        <w:rPr>
          <w:rFonts w:eastAsia="Times New Roman"/>
          <w:i/>
          <w:iCs/>
          <w:color w:val="000000"/>
          <w:sz w:val="20"/>
          <w:szCs w:val="20"/>
        </w:rPr>
        <w:t>Note 4: Disposition of the Hospital Pro</w:t>
      </w:r>
      <w:r>
        <w:rPr>
          <w:rFonts w:eastAsia="Times New Roman"/>
          <w:i/>
          <w:iCs/>
          <w:color w:val="000000"/>
          <w:sz w:val="20"/>
          <w:szCs w:val="20"/>
        </w:rPr>
        <w:t xml:space="preserve">ducts, </w:t>
      </w:r>
      <w:r>
        <w:rPr>
          <w:rFonts w:eastAsia="Times New Roman"/>
          <w:color w:val="000000"/>
          <w:sz w:val="20"/>
          <w:szCs w:val="20"/>
        </w:rPr>
        <w:t>prior to June 30, 2020,</w:t>
      </w:r>
      <w:r>
        <w:rPr>
          <w:rFonts w:eastAsia="Times New Roman"/>
          <w:i/>
          <w:iCs/>
          <w:color w:val="000000"/>
          <w:sz w:val="20"/>
          <w:szCs w:val="20"/>
        </w:rPr>
        <w:t xml:space="preserve"> </w:t>
      </w:r>
      <w:r>
        <w:rPr>
          <w:rFonts w:eastAsia="Times New Roman"/>
          <w:color w:val="000000"/>
          <w:sz w:val="20"/>
          <w:szCs w:val="20"/>
        </w:rPr>
        <w:t>the Company was party to a Membership Interest Purchase Agreement by and among the Company, Avadel Legacy, Breaking Stick Holdings, LLC, Deerfield Private Design International II, L.P. (“Deerfield International”), Deerfield P</w:t>
      </w:r>
      <w:r>
        <w:rPr>
          <w:rFonts w:eastAsia="Times New Roman"/>
          <w:color w:val="000000"/>
          <w:sz w:val="20"/>
          <w:szCs w:val="20"/>
        </w:rPr>
        <w:t>rivate Design Fund II, L.P. (“Deerfield Fund”) and Horizon Santé FLML, Sarl (“Horizon”) (the “Deerfield MIPA”) and a Royalty Agreement by and among the Company, Avadel Legacy, the Deerfield Fund and Horizon (the “Deerfield Royalty Agreement”). In connectio</w:t>
      </w:r>
      <w:r>
        <w:rPr>
          <w:rFonts w:eastAsia="Times New Roman"/>
          <w:color w:val="000000"/>
          <w:sz w:val="20"/>
          <w:szCs w:val="20"/>
        </w:rPr>
        <w:t>n with the closing of the sale of the Hospital Products, the Deerfield MIPA (with respect to certain sections thereof) and the Royalty Agreement were assigned to the Exela Buyer. Pursuant to the Purchase Agreement, the Exela Buyer assumed and will pay, per</w:t>
      </w:r>
      <w:r>
        <w:rPr>
          <w:rFonts w:eastAsia="Times New Roman"/>
          <w:color w:val="000000"/>
          <w:sz w:val="20"/>
          <w:szCs w:val="20"/>
        </w:rPr>
        <w:t>form, satisfy and discharge the liabilities and obligations of Avadel Legacy under the Deerfield Royalty Agreement for obligations that arise after the Closing Date.</w:t>
      </w:r>
    </w:p>
    <w:p w14:paraId="26A5195A" w14:textId="77777777" w:rsidR="00000000" w:rsidRDefault="000C49AD">
      <w:pPr>
        <w:jc w:val="both"/>
        <w:rPr>
          <w:rFonts w:eastAsia="Times New Roman"/>
        </w:rPr>
      </w:pPr>
      <w:r>
        <w:rPr>
          <w:rFonts w:eastAsia="Times New Roman"/>
          <w:color w:val="000000"/>
          <w:sz w:val="20"/>
          <w:szCs w:val="20"/>
        </w:rPr>
        <w:t>Prior to June 30, 2020, the Company was also party to a Royalty Agreement by and between i</w:t>
      </w:r>
      <w:r>
        <w:rPr>
          <w:rFonts w:eastAsia="Times New Roman"/>
          <w:color w:val="000000"/>
          <w:sz w:val="20"/>
          <w:szCs w:val="20"/>
        </w:rPr>
        <w:t>tself, Avadel Legacy and Broadfin Healthcare Master Fund, Ltd. (the “Broadfin Royalty Agreement”). In connection with the closing of the sale of the Hospital Products, the Broadfin Royalty Agreement was assigned to the Exela Buyer and the Exela Buyer assum</w:t>
      </w:r>
      <w:r>
        <w:rPr>
          <w:rFonts w:eastAsia="Times New Roman"/>
          <w:color w:val="000000"/>
          <w:sz w:val="20"/>
          <w:szCs w:val="20"/>
        </w:rPr>
        <w:t>ed and shall pay, perform, satisfy and discharge the liabilities and obligations of Avadel Legacy under the Broadfin Royalty Agreement for obligations that arise after the Closing Date.</w:t>
      </w:r>
    </w:p>
    <w:p w14:paraId="26CA5296" w14:textId="77777777" w:rsidR="00000000" w:rsidRDefault="000C49AD">
      <w:pPr>
        <w:jc w:val="both"/>
        <w:rPr>
          <w:rFonts w:eastAsia="Times New Roman"/>
        </w:rPr>
      </w:pPr>
    </w:p>
    <w:p w14:paraId="3ACF0382" w14:textId="77777777" w:rsidR="00000000" w:rsidRDefault="000C49AD">
      <w:pPr>
        <w:jc w:val="both"/>
        <w:rPr>
          <w:rFonts w:eastAsia="Times New Roman"/>
        </w:rPr>
      </w:pPr>
      <w:r>
        <w:rPr>
          <w:rFonts w:eastAsia="Times New Roman"/>
          <w:color w:val="000000"/>
          <w:sz w:val="20"/>
          <w:szCs w:val="20"/>
        </w:rPr>
        <w:t xml:space="preserve">Refer to </w:t>
      </w:r>
      <w:r>
        <w:rPr>
          <w:rFonts w:eastAsia="Times New Roman"/>
          <w:i/>
          <w:iCs/>
          <w:color w:val="000000"/>
          <w:sz w:val="20"/>
          <w:szCs w:val="20"/>
        </w:rPr>
        <w:t xml:space="preserve">Note 12: Contingent Consideration Payable </w:t>
      </w:r>
      <w:r>
        <w:rPr>
          <w:rFonts w:eastAsia="Times New Roman"/>
          <w:color w:val="000000"/>
          <w:sz w:val="20"/>
          <w:szCs w:val="20"/>
        </w:rPr>
        <w:t xml:space="preserve">for a summary of </w:t>
      </w:r>
      <w:r>
        <w:rPr>
          <w:rFonts w:eastAsia="Times New Roman"/>
          <w:color w:val="000000"/>
          <w:sz w:val="20"/>
          <w:szCs w:val="20"/>
        </w:rPr>
        <w:t>payments made for and changes to the fair value of the related party payable for the year ended December 31, 2019. Deerfield and Broadfin disposed of their 2023 Notes and ordinary shares in the Company during the year ended December 31, 2020 and are no lon</w:t>
      </w:r>
      <w:r>
        <w:rPr>
          <w:rFonts w:eastAsia="Times New Roman"/>
          <w:color w:val="000000"/>
          <w:sz w:val="20"/>
          <w:szCs w:val="20"/>
        </w:rPr>
        <w:t xml:space="preserve">ger considered related parties for the years ended December 31, 2021 and 2020. </w:t>
      </w:r>
    </w:p>
    <w:p w14:paraId="32C662DA" w14:textId="77777777" w:rsidR="00000000" w:rsidRDefault="000C49AD">
      <w:pPr>
        <w:jc w:val="both"/>
        <w:rPr>
          <w:rFonts w:eastAsia="Times New Roman"/>
        </w:rPr>
      </w:pPr>
    </w:p>
    <w:p w14:paraId="7FCB09C0" w14:textId="77777777" w:rsidR="00000000" w:rsidRDefault="000C49AD">
      <w:pPr>
        <w:jc w:val="both"/>
        <w:rPr>
          <w:rFonts w:eastAsia="Times New Roman"/>
        </w:rPr>
      </w:pPr>
      <w:r>
        <w:rPr>
          <w:rFonts w:eastAsia="Times New Roman"/>
          <w:b/>
          <w:bCs/>
          <w:color w:val="000000"/>
          <w:sz w:val="20"/>
          <w:szCs w:val="20"/>
        </w:rPr>
        <w:t>NOTE 23:</w:t>
      </w:r>
      <w:r>
        <w:rPr>
          <w:rFonts w:eastAsia="Times New Roman"/>
          <w:color w:val="000000"/>
          <w:sz w:val="20"/>
          <w:szCs w:val="20"/>
        </w:rPr>
        <w:t xml:space="preserve"> </w:t>
      </w:r>
      <w:r>
        <w:rPr>
          <w:rFonts w:eastAsia="Times New Roman"/>
          <w:b/>
          <w:bCs/>
          <w:color w:val="000000"/>
          <w:sz w:val="20"/>
          <w:szCs w:val="20"/>
        </w:rPr>
        <w:t>Subsequent Events</w:t>
      </w:r>
      <w:r>
        <w:rPr>
          <w:rFonts w:eastAsia="Times New Roman"/>
          <w:color w:val="000000"/>
          <w:sz w:val="20"/>
          <w:szCs w:val="20"/>
        </w:rPr>
        <w:t> </w:t>
      </w:r>
    </w:p>
    <w:p w14:paraId="2B4212AC" w14:textId="77777777" w:rsidR="00000000" w:rsidRDefault="000C49AD">
      <w:pPr>
        <w:jc w:val="both"/>
        <w:rPr>
          <w:rFonts w:eastAsia="Times New Roman"/>
        </w:rPr>
      </w:pPr>
    </w:p>
    <w:p w14:paraId="20D31725" w14:textId="77777777" w:rsidR="00000000" w:rsidRDefault="000C49AD">
      <w:pPr>
        <w:jc w:val="both"/>
        <w:rPr>
          <w:rFonts w:eastAsia="Times New Roman"/>
        </w:rPr>
      </w:pPr>
      <w:r>
        <w:rPr>
          <w:rFonts w:eastAsia="Times New Roman"/>
          <w:color w:val="000000"/>
          <w:sz w:val="20"/>
          <w:szCs w:val="20"/>
        </w:rPr>
        <w:t>On March 16, 2022, Avadel Finance Cayman Limited, a Cayman Islands exempted company and an indirect wholly-owned subsidiary of the Company (the “Issuer”), executed an agreement to exchange $117,375 of its 2023 Notes due February 1, 2023 (the “February 2023</w:t>
      </w:r>
      <w:r>
        <w:rPr>
          <w:rFonts w:eastAsia="Times New Roman"/>
          <w:color w:val="000000"/>
          <w:sz w:val="20"/>
          <w:szCs w:val="20"/>
        </w:rPr>
        <w:t xml:space="preserve"> Notes”) for a new series of its Exchangeable Senior Notes due October 2, 2023 (the “October 2023 Notes”) (the “Exchange”). The remaining $26,375 aggregate principal amount of the February 2023 Notes will maintain a maturity date of February 1, 2023. Takin</w:t>
      </w:r>
      <w:r>
        <w:rPr>
          <w:rFonts w:eastAsia="Times New Roman"/>
          <w:color w:val="000000"/>
          <w:sz w:val="20"/>
          <w:szCs w:val="20"/>
        </w:rPr>
        <w:t>g into consideration the Exchange and the maturity date of the October 2023 Notes and based on the Company’s current plans, the Company has sufficient cash on hand and available liquidity to satisfy its obligations and fund working capital needs for at lea</w:t>
      </w:r>
      <w:r>
        <w:rPr>
          <w:rFonts w:eastAsia="Times New Roman"/>
          <w:color w:val="000000"/>
          <w:sz w:val="20"/>
          <w:szCs w:val="20"/>
        </w:rPr>
        <w:t>st twelve months following the date of issuance of the Consolidated Financial Statements. The Company has a recent history of generating losses from operations including during 2021 and expects to continue generating losses over the next twelve months. Sim</w:t>
      </w:r>
      <w:r>
        <w:rPr>
          <w:rFonts w:eastAsia="Times New Roman"/>
          <w:color w:val="000000"/>
          <w:sz w:val="20"/>
          <w:szCs w:val="20"/>
        </w:rPr>
        <w:t>ilar to other businesses in the Company’s industry and at its stage of development, the Company will continue in the medium term to rely on external sources of capital to fund its business.</w:t>
      </w:r>
    </w:p>
    <w:p w14:paraId="5D2BA4EE" w14:textId="77777777" w:rsidR="00000000" w:rsidRDefault="000C49AD">
      <w:pPr>
        <w:divId w:val="895891424"/>
        <w:rPr>
          <w:rFonts w:eastAsia="Times New Roman"/>
        </w:rPr>
      </w:pPr>
    </w:p>
    <w:p w14:paraId="6E632B08" w14:textId="77777777" w:rsidR="00000000" w:rsidRDefault="000C49AD">
      <w:pPr>
        <w:jc w:val="both"/>
        <w:rPr>
          <w:rFonts w:eastAsia="Times New Roman"/>
        </w:rPr>
      </w:pPr>
    </w:p>
    <w:p w14:paraId="6D76B350" w14:textId="77777777" w:rsidR="00000000" w:rsidRDefault="000C49AD">
      <w:pPr>
        <w:jc w:val="center"/>
        <w:divId w:val="679282194"/>
        <w:rPr>
          <w:rFonts w:eastAsia="Times New Roman"/>
        </w:rPr>
      </w:pPr>
      <w:r>
        <w:rPr>
          <w:rFonts w:eastAsia="Times New Roman"/>
          <w:color w:val="000000"/>
          <w:sz w:val="20"/>
          <w:szCs w:val="20"/>
        </w:rPr>
        <w:t>-105-</w:t>
      </w:r>
    </w:p>
    <w:p w14:paraId="7DC9E2FE" w14:textId="77777777" w:rsidR="00000000" w:rsidRDefault="000C49AD">
      <w:pPr>
        <w:rPr>
          <w:rFonts w:eastAsia="Times New Roman"/>
        </w:rPr>
      </w:pPr>
      <w:r>
        <w:rPr>
          <w:rFonts w:eastAsia="Times New Roman"/>
        </w:rPr>
        <w:pict w14:anchorId="0DD2BF4C">
          <v:rect id="_x0000_i1130" style="width:0;height:1.5pt" o:hralign="center" o:hrstd="t" o:hr="t" fillcolor="#a0a0a0" stroked="f"/>
        </w:pict>
      </w:r>
    </w:p>
    <w:p w14:paraId="45162FDF" w14:textId="77777777" w:rsidR="00000000" w:rsidRDefault="000C49AD">
      <w:pPr>
        <w:divId w:val="108402572"/>
        <w:rPr>
          <w:rFonts w:eastAsia="Times New Roman"/>
        </w:rPr>
      </w:pPr>
    </w:p>
    <w:p w14:paraId="7F3752C1" w14:textId="77777777" w:rsidR="00000000" w:rsidRDefault="000C49AD">
      <w:pPr>
        <w:divId w:val="506018220"/>
        <w:rPr>
          <w:rFonts w:eastAsia="Times New Roman"/>
        </w:rPr>
      </w:pPr>
      <w:r>
        <w:rPr>
          <w:rFonts w:eastAsia="Times New Roman"/>
          <w:b/>
          <w:bCs/>
          <w:color w:val="000000"/>
          <w:sz w:val="20"/>
          <w:szCs w:val="20"/>
        </w:rPr>
        <w:t>REPORT OF INDEPENDENT REGISTERED PUBLIC ACCOUNTING FIRM</w:t>
      </w:r>
    </w:p>
    <w:p w14:paraId="086EA0AA" w14:textId="77777777" w:rsidR="00000000" w:rsidRDefault="000C49AD">
      <w:pPr>
        <w:divId w:val="76218655"/>
        <w:rPr>
          <w:rFonts w:eastAsia="Times New Roman"/>
        </w:rPr>
      </w:pPr>
    </w:p>
    <w:p w14:paraId="171658A0" w14:textId="77777777" w:rsidR="00000000" w:rsidRDefault="000C49AD">
      <w:pPr>
        <w:divId w:val="470365398"/>
        <w:rPr>
          <w:rFonts w:eastAsia="Times New Roman"/>
        </w:rPr>
      </w:pPr>
      <w:r>
        <w:rPr>
          <w:rFonts w:eastAsia="Times New Roman"/>
          <w:color w:val="000000"/>
          <w:sz w:val="20"/>
          <w:szCs w:val="20"/>
        </w:rPr>
        <w:t>To the shareholders and the Board of Directors of Avadel Pharmaceuticals plc</w:t>
      </w:r>
    </w:p>
    <w:p w14:paraId="4F52B4D0" w14:textId="77777777" w:rsidR="00000000" w:rsidRDefault="000C49AD">
      <w:pPr>
        <w:divId w:val="18091236"/>
        <w:rPr>
          <w:rFonts w:eastAsia="Times New Roman"/>
        </w:rPr>
      </w:pPr>
    </w:p>
    <w:p w14:paraId="32EF5C5D" w14:textId="77777777" w:rsidR="00000000" w:rsidRDefault="000C49AD">
      <w:pPr>
        <w:divId w:val="493649065"/>
        <w:rPr>
          <w:rFonts w:eastAsia="Times New Roman"/>
        </w:rPr>
      </w:pPr>
      <w:r>
        <w:rPr>
          <w:rFonts w:eastAsia="Times New Roman"/>
          <w:b/>
          <w:bCs/>
          <w:color w:val="000000"/>
          <w:sz w:val="20"/>
          <w:szCs w:val="20"/>
        </w:rPr>
        <w:t>Opinion on the Financial Statements</w:t>
      </w:r>
    </w:p>
    <w:p w14:paraId="23B73C98" w14:textId="77777777" w:rsidR="00000000" w:rsidRDefault="000C49AD">
      <w:pPr>
        <w:divId w:val="530651468"/>
        <w:rPr>
          <w:rFonts w:eastAsia="Times New Roman"/>
        </w:rPr>
      </w:pPr>
    </w:p>
    <w:p w14:paraId="479C60C5" w14:textId="77777777" w:rsidR="00000000" w:rsidRDefault="000C49AD">
      <w:pPr>
        <w:jc w:val="both"/>
        <w:rPr>
          <w:rFonts w:eastAsia="Times New Roman"/>
        </w:rPr>
      </w:pPr>
      <w:r>
        <w:rPr>
          <w:rFonts w:eastAsia="Times New Roman"/>
          <w:color w:val="000000"/>
          <w:sz w:val="20"/>
          <w:szCs w:val="20"/>
        </w:rPr>
        <w:t>We have audited the accompanying consolidat</w:t>
      </w:r>
      <w:r>
        <w:rPr>
          <w:rFonts w:eastAsia="Times New Roman"/>
          <w:color w:val="000000"/>
          <w:sz w:val="20"/>
          <w:szCs w:val="20"/>
        </w:rPr>
        <w:t>ed balance sheets of Avadel Pharmaceuticals plc (the "Company") as of December 31, 2021 and 2020, the related consolidated statements of (loss) income, comprehensive (loss) income, shareholders’ equity, and cash flows, for each of the three years in the pe</w:t>
      </w:r>
      <w:r>
        <w:rPr>
          <w:rFonts w:eastAsia="Times New Roman"/>
          <w:color w:val="000000"/>
          <w:sz w:val="20"/>
          <w:szCs w:val="20"/>
        </w:rPr>
        <w:t>riod ended December 31, 2021, and the related notes and the schedule listed in the Index at Item 15 (collectively referred to as the "financial statements"). In our opinion, the financial statements present fairly, in all material respects, the financial p</w:t>
      </w:r>
      <w:r>
        <w:rPr>
          <w:rFonts w:eastAsia="Times New Roman"/>
          <w:color w:val="000000"/>
          <w:sz w:val="20"/>
          <w:szCs w:val="20"/>
        </w:rPr>
        <w:t>osition of the Company as of December 31, 2021 and 2020, and the results of its operations and its cash flows for each of the three years in the period ended December 31, 2021, in conformity with accounting principles generally accepted in the United State</w:t>
      </w:r>
      <w:r>
        <w:rPr>
          <w:rFonts w:eastAsia="Times New Roman"/>
          <w:color w:val="000000"/>
          <w:sz w:val="20"/>
          <w:szCs w:val="20"/>
        </w:rPr>
        <w:t>s of America.</w:t>
      </w:r>
    </w:p>
    <w:p w14:paraId="55393F54" w14:textId="77777777" w:rsidR="00000000" w:rsidRDefault="000C49AD">
      <w:pPr>
        <w:jc w:val="both"/>
        <w:rPr>
          <w:rFonts w:eastAsia="Times New Roman"/>
        </w:rPr>
      </w:pPr>
    </w:p>
    <w:p w14:paraId="103F6A96" w14:textId="77777777" w:rsidR="00000000" w:rsidRDefault="000C49AD">
      <w:pPr>
        <w:jc w:val="both"/>
        <w:rPr>
          <w:rFonts w:eastAsia="Times New Roman"/>
        </w:rPr>
      </w:pPr>
      <w:r>
        <w:rPr>
          <w:rFonts w:eastAsia="Times New Roman"/>
          <w:color w:val="000000"/>
          <w:sz w:val="20"/>
          <w:szCs w:val="20"/>
        </w:rPr>
        <w:t xml:space="preserve">We have also audited, in accordance with the standards of the Public Company Accounting Oversight Board (United States) (PCAOB), the Company's internal control over financial reporting as of December 31, 2021, based on criteria established </w:t>
      </w:r>
      <w:r>
        <w:rPr>
          <w:rFonts w:eastAsia="Times New Roman"/>
          <w:color w:val="000000"/>
          <w:sz w:val="20"/>
          <w:szCs w:val="20"/>
        </w:rPr>
        <w:t xml:space="preserve">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Commission and our report dated March 16, 2022 expressed an adverse opinion on the Company's internal control over financial reporting</w:t>
      </w:r>
    </w:p>
    <w:p w14:paraId="6BE8B3A3" w14:textId="77777777" w:rsidR="00000000" w:rsidRDefault="000C49AD">
      <w:pPr>
        <w:jc w:val="both"/>
        <w:rPr>
          <w:rFonts w:eastAsia="Times New Roman"/>
        </w:rPr>
      </w:pPr>
      <w:r>
        <w:rPr>
          <w:rFonts w:eastAsia="Times New Roman"/>
          <w:color w:val="000000"/>
          <w:sz w:val="20"/>
          <w:szCs w:val="20"/>
        </w:rPr>
        <w:t>.</w:t>
      </w:r>
    </w:p>
    <w:p w14:paraId="5940686D" w14:textId="77777777" w:rsidR="00000000" w:rsidRDefault="000C49AD">
      <w:pPr>
        <w:jc w:val="both"/>
        <w:rPr>
          <w:rFonts w:eastAsia="Times New Roman"/>
        </w:rPr>
      </w:pPr>
      <w:r>
        <w:rPr>
          <w:rFonts w:eastAsia="Times New Roman"/>
          <w:b/>
          <w:bCs/>
          <w:color w:val="000000"/>
          <w:sz w:val="20"/>
          <w:szCs w:val="20"/>
        </w:rPr>
        <w:t>B</w:t>
      </w:r>
      <w:r>
        <w:rPr>
          <w:rFonts w:eastAsia="Times New Roman"/>
          <w:b/>
          <w:bCs/>
          <w:color w:val="000000"/>
          <w:sz w:val="20"/>
          <w:szCs w:val="20"/>
        </w:rPr>
        <w:t>asis for Opinion</w:t>
      </w:r>
    </w:p>
    <w:p w14:paraId="16F31350" w14:textId="77777777" w:rsidR="00000000" w:rsidRDefault="000C49AD">
      <w:pPr>
        <w:jc w:val="both"/>
        <w:rPr>
          <w:rFonts w:eastAsia="Times New Roman"/>
        </w:rPr>
      </w:pPr>
    </w:p>
    <w:p w14:paraId="0638A541" w14:textId="77777777" w:rsidR="00000000" w:rsidRDefault="000C49AD">
      <w:pPr>
        <w:jc w:val="both"/>
        <w:rPr>
          <w:rFonts w:eastAsia="Times New Roman"/>
        </w:rPr>
      </w:pPr>
      <w:r>
        <w:rPr>
          <w:rFonts w:eastAsia="Times New Roman"/>
          <w:color w:val="000000"/>
          <w:sz w:val="20"/>
          <w:szCs w:val="20"/>
        </w:rPr>
        <w:t>These financial statements are the responsibility of the Company's management. Our responsibility is to express an opinion on the Company's financial statements based on our audits. We are a public accounting firm registered with the PCA</w:t>
      </w:r>
      <w:r>
        <w:rPr>
          <w:rFonts w:eastAsia="Times New Roman"/>
          <w:color w:val="000000"/>
          <w:sz w:val="20"/>
          <w:szCs w:val="20"/>
        </w:rPr>
        <w:t>OB and are required to be independent with respect to the Company in accordance with the U.S. federal securities laws and the applicable rules and regulations of the Securities and Exchange Commission and the PCAOB.</w:t>
      </w:r>
    </w:p>
    <w:p w14:paraId="46286323" w14:textId="77777777" w:rsidR="00000000" w:rsidRDefault="000C49AD">
      <w:pPr>
        <w:jc w:val="both"/>
        <w:rPr>
          <w:rFonts w:eastAsia="Times New Roman"/>
        </w:rPr>
      </w:pPr>
    </w:p>
    <w:p w14:paraId="16701C38" w14:textId="77777777" w:rsidR="00000000" w:rsidRDefault="000C49AD">
      <w:pPr>
        <w:jc w:val="both"/>
        <w:rPr>
          <w:rFonts w:eastAsia="Times New Roman"/>
        </w:rPr>
      </w:pPr>
      <w:r>
        <w:rPr>
          <w:rFonts w:eastAsia="Times New Roman"/>
          <w:color w:val="000000"/>
          <w:sz w:val="20"/>
          <w:szCs w:val="20"/>
        </w:rPr>
        <w:t xml:space="preserve">We conducted our audits in accordance </w:t>
      </w:r>
      <w:r>
        <w:rPr>
          <w:rFonts w:eastAsia="Times New Roman"/>
          <w:color w:val="000000"/>
          <w:sz w:val="20"/>
          <w:szCs w:val="20"/>
        </w:rPr>
        <w:t>with the standards of the PCAOB. Those standards require that we plan and perform the audit to obtain reasonable assurance about whether the financial statements are free of material misstatement, whether due to error or fraud. Our audits included performi</w:t>
      </w:r>
      <w:r>
        <w:rPr>
          <w:rFonts w:eastAsia="Times New Roman"/>
          <w:color w:val="000000"/>
          <w:sz w:val="20"/>
          <w:szCs w:val="20"/>
        </w:rPr>
        <w:t>ng procedures to assess the risks of material misstatement of the financial statements, whether due to error or fraud, and performing procedures that respond to those risks. Such procedures included examining, on a test basis, evidence regarding the amount</w:t>
      </w:r>
      <w:r>
        <w:rPr>
          <w:rFonts w:eastAsia="Times New Roman"/>
          <w:color w:val="000000"/>
          <w:sz w:val="20"/>
          <w:szCs w:val="20"/>
        </w:rPr>
        <w:t xml:space="preserve">s and disclosures in the financial statements. Our audits also included evaluating the accounting principles used and significant estimates made by management, as well as evaluating the overall presentation of the financial statements. We believe that our </w:t>
      </w:r>
      <w:r>
        <w:rPr>
          <w:rFonts w:eastAsia="Times New Roman"/>
          <w:color w:val="000000"/>
          <w:sz w:val="20"/>
          <w:szCs w:val="20"/>
        </w:rPr>
        <w:t>audits provide a reasonable basis for our opinion.</w:t>
      </w:r>
    </w:p>
    <w:p w14:paraId="65F75666" w14:textId="77777777" w:rsidR="00000000" w:rsidRDefault="000C49AD">
      <w:pPr>
        <w:jc w:val="both"/>
        <w:rPr>
          <w:rFonts w:eastAsia="Times New Roman"/>
        </w:rPr>
      </w:pPr>
    </w:p>
    <w:p w14:paraId="5CBA80E3" w14:textId="77777777" w:rsidR="00000000" w:rsidRDefault="000C49AD">
      <w:pPr>
        <w:jc w:val="both"/>
        <w:rPr>
          <w:rFonts w:eastAsia="Times New Roman"/>
        </w:rPr>
      </w:pPr>
      <w:r>
        <w:rPr>
          <w:rFonts w:eastAsia="Times New Roman"/>
          <w:b/>
          <w:bCs/>
          <w:color w:val="000000"/>
          <w:sz w:val="20"/>
          <w:szCs w:val="20"/>
        </w:rPr>
        <w:t>Critical Audit Matters</w:t>
      </w:r>
    </w:p>
    <w:p w14:paraId="79EF6BA3" w14:textId="77777777" w:rsidR="00000000" w:rsidRDefault="000C49AD">
      <w:pPr>
        <w:jc w:val="both"/>
        <w:rPr>
          <w:rFonts w:eastAsia="Times New Roman"/>
        </w:rPr>
      </w:pPr>
    </w:p>
    <w:p w14:paraId="710150FC" w14:textId="77777777" w:rsidR="00000000" w:rsidRDefault="000C49AD">
      <w:pPr>
        <w:jc w:val="both"/>
        <w:rPr>
          <w:rFonts w:eastAsia="Times New Roman"/>
        </w:rPr>
      </w:pPr>
      <w:r>
        <w:rPr>
          <w:rFonts w:eastAsia="Times New Roman"/>
          <w:color w:val="000000"/>
          <w:sz w:val="20"/>
          <w:szCs w:val="20"/>
        </w:rPr>
        <w:t xml:space="preserve">Critical audit matters are matters arising from the current-period audit of the financial statements that were communicated or required to be communicated to the audit committee </w:t>
      </w:r>
      <w:r>
        <w:rPr>
          <w:rFonts w:eastAsia="Times New Roman"/>
          <w:color w:val="000000"/>
          <w:sz w:val="20"/>
          <w:szCs w:val="20"/>
        </w:rPr>
        <w:t xml:space="preserve">and that (1) relate to accounts or disclosures that are material to the financial statements and (2) involved our especially challenging, subjective, or complex judgments. We determined that there are no critical audit matters. </w:t>
      </w:r>
    </w:p>
    <w:p w14:paraId="5A8CCEA7" w14:textId="77777777" w:rsidR="00000000" w:rsidRDefault="000C49AD">
      <w:pPr>
        <w:divId w:val="191579660"/>
        <w:rPr>
          <w:rFonts w:eastAsia="Times New Roman"/>
        </w:rPr>
      </w:pPr>
    </w:p>
    <w:p w14:paraId="66E0C74A" w14:textId="77777777" w:rsidR="00000000" w:rsidRDefault="000C49AD">
      <w:pPr>
        <w:divId w:val="1759596051"/>
        <w:rPr>
          <w:rFonts w:eastAsia="Times New Roman"/>
        </w:rPr>
      </w:pPr>
    </w:p>
    <w:p w14:paraId="584A4DEE" w14:textId="77777777" w:rsidR="00000000" w:rsidRDefault="000C49AD">
      <w:pPr>
        <w:divId w:val="1446535819"/>
        <w:rPr>
          <w:rFonts w:eastAsia="Times New Roman"/>
        </w:rPr>
      </w:pPr>
    </w:p>
    <w:p w14:paraId="359C7A74" w14:textId="77777777" w:rsidR="00000000" w:rsidRDefault="000C49AD">
      <w:pPr>
        <w:divId w:val="444082850"/>
        <w:rPr>
          <w:rFonts w:eastAsia="Times New Roman"/>
        </w:rPr>
      </w:pPr>
      <w:r>
        <w:rPr>
          <w:rFonts w:eastAsia="Times New Roman"/>
          <w:color w:val="000000"/>
          <w:sz w:val="20"/>
          <w:szCs w:val="20"/>
        </w:rPr>
        <w:t>/s/ Deloitte and Touc</w:t>
      </w:r>
      <w:r>
        <w:rPr>
          <w:rFonts w:eastAsia="Times New Roman"/>
          <w:color w:val="000000"/>
          <w:sz w:val="20"/>
          <w:szCs w:val="20"/>
        </w:rPr>
        <w:t>he LLP</w:t>
      </w:r>
    </w:p>
    <w:p w14:paraId="4F12898F" w14:textId="77777777" w:rsidR="00000000" w:rsidRDefault="000C49AD">
      <w:pPr>
        <w:divId w:val="568228895"/>
        <w:rPr>
          <w:rFonts w:eastAsia="Times New Roman"/>
        </w:rPr>
      </w:pPr>
      <w:r>
        <w:rPr>
          <w:rFonts w:eastAsia="Times New Roman"/>
          <w:color w:val="000000"/>
          <w:sz w:val="20"/>
          <w:szCs w:val="20"/>
        </w:rPr>
        <w:t>St. Louis, Missouri  </w:t>
      </w:r>
    </w:p>
    <w:p w14:paraId="15340F7D" w14:textId="77777777" w:rsidR="00000000" w:rsidRDefault="000C49AD">
      <w:pPr>
        <w:divId w:val="1323854009"/>
        <w:rPr>
          <w:rFonts w:eastAsia="Times New Roman"/>
        </w:rPr>
      </w:pPr>
      <w:r>
        <w:rPr>
          <w:rFonts w:eastAsia="Times New Roman"/>
          <w:color w:val="000000"/>
          <w:sz w:val="20"/>
          <w:szCs w:val="20"/>
        </w:rPr>
        <w:t>March 16, 2022  </w:t>
      </w:r>
    </w:p>
    <w:p w14:paraId="0942EE67" w14:textId="77777777" w:rsidR="00000000" w:rsidRDefault="000C49AD">
      <w:pPr>
        <w:divId w:val="869759756"/>
        <w:rPr>
          <w:rFonts w:eastAsia="Times New Roman"/>
        </w:rPr>
      </w:pPr>
    </w:p>
    <w:p w14:paraId="67C09D8A" w14:textId="77777777" w:rsidR="00000000" w:rsidRDefault="000C49AD">
      <w:pPr>
        <w:divId w:val="649024148"/>
        <w:rPr>
          <w:rFonts w:eastAsia="Times New Roman"/>
        </w:rPr>
      </w:pPr>
      <w:r>
        <w:rPr>
          <w:rFonts w:eastAsia="Times New Roman"/>
          <w:color w:val="000000"/>
          <w:sz w:val="20"/>
          <w:szCs w:val="20"/>
        </w:rPr>
        <w:t>We have served as the Company's auditor since 2016.</w:t>
      </w:r>
    </w:p>
    <w:p w14:paraId="636892D8" w14:textId="77777777" w:rsidR="00000000" w:rsidRDefault="000C49AD">
      <w:pPr>
        <w:divId w:val="208806593"/>
        <w:rPr>
          <w:rFonts w:eastAsia="Times New Roman"/>
        </w:rPr>
      </w:pPr>
    </w:p>
    <w:p w14:paraId="3DD64EE5" w14:textId="77777777" w:rsidR="00000000" w:rsidRDefault="000C49AD">
      <w:pPr>
        <w:jc w:val="center"/>
        <w:divId w:val="1201165060"/>
        <w:rPr>
          <w:rFonts w:eastAsia="Times New Roman"/>
        </w:rPr>
      </w:pPr>
      <w:r>
        <w:rPr>
          <w:rFonts w:eastAsia="Times New Roman"/>
          <w:color w:val="000000"/>
          <w:sz w:val="20"/>
          <w:szCs w:val="20"/>
        </w:rPr>
        <w:t>-106-</w:t>
      </w:r>
    </w:p>
    <w:p w14:paraId="619D8CA5" w14:textId="77777777" w:rsidR="00000000" w:rsidRDefault="000C49AD">
      <w:pPr>
        <w:rPr>
          <w:rFonts w:eastAsia="Times New Roman"/>
        </w:rPr>
      </w:pPr>
      <w:r>
        <w:rPr>
          <w:rFonts w:eastAsia="Times New Roman"/>
        </w:rPr>
        <w:pict w14:anchorId="690191E9">
          <v:rect id="_x0000_i1131" style="width:0;height:1.5pt" o:hralign="center" o:hrstd="t" o:hr="t" fillcolor="#a0a0a0" stroked="f"/>
        </w:pict>
      </w:r>
    </w:p>
    <w:p w14:paraId="74296D88" w14:textId="77777777" w:rsidR="00000000" w:rsidRDefault="000C49AD">
      <w:pPr>
        <w:divId w:val="1186401481"/>
        <w:rPr>
          <w:rFonts w:eastAsia="Times New Roman"/>
        </w:rPr>
      </w:pPr>
    </w:p>
    <w:p w14:paraId="745BE134" w14:textId="77777777" w:rsidR="00000000" w:rsidRDefault="000C49AD">
      <w:pPr>
        <w:divId w:val="2002195678"/>
        <w:rPr>
          <w:rFonts w:eastAsia="Times New Roman"/>
        </w:rPr>
      </w:pPr>
      <w:r>
        <w:rPr>
          <w:rFonts w:eastAsia="Times New Roman"/>
          <w:b/>
          <w:bCs/>
          <w:color w:val="000000"/>
          <w:sz w:val="20"/>
          <w:szCs w:val="20"/>
        </w:rPr>
        <w:t>REPORT OF INDEPENDENT REGISTERED PUBLIC ACCOUNTING FIRM</w:t>
      </w:r>
    </w:p>
    <w:p w14:paraId="03DB9030" w14:textId="77777777" w:rsidR="00000000" w:rsidRDefault="000C49AD">
      <w:pPr>
        <w:divId w:val="429475397"/>
        <w:rPr>
          <w:rFonts w:eastAsia="Times New Roman"/>
        </w:rPr>
      </w:pPr>
    </w:p>
    <w:p w14:paraId="19374480" w14:textId="77777777" w:rsidR="00000000" w:rsidRDefault="000C49AD">
      <w:pPr>
        <w:divId w:val="1746684152"/>
        <w:rPr>
          <w:rFonts w:eastAsia="Times New Roman"/>
        </w:rPr>
      </w:pPr>
      <w:r>
        <w:rPr>
          <w:rFonts w:eastAsia="Times New Roman"/>
          <w:color w:val="000000"/>
          <w:sz w:val="20"/>
          <w:szCs w:val="20"/>
        </w:rPr>
        <w:t xml:space="preserve">To the shareholders and the Board of Directors of Avadel Pharmaceuticals plc </w:t>
      </w:r>
    </w:p>
    <w:p w14:paraId="784BABC7" w14:textId="77777777" w:rsidR="00000000" w:rsidRDefault="000C49AD">
      <w:pPr>
        <w:divId w:val="1604802540"/>
        <w:rPr>
          <w:rFonts w:eastAsia="Times New Roman"/>
        </w:rPr>
      </w:pPr>
    </w:p>
    <w:p w14:paraId="0A09E3DD" w14:textId="77777777" w:rsidR="00000000" w:rsidRDefault="000C49AD">
      <w:pPr>
        <w:divId w:val="587423802"/>
        <w:rPr>
          <w:rFonts w:eastAsia="Times New Roman"/>
        </w:rPr>
      </w:pPr>
      <w:r>
        <w:rPr>
          <w:rFonts w:eastAsia="Times New Roman"/>
          <w:b/>
          <w:bCs/>
          <w:color w:val="000000"/>
          <w:sz w:val="20"/>
          <w:szCs w:val="20"/>
        </w:rPr>
        <w:t>Opinion on Internal Control over Financial Reporting</w:t>
      </w:r>
    </w:p>
    <w:p w14:paraId="38773E6C" w14:textId="77777777" w:rsidR="00000000" w:rsidRDefault="000C49AD">
      <w:pPr>
        <w:divId w:val="1199974629"/>
        <w:rPr>
          <w:rFonts w:eastAsia="Times New Roman"/>
        </w:rPr>
      </w:pPr>
    </w:p>
    <w:p w14:paraId="51A2845C" w14:textId="77777777" w:rsidR="00000000" w:rsidRDefault="000C49AD">
      <w:pPr>
        <w:jc w:val="both"/>
        <w:rPr>
          <w:rFonts w:eastAsia="Times New Roman"/>
        </w:rPr>
      </w:pPr>
      <w:r>
        <w:rPr>
          <w:rFonts w:eastAsia="Times New Roman"/>
          <w:color w:val="000000"/>
          <w:sz w:val="20"/>
          <w:szCs w:val="20"/>
        </w:rPr>
        <w:t>We have audited the inter</w:t>
      </w:r>
      <w:r>
        <w:rPr>
          <w:rFonts w:eastAsia="Times New Roman"/>
          <w:color w:val="000000"/>
          <w:sz w:val="20"/>
          <w:szCs w:val="20"/>
        </w:rPr>
        <w:t xml:space="preserve">nal control over financial reporting of Avadel Pharmaceuticals plc (the “Company”) as of December 31, 2021,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the Committee of Sponsoring Organizations of the Treadway </w:t>
      </w:r>
      <w:r>
        <w:rPr>
          <w:rFonts w:eastAsia="Times New Roman"/>
          <w:color w:val="000000"/>
          <w:sz w:val="20"/>
          <w:szCs w:val="20"/>
        </w:rPr>
        <w:t>Commission (COSO). In our opinion, because of the effect of the material weakness identified below on the achievement of the objectives of the control criteria, the Company has not maintained effective internal control over financial reporting as of Decemb</w:t>
      </w:r>
      <w:r>
        <w:rPr>
          <w:rFonts w:eastAsia="Times New Roman"/>
          <w:color w:val="000000"/>
          <w:sz w:val="20"/>
          <w:szCs w:val="20"/>
        </w:rPr>
        <w:t xml:space="preserve">er 31, 2021, based on criteria established in </w:t>
      </w:r>
      <w:r>
        <w:rPr>
          <w:rFonts w:eastAsia="Times New Roman"/>
          <w:i/>
          <w:iCs/>
          <w:color w:val="000000"/>
          <w:sz w:val="20"/>
          <w:szCs w:val="20"/>
        </w:rPr>
        <w:t>Internal Control — Integrated Framework (2013)</w:t>
      </w:r>
      <w:r>
        <w:rPr>
          <w:rFonts w:eastAsia="Times New Roman"/>
          <w:color w:val="000000"/>
          <w:sz w:val="20"/>
          <w:szCs w:val="20"/>
        </w:rPr>
        <w:t xml:space="preserve"> issued by COSO.</w:t>
      </w:r>
    </w:p>
    <w:p w14:paraId="62BC9011" w14:textId="77777777" w:rsidR="00000000" w:rsidRDefault="000C49AD">
      <w:pPr>
        <w:jc w:val="both"/>
        <w:rPr>
          <w:rFonts w:eastAsia="Times New Roman"/>
        </w:rPr>
      </w:pPr>
    </w:p>
    <w:p w14:paraId="76EFC36D" w14:textId="77777777" w:rsidR="00000000" w:rsidRDefault="000C49AD">
      <w:pPr>
        <w:jc w:val="both"/>
        <w:rPr>
          <w:rFonts w:eastAsia="Times New Roman"/>
        </w:rPr>
      </w:pPr>
      <w:r>
        <w:rPr>
          <w:rFonts w:eastAsia="Times New Roman"/>
          <w:color w:val="000000"/>
          <w:sz w:val="20"/>
          <w:szCs w:val="20"/>
        </w:rPr>
        <w:t>We have also audited, in accordance with the standards of the Public Company Accounting Oversight Board (United States) (PCAOB), the consolidated</w:t>
      </w:r>
      <w:r>
        <w:rPr>
          <w:rFonts w:eastAsia="Times New Roman"/>
          <w:color w:val="000000"/>
          <w:sz w:val="20"/>
          <w:szCs w:val="20"/>
        </w:rPr>
        <w:t xml:space="preserve"> financial statements as of and for the year ended December 31, 2021, of the Company and our report dated March 16, 2022, expressed an unqualified opinion on those financial statements. </w:t>
      </w:r>
    </w:p>
    <w:p w14:paraId="672911F9" w14:textId="77777777" w:rsidR="00000000" w:rsidRDefault="000C49AD">
      <w:pPr>
        <w:jc w:val="both"/>
        <w:divId w:val="1743479552"/>
        <w:rPr>
          <w:rFonts w:eastAsia="Times New Roman"/>
        </w:rPr>
      </w:pPr>
      <w:r>
        <w:rPr>
          <w:rFonts w:eastAsia="Times New Roman"/>
          <w:b/>
          <w:bCs/>
          <w:color w:val="000000"/>
          <w:sz w:val="20"/>
          <w:szCs w:val="20"/>
        </w:rPr>
        <w:t xml:space="preserve">Basis for Opinion </w:t>
      </w:r>
    </w:p>
    <w:p w14:paraId="2DA37485" w14:textId="77777777" w:rsidR="00000000" w:rsidRDefault="000C49AD">
      <w:pPr>
        <w:jc w:val="both"/>
        <w:rPr>
          <w:rFonts w:eastAsia="Times New Roman"/>
        </w:rPr>
      </w:pPr>
      <w:r>
        <w:rPr>
          <w:rFonts w:eastAsia="Times New Roman"/>
          <w:color w:val="000000"/>
          <w:sz w:val="20"/>
          <w:szCs w:val="20"/>
        </w:rPr>
        <w:t>The Company’s management is responsible for mainta</w:t>
      </w:r>
      <w:r>
        <w:rPr>
          <w:rFonts w:eastAsia="Times New Roman"/>
          <w:color w:val="000000"/>
          <w:sz w:val="20"/>
          <w:szCs w:val="20"/>
        </w:rPr>
        <w:t xml:space="preserve">ining effective internal control over financial reporting and for its assessment of the effectiveness of internal control over financial reporting, included in the accompanying </w:t>
      </w:r>
      <w:r>
        <w:rPr>
          <w:rFonts w:eastAsia="Times New Roman"/>
          <w:i/>
          <w:iCs/>
          <w:color w:val="000000"/>
          <w:sz w:val="20"/>
          <w:szCs w:val="20"/>
        </w:rPr>
        <w:t>Management’s Report on Internal Control over Financial Reporting</w:t>
      </w:r>
      <w:r>
        <w:rPr>
          <w:rFonts w:eastAsia="Times New Roman"/>
          <w:color w:val="000000"/>
          <w:sz w:val="20"/>
          <w:szCs w:val="20"/>
        </w:rPr>
        <w:t>. Our responsib</w:t>
      </w:r>
      <w:r>
        <w:rPr>
          <w:rFonts w:eastAsia="Times New Roman"/>
          <w:color w:val="000000"/>
          <w:sz w:val="20"/>
          <w:szCs w:val="20"/>
        </w:rPr>
        <w:t>ility is to express an opinion on the Company’s internal control over financial reporting based on our audit. We are a public accounting firm registered with the PCAOB and are required to be independent with respect to the Company in accordance with the U.</w:t>
      </w:r>
      <w:r>
        <w:rPr>
          <w:rFonts w:eastAsia="Times New Roman"/>
          <w:color w:val="000000"/>
          <w:sz w:val="20"/>
          <w:szCs w:val="20"/>
        </w:rPr>
        <w:t>S. federal securities laws and the applicable rules and regulations of the Securities and Exchange Commission and the PCAOB.</w:t>
      </w:r>
    </w:p>
    <w:p w14:paraId="72B9DDD7" w14:textId="77777777" w:rsidR="00000000" w:rsidRDefault="000C49AD">
      <w:pPr>
        <w:jc w:val="both"/>
        <w:rPr>
          <w:rFonts w:eastAsia="Times New Roman"/>
        </w:rPr>
      </w:pPr>
    </w:p>
    <w:p w14:paraId="5F8084E7" w14:textId="77777777" w:rsidR="00000000" w:rsidRDefault="000C49AD">
      <w:pPr>
        <w:jc w:val="both"/>
        <w:rPr>
          <w:rFonts w:eastAsia="Times New Roman"/>
        </w:rPr>
      </w:pPr>
      <w:r>
        <w:rPr>
          <w:rFonts w:eastAsia="Times New Roman"/>
          <w:color w:val="000000"/>
          <w:sz w:val="20"/>
          <w:szCs w:val="20"/>
        </w:rPr>
        <w:t xml:space="preserve">We conducted our audit in accordance with the standards of the PCAOB. Those standards require that we plan and perform the audit </w:t>
      </w:r>
      <w:r>
        <w:rPr>
          <w:rFonts w:eastAsia="Times New Roman"/>
          <w:color w:val="000000"/>
          <w:sz w:val="20"/>
          <w:szCs w:val="20"/>
        </w:rPr>
        <w:t xml:space="preserve">to obtain reasonable assurance about whether effective internal control over financial reporting was maintained in all material respects. Our audit included obtaining an understanding of internal control over financial reporting, assessing the risk that a </w:t>
      </w:r>
      <w:r>
        <w:rPr>
          <w:rFonts w:eastAsia="Times New Roman"/>
          <w:color w:val="000000"/>
          <w:sz w:val="20"/>
          <w:szCs w:val="20"/>
        </w:rPr>
        <w:t>material weakness exists, testing and evaluating the design and operating effectiveness of internal control based on the assessed risk, and performing such other procedures as we considered necessary in the circumstances. We believe that our audit provides</w:t>
      </w:r>
      <w:r>
        <w:rPr>
          <w:rFonts w:eastAsia="Times New Roman"/>
          <w:color w:val="000000"/>
          <w:sz w:val="20"/>
          <w:szCs w:val="20"/>
        </w:rPr>
        <w:t xml:space="preserve"> a reasonable basis for our opinion.</w:t>
      </w:r>
    </w:p>
    <w:p w14:paraId="60777F3D" w14:textId="77777777" w:rsidR="00000000" w:rsidRDefault="000C49AD">
      <w:pPr>
        <w:jc w:val="both"/>
        <w:divId w:val="423455443"/>
        <w:rPr>
          <w:rFonts w:eastAsia="Times New Roman"/>
        </w:rPr>
      </w:pPr>
      <w:r>
        <w:rPr>
          <w:rFonts w:eastAsia="Times New Roman"/>
          <w:b/>
          <w:bCs/>
          <w:color w:val="000000"/>
          <w:sz w:val="20"/>
          <w:szCs w:val="20"/>
        </w:rPr>
        <w:t>Definition and Limitations of Internal Control over Financial Reporting</w:t>
      </w:r>
    </w:p>
    <w:p w14:paraId="63592186" w14:textId="77777777" w:rsidR="00000000" w:rsidRDefault="000C49AD">
      <w:pPr>
        <w:jc w:val="both"/>
        <w:rPr>
          <w:rFonts w:eastAsia="Times New Roman"/>
        </w:rPr>
      </w:pPr>
      <w:r>
        <w:rPr>
          <w:rFonts w:eastAsia="Times New Roman"/>
          <w:color w:val="000000"/>
          <w:sz w:val="20"/>
          <w:szCs w:val="20"/>
        </w:rPr>
        <w:t xml:space="preserve">A company’s internal control over financial reporting is a process designed to provide reasonable assurance regarding the reliability of financial </w:t>
      </w:r>
      <w:r>
        <w:rPr>
          <w:rFonts w:eastAsia="Times New Roman"/>
          <w:color w:val="000000"/>
          <w:sz w:val="20"/>
          <w:szCs w:val="20"/>
        </w:rPr>
        <w:t>reporting and the preparation of financial statements for external purposes in accordance with generally accepted accounting principles. A company’s internal control over financial reporting includes those policies and procedures that (1) pertain to the ma</w:t>
      </w:r>
      <w:r>
        <w:rPr>
          <w:rFonts w:eastAsia="Times New Roman"/>
          <w:color w:val="000000"/>
          <w:sz w:val="20"/>
          <w:szCs w:val="20"/>
        </w:rPr>
        <w:t>intenance of records that, in reasonable detail, accurately and fairly reflect the transactions and dispositions of the assets of the company; (2) provide reasonable assurance that transactions are recorded as necessary to permit preparation of financial s</w:t>
      </w:r>
      <w:r>
        <w:rPr>
          <w:rFonts w:eastAsia="Times New Roman"/>
          <w:color w:val="000000"/>
          <w:sz w:val="20"/>
          <w:szCs w:val="20"/>
        </w:rPr>
        <w:t xml:space="preserve">tatements in accordance with generally accepted accounting principles, and that receipts and expenditures of the company are being made only in accordance with authorizations of management and directors of the company; and (3) provide reasonable assurance </w:t>
      </w:r>
      <w:r>
        <w:rPr>
          <w:rFonts w:eastAsia="Times New Roman"/>
          <w:color w:val="000000"/>
          <w:sz w:val="20"/>
          <w:szCs w:val="20"/>
        </w:rPr>
        <w:t>regarding prevention or timely detection of unauthorized acquisition, use, or disposition of the company’s assets that could have a material effect on the financial statements.</w:t>
      </w:r>
    </w:p>
    <w:p w14:paraId="6D67EDC4" w14:textId="77777777" w:rsidR="00000000" w:rsidRDefault="000C49AD">
      <w:pPr>
        <w:jc w:val="both"/>
        <w:rPr>
          <w:rFonts w:eastAsia="Times New Roman"/>
        </w:rPr>
      </w:pPr>
    </w:p>
    <w:p w14:paraId="47195B1C" w14:textId="77777777" w:rsidR="00000000" w:rsidRDefault="000C49AD">
      <w:pPr>
        <w:jc w:val="both"/>
        <w:rPr>
          <w:rFonts w:eastAsia="Times New Roman"/>
        </w:rPr>
      </w:pPr>
      <w:r>
        <w:rPr>
          <w:rFonts w:eastAsia="Times New Roman"/>
          <w:color w:val="000000"/>
          <w:sz w:val="20"/>
          <w:szCs w:val="20"/>
        </w:rPr>
        <w:t>Because of its inherent limitations, internal control over financial reportin</w:t>
      </w:r>
      <w:r>
        <w:rPr>
          <w:rFonts w:eastAsia="Times New Roman"/>
          <w:color w:val="000000"/>
          <w:sz w:val="20"/>
          <w:szCs w:val="20"/>
        </w:rPr>
        <w:t>g may not prevent or detect misstatements. Also, projections of any evaluation of effectiveness to future periods are subject to the risk that controls may become inadequate because of changes in conditions, or that the degree of compliance with the polici</w:t>
      </w:r>
      <w:r>
        <w:rPr>
          <w:rFonts w:eastAsia="Times New Roman"/>
          <w:color w:val="000000"/>
          <w:sz w:val="20"/>
          <w:szCs w:val="20"/>
        </w:rPr>
        <w:t>es or procedures may deteriorate.</w:t>
      </w:r>
    </w:p>
    <w:p w14:paraId="32C91205" w14:textId="77777777" w:rsidR="00000000" w:rsidRDefault="000C49AD">
      <w:pPr>
        <w:jc w:val="both"/>
        <w:rPr>
          <w:rFonts w:eastAsia="Times New Roman"/>
        </w:rPr>
      </w:pPr>
    </w:p>
    <w:p w14:paraId="66C52347" w14:textId="77777777" w:rsidR="00000000" w:rsidRDefault="000C49AD">
      <w:pPr>
        <w:jc w:val="both"/>
        <w:rPr>
          <w:rFonts w:eastAsia="Times New Roman"/>
        </w:rPr>
      </w:pPr>
      <w:r>
        <w:rPr>
          <w:rFonts w:eastAsia="Times New Roman"/>
          <w:b/>
          <w:bCs/>
          <w:color w:val="000000"/>
          <w:sz w:val="20"/>
          <w:szCs w:val="20"/>
        </w:rPr>
        <w:t>Material Weakness</w:t>
      </w:r>
    </w:p>
    <w:p w14:paraId="33E7565A" w14:textId="77777777" w:rsidR="00000000" w:rsidRDefault="000C49AD">
      <w:pPr>
        <w:jc w:val="both"/>
        <w:rPr>
          <w:rFonts w:eastAsia="Times New Roman"/>
        </w:rPr>
      </w:pPr>
    </w:p>
    <w:p w14:paraId="4CE88254" w14:textId="77777777" w:rsidR="00000000" w:rsidRDefault="000C49AD">
      <w:pPr>
        <w:jc w:val="both"/>
        <w:rPr>
          <w:rFonts w:eastAsia="Times New Roman"/>
        </w:rPr>
      </w:pPr>
      <w:r>
        <w:rPr>
          <w:rFonts w:eastAsia="Times New Roman"/>
          <w:color w:val="000000"/>
          <w:sz w:val="20"/>
          <w:szCs w:val="20"/>
        </w:rPr>
        <w:t>A material weakness is a deficiency, or a combination of deficiencies, in internal control over financial reporting, such that there is a reasonable possibility that a material weakness of the Company’s annual or interim financial statements will not be pr</w:t>
      </w:r>
      <w:r>
        <w:rPr>
          <w:rFonts w:eastAsia="Times New Roman"/>
          <w:color w:val="000000"/>
          <w:sz w:val="20"/>
          <w:szCs w:val="20"/>
        </w:rPr>
        <w:t>evented or detected on a timely basis. The following material weakness has been identified and included in management’s assessment: Management did not have a control to identify that they were in technical default of its 2023 convertible notes and owed 0.5</w:t>
      </w:r>
      <w:r>
        <w:rPr>
          <w:rFonts w:eastAsia="Times New Roman"/>
          <w:color w:val="000000"/>
          <w:sz w:val="20"/>
          <w:szCs w:val="20"/>
        </w:rPr>
        <w:t>0% of additional interest due to the failure to remove a restrictive legend from the 2023 convertible notes. This material weakness was considered in determining the nature, timing, and extent of audit tests applied in our audit of the consolidated financi</w:t>
      </w:r>
      <w:r>
        <w:rPr>
          <w:rFonts w:eastAsia="Times New Roman"/>
          <w:color w:val="000000"/>
          <w:sz w:val="20"/>
          <w:szCs w:val="20"/>
        </w:rPr>
        <w:t xml:space="preserve">al statements as of and for the year ended December 31, 2021, of the Company, and this report does not affect our report on such financial statements. </w:t>
      </w:r>
    </w:p>
    <w:p w14:paraId="0EDC9CDF" w14:textId="77777777" w:rsidR="00000000" w:rsidRDefault="000C49AD">
      <w:pPr>
        <w:divId w:val="1171532398"/>
        <w:rPr>
          <w:rFonts w:eastAsia="Times New Roman"/>
        </w:rPr>
      </w:pPr>
    </w:p>
    <w:p w14:paraId="407ACE02" w14:textId="77777777" w:rsidR="00000000" w:rsidRDefault="000C49AD">
      <w:pPr>
        <w:jc w:val="center"/>
        <w:divId w:val="1173181888"/>
        <w:rPr>
          <w:rFonts w:eastAsia="Times New Roman"/>
        </w:rPr>
      </w:pPr>
      <w:r>
        <w:rPr>
          <w:rFonts w:eastAsia="Times New Roman"/>
          <w:color w:val="000000"/>
          <w:sz w:val="20"/>
          <w:szCs w:val="20"/>
        </w:rPr>
        <w:t>-107-</w:t>
      </w:r>
    </w:p>
    <w:p w14:paraId="423E0901" w14:textId="77777777" w:rsidR="00000000" w:rsidRDefault="000C49AD">
      <w:pPr>
        <w:rPr>
          <w:rFonts w:eastAsia="Times New Roman"/>
        </w:rPr>
      </w:pPr>
      <w:r>
        <w:rPr>
          <w:rFonts w:eastAsia="Times New Roman"/>
        </w:rPr>
        <w:pict w14:anchorId="7C478689">
          <v:rect id="_x0000_i1132" style="width:0;height:1.5pt" o:hralign="center" o:hrstd="t" o:hr="t" fillcolor="#a0a0a0" stroked="f"/>
        </w:pict>
      </w:r>
    </w:p>
    <w:p w14:paraId="60EC42E1" w14:textId="77777777" w:rsidR="00000000" w:rsidRDefault="000C49AD">
      <w:pPr>
        <w:divId w:val="387606178"/>
        <w:rPr>
          <w:rFonts w:eastAsia="Times New Roman"/>
        </w:rPr>
      </w:pPr>
    </w:p>
    <w:p w14:paraId="62CE9192" w14:textId="77777777" w:rsidR="00000000" w:rsidRDefault="000C49AD">
      <w:pPr>
        <w:divId w:val="551120375"/>
        <w:rPr>
          <w:rFonts w:eastAsia="Times New Roman"/>
        </w:rPr>
      </w:pPr>
    </w:p>
    <w:p w14:paraId="29B37418" w14:textId="77777777" w:rsidR="00000000" w:rsidRDefault="000C49AD">
      <w:pPr>
        <w:divId w:val="859971069"/>
        <w:rPr>
          <w:rFonts w:eastAsia="Times New Roman"/>
        </w:rPr>
      </w:pPr>
      <w:r>
        <w:rPr>
          <w:rFonts w:eastAsia="Times New Roman"/>
          <w:color w:val="000000"/>
          <w:sz w:val="20"/>
          <w:szCs w:val="20"/>
        </w:rPr>
        <w:t>/s/ Deloitte and Touche LLP</w:t>
      </w:r>
    </w:p>
    <w:p w14:paraId="64797F54" w14:textId="77777777" w:rsidR="00000000" w:rsidRDefault="000C49AD">
      <w:pPr>
        <w:divId w:val="65423536"/>
        <w:rPr>
          <w:rFonts w:eastAsia="Times New Roman"/>
        </w:rPr>
      </w:pPr>
      <w:r>
        <w:rPr>
          <w:rFonts w:eastAsia="Times New Roman"/>
          <w:color w:val="000000"/>
          <w:sz w:val="20"/>
          <w:szCs w:val="20"/>
        </w:rPr>
        <w:t>St. Louis, Missouri</w:t>
      </w:r>
    </w:p>
    <w:p w14:paraId="2416A5B7" w14:textId="77777777" w:rsidR="00000000" w:rsidRDefault="000C49AD">
      <w:pPr>
        <w:divId w:val="589195376"/>
        <w:rPr>
          <w:rFonts w:eastAsia="Times New Roman"/>
        </w:rPr>
      </w:pPr>
      <w:r>
        <w:rPr>
          <w:rFonts w:eastAsia="Times New Roman"/>
          <w:color w:val="000000"/>
          <w:sz w:val="20"/>
          <w:szCs w:val="20"/>
        </w:rPr>
        <w:t>March 16</w:t>
      </w:r>
      <w:r>
        <w:rPr>
          <w:rFonts w:eastAsia="Times New Roman"/>
          <w:color w:val="000000"/>
          <w:sz w:val="20"/>
          <w:szCs w:val="20"/>
        </w:rPr>
        <w:t>, 2022</w:t>
      </w:r>
    </w:p>
    <w:p w14:paraId="13E01C0C" w14:textId="77777777" w:rsidR="00000000" w:rsidRDefault="000C49AD">
      <w:pPr>
        <w:divId w:val="716586984"/>
        <w:rPr>
          <w:rFonts w:eastAsia="Times New Roman"/>
        </w:rPr>
      </w:pPr>
    </w:p>
    <w:p w14:paraId="17A0C58A" w14:textId="77777777" w:rsidR="00000000" w:rsidRDefault="000C49AD">
      <w:pPr>
        <w:divId w:val="1358462382"/>
        <w:rPr>
          <w:rFonts w:eastAsia="Times New Roman"/>
        </w:rPr>
      </w:pPr>
    </w:p>
    <w:p w14:paraId="0DC6F60F" w14:textId="77777777" w:rsidR="00000000" w:rsidRDefault="000C49AD">
      <w:pPr>
        <w:jc w:val="right"/>
        <w:rPr>
          <w:rFonts w:eastAsia="Times New Roman"/>
        </w:rPr>
      </w:pPr>
    </w:p>
    <w:p w14:paraId="24DA5666" w14:textId="77777777" w:rsidR="00000000" w:rsidRDefault="000C49AD">
      <w:pPr>
        <w:jc w:val="right"/>
        <w:rPr>
          <w:rFonts w:eastAsia="Times New Roman"/>
        </w:rPr>
      </w:pPr>
    </w:p>
    <w:p w14:paraId="67313C54" w14:textId="77777777" w:rsidR="00000000" w:rsidRDefault="000C49AD">
      <w:pPr>
        <w:jc w:val="both"/>
        <w:divId w:val="621762686"/>
        <w:rPr>
          <w:rFonts w:eastAsia="Times New Roman"/>
        </w:rPr>
      </w:pPr>
    </w:p>
    <w:p w14:paraId="66E441F9" w14:textId="77777777" w:rsidR="00000000" w:rsidRDefault="000C49AD">
      <w:pPr>
        <w:jc w:val="center"/>
        <w:divId w:val="94640722"/>
        <w:rPr>
          <w:rFonts w:eastAsia="Times New Roman"/>
        </w:rPr>
      </w:pPr>
      <w:r>
        <w:rPr>
          <w:rFonts w:eastAsia="Times New Roman"/>
          <w:color w:val="000000"/>
          <w:sz w:val="20"/>
          <w:szCs w:val="20"/>
        </w:rPr>
        <w:t>-108-</w:t>
      </w:r>
    </w:p>
    <w:p w14:paraId="5DC3D708" w14:textId="77777777" w:rsidR="00000000" w:rsidRDefault="000C49AD">
      <w:pPr>
        <w:rPr>
          <w:rFonts w:eastAsia="Times New Roman"/>
        </w:rPr>
      </w:pPr>
      <w:r>
        <w:rPr>
          <w:rFonts w:eastAsia="Times New Roman"/>
        </w:rPr>
        <w:pict w14:anchorId="5F012F60">
          <v:rect id="_x0000_i1133" style="width:0;height:1.5pt" o:hralign="center" o:hrstd="t" o:hr="t" fillcolor="#a0a0a0" stroked="f"/>
        </w:pict>
      </w:r>
    </w:p>
    <w:p w14:paraId="3D1D2520" w14:textId="77777777" w:rsidR="00000000" w:rsidRDefault="000C49AD">
      <w:pPr>
        <w:divId w:val="710301841"/>
        <w:rPr>
          <w:rFonts w:eastAsia="Times New Roman"/>
        </w:rPr>
      </w:pPr>
    </w:p>
    <w:p w14:paraId="22260096" w14:textId="77777777" w:rsidR="00000000" w:rsidRDefault="000C49AD">
      <w:pPr>
        <w:jc w:val="both"/>
        <w:divId w:val="660694288"/>
        <w:rPr>
          <w:rFonts w:eastAsia="Times New Roman"/>
        </w:rPr>
      </w:pPr>
      <w:r>
        <w:rPr>
          <w:rFonts w:eastAsia="Times New Roman"/>
          <w:b/>
          <w:bCs/>
          <w:color w:val="000000"/>
          <w:sz w:val="20"/>
          <w:szCs w:val="20"/>
        </w:rPr>
        <w:t>Item 9.         Changes in and Disagreements with Accountants on Accounting and Financial Disclosure.</w:t>
      </w:r>
      <w:r>
        <w:rPr>
          <w:rFonts w:eastAsia="Times New Roman"/>
          <w:color w:val="000000"/>
          <w:sz w:val="20"/>
          <w:szCs w:val="20"/>
        </w:rPr>
        <w:t> </w:t>
      </w:r>
    </w:p>
    <w:p w14:paraId="26F14AAB" w14:textId="77777777" w:rsidR="00000000" w:rsidRDefault="000C49AD">
      <w:pPr>
        <w:jc w:val="both"/>
        <w:rPr>
          <w:rFonts w:eastAsia="Times New Roman"/>
        </w:rPr>
      </w:pPr>
      <w:r>
        <w:rPr>
          <w:rFonts w:eastAsia="Times New Roman"/>
          <w:color w:val="000000"/>
          <w:sz w:val="20"/>
          <w:szCs w:val="20"/>
        </w:rPr>
        <w:t xml:space="preserve">None. </w:t>
      </w:r>
    </w:p>
    <w:p w14:paraId="11CA433D" w14:textId="77777777" w:rsidR="00000000" w:rsidRDefault="000C49AD">
      <w:pPr>
        <w:jc w:val="both"/>
        <w:rPr>
          <w:rFonts w:eastAsia="Times New Roman"/>
        </w:rPr>
      </w:pPr>
    </w:p>
    <w:p w14:paraId="178228B8" w14:textId="77777777" w:rsidR="00000000" w:rsidRDefault="000C49AD">
      <w:pPr>
        <w:divId w:val="979381740"/>
        <w:rPr>
          <w:rFonts w:eastAsia="Times New Roman"/>
        </w:rPr>
      </w:pPr>
      <w:r>
        <w:rPr>
          <w:rFonts w:eastAsia="Times New Roman"/>
          <w:b/>
          <w:bCs/>
          <w:color w:val="000000"/>
          <w:sz w:val="20"/>
          <w:szCs w:val="20"/>
        </w:rPr>
        <w:t>Item 9A.</w:t>
      </w:r>
      <w:r>
        <w:rPr>
          <w:rFonts w:eastAsia="Times New Roman"/>
          <w:color w:val="000000"/>
          <w:sz w:val="20"/>
          <w:szCs w:val="20"/>
        </w:rPr>
        <w:t>    </w:t>
      </w:r>
      <w:r>
        <w:rPr>
          <w:rFonts w:eastAsia="Times New Roman"/>
          <w:b/>
          <w:bCs/>
          <w:color w:val="000000"/>
          <w:sz w:val="20"/>
          <w:szCs w:val="20"/>
        </w:rPr>
        <w:t>Controls and Procedures.</w:t>
      </w:r>
    </w:p>
    <w:p w14:paraId="7760DF1A" w14:textId="77777777" w:rsidR="00000000" w:rsidRDefault="000C49AD">
      <w:pPr>
        <w:jc w:val="both"/>
        <w:divId w:val="1497263799"/>
        <w:rPr>
          <w:rFonts w:eastAsia="Times New Roman"/>
        </w:rPr>
      </w:pPr>
      <w:r>
        <w:rPr>
          <w:rFonts w:eastAsia="Times New Roman"/>
          <w:b/>
          <w:bCs/>
          <w:color w:val="000000"/>
          <w:sz w:val="20"/>
          <w:szCs w:val="20"/>
          <w:u w:val="single"/>
        </w:rPr>
        <w:t>Evaluation of Disclosure Controls and Procedu</w:t>
      </w:r>
      <w:r>
        <w:rPr>
          <w:rFonts w:eastAsia="Times New Roman"/>
          <w:b/>
          <w:bCs/>
          <w:color w:val="000000"/>
          <w:sz w:val="20"/>
          <w:szCs w:val="20"/>
          <w:u w:val="single"/>
        </w:rPr>
        <w:t>res</w:t>
      </w:r>
    </w:p>
    <w:p w14:paraId="5A5BD47E" w14:textId="77777777" w:rsidR="00000000" w:rsidRDefault="000C49AD">
      <w:pPr>
        <w:jc w:val="both"/>
        <w:rPr>
          <w:rFonts w:eastAsia="Times New Roman"/>
        </w:rPr>
      </w:pPr>
      <w:r>
        <w:rPr>
          <w:rFonts w:eastAsia="Times New Roman"/>
          <w:color w:val="000000"/>
          <w:sz w:val="20"/>
          <w:szCs w:val="20"/>
        </w:rPr>
        <w:t>As required by Rule 15d -15(b) of the Exchange Act, our management has evaluated, under the supervision and with the participation of our principal executive officer and principal financial officer, the effectiveness of our disclosure controls and proc</w:t>
      </w:r>
      <w:r>
        <w:rPr>
          <w:rFonts w:eastAsia="Times New Roman"/>
          <w:color w:val="000000"/>
          <w:sz w:val="20"/>
          <w:szCs w:val="20"/>
        </w:rPr>
        <w:t>edures (as defined in Rules 13a-15(e) and 15d-15(e) under the Exchange Act) as of the end of the period covered by this Annual Report. Based on that evaluation, our principal executive officer and principal financial officer concluded that as of the end of</w:t>
      </w:r>
      <w:r>
        <w:rPr>
          <w:rFonts w:eastAsia="Times New Roman"/>
          <w:color w:val="000000"/>
          <w:sz w:val="20"/>
          <w:szCs w:val="20"/>
        </w:rPr>
        <w:t xml:space="preserve"> the period covered by this Annual Report our disclosure controls and procedures were not effective due to the material weakness in our internal control over financial reporting described below.</w:t>
      </w:r>
    </w:p>
    <w:p w14:paraId="0FF3BCEB" w14:textId="77777777" w:rsidR="00000000" w:rsidRDefault="000C49AD">
      <w:pPr>
        <w:jc w:val="both"/>
        <w:rPr>
          <w:rFonts w:eastAsia="Times New Roman"/>
        </w:rPr>
      </w:pPr>
    </w:p>
    <w:p w14:paraId="14A3405E" w14:textId="77777777" w:rsidR="00000000" w:rsidRDefault="000C49AD">
      <w:pPr>
        <w:jc w:val="both"/>
        <w:divId w:val="2084720998"/>
        <w:rPr>
          <w:rFonts w:eastAsia="Times New Roman"/>
        </w:rPr>
      </w:pPr>
      <w:r>
        <w:rPr>
          <w:rFonts w:eastAsia="Times New Roman"/>
          <w:b/>
          <w:bCs/>
          <w:color w:val="000000"/>
          <w:sz w:val="20"/>
          <w:szCs w:val="20"/>
          <w:u w:val="single"/>
        </w:rPr>
        <w:t>Management’s Report on Internal Control over Financial Repo</w:t>
      </w:r>
      <w:r>
        <w:rPr>
          <w:rFonts w:eastAsia="Times New Roman"/>
          <w:b/>
          <w:bCs/>
          <w:color w:val="000000"/>
          <w:sz w:val="20"/>
          <w:szCs w:val="20"/>
          <w:u w:val="single"/>
        </w:rPr>
        <w:t>rting</w:t>
      </w:r>
    </w:p>
    <w:p w14:paraId="55E90414" w14:textId="77777777" w:rsidR="00000000" w:rsidRDefault="000C49AD">
      <w:pPr>
        <w:jc w:val="both"/>
        <w:divId w:val="1680041327"/>
        <w:rPr>
          <w:rFonts w:eastAsia="Times New Roman"/>
        </w:rPr>
      </w:pPr>
      <w:r>
        <w:rPr>
          <w:rFonts w:eastAsia="Times New Roman"/>
          <w:color w:val="000000"/>
          <w:sz w:val="20"/>
          <w:szCs w:val="20"/>
        </w:rPr>
        <w:t xml:space="preserve">Our management is responsible for establishing and maintaining adequate internal control over financial reporting, as defined in Rules 13a-15(f) and 15d-15(f) under the Securities Exchange Act of 1934, as amended. Our internal control over financial </w:t>
      </w:r>
      <w:r>
        <w:rPr>
          <w:rFonts w:eastAsia="Times New Roman"/>
          <w:color w:val="000000"/>
          <w:sz w:val="20"/>
          <w:szCs w:val="20"/>
        </w:rPr>
        <w:t>reporting is designed to provide reasonable assurance regarding the reliability of financial reporting and the preparation of financial statements in accordance with U.S. generally accepted accounting principles.</w:t>
      </w:r>
    </w:p>
    <w:p w14:paraId="674E5A5D" w14:textId="77777777" w:rsidR="00000000" w:rsidRDefault="000C49AD">
      <w:pPr>
        <w:jc w:val="both"/>
        <w:divId w:val="1889797144"/>
        <w:rPr>
          <w:rFonts w:eastAsia="Times New Roman"/>
        </w:rPr>
      </w:pPr>
      <w:r>
        <w:rPr>
          <w:rFonts w:eastAsia="Times New Roman"/>
          <w:color w:val="000000"/>
          <w:sz w:val="20"/>
          <w:szCs w:val="20"/>
        </w:rPr>
        <w:t>Because of its inherent limitations, intern</w:t>
      </w:r>
      <w:r>
        <w:rPr>
          <w:rFonts w:eastAsia="Times New Roman"/>
          <w:color w:val="000000"/>
          <w:sz w:val="20"/>
          <w:szCs w:val="20"/>
        </w:rPr>
        <w:t>al control over financial reporting may not prevent or detect all misstatements. Also, projections of any evaluation of effectiveness to future periods are subject to the risk that controls may become inadequate because of changes in conditions, or that th</w:t>
      </w:r>
      <w:r>
        <w:rPr>
          <w:rFonts w:eastAsia="Times New Roman"/>
          <w:color w:val="000000"/>
          <w:sz w:val="20"/>
          <w:szCs w:val="20"/>
        </w:rPr>
        <w:t>e degree of compliance with the policies or procedures may deteriorate.</w:t>
      </w:r>
    </w:p>
    <w:p w14:paraId="43ED9F97" w14:textId="77777777" w:rsidR="00000000" w:rsidRDefault="000C49AD">
      <w:pPr>
        <w:jc w:val="both"/>
        <w:divId w:val="409813467"/>
        <w:rPr>
          <w:rFonts w:eastAsia="Times New Roman"/>
        </w:rPr>
      </w:pPr>
      <w:r>
        <w:rPr>
          <w:rFonts w:eastAsia="Times New Roman"/>
          <w:color w:val="000000"/>
          <w:sz w:val="20"/>
          <w:szCs w:val="20"/>
        </w:rPr>
        <w:t xml:space="preserve">We assessed the effectiveness of our internal control over financial reporting as of December 31, 2021. In making this assessment, our management used the criteria set forth in </w:t>
      </w:r>
      <w:r>
        <w:rPr>
          <w:rFonts w:eastAsia="Times New Roman"/>
          <w:i/>
          <w:iCs/>
          <w:color w:val="000000"/>
          <w:sz w:val="20"/>
          <w:szCs w:val="20"/>
        </w:rPr>
        <w:t>Internal Control-Integrated Framework (2013) issued by the Committee of Sponsor</w:t>
      </w:r>
      <w:r>
        <w:rPr>
          <w:rFonts w:eastAsia="Times New Roman"/>
          <w:i/>
          <w:iCs/>
          <w:color w:val="000000"/>
          <w:sz w:val="20"/>
          <w:szCs w:val="20"/>
        </w:rPr>
        <w:t>ing Organizations of the Treadway Commission</w:t>
      </w:r>
      <w:r>
        <w:rPr>
          <w:rFonts w:eastAsia="Times New Roman"/>
          <w:color w:val="000000"/>
          <w:sz w:val="20"/>
          <w:szCs w:val="20"/>
        </w:rPr>
        <w:t>. Based on this assessment, management concluded that, as of December 31, 2021, the Company’s internal control over financial reporting was not effective.</w:t>
      </w:r>
    </w:p>
    <w:p w14:paraId="0E103CB9" w14:textId="77777777" w:rsidR="00000000" w:rsidRDefault="000C49AD">
      <w:pPr>
        <w:jc w:val="both"/>
        <w:divId w:val="2108113279"/>
        <w:rPr>
          <w:rFonts w:eastAsia="Times New Roman"/>
        </w:rPr>
      </w:pPr>
      <w:r>
        <w:rPr>
          <w:rFonts w:eastAsia="Times New Roman"/>
          <w:color w:val="000000"/>
          <w:sz w:val="20"/>
          <w:szCs w:val="20"/>
        </w:rPr>
        <w:t>A material weakness is a deficiency, or combination of de</w:t>
      </w:r>
      <w:r>
        <w:rPr>
          <w:rFonts w:eastAsia="Times New Roman"/>
          <w:color w:val="000000"/>
          <w:sz w:val="20"/>
          <w:szCs w:val="20"/>
        </w:rPr>
        <w:t>ficiencies, in internal control over financial reporting, such that there is a reasonable possibility that a material misstatement of the company’s annual or interim financial statements will not be prevented or detected on a timely basis.</w:t>
      </w:r>
    </w:p>
    <w:p w14:paraId="1FF64905" w14:textId="77777777" w:rsidR="00000000" w:rsidRDefault="000C49AD">
      <w:pPr>
        <w:jc w:val="both"/>
        <w:divId w:val="864555970"/>
        <w:rPr>
          <w:rFonts w:eastAsia="Times New Roman"/>
        </w:rPr>
      </w:pPr>
      <w:r>
        <w:rPr>
          <w:rFonts w:eastAsia="Times New Roman"/>
          <w:b/>
          <w:bCs/>
          <w:color w:val="000000"/>
          <w:sz w:val="20"/>
          <w:szCs w:val="20"/>
          <w:u w:val="single"/>
        </w:rPr>
        <w:t>Material Weaknes</w:t>
      </w:r>
      <w:r>
        <w:rPr>
          <w:rFonts w:eastAsia="Times New Roman"/>
          <w:b/>
          <w:bCs/>
          <w:color w:val="000000"/>
          <w:sz w:val="20"/>
          <w:szCs w:val="20"/>
          <w:u w:val="single"/>
        </w:rPr>
        <w:t>s in Internal Control Over Financial Reporting</w:t>
      </w:r>
    </w:p>
    <w:p w14:paraId="465C070E" w14:textId="77777777" w:rsidR="00000000" w:rsidRDefault="000C49AD">
      <w:pPr>
        <w:jc w:val="both"/>
        <w:rPr>
          <w:rFonts w:eastAsia="Times New Roman"/>
        </w:rPr>
      </w:pPr>
      <w:r>
        <w:rPr>
          <w:rFonts w:eastAsia="Times New Roman"/>
          <w:color w:val="000000"/>
          <w:sz w:val="20"/>
          <w:szCs w:val="20"/>
        </w:rPr>
        <w:t>During the Company’s fiscal 2021 financial statement close process, management identified a deficiency in the design of internal control over financial reporting related to its February 2023 Notes indenture. S</w:t>
      </w:r>
      <w:r>
        <w:rPr>
          <w:rFonts w:eastAsia="Times New Roman"/>
          <w:color w:val="000000"/>
          <w:sz w:val="20"/>
          <w:szCs w:val="20"/>
        </w:rPr>
        <w:t>pecifically, management did not have a control to identify that we were in technical default of the February 2023 Notes and owed 0.50% of additional interest on the February 2023 Notes due to not removing a restrictive legend from the February 2023 Notes 3</w:t>
      </w:r>
      <w:r>
        <w:rPr>
          <w:rFonts w:eastAsia="Times New Roman"/>
          <w:color w:val="000000"/>
          <w:sz w:val="20"/>
          <w:szCs w:val="20"/>
        </w:rPr>
        <w:t xml:space="preserve">65 days following the original issuance of the February 2023 Notes on February 16, 2018. The Company cured the default through payment of the additional interest in March 2022. </w:t>
      </w:r>
    </w:p>
    <w:p w14:paraId="53876D71" w14:textId="77777777" w:rsidR="00000000" w:rsidRDefault="000C49AD">
      <w:pPr>
        <w:divId w:val="411508860"/>
        <w:rPr>
          <w:rFonts w:eastAsia="Times New Roman"/>
        </w:rPr>
      </w:pPr>
    </w:p>
    <w:p w14:paraId="0D7E5B39" w14:textId="77777777" w:rsidR="00000000" w:rsidRDefault="000C49AD">
      <w:pPr>
        <w:jc w:val="both"/>
        <w:rPr>
          <w:rFonts w:eastAsia="Times New Roman"/>
        </w:rPr>
      </w:pPr>
      <w:r>
        <w:rPr>
          <w:rFonts w:eastAsia="Times New Roman"/>
          <w:color w:val="000000"/>
          <w:sz w:val="20"/>
          <w:szCs w:val="20"/>
        </w:rPr>
        <w:t>The effectiveness of our internal control over financial reporting as of Dec</w:t>
      </w:r>
      <w:r>
        <w:rPr>
          <w:rFonts w:eastAsia="Times New Roman"/>
          <w:color w:val="000000"/>
          <w:sz w:val="20"/>
          <w:szCs w:val="20"/>
        </w:rPr>
        <w:t xml:space="preserve">ember 31, 2021 has been audited by Deloitte &amp; Touche LLP, an independent registered public accounting firm, as stated in their report included in this Annual Report. This report contains an adverse opinion on the effectiveness of our internal control over </w:t>
      </w:r>
      <w:r>
        <w:rPr>
          <w:rFonts w:eastAsia="Times New Roman"/>
          <w:color w:val="000000"/>
          <w:sz w:val="20"/>
          <w:szCs w:val="20"/>
        </w:rPr>
        <w:t>financial reporting.</w:t>
      </w:r>
    </w:p>
    <w:p w14:paraId="437E6503" w14:textId="77777777" w:rsidR="00000000" w:rsidRDefault="000C49AD">
      <w:pPr>
        <w:divId w:val="1418593633"/>
        <w:rPr>
          <w:rFonts w:eastAsia="Times New Roman"/>
        </w:rPr>
      </w:pPr>
    </w:p>
    <w:p w14:paraId="62F5EC9E" w14:textId="77777777" w:rsidR="00000000" w:rsidRDefault="000C49AD">
      <w:pPr>
        <w:jc w:val="both"/>
        <w:divId w:val="1561747391"/>
        <w:rPr>
          <w:rFonts w:eastAsia="Times New Roman"/>
        </w:rPr>
      </w:pPr>
      <w:r>
        <w:rPr>
          <w:rFonts w:eastAsia="Times New Roman"/>
          <w:b/>
          <w:bCs/>
          <w:color w:val="000000"/>
          <w:sz w:val="20"/>
          <w:szCs w:val="20"/>
          <w:u w:val="single"/>
        </w:rPr>
        <w:t>Remediation of Material Weakness</w:t>
      </w:r>
    </w:p>
    <w:p w14:paraId="0F836303" w14:textId="77777777" w:rsidR="00000000" w:rsidRDefault="000C49AD">
      <w:pPr>
        <w:jc w:val="both"/>
        <w:rPr>
          <w:rFonts w:eastAsia="Times New Roman"/>
        </w:rPr>
      </w:pPr>
      <w:r>
        <w:rPr>
          <w:rFonts w:eastAsia="Times New Roman"/>
          <w:color w:val="000000"/>
          <w:sz w:val="20"/>
          <w:szCs w:val="20"/>
        </w:rPr>
        <w:t xml:space="preserve">Once the material weakness was identified, we developed and implemented a remediation plan that includes the implementation of additional control procedures surrounding timely and periodic evaluation </w:t>
      </w:r>
      <w:r>
        <w:rPr>
          <w:rFonts w:eastAsia="Times New Roman"/>
          <w:color w:val="000000"/>
          <w:sz w:val="20"/>
          <w:szCs w:val="20"/>
        </w:rPr>
        <w:t>of all terms of our debt agreement and the associated calculation of interest expense in accordance with the terms of such debt agreement to ensure the completeness and accuracy of the calculation and timely payment of interest expense, classification of d</w:t>
      </w:r>
      <w:r>
        <w:rPr>
          <w:rFonts w:eastAsia="Times New Roman"/>
          <w:color w:val="000000"/>
          <w:sz w:val="20"/>
          <w:szCs w:val="20"/>
        </w:rPr>
        <w:t xml:space="preserve">ebt and compliance with terms of the debt agreement. </w:t>
      </w:r>
    </w:p>
    <w:p w14:paraId="3E7A1600" w14:textId="77777777" w:rsidR="00000000" w:rsidRDefault="000C49AD">
      <w:pPr>
        <w:jc w:val="both"/>
        <w:rPr>
          <w:rFonts w:eastAsia="Times New Roman"/>
        </w:rPr>
      </w:pPr>
    </w:p>
    <w:p w14:paraId="6CAAC268" w14:textId="77777777" w:rsidR="00000000" w:rsidRDefault="000C49AD">
      <w:pPr>
        <w:jc w:val="both"/>
        <w:rPr>
          <w:rFonts w:eastAsia="Times New Roman"/>
        </w:rPr>
      </w:pPr>
      <w:r>
        <w:rPr>
          <w:rFonts w:eastAsia="Times New Roman"/>
          <w:color w:val="000000"/>
          <w:sz w:val="20"/>
          <w:szCs w:val="20"/>
        </w:rPr>
        <w:t>We are committed to maintaining a strong internal control environment and have fully implemented measures designed to help ensure that the control deficiency contributing to the material weakness is r</w:t>
      </w:r>
      <w:r>
        <w:rPr>
          <w:rFonts w:eastAsia="Times New Roman"/>
          <w:color w:val="000000"/>
          <w:sz w:val="20"/>
          <w:szCs w:val="20"/>
        </w:rPr>
        <w:t>emediated. However, there cannot be any assurance that these remediation efforts will be successful or that our internal control over financial reporting will be effective as a result of these efforts. The material weakness will be fully remediated when, w</w:t>
      </w:r>
      <w:r>
        <w:rPr>
          <w:rFonts w:eastAsia="Times New Roman"/>
          <w:color w:val="000000"/>
          <w:sz w:val="20"/>
          <w:szCs w:val="20"/>
        </w:rPr>
        <w:t>e have determined, through testing, these controls have operated effectively for a sufficient period of time.</w:t>
      </w:r>
    </w:p>
    <w:p w14:paraId="6DF109C3" w14:textId="77777777" w:rsidR="00000000" w:rsidRDefault="000C49AD">
      <w:pPr>
        <w:divId w:val="1020200351"/>
        <w:rPr>
          <w:rFonts w:eastAsia="Times New Roman"/>
        </w:rPr>
      </w:pPr>
    </w:p>
    <w:p w14:paraId="531072F4" w14:textId="77777777" w:rsidR="00000000" w:rsidRDefault="000C49AD">
      <w:pPr>
        <w:jc w:val="center"/>
        <w:divId w:val="656540952"/>
        <w:rPr>
          <w:rFonts w:eastAsia="Times New Roman"/>
        </w:rPr>
      </w:pPr>
      <w:r>
        <w:rPr>
          <w:rFonts w:eastAsia="Times New Roman"/>
          <w:color w:val="000000"/>
          <w:sz w:val="20"/>
          <w:szCs w:val="20"/>
        </w:rPr>
        <w:t>-109-</w:t>
      </w:r>
    </w:p>
    <w:p w14:paraId="3916D0E2" w14:textId="77777777" w:rsidR="00000000" w:rsidRDefault="000C49AD">
      <w:pPr>
        <w:rPr>
          <w:rFonts w:eastAsia="Times New Roman"/>
        </w:rPr>
      </w:pPr>
      <w:r>
        <w:rPr>
          <w:rFonts w:eastAsia="Times New Roman"/>
        </w:rPr>
        <w:pict w14:anchorId="4B836E96">
          <v:rect id="_x0000_i1134" style="width:0;height:1.5pt" o:hralign="center" o:hrstd="t" o:hr="t" fillcolor="#a0a0a0" stroked="f"/>
        </w:pict>
      </w:r>
    </w:p>
    <w:p w14:paraId="3B584A90" w14:textId="77777777" w:rsidR="00000000" w:rsidRDefault="000C49AD">
      <w:pPr>
        <w:divId w:val="1251500582"/>
        <w:rPr>
          <w:rFonts w:eastAsia="Times New Roman"/>
        </w:rPr>
      </w:pPr>
    </w:p>
    <w:p w14:paraId="453155B2" w14:textId="77777777" w:rsidR="00000000" w:rsidRDefault="000C49AD">
      <w:pPr>
        <w:jc w:val="both"/>
        <w:divId w:val="682436515"/>
        <w:rPr>
          <w:rFonts w:eastAsia="Times New Roman"/>
        </w:rPr>
      </w:pPr>
      <w:r>
        <w:rPr>
          <w:rFonts w:eastAsia="Times New Roman"/>
          <w:b/>
          <w:bCs/>
          <w:color w:val="000000"/>
          <w:sz w:val="20"/>
          <w:szCs w:val="20"/>
          <w:u w:val="single"/>
        </w:rPr>
        <w:t>Other Changes in Internal Control Over Financial Reporting</w:t>
      </w:r>
    </w:p>
    <w:p w14:paraId="10B17046" w14:textId="77777777" w:rsidR="00000000" w:rsidRDefault="000C49AD">
      <w:pPr>
        <w:jc w:val="both"/>
        <w:rPr>
          <w:rFonts w:eastAsia="Times New Roman"/>
        </w:rPr>
      </w:pPr>
      <w:r>
        <w:rPr>
          <w:rFonts w:eastAsia="Times New Roman"/>
          <w:color w:val="000000"/>
          <w:sz w:val="20"/>
          <w:szCs w:val="20"/>
        </w:rPr>
        <w:t>Except as noted above, there have been no</w:t>
      </w:r>
      <w:r>
        <w:rPr>
          <w:rFonts w:eastAsia="Times New Roman"/>
          <w:color w:val="000000"/>
          <w:sz w:val="20"/>
          <w:szCs w:val="20"/>
        </w:rPr>
        <w:t xml:space="preserve"> changes in our internal control over financial reporting identified in management’s evaluation pursuant to Rules 13a-15(d) or 15d-15(d) of the Exchange Act during the quarter ended December 31, 2021 that have materially affected, or are reasonably likely </w:t>
      </w:r>
      <w:r>
        <w:rPr>
          <w:rFonts w:eastAsia="Times New Roman"/>
          <w:color w:val="000000"/>
          <w:sz w:val="20"/>
          <w:szCs w:val="20"/>
        </w:rPr>
        <w:t xml:space="preserve">to materially affect, our internal control over financial reporting. </w:t>
      </w:r>
    </w:p>
    <w:p w14:paraId="022CE268" w14:textId="77777777" w:rsidR="00000000" w:rsidRDefault="000C49AD">
      <w:pPr>
        <w:jc w:val="both"/>
        <w:rPr>
          <w:rFonts w:eastAsia="Times New Roman"/>
        </w:rPr>
      </w:pPr>
    </w:p>
    <w:p w14:paraId="0EF6735F" w14:textId="77777777" w:rsidR="00000000" w:rsidRDefault="000C49AD">
      <w:pPr>
        <w:jc w:val="both"/>
        <w:rPr>
          <w:rFonts w:eastAsia="Times New Roman"/>
        </w:rPr>
      </w:pPr>
      <w:r>
        <w:rPr>
          <w:rFonts w:eastAsia="Times New Roman"/>
          <w:b/>
          <w:bCs/>
          <w:color w:val="000000"/>
          <w:sz w:val="20"/>
          <w:szCs w:val="20"/>
        </w:rPr>
        <w:t>Item 9B.     Other Information.</w:t>
      </w:r>
      <w:r>
        <w:rPr>
          <w:rFonts w:eastAsia="Times New Roman"/>
          <w:color w:val="000000"/>
          <w:sz w:val="20"/>
          <w:szCs w:val="20"/>
        </w:rPr>
        <w:t> </w:t>
      </w:r>
    </w:p>
    <w:p w14:paraId="1FB4B0D9" w14:textId="77777777" w:rsidR="00000000" w:rsidRDefault="000C49AD">
      <w:pPr>
        <w:jc w:val="both"/>
        <w:rPr>
          <w:rFonts w:eastAsia="Times New Roman"/>
        </w:rPr>
      </w:pPr>
    </w:p>
    <w:p w14:paraId="71F13B30" w14:textId="77777777" w:rsidR="00000000" w:rsidRDefault="000C49AD">
      <w:pPr>
        <w:jc w:val="both"/>
        <w:rPr>
          <w:rFonts w:eastAsia="Times New Roman"/>
        </w:rPr>
      </w:pPr>
      <w:r>
        <w:rPr>
          <w:rFonts w:eastAsia="Times New Roman"/>
          <w:color w:val="000000"/>
          <w:sz w:val="20"/>
          <w:szCs w:val="20"/>
        </w:rPr>
        <w:t xml:space="preserve">Not applicable. </w:t>
      </w:r>
    </w:p>
    <w:p w14:paraId="4E788FC8" w14:textId="77777777" w:rsidR="00000000" w:rsidRDefault="000C49AD">
      <w:pPr>
        <w:jc w:val="both"/>
        <w:divId w:val="638992842"/>
        <w:rPr>
          <w:rFonts w:eastAsia="Times New Roman"/>
        </w:rPr>
      </w:pPr>
    </w:p>
    <w:p w14:paraId="0230C281" w14:textId="77777777" w:rsidR="00000000" w:rsidRDefault="000C49AD">
      <w:pPr>
        <w:jc w:val="both"/>
        <w:rPr>
          <w:rFonts w:eastAsia="Times New Roman"/>
        </w:rPr>
      </w:pPr>
      <w:r>
        <w:rPr>
          <w:rFonts w:eastAsia="Times New Roman"/>
          <w:b/>
          <w:bCs/>
          <w:color w:val="000000"/>
          <w:sz w:val="20"/>
          <w:szCs w:val="20"/>
        </w:rPr>
        <w:t>Item 9C.     Disclosure Regarding Foreign Jurisdictions that Prevent Inspections.</w:t>
      </w:r>
      <w:r>
        <w:rPr>
          <w:rFonts w:eastAsia="Times New Roman"/>
          <w:color w:val="000000"/>
          <w:sz w:val="20"/>
          <w:szCs w:val="20"/>
        </w:rPr>
        <w:t> </w:t>
      </w:r>
    </w:p>
    <w:p w14:paraId="23A26FFC" w14:textId="77777777" w:rsidR="00000000" w:rsidRDefault="000C49AD">
      <w:pPr>
        <w:jc w:val="both"/>
        <w:rPr>
          <w:rFonts w:eastAsia="Times New Roman"/>
        </w:rPr>
      </w:pPr>
    </w:p>
    <w:p w14:paraId="29AED4F7" w14:textId="77777777" w:rsidR="00000000" w:rsidRDefault="000C49AD">
      <w:pPr>
        <w:jc w:val="both"/>
        <w:rPr>
          <w:rFonts w:eastAsia="Times New Roman"/>
        </w:rPr>
      </w:pPr>
      <w:r>
        <w:rPr>
          <w:rFonts w:eastAsia="Times New Roman"/>
          <w:color w:val="000000"/>
          <w:sz w:val="20"/>
          <w:szCs w:val="20"/>
        </w:rPr>
        <w:t xml:space="preserve">Not applicable. </w:t>
      </w:r>
    </w:p>
    <w:p w14:paraId="332CDDF9" w14:textId="77777777" w:rsidR="00000000" w:rsidRDefault="000C49AD">
      <w:pPr>
        <w:jc w:val="center"/>
        <w:divId w:val="68038040"/>
        <w:rPr>
          <w:rFonts w:eastAsia="Times New Roman"/>
        </w:rPr>
      </w:pPr>
      <w:r>
        <w:rPr>
          <w:rFonts w:eastAsia="Times New Roman"/>
          <w:color w:val="000000"/>
          <w:sz w:val="20"/>
          <w:szCs w:val="20"/>
        </w:rPr>
        <w:t>-110-</w:t>
      </w:r>
    </w:p>
    <w:p w14:paraId="5B4C75EB" w14:textId="77777777" w:rsidR="00000000" w:rsidRDefault="000C49AD">
      <w:pPr>
        <w:rPr>
          <w:rFonts w:eastAsia="Times New Roman"/>
        </w:rPr>
      </w:pPr>
      <w:r>
        <w:rPr>
          <w:rFonts w:eastAsia="Times New Roman"/>
        </w:rPr>
        <w:pict w14:anchorId="0C363BE0">
          <v:rect id="_x0000_i1135" style="width:0;height:1.5pt" o:hralign="center" o:hrstd="t" o:hr="t" fillcolor="#a0a0a0" stroked="f"/>
        </w:pict>
      </w:r>
    </w:p>
    <w:p w14:paraId="1F5497C2" w14:textId="77777777" w:rsidR="00000000" w:rsidRDefault="000C49AD">
      <w:pPr>
        <w:divId w:val="1534879830"/>
        <w:rPr>
          <w:rFonts w:eastAsia="Times New Roman"/>
        </w:rPr>
      </w:pPr>
    </w:p>
    <w:p w14:paraId="0B4EA9B9" w14:textId="77777777" w:rsidR="00000000" w:rsidRDefault="000C49AD">
      <w:pPr>
        <w:divId w:val="1993870997"/>
        <w:rPr>
          <w:rFonts w:eastAsia="Times New Roman"/>
        </w:rPr>
      </w:pPr>
      <w:r>
        <w:rPr>
          <w:rFonts w:eastAsia="Times New Roman"/>
          <w:b/>
          <w:bCs/>
          <w:i/>
          <w:iCs/>
          <w:color w:val="000000"/>
          <w:sz w:val="20"/>
          <w:szCs w:val="20"/>
        </w:rPr>
        <w:t>PART III</w:t>
      </w:r>
      <w:r>
        <w:rPr>
          <w:rFonts w:eastAsia="Times New Roman"/>
          <w:color w:val="000000"/>
          <w:sz w:val="20"/>
          <w:szCs w:val="20"/>
        </w:rPr>
        <w:t> </w:t>
      </w:r>
    </w:p>
    <w:p w14:paraId="63D1D32E" w14:textId="77777777" w:rsidR="00000000" w:rsidRDefault="000C49AD">
      <w:pPr>
        <w:jc w:val="both"/>
        <w:rPr>
          <w:rFonts w:eastAsia="Times New Roman"/>
        </w:rPr>
      </w:pPr>
      <w:r>
        <w:rPr>
          <w:rFonts w:eastAsia="Times New Roman"/>
          <w:color w:val="000000"/>
          <w:sz w:val="20"/>
          <w:szCs w:val="20"/>
        </w:rPr>
        <w:t xml:space="preserve">Certain information required by Part III is omitted from this Annual Report on Form 10-K because we intend to file our definitive proxy statement for our 2022 annual general meeting of shareholders pursuant to Regulation 14A of the Securities Exchange Act </w:t>
      </w:r>
      <w:r>
        <w:rPr>
          <w:rFonts w:eastAsia="Times New Roman"/>
          <w:color w:val="000000"/>
          <w:sz w:val="20"/>
          <w:szCs w:val="20"/>
        </w:rPr>
        <w:t>of 1934 (our “Definitive 2022 Proxy Statement”), not later than 120 days after the end of the fiscal year covered by this Annual Report on Form 10-K, and certain information to be included in our Definitive 2022 Proxy Statement is incorporated herein by re</w:t>
      </w:r>
      <w:r>
        <w:rPr>
          <w:rFonts w:eastAsia="Times New Roman"/>
          <w:color w:val="000000"/>
          <w:sz w:val="20"/>
          <w:szCs w:val="20"/>
        </w:rPr>
        <w:t>ference. </w:t>
      </w:r>
    </w:p>
    <w:p w14:paraId="039F75AA" w14:textId="77777777" w:rsidR="00000000" w:rsidRDefault="000C49AD">
      <w:pPr>
        <w:divId w:val="2071541158"/>
        <w:rPr>
          <w:rFonts w:eastAsia="Times New Roman"/>
        </w:rPr>
      </w:pPr>
    </w:p>
    <w:p w14:paraId="1771A818" w14:textId="77777777" w:rsidR="00000000" w:rsidRDefault="000C49AD">
      <w:pPr>
        <w:jc w:val="both"/>
        <w:divId w:val="1268733835"/>
        <w:rPr>
          <w:rFonts w:eastAsia="Times New Roman"/>
        </w:rPr>
      </w:pPr>
      <w:r>
        <w:rPr>
          <w:rFonts w:eastAsia="Times New Roman"/>
          <w:b/>
          <w:bCs/>
          <w:color w:val="000000"/>
          <w:sz w:val="20"/>
          <w:szCs w:val="20"/>
        </w:rPr>
        <w:t>Item 10.     Directors, Executive Officers and Corporate Governance.</w:t>
      </w:r>
      <w:r>
        <w:rPr>
          <w:rFonts w:eastAsia="Times New Roman"/>
          <w:color w:val="000000"/>
          <w:sz w:val="20"/>
          <w:szCs w:val="20"/>
        </w:rPr>
        <w:t> </w:t>
      </w:r>
    </w:p>
    <w:p w14:paraId="7E4A5012" w14:textId="77777777" w:rsidR="00000000" w:rsidRDefault="000C49AD">
      <w:pPr>
        <w:jc w:val="both"/>
        <w:rPr>
          <w:rFonts w:eastAsia="Times New Roman"/>
        </w:rPr>
      </w:pPr>
      <w:r>
        <w:rPr>
          <w:rFonts w:eastAsia="Times New Roman"/>
          <w:color w:val="000000"/>
          <w:sz w:val="20"/>
          <w:szCs w:val="20"/>
        </w:rPr>
        <w:t>Information regarding Directors, Executive Officers and Corporate Governance is hereby incorporated by reference to our Definitive 2022 Proxy Statement, which we intend to fi</w:t>
      </w:r>
      <w:r>
        <w:rPr>
          <w:rFonts w:eastAsia="Times New Roman"/>
          <w:color w:val="000000"/>
          <w:sz w:val="20"/>
          <w:szCs w:val="20"/>
        </w:rPr>
        <w:t>le with the SEC within 120 days after December 31, 2021. </w:t>
      </w:r>
    </w:p>
    <w:p w14:paraId="03EEBAF4" w14:textId="77777777" w:rsidR="00000000" w:rsidRDefault="000C49AD">
      <w:pPr>
        <w:jc w:val="both"/>
        <w:rPr>
          <w:rFonts w:eastAsia="Times New Roman"/>
        </w:rPr>
      </w:pPr>
    </w:p>
    <w:p w14:paraId="7886D238" w14:textId="77777777" w:rsidR="00000000" w:rsidRDefault="000C49AD">
      <w:pPr>
        <w:jc w:val="both"/>
        <w:divId w:val="206338895"/>
        <w:rPr>
          <w:rFonts w:eastAsia="Times New Roman"/>
        </w:rPr>
      </w:pPr>
      <w:r>
        <w:rPr>
          <w:rFonts w:eastAsia="Times New Roman"/>
          <w:b/>
          <w:bCs/>
          <w:color w:val="000000"/>
          <w:sz w:val="20"/>
          <w:szCs w:val="20"/>
        </w:rPr>
        <w:t>Item 11.     Executive Compensation.</w:t>
      </w:r>
      <w:r>
        <w:rPr>
          <w:rFonts w:eastAsia="Times New Roman"/>
          <w:color w:val="000000"/>
          <w:sz w:val="20"/>
          <w:szCs w:val="20"/>
        </w:rPr>
        <w:t> </w:t>
      </w:r>
    </w:p>
    <w:p w14:paraId="673B954B" w14:textId="77777777" w:rsidR="00000000" w:rsidRDefault="000C49AD">
      <w:pPr>
        <w:jc w:val="both"/>
        <w:rPr>
          <w:rFonts w:eastAsia="Times New Roman"/>
        </w:rPr>
      </w:pPr>
      <w:r>
        <w:rPr>
          <w:rFonts w:eastAsia="Times New Roman"/>
          <w:color w:val="000000"/>
          <w:sz w:val="20"/>
          <w:szCs w:val="20"/>
        </w:rPr>
        <w:t xml:space="preserve">Information regarding Executive Compensation is hereby incorporated by reference to our Definitive 2022 Proxy Statement, which we intend to file with the SEC </w:t>
      </w:r>
      <w:r>
        <w:rPr>
          <w:rFonts w:eastAsia="Times New Roman"/>
          <w:color w:val="000000"/>
          <w:sz w:val="20"/>
          <w:szCs w:val="20"/>
        </w:rPr>
        <w:t>within 120 days after December 31, 2021. </w:t>
      </w:r>
    </w:p>
    <w:p w14:paraId="73DB4E43" w14:textId="77777777" w:rsidR="00000000" w:rsidRDefault="000C49AD">
      <w:pPr>
        <w:jc w:val="both"/>
        <w:rPr>
          <w:rFonts w:eastAsia="Times New Roman"/>
        </w:rPr>
      </w:pPr>
    </w:p>
    <w:p w14:paraId="3F564F62" w14:textId="77777777" w:rsidR="00000000" w:rsidRDefault="000C49AD">
      <w:pPr>
        <w:jc w:val="both"/>
        <w:divId w:val="644772596"/>
        <w:rPr>
          <w:rFonts w:eastAsia="Times New Roman"/>
        </w:rPr>
      </w:pPr>
      <w:r>
        <w:rPr>
          <w:rFonts w:eastAsia="Times New Roman"/>
          <w:b/>
          <w:bCs/>
          <w:color w:val="000000"/>
          <w:sz w:val="20"/>
          <w:szCs w:val="20"/>
        </w:rPr>
        <w:t>Item 12.     Security Ownership of Certain Beneficial Owners and Management and Related Stockholder Matters.</w:t>
      </w:r>
      <w:r>
        <w:rPr>
          <w:rFonts w:eastAsia="Times New Roman"/>
          <w:color w:val="000000"/>
          <w:sz w:val="20"/>
          <w:szCs w:val="20"/>
        </w:rPr>
        <w:t> </w:t>
      </w:r>
    </w:p>
    <w:p w14:paraId="6D3043EE" w14:textId="77777777" w:rsidR="00000000" w:rsidRDefault="000C49AD">
      <w:pPr>
        <w:jc w:val="both"/>
        <w:rPr>
          <w:rFonts w:eastAsia="Times New Roman"/>
        </w:rPr>
      </w:pPr>
      <w:r>
        <w:rPr>
          <w:rFonts w:eastAsia="Times New Roman"/>
          <w:color w:val="000000"/>
          <w:sz w:val="20"/>
          <w:szCs w:val="20"/>
        </w:rPr>
        <w:t>Information regarding Security Ownership of Certain Beneficial Owners and Management and Related Stock</w:t>
      </w:r>
      <w:r>
        <w:rPr>
          <w:rFonts w:eastAsia="Times New Roman"/>
          <w:color w:val="000000"/>
          <w:sz w:val="20"/>
          <w:szCs w:val="20"/>
        </w:rPr>
        <w:t>holder Matters is hereby incorporated by reference to our Definitive 2022 Proxy Statement, which we intend to file with the SEC within 120 days after December 31, 2021. </w:t>
      </w:r>
    </w:p>
    <w:p w14:paraId="6FAAFFCA" w14:textId="77777777" w:rsidR="00000000" w:rsidRDefault="000C49AD">
      <w:pPr>
        <w:jc w:val="both"/>
        <w:rPr>
          <w:rFonts w:eastAsia="Times New Roman"/>
        </w:rPr>
      </w:pPr>
    </w:p>
    <w:p w14:paraId="0E23CBD1" w14:textId="77777777" w:rsidR="00000000" w:rsidRDefault="000C49AD">
      <w:pPr>
        <w:jc w:val="both"/>
        <w:divId w:val="614093053"/>
        <w:rPr>
          <w:rFonts w:eastAsia="Times New Roman"/>
        </w:rPr>
      </w:pPr>
      <w:r>
        <w:rPr>
          <w:rFonts w:eastAsia="Times New Roman"/>
          <w:b/>
          <w:bCs/>
          <w:color w:val="000000"/>
          <w:sz w:val="20"/>
          <w:szCs w:val="20"/>
        </w:rPr>
        <w:t>Item 13.     Certain Relationships and Related Transactions, and Director Independen</w:t>
      </w:r>
      <w:r>
        <w:rPr>
          <w:rFonts w:eastAsia="Times New Roman"/>
          <w:b/>
          <w:bCs/>
          <w:color w:val="000000"/>
          <w:sz w:val="20"/>
          <w:szCs w:val="20"/>
        </w:rPr>
        <w:t>ce.</w:t>
      </w:r>
      <w:r>
        <w:rPr>
          <w:rFonts w:eastAsia="Times New Roman"/>
          <w:color w:val="000000"/>
          <w:sz w:val="20"/>
          <w:szCs w:val="20"/>
        </w:rPr>
        <w:t> </w:t>
      </w:r>
    </w:p>
    <w:p w14:paraId="0E4EC5E7" w14:textId="77777777" w:rsidR="00000000" w:rsidRDefault="000C49AD">
      <w:pPr>
        <w:jc w:val="both"/>
        <w:rPr>
          <w:rFonts w:eastAsia="Times New Roman"/>
        </w:rPr>
      </w:pPr>
      <w:r>
        <w:rPr>
          <w:rFonts w:eastAsia="Times New Roman"/>
          <w:color w:val="000000"/>
          <w:sz w:val="20"/>
          <w:szCs w:val="20"/>
        </w:rPr>
        <w:t>Information regarding Certain Relationships and Related Transactions, and Director Independence is hereby incorporated by reference to our Definitive 2022 Proxy Statement, which we intend to file with the SEC within 120 days after December 31, 2021. </w:t>
      </w:r>
    </w:p>
    <w:p w14:paraId="7F0AF280" w14:textId="77777777" w:rsidR="00000000" w:rsidRDefault="000C49AD">
      <w:pPr>
        <w:jc w:val="both"/>
        <w:rPr>
          <w:rFonts w:eastAsia="Times New Roman"/>
        </w:rPr>
      </w:pPr>
    </w:p>
    <w:p w14:paraId="6206128E" w14:textId="77777777" w:rsidR="00000000" w:rsidRDefault="000C49AD">
      <w:pPr>
        <w:jc w:val="both"/>
        <w:rPr>
          <w:rFonts w:eastAsia="Times New Roman"/>
        </w:rPr>
      </w:pPr>
      <w:r>
        <w:rPr>
          <w:rFonts w:eastAsia="Times New Roman"/>
          <w:b/>
          <w:bCs/>
          <w:color w:val="000000"/>
          <w:sz w:val="20"/>
          <w:szCs w:val="20"/>
        </w:rPr>
        <w:t>Item 14.     Principal Accountant Fees and Services.</w:t>
      </w:r>
      <w:r>
        <w:rPr>
          <w:rFonts w:eastAsia="Times New Roman"/>
          <w:color w:val="000000"/>
          <w:sz w:val="20"/>
          <w:szCs w:val="20"/>
        </w:rPr>
        <w:t> </w:t>
      </w:r>
    </w:p>
    <w:p w14:paraId="1E02CDBF" w14:textId="77777777" w:rsidR="00000000" w:rsidRDefault="000C49AD">
      <w:pPr>
        <w:jc w:val="both"/>
        <w:rPr>
          <w:rFonts w:eastAsia="Times New Roman"/>
        </w:rPr>
      </w:pPr>
    </w:p>
    <w:p w14:paraId="6C9BCB09" w14:textId="77777777" w:rsidR="00000000" w:rsidRDefault="000C49AD">
      <w:pPr>
        <w:jc w:val="both"/>
        <w:rPr>
          <w:rFonts w:eastAsia="Times New Roman"/>
        </w:rPr>
      </w:pPr>
      <w:r>
        <w:rPr>
          <w:rFonts w:eastAsia="Times New Roman"/>
          <w:color w:val="000000"/>
          <w:sz w:val="20"/>
          <w:szCs w:val="20"/>
        </w:rPr>
        <w:t xml:space="preserve">Our independent public accounting firm is Deloitte and Touche LLP, St. Louis, Missouri (PCAOB Auditor ID: 34). </w:t>
      </w:r>
    </w:p>
    <w:p w14:paraId="2FC91062" w14:textId="77777777" w:rsidR="00000000" w:rsidRDefault="000C49AD">
      <w:pPr>
        <w:jc w:val="both"/>
        <w:rPr>
          <w:rFonts w:eastAsia="Times New Roman"/>
        </w:rPr>
      </w:pPr>
    </w:p>
    <w:p w14:paraId="4F8639AC" w14:textId="77777777" w:rsidR="00000000" w:rsidRDefault="000C49AD">
      <w:pPr>
        <w:jc w:val="both"/>
        <w:rPr>
          <w:rFonts w:eastAsia="Times New Roman"/>
        </w:rPr>
      </w:pPr>
      <w:r>
        <w:rPr>
          <w:rFonts w:eastAsia="Times New Roman"/>
          <w:color w:val="000000"/>
          <w:sz w:val="20"/>
          <w:szCs w:val="20"/>
        </w:rPr>
        <w:t xml:space="preserve">Information regarding Principal Accountant Fees and Services is hereby incorporated </w:t>
      </w:r>
      <w:r>
        <w:rPr>
          <w:rFonts w:eastAsia="Times New Roman"/>
          <w:color w:val="000000"/>
          <w:sz w:val="20"/>
          <w:szCs w:val="20"/>
        </w:rPr>
        <w:t>by reference to our Definitive 2022 Proxy Statement, which we intend to file with the SEC within 120 days after December 31, 2021. </w:t>
      </w:r>
    </w:p>
    <w:p w14:paraId="6B5F4C8E" w14:textId="77777777" w:rsidR="00000000" w:rsidRDefault="000C49AD">
      <w:pPr>
        <w:jc w:val="center"/>
        <w:divId w:val="341863690"/>
        <w:rPr>
          <w:rFonts w:eastAsia="Times New Roman"/>
        </w:rPr>
      </w:pPr>
      <w:r>
        <w:rPr>
          <w:rFonts w:eastAsia="Times New Roman"/>
          <w:color w:val="000000"/>
          <w:sz w:val="20"/>
          <w:szCs w:val="20"/>
        </w:rPr>
        <w:t>-111-</w:t>
      </w:r>
    </w:p>
    <w:p w14:paraId="4208D1F5" w14:textId="77777777" w:rsidR="00000000" w:rsidRDefault="000C49AD">
      <w:pPr>
        <w:rPr>
          <w:rFonts w:eastAsia="Times New Roman"/>
        </w:rPr>
      </w:pPr>
      <w:r>
        <w:rPr>
          <w:rFonts w:eastAsia="Times New Roman"/>
        </w:rPr>
        <w:pict w14:anchorId="17A3A983">
          <v:rect id="_x0000_i1136" style="width:0;height:1.5pt" o:hralign="center" o:hrstd="t" o:hr="t" fillcolor="#a0a0a0" stroked="f"/>
        </w:pict>
      </w:r>
    </w:p>
    <w:p w14:paraId="676B6CE8" w14:textId="77777777" w:rsidR="00000000" w:rsidRDefault="000C49AD">
      <w:pPr>
        <w:divId w:val="1309436640"/>
        <w:rPr>
          <w:rFonts w:eastAsia="Times New Roman"/>
        </w:rPr>
      </w:pPr>
    </w:p>
    <w:p w14:paraId="1F3DF65F" w14:textId="77777777" w:rsidR="00000000" w:rsidRDefault="000C49AD">
      <w:pPr>
        <w:divId w:val="1424180897"/>
        <w:rPr>
          <w:rFonts w:eastAsia="Times New Roman"/>
        </w:rPr>
      </w:pPr>
      <w:r>
        <w:rPr>
          <w:rFonts w:eastAsia="Times New Roman"/>
          <w:b/>
          <w:bCs/>
          <w:i/>
          <w:iCs/>
          <w:color w:val="000000"/>
          <w:sz w:val="20"/>
          <w:szCs w:val="20"/>
        </w:rPr>
        <w:t>PART IV</w:t>
      </w:r>
    </w:p>
    <w:p w14:paraId="2721582E" w14:textId="77777777" w:rsidR="00000000" w:rsidRDefault="000C49AD">
      <w:pPr>
        <w:divId w:val="922185253"/>
        <w:rPr>
          <w:rFonts w:eastAsia="Times New Roman"/>
        </w:rPr>
      </w:pPr>
      <w:r>
        <w:rPr>
          <w:rFonts w:eastAsia="Times New Roman"/>
          <w:b/>
          <w:bCs/>
          <w:color w:val="000000"/>
          <w:sz w:val="20"/>
          <w:szCs w:val="20"/>
        </w:rPr>
        <w:t> </w:t>
      </w:r>
    </w:p>
    <w:p w14:paraId="4540A2FE" w14:textId="77777777" w:rsidR="00000000" w:rsidRDefault="000C49AD">
      <w:pPr>
        <w:jc w:val="both"/>
        <w:divId w:val="491533488"/>
        <w:rPr>
          <w:rFonts w:eastAsia="Times New Roman"/>
        </w:rPr>
      </w:pPr>
      <w:r>
        <w:rPr>
          <w:rFonts w:eastAsia="Times New Roman"/>
          <w:b/>
          <w:bCs/>
          <w:color w:val="000000"/>
          <w:sz w:val="20"/>
          <w:szCs w:val="20"/>
        </w:rPr>
        <w:t>Item 15.     Exhibits and Financial Statement Schedules</w:t>
      </w:r>
      <w:r>
        <w:rPr>
          <w:rFonts w:eastAsia="Times New Roman"/>
          <w:color w:val="000000"/>
          <w:sz w:val="20"/>
          <w:szCs w:val="20"/>
        </w:rPr>
        <w:t> </w:t>
      </w:r>
    </w:p>
    <w:p w14:paraId="5BB9D2A6" w14:textId="77777777" w:rsidR="00000000" w:rsidRDefault="000C49AD">
      <w:pPr>
        <w:ind w:hanging="360"/>
        <w:jc w:val="both"/>
        <w:divId w:val="1373265813"/>
        <w:rPr>
          <w:rFonts w:eastAsia="Times New Roman"/>
        </w:rPr>
      </w:pPr>
      <w:r>
        <w:rPr>
          <w:rFonts w:eastAsia="Times New Roman"/>
          <w:b/>
          <w:bCs/>
          <w:color w:val="000000"/>
          <w:sz w:val="20"/>
          <w:szCs w:val="20"/>
        </w:rPr>
        <w:t xml:space="preserve">(a)Documents </w:t>
      </w:r>
      <w:r>
        <w:rPr>
          <w:rFonts w:eastAsia="Times New Roman"/>
          <w:b/>
          <w:bCs/>
          <w:color w:val="000000"/>
          <w:sz w:val="20"/>
          <w:szCs w:val="20"/>
        </w:rPr>
        <w:t>filed as part of this report:</w:t>
      </w:r>
    </w:p>
    <w:p w14:paraId="02D3051F" w14:textId="77777777" w:rsidR="00000000" w:rsidRDefault="000C49AD">
      <w:pPr>
        <w:ind w:hanging="360"/>
        <w:jc w:val="both"/>
        <w:divId w:val="2086370868"/>
        <w:rPr>
          <w:rFonts w:eastAsia="Times New Roman"/>
        </w:rPr>
      </w:pPr>
      <w:r>
        <w:rPr>
          <w:rFonts w:eastAsia="Times New Roman"/>
          <w:b/>
          <w:bCs/>
          <w:color w:val="000000"/>
          <w:sz w:val="20"/>
          <w:szCs w:val="20"/>
        </w:rPr>
        <w:t>1.    </w:t>
      </w:r>
      <w:r>
        <w:rPr>
          <w:rFonts w:eastAsia="Times New Roman"/>
          <w:b/>
          <w:bCs/>
          <w:i/>
          <w:iCs/>
          <w:color w:val="000000"/>
          <w:sz w:val="20"/>
          <w:szCs w:val="20"/>
        </w:rPr>
        <w:t>Financial Statements</w:t>
      </w:r>
      <w:r>
        <w:rPr>
          <w:rFonts w:eastAsia="Times New Roman"/>
          <w:color w:val="000000"/>
          <w:sz w:val="20"/>
          <w:szCs w:val="20"/>
        </w:rPr>
        <w:t xml:space="preserve"> </w:t>
      </w:r>
    </w:p>
    <w:p w14:paraId="74782F6E" w14:textId="77777777" w:rsidR="00000000" w:rsidRDefault="000C49AD">
      <w:pPr>
        <w:ind w:hanging="360"/>
        <w:jc w:val="both"/>
        <w:divId w:val="1333294443"/>
        <w:rPr>
          <w:rFonts w:eastAsia="Times New Roman"/>
        </w:rPr>
      </w:pPr>
      <w:r>
        <w:rPr>
          <w:rFonts w:eastAsia="Times New Roman"/>
          <w:color w:val="000000"/>
          <w:sz w:val="20"/>
          <w:szCs w:val="20"/>
        </w:rPr>
        <w:t xml:space="preserve">See Item 8 - Financial Statements and Supplementary Data of Part II of this Report. </w:t>
      </w:r>
    </w:p>
    <w:p w14:paraId="41C07F81" w14:textId="77777777" w:rsidR="00000000" w:rsidRDefault="000C49AD">
      <w:pPr>
        <w:ind w:hanging="360"/>
        <w:jc w:val="both"/>
        <w:divId w:val="758674593"/>
        <w:rPr>
          <w:rFonts w:eastAsia="Times New Roman"/>
        </w:rPr>
      </w:pPr>
      <w:r>
        <w:rPr>
          <w:rFonts w:eastAsia="Times New Roman"/>
          <w:b/>
          <w:bCs/>
          <w:color w:val="000000"/>
          <w:sz w:val="20"/>
          <w:szCs w:val="20"/>
        </w:rPr>
        <w:t>2</w:t>
      </w:r>
      <w:r>
        <w:rPr>
          <w:rFonts w:eastAsia="Times New Roman"/>
          <w:b/>
          <w:bCs/>
          <w:i/>
          <w:iCs/>
          <w:color w:val="000000"/>
          <w:sz w:val="20"/>
          <w:szCs w:val="20"/>
        </w:rPr>
        <w:t>.    Financial Statement Schedules</w:t>
      </w:r>
      <w:r>
        <w:rPr>
          <w:rFonts w:eastAsia="Times New Roman"/>
          <w:color w:val="000000"/>
          <w:sz w:val="20"/>
          <w:szCs w:val="20"/>
        </w:rPr>
        <w:t xml:space="preserve"> </w:t>
      </w:r>
    </w:p>
    <w:p w14:paraId="10E8620A" w14:textId="77777777" w:rsidR="00000000" w:rsidRDefault="000C49AD">
      <w:pPr>
        <w:jc w:val="both"/>
        <w:divId w:val="1573277982"/>
        <w:rPr>
          <w:rFonts w:eastAsia="Times New Roman"/>
        </w:rPr>
      </w:pPr>
      <w:r>
        <w:rPr>
          <w:rFonts w:eastAsia="Times New Roman"/>
          <w:color w:val="000000"/>
          <w:sz w:val="20"/>
          <w:szCs w:val="20"/>
        </w:rPr>
        <w:t>See below for Schedule II: Valuation and Qualifying Accounts. All other schedules are omitted as they are not applicable, not required or the information is included in the consolidated financial statements or related notes to the consolidated financial st</w:t>
      </w:r>
      <w:r>
        <w:rPr>
          <w:rFonts w:eastAsia="Times New Roman"/>
          <w:color w:val="000000"/>
          <w:sz w:val="20"/>
          <w:szCs w:val="20"/>
        </w:rPr>
        <w:t xml:space="preserve">atements. </w:t>
      </w:r>
    </w:p>
    <w:p w14:paraId="3E05DBDF" w14:textId="77777777" w:rsidR="00000000" w:rsidRDefault="000C49AD">
      <w:pPr>
        <w:jc w:val="center"/>
        <w:divId w:val="89398772"/>
        <w:rPr>
          <w:rFonts w:eastAsia="Times New Roman"/>
        </w:rPr>
      </w:pPr>
      <w:r>
        <w:rPr>
          <w:rFonts w:eastAsia="Times New Roman"/>
          <w:b/>
          <w:bCs/>
          <w:color w:val="000000"/>
          <w:sz w:val="20"/>
          <w:szCs w:val="20"/>
        </w:rPr>
        <w:t>Schedule II</w:t>
      </w:r>
    </w:p>
    <w:p w14:paraId="01D0C35F" w14:textId="77777777" w:rsidR="00000000" w:rsidRDefault="000C49AD">
      <w:pPr>
        <w:jc w:val="center"/>
        <w:divId w:val="429546522"/>
        <w:rPr>
          <w:rFonts w:eastAsia="Times New Roman"/>
        </w:rPr>
      </w:pPr>
      <w:r>
        <w:rPr>
          <w:rFonts w:eastAsia="Times New Roman"/>
          <w:b/>
          <w:bCs/>
          <w:color w:val="000000"/>
          <w:sz w:val="20"/>
          <w:szCs w:val="20"/>
        </w:rPr>
        <w:t>Valuation and Qualifying Accounts</w:t>
      </w:r>
    </w:p>
    <w:p w14:paraId="40E3C052" w14:textId="77777777" w:rsidR="00000000" w:rsidRDefault="000C49AD">
      <w:pPr>
        <w:jc w:val="center"/>
        <w:divId w:val="110905654"/>
        <w:rPr>
          <w:rFonts w:eastAsia="Times New Roman"/>
        </w:rPr>
      </w:pPr>
      <w:r>
        <w:rPr>
          <w:rFonts w:eastAsia="Times New Roman"/>
          <w:i/>
          <w:iCs/>
          <w:color w:val="000000"/>
          <w:sz w:val="20"/>
          <w:szCs w:val="20"/>
        </w:rPr>
        <w:t>(In thousands) </w:t>
      </w:r>
    </w:p>
    <w:tbl>
      <w:tblPr>
        <w:tblW w:w="4978" w:type="pct"/>
        <w:jc w:val="center"/>
        <w:tblCellMar>
          <w:top w:w="15" w:type="dxa"/>
          <w:left w:w="15" w:type="dxa"/>
          <w:bottom w:w="15" w:type="dxa"/>
          <w:right w:w="15" w:type="dxa"/>
        </w:tblCellMar>
        <w:tblLook w:val="04A0" w:firstRow="1" w:lastRow="0" w:firstColumn="1" w:lastColumn="0" w:noHBand="0" w:noVBand="1"/>
      </w:tblPr>
      <w:tblGrid>
        <w:gridCol w:w="37"/>
        <w:gridCol w:w="2141"/>
        <w:gridCol w:w="36"/>
        <w:gridCol w:w="36"/>
        <w:gridCol w:w="36"/>
        <w:gridCol w:w="36"/>
        <w:gridCol w:w="111"/>
        <w:gridCol w:w="1313"/>
        <w:gridCol w:w="36"/>
        <w:gridCol w:w="36"/>
        <w:gridCol w:w="36"/>
        <w:gridCol w:w="36"/>
        <w:gridCol w:w="111"/>
        <w:gridCol w:w="709"/>
        <w:gridCol w:w="36"/>
        <w:gridCol w:w="36"/>
        <w:gridCol w:w="36"/>
        <w:gridCol w:w="36"/>
        <w:gridCol w:w="111"/>
        <w:gridCol w:w="814"/>
        <w:gridCol w:w="36"/>
        <w:gridCol w:w="36"/>
        <w:gridCol w:w="36"/>
        <w:gridCol w:w="36"/>
        <w:gridCol w:w="111"/>
        <w:gridCol w:w="993"/>
        <w:gridCol w:w="36"/>
        <w:gridCol w:w="36"/>
        <w:gridCol w:w="36"/>
        <w:gridCol w:w="36"/>
        <w:gridCol w:w="111"/>
        <w:gridCol w:w="951"/>
        <w:gridCol w:w="36"/>
      </w:tblGrid>
      <w:tr w:rsidR="00000000" w14:paraId="1A69A624" w14:textId="77777777">
        <w:trPr>
          <w:jc w:val="center"/>
        </w:trPr>
        <w:tc>
          <w:tcPr>
            <w:tcW w:w="50" w:type="pct"/>
            <w:vAlign w:val="center"/>
            <w:hideMark/>
          </w:tcPr>
          <w:p w14:paraId="7C55D517" w14:textId="77777777" w:rsidR="00000000" w:rsidRDefault="000C49AD">
            <w:pPr>
              <w:jc w:val="center"/>
              <w:rPr>
                <w:rFonts w:eastAsia="Times New Roman"/>
              </w:rPr>
            </w:pPr>
          </w:p>
        </w:tc>
        <w:tc>
          <w:tcPr>
            <w:tcW w:w="1325" w:type="pct"/>
            <w:vAlign w:val="center"/>
            <w:hideMark/>
          </w:tcPr>
          <w:p w14:paraId="03DCD942" w14:textId="77777777" w:rsidR="00000000" w:rsidRDefault="000C49AD">
            <w:pPr>
              <w:spacing w:after="100"/>
              <w:rPr>
                <w:rFonts w:eastAsia="Times New Roman"/>
                <w:sz w:val="20"/>
                <w:szCs w:val="20"/>
              </w:rPr>
            </w:pPr>
          </w:p>
        </w:tc>
        <w:tc>
          <w:tcPr>
            <w:tcW w:w="5" w:type="pct"/>
            <w:vAlign w:val="center"/>
            <w:hideMark/>
          </w:tcPr>
          <w:p w14:paraId="4A875CDE" w14:textId="77777777" w:rsidR="00000000" w:rsidRDefault="000C49AD">
            <w:pPr>
              <w:spacing w:after="100"/>
              <w:rPr>
                <w:rFonts w:eastAsia="Times New Roman"/>
                <w:sz w:val="20"/>
                <w:szCs w:val="20"/>
              </w:rPr>
            </w:pPr>
          </w:p>
        </w:tc>
        <w:tc>
          <w:tcPr>
            <w:tcW w:w="5" w:type="pct"/>
            <w:vAlign w:val="center"/>
            <w:hideMark/>
          </w:tcPr>
          <w:p w14:paraId="46028AB6" w14:textId="77777777" w:rsidR="00000000" w:rsidRDefault="000C49AD">
            <w:pPr>
              <w:spacing w:after="100"/>
              <w:rPr>
                <w:rFonts w:eastAsia="Times New Roman"/>
                <w:sz w:val="20"/>
                <w:szCs w:val="20"/>
              </w:rPr>
            </w:pPr>
          </w:p>
        </w:tc>
        <w:tc>
          <w:tcPr>
            <w:tcW w:w="26" w:type="pct"/>
            <w:vAlign w:val="center"/>
            <w:hideMark/>
          </w:tcPr>
          <w:p w14:paraId="6A904EB1" w14:textId="77777777" w:rsidR="00000000" w:rsidRDefault="000C49AD">
            <w:pPr>
              <w:spacing w:after="100"/>
              <w:rPr>
                <w:rFonts w:eastAsia="Times New Roman"/>
                <w:sz w:val="20"/>
                <w:szCs w:val="20"/>
              </w:rPr>
            </w:pPr>
          </w:p>
        </w:tc>
        <w:tc>
          <w:tcPr>
            <w:tcW w:w="5" w:type="pct"/>
            <w:vAlign w:val="center"/>
            <w:hideMark/>
          </w:tcPr>
          <w:p w14:paraId="3D27CFB1" w14:textId="77777777" w:rsidR="00000000" w:rsidRDefault="000C49AD">
            <w:pPr>
              <w:spacing w:after="100"/>
              <w:rPr>
                <w:rFonts w:eastAsia="Times New Roman"/>
                <w:sz w:val="20"/>
                <w:szCs w:val="20"/>
              </w:rPr>
            </w:pPr>
          </w:p>
        </w:tc>
        <w:tc>
          <w:tcPr>
            <w:tcW w:w="50" w:type="pct"/>
            <w:vAlign w:val="center"/>
            <w:hideMark/>
          </w:tcPr>
          <w:p w14:paraId="3B5788A7" w14:textId="77777777" w:rsidR="00000000" w:rsidRDefault="000C49AD">
            <w:pPr>
              <w:spacing w:after="100"/>
              <w:rPr>
                <w:rFonts w:eastAsia="Times New Roman"/>
                <w:sz w:val="20"/>
                <w:szCs w:val="20"/>
              </w:rPr>
            </w:pPr>
          </w:p>
        </w:tc>
        <w:tc>
          <w:tcPr>
            <w:tcW w:w="848" w:type="pct"/>
            <w:vAlign w:val="center"/>
            <w:hideMark/>
          </w:tcPr>
          <w:p w14:paraId="28222FDB" w14:textId="77777777" w:rsidR="00000000" w:rsidRDefault="000C49AD">
            <w:pPr>
              <w:spacing w:after="100"/>
              <w:rPr>
                <w:rFonts w:eastAsia="Times New Roman"/>
                <w:sz w:val="20"/>
                <w:szCs w:val="20"/>
              </w:rPr>
            </w:pPr>
          </w:p>
        </w:tc>
        <w:tc>
          <w:tcPr>
            <w:tcW w:w="5" w:type="pct"/>
            <w:vAlign w:val="center"/>
            <w:hideMark/>
          </w:tcPr>
          <w:p w14:paraId="4292BF72" w14:textId="77777777" w:rsidR="00000000" w:rsidRDefault="000C49AD">
            <w:pPr>
              <w:spacing w:after="100"/>
              <w:rPr>
                <w:rFonts w:eastAsia="Times New Roman"/>
                <w:sz w:val="20"/>
                <w:szCs w:val="20"/>
              </w:rPr>
            </w:pPr>
          </w:p>
        </w:tc>
        <w:tc>
          <w:tcPr>
            <w:tcW w:w="5" w:type="pct"/>
            <w:vAlign w:val="center"/>
            <w:hideMark/>
          </w:tcPr>
          <w:p w14:paraId="12C75EEB" w14:textId="77777777" w:rsidR="00000000" w:rsidRDefault="000C49AD">
            <w:pPr>
              <w:spacing w:after="100"/>
              <w:rPr>
                <w:rFonts w:eastAsia="Times New Roman"/>
                <w:sz w:val="20"/>
                <w:szCs w:val="20"/>
              </w:rPr>
            </w:pPr>
          </w:p>
        </w:tc>
        <w:tc>
          <w:tcPr>
            <w:tcW w:w="26" w:type="pct"/>
            <w:vAlign w:val="center"/>
            <w:hideMark/>
          </w:tcPr>
          <w:p w14:paraId="0591236F" w14:textId="77777777" w:rsidR="00000000" w:rsidRDefault="000C49AD">
            <w:pPr>
              <w:spacing w:after="100"/>
              <w:rPr>
                <w:rFonts w:eastAsia="Times New Roman"/>
                <w:sz w:val="20"/>
                <w:szCs w:val="20"/>
              </w:rPr>
            </w:pPr>
          </w:p>
        </w:tc>
        <w:tc>
          <w:tcPr>
            <w:tcW w:w="5" w:type="pct"/>
            <w:vAlign w:val="center"/>
            <w:hideMark/>
          </w:tcPr>
          <w:p w14:paraId="2C09066F" w14:textId="77777777" w:rsidR="00000000" w:rsidRDefault="000C49AD">
            <w:pPr>
              <w:spacing w:after="100"/>
              <w:rPr>
                <w:rFonts w:eastAsia="Times New Roman"/>
                <w:sz w:val="20"/>
                <w:szCs w:val="20"/>
              </w:rPr>
            </w:pPr>
          </w:p>
        </w:tc>
        <w:tc>
          <w:tcPr>
            <w:tcW w:w="50" w:type="pct"/>
            <w:vAlign w:val="center"/>
            <w:hideMark/>
          </w:tcPr>
          <w:p w14:paraId="71489122" w14:textId="77777777" w:rsidR="00000000" w:rsidRDefault="000C49AD">
            <w:pPr>
              <w:spacing w:after="100"/>
              <w:rPr>
                <w:rFonts w:eastAsia="Times New Roman"/>
                <w:sz w:val="20"/>
                <w:szCs w:val="20"/>
              </w:rPr>
            </w:pPr>
          </w:p>
        </w:tc>
        <w:tc>
          <w:tcPr>
            <w:tcW w:w="473" w:type="pct"/>
            <w:vAlign w:val="center"/>
            <w:hideMark/>
          </w:tcPr>
          <w:p w14:paraId="07F4CA21" w14:textId="77777777" w:rsidR="00000000" w:rsidRDefault="000C49AD">
            <w:pPr>
              <w:spacing w:after="100"/>
              <w:rPr>
                <w:rFonts w:eastAsia="Times New Roman"/>
                <w:sz w:val="20"/>
                <w:szCs w:val="20"/>
              </w:rPr>
            </w:pPr>
          </w:p>
        </w:tc>
        <w:tc>
          <w:tcPr>
            <w:tcW w:w="5" w:type="pct"/>
            <w:vAlign w:val="center"/>
            <w:hideMark/>
          </w:tcPr>
          <w:p w14:paraId="54FB025E" w14:textId="77777777" w:rsidR="00000000" w:rsidRDefault="000C49AD">
            <w:pPr>
              <w:spacing w:after="100"/>
              <w:rPr>
                <w:rFonts w:eastAsia="Times New Roman"/>
                <w:sz w:val="20"/>
                <w:szCs w:val="20"/>
              </w:rPr>
            </w:pPr>
          </w:p>
        </w:tc>
        <w:tc>
          <w:tcPr>
            <w:tcW w:w="5" w:type="pct"/>
            <w:vAlign w:val="center"/>
            <w:hideMark/>
          </w:tcPr>
          <w:p w14:paraId="3C96BAB2" w14:textId="77777777" w:rsidR="00000000" w:rsidRDefault="000C49AD">
            <w:pPr>
              <w:spacing w:after="100"/>
              <w:rPr>
                <w:rFonts w:eastAsia="Times New Roman"/>
                <w:sz w:val="20"/>
                <w:szCs w:val="20"/>
              </w:rPr>
            </w:pPr>
          </w:p>
        </w:tc>
        <w:tc>
          <w:tcPr>
            <w:tcW w:w="26" w:type="pct"/>
            <w:vAlign w:val="center"/>
            <w:hideMark/>
          </w:tcPr>
          <w:p w14:paraId="7D8523BD" w14:textId="77777777" w:rsidR="00000000" w:rsidRDefault="000C49AD">
            <w:pPr>
              <w:spacing w:after="100"/>
              <w:rPr>
                <w:rFonts w:eastAsia="Times New Roman"/>
                <w:sz w:val="20"/>
                <w:szCs w:val="20"/>
              </w:rPr>
            </w:pPr>
          </w:p>
        </w:tc>
        <w:tc>
          <w:tcPr>
            <w:tcW w:w="5" w:type="pct"/>
            <w:vAlign w:val="center"/>
            <w:hideMark/>
          </w:tcPr>
          <w:p w14:paraId="77B90B22" w14:textId="77777777" w:rsidR="00000000" w:rsidRDefault="000C49AD">
            <w:pPr>
              <w:spacing w:after="100"/>
              <w:rPr>
                <w:rFonts w:eastAsia="Times New Roman"/>
                <w:sz w:val="20"/>
                <w:szCs w:val="20"/>
              </w:rPr>
            </w:pPr>
          </w:p>
        </w:tc>
        <w:tc>
          <w:tcPr>
            <w:tcW w:w="50" w:type="pct"/>
            <w:vAlign w:val="center"/>
            <w:hideMark/>
          </w:tcPr>
          <w:p w14:paraId="10ED12C3" w14:textId="77777777" w:rsidR="00000000" w:rsidRDefault="000C49AD">
            <w:pPr>
              <w:spacing w:after="100"/>
              <w:rPr>
                <w:rFonts w:eastAsia="Times New Roman"/>
                <w:sz w:val="20"/>
                <w:szCs w:val="20"/>
              </w:rPr>
            </w:pPr>
          </w:p>
        </w:tc>
        <w:tc>
          <w:tcPr>
            <w:tcW w:w="510" w:type="pct"/>
            <w:vAlign w:val="center"/>
            <w:hideMark/>
          </w:tcPr>
          <w:p w14:paraId="71F57C9B" w14:textId="77777777" w:rsidR="00000000" w:rsidRDefault="000C49AD">
            <w:pPr>
              <w:spacing w:after="100"/>
              <w:rPr>
                <w:rFonts w:eastAsia="Times New Roman"/>
                <w:sz w:val="20"/>
                <w:szCs w:val="20"/>
              </w:rPr>
            </w:pPr>
          </w:p>
        </w:tc>
        <w:tc>
          <w:tcPr>
            <w:tcW w:w="5" w:type="pct"/>
            <w:vAlign w:val="center"/>
            <w:hideMark/>
          </w:tcPr>
          <w:p w14:paraId="71BA483B" w14:textId="77777777" w:rsidR="00000000" w:rsidRDefault="000C49AD">
            <w:pPr>
              <w:spacing w:after="100"/>
              <w:rPr>
                <w:rFonts w:eastAsia="Times New Roman"/>
                <w:sz w:val="20"/>
                <w:szCs w:val="20"/>
              </w:rPr>
            </w:pPr>
          </w:p>
        </w:tc>
        <w:tc>
          <w:tcPr>
            <w:tcW w:w="5" w:type="pct"/>
            <w:vAlign w:val="center"/>
            <w:hideMark/>
          </w:tcPr>
          <w:p w14:paraId="1271FE71" w14:textId="77777777" w:rsidR="00000000" w:rsidRDefault="000C49AD">
            <w:pPr>
              <w:spacing w:after="100"/>
              <w:rPr>
                <w:rFonts w:eastAsia="Times New Roman"/>
                <w:sz w:val="20"/>
                <w:szCs w:val="20"/>
              </w:rPr>
            </w:pPr>
          </w:p>
        </w:tc>
        <w:tc>
          <w:tcPr>
            <w:tcW w:w="26" w:type="pct"/>
            <w:vAlign w:val="center"/>
            <w:hideMark/>
          </w:tcPr>
          <w:p w14:paraId="3A3AE408" w14:textId="77777777" w:rsidR="00000000" w:rsidRDefault="000C49AD">
            <w:pPr>
              <w:spacing w:after="100"/>
              <w:rPr>
                <w:rFonts w:eastAsia="Times New Roman"/>
                <w:sz w:val="20"/>
                <w:szCs w:val="20"/>
              </w:rPr>
            </w:pPr>
          </w:p>
        </w:tc>
        <w:tc>
          <w:tcPr>
            <w:tcW w:w="5" w:type="pct"/>
            <w:vAlign w:val="center"/>
            <w:hideMark/>
          </w:tcPr>
          <w:p w14:paraId="004ADC7B" w14:textId="77777777" w:rsidR="00000000" w:rsidRDefault="000C49AD">
            <w:pPr>
              <w:spacing w:after="100"/>
              <w:rPr>
                <w:rFonts w:eastAsia="Times New Roman"/>
                <w:sz w:val="20"/>
                <w:szCs w:val="20"/>
              </w:rPr>
            </w:pPr>
          </w:p>
        </w:tc>
        <w:tc>
          <w:tcPr>
            <w:tcW w:w="50" w:type="pct"/>
            <w:vAlign w:val="center"/>
            <w:hideMark/>
          </w:tcPr>
          <w:p w14:paraId="52F8F86E" w14:textId="77777777" w:rsidR="00000000" w:rsidRDefault="000C49AD">
            <w:pPr>
              <w:spacing w:after="100"/>
              <w:rPr>
                <w:rFonts w:eastAsia="Times New Roman"/>
                <w:sz w:val="20"/>
                <w:szCs w:val="20"/>
              </w:rPr>
            </w:pPr>
          </w:p>
        </w:tc>
        <w:tc>
          <w:tcPr>
            <w:tcW w:w="701" w:type="pct"/>
            <w:vAlign w:val="center"/>
            <w:hideMark/>
          </w:tcPr>
          <w:p w14:paraId="345F7213" w14:textId="77777777" w:rsidR="00000000" w:rsidRDefault="000C49AD">
            <w:pPr>
              <w:spacing w:after="100"/>
              <w:rPr>
                <w:rFonts w:eastAsia="Times New Roman"/>
                <w:sz w:val="20"/>
                <w:szCs w:val="20"/>
              </w:rPr>
            </w:pPr>
          </w:p>
        </w:tc>
        <w:tc>
          <w:tcPr>
            <w:tcW w:w="5" w:type="pct"/>
            <w:vAlign w:val="center"/>
            <w:hideMark/>
          </w:tcPr>
          <w:p w14:paraId="4CA80A29" w14:textId="77777777" w:rsidR="00000000" w:rsidRDefault="000C49AD">
            <w:pPr>
              <w:spacing w:after="100"/>
              <w:rPr>
                <w:rFonts w:eastAsia="Times New Roman"/>
                <w:sz w:val="20"/>
                <w:szCs w:val="20"/>
              </w:rPr>
            </w:pPr>
          </w:p>
        </w:tc>
        <w:tc>
          <w:tcPr>
            <w:tcW w:w="5" w:type="pct"/>
            <w:vAlign w:val="center"/>
            <w:hideMark/>
          </w:tcPr>
          <w:p w14:paraId="659A96C4" w14:textId="77777777" w:rsidR="00000000" w:rsidRDefault="000C49AD">
            <w:pPr>
              <w:spacing w:after="100"/>
              <w:rPr>
                <w:rFonts w:eastAsia="Times New Roman"/>
                <w:sz w:val="20"/>
                <w:szCs w:val="20"/>
              </w:rPr>
            </w:pPr>
          </w:p>
        </w:tc>
        <w:tc>
          <w:tcPr>
            <w:tcW w:w="26" w:type="pct"/>
            <w:vAlign w:val="center"/>
            <w:hideMark/>
          </w:tcPr>
          <w:p w14:paraId="7696CF2B" w14:textId="77777777" w:rsidR="00000000" w:rsidRDefault="000C49AD">
            <w:pPr>
              <w:spacing w:after="100"/>
              <w:rPr>
                <w:rFonts w:eastAsia="Times New Roman"/>
                <w:sz w:val="20"/>
                <w:szCs w:val="20"/>
              </w:rPr>
            </w:pPr>
          </w:p>
        </w:tc>
        <w:tc>
          <w:tcPr>
            <w:tcW w:w="5" w:type="pct"/>
            <w:vAlign w:val="center"/>
            <w:hideMark/>
          </w:tcPr>
          <w:p w14:paraId="12968907" w14:textId="77777777" w:rsidR="00000000" w:rsidRDefault="000C49AD">
            <w:pPr>
              <w:spacing w:after="100"/>
              <w:rPr>
                <w:rFonts w:eastAsia="Times New Roman"/>
                <w:sz w:val="20"/>
                <w:szCs w:val="20"/>
              </w:rPr>
            </w:pPr>
          </w:p>
        </w:tc>
        <w:tc>
          <w:tcPr>
            <w:tcW w:w="50" w:type="pct"/>
            <w:vAlign w:val="center"/>
            <w:hideMark/>
          </w:tcPr>
          <w:p w14:paraId="3413944E" w14:textId="77777777" w:rsidR="00000000" w:rsidRDefault="000C49AD">
            <w:pPr>
              <w:spacing w:after="100"/>
              <w:rPr>
                <w:rFonts w:eastAsia="Times New Roman"/>
                <w:sz w:val="20"/>
                <w:szCs w:val="20"/>
              </w:rPr>
            </w:pPr>
          </w:p>
        </w:tc>
        <w:tc>
          <w:tcPr>
            <w:tcW w:w="628" w:type="pct"/>
            <w:vAlign w:val="center"/>
            <w:hideMark/>
          </w:tcPr>
          <w:p w14:paraId="6E2D481A" w14:textId="77777777" w:rsidR="00000000" w:rsidRDefault="000C49AD">
            <w:pPr>
              <w:spacing w:after="100"/>
              <w:rPr>
                <w:rFonts w:eastAsia="Times New Roman"/>
                <w:sz w:val="20"/>
                <w:szCs w:val="20"/>
              </w:rPr>
            </w:pPr>
          </w:p>
        </w:tc>
        <w:tc>
          <w:tcPr>
            <w:tcW w:w="5" w:type="pct"/>
            <w:vAlign w:val="center"/>
            <w:hideMark/>
          </w:tcPr>
          <w:p w14:paraId="5A34107E" w14:textId="77777777" w:rsidR="00000000" w:rsidRDefault="000C49AD">
            <w:pPr>
              <w:spacing w:after="100"/>
              <w:rPr>
                <w:rFonts w:eastAsia="Times New Roman"/>
                <w:sz w:val="20"/>
                <w:szCs w:val="20"/>
              </w:rPr>
            </w:pPr>
          </w:p>
        </w:tc>
      </w:tr>
      <w:tr w:rsidR="00000000" w14:paraId="28C1BB06" w14:textId="77777777">
        <w:trPr>
          <w:jc w:val="center"/>
        </w:trPr>
        <w:tc>
          <w:tcPr>
            <w:tcW w:w="0" w:type="auto"/>
            <w:gridSpan w:val="3"/>
            <w:tcMar>
              <w:top w:w="30" w:type="dxa"/>
              <w:left w:w="20" w:type="dxa"/>
              <w:bottom w:w="30" w:type="dxa"/>
              <w:right w:w="20" w:type="dxa"/>
            </w:tcMar>
            <w:vAlign w:val="bottom"/>
            <w:hideMark/>
          </w:tcPr>
          <w:p w14:paraId="621769ED" w14:textId="77777777" w:rsidR="00000000" w:rsidRDefault="000C49AD">
            <w:pPr>
              <w:spacing w:after="100"/>
              <w:rPr>
                <w:rFonts w:eastAsia="Times New Roman"/>
              </w:rPr>
            </w:pPr>
            <w:r>
              <w:rPr>
                <w:rFonts w:eastAsia="Times New Roman"/>
                <w:b/>
                <w:bCs/>
                <w:color w:val="000000"/>
                <w:sz w:val="18"/>
                <w:szCs w:val="18"/>
              </w:rPr>
              <w:t>Deferred Tax Asset Valuation Allowance:</w:t>
            </w:r>
          </w:p>
        </w:tc>
        <w:tc>
          <w:tcPr>
            <w:tcW w:w="0" w:type="auto"/>
            <w:gridSpan w:val="3"/>
            <w:tcMar>
              <w:top w:w="0" w:type="dxa"/>
              <w:left w:w="20" w:type="dxa"/>
              <w:bottom w:w="0" w:type="dxa"/>
              <w:right w:w="20" w:type="dxa"/>
            </w:tcMar>
            <w:vAlign w:val="center"/>
            <w:hideMark/>
          </w:tcPr>
          <w:p w14:paraId="37478170"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4D3D8572" w14:textId="77777777" w:rsidR="00000000" w:rsidRDefault="000C49AD">
            <w:pPr>
              <w:spacing w:after="100"/>
              <w:jc w:val="center"/>
              <w:rPr>
                <w:rFonts w:eastAsia="Times New Roman"/>
              </w:rPr>
            </w:pPr>
            <w:r>
              <w:rPr>
                <w:rFonts w:eastAsia="Times New Roman"/>
                <w:b/>
                <w:bCs/>
                <w:color w:val="000000"/>
                <w:sz w:val="18"/>
                <w:szCs w:val="18"/>
              </w:rPr>
              <w:t xml:space="preserve">Balance, </w:t>
            </w:r>
            <w:r>
              <w:rPr>
                <w:rFonts w:eastAsia="Times New Roman"/>
                <w:b/>
                <w:bCs/>
                <w:color w:val="000000"/>
                <w:sz w:val="18"/>
                <w:szCs w:val="18"/>
              </w:rPr>
              <w:br/>
              <w:t>Beginning of Period</w:t>
            </w:r>
          </w:p>
        </w:tc>
        <w:tc>
          <w:tcPr>
            <w:tcW w:w="0" w:type="auto"/>
            <w:gridSpan w:val="3"/>
            <w:tcMar>
              <w:top w:w="0" w:type="dxa"/>
              <w:left w:w="20" w:type="dxa"/>
              <w:bottom w:w="0" w:type="dxa"/>
              <w:right w:w="20" w:type="dxa"/>
            </w:tcMar>
            <w:vAlign w:val="center"/>
            <w:hideMark/>
          </w:tcPr>
          <w:p w14:paraId="4C35457F"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2B8063C" w14:textId="77777777" w:rsidR="00000000" w:rsidRDefault="000C49AD">
            <w:pPr>
              <w:spacing w:after="100"/>
              <w:jc w:val="center"/>
              <w:rPr>
                <w:rFonts w:eastAsia="Times New Roman"/>
              </w:rPr>
            </w:pPr>
            <w:r>
              <w:rPr>
                <w:rFonts w:eastAsia="Times New Roman"/>
                <w:b/>
                <w:bCs/>
                <w:color w:val="000000"/>
                <w:sz w:val="18"/>
                <w:szCs w:val="18"/>
              </w:rPr>
              <w:t>Additions</w:t>
            </w:r>
            <w:r>
              <w:rPr>
                <w:rFonts w:eastAsia="Times New Roman"/>
                <w:b/>
                <w:bCs/>
                <w:color w:val="000000"/>
                <w:sz w:val="18"/>
                <w:szCs w:val="18"/>
              </w:rPr>
              <w:br/>
              <w:t>(a)</w:t>
            </w:r>
          </w:p>
        </w:tc>
        <w:tc>
          <w:tcPr>
            <w:tcW w:w="0" w:type="auto"/>
            <w:gridSpan w:val="3"/>
            <w:tcMar>
              <w:top w:w="0" w:type="dxa"/>
              <w:left w:w="20" w:type="dxa"/>
              <w:bottom w:w="0" w:type="dxa"/>
              <w:right w:w="20" w:type="dxa"/>
            </w:tcMar>
            <w:vAlign w:val="center"/>
            <w:hideMark/>
          </w:tcPr>
          <w:p w14:paraId="58D3F141"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DB3310" w14:textId="77777777" w:rsidR="00000000" w:rsidRDefault="000C49AD">
            <w:pPr>
              <w:spacing w:after="100"/>
              <w:jc w:val="center"/>
              <w:rPr>
                <w:rFonts w:eastAsia="Times New Roman"/>
              </w:rPr>
            </w:pPr>
            <w:r>
              <w:rPr>
                <w:rFonts w:eastAsia="Times New Roman"/>
                <w:b/>
                <w:bCs/>
                <w:color w:val="000000"/>
                <w:sz w:val="18"/>
                <w:szCs w:val="18"/>
              </w:rPr>
              <w:t>Deductions</w:t>
            </w:r>
            <w:r>
              <w:rPr>
                <w:rFonts w:eastAsia="Times New Roman"/>
                <w:b/>
                <w:bCs/>
                <w:color w:val="000000"/>
                <w:sz w:val="18"/>
                <w:szCs w:val="18"/>
              </w:rPr>
              <w:br/>
              <w:t>(b)</w:t>
            </w:r>
          </w:p>
        </w:tc>
        <w:tc>
          <w:tcPr>
            <w:tcW w:w="0" w:type="auto"/>
            <w:gridSpan w:val="3"/>
            <w:tcMar>
              <w:top w:w="0" w:type="dxa"/>
              <w:left w:w="20" w:type="dxa"/>
              <w:bottom w:w="0" w:type="dxa"/>
              <w:right w:w="20" w:type="dxa"/>
            </w:tcMar>
            <w:vAlign w:val="center"/>
            <w:hideMark/>
          </w:tcPr>
          <w:p w14:paraId="5542CE98"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FC78A1" w14:textId="77777777" w:rsidR="00000000" w:rsidRDefault="000C49AD">
            <w:pPr>
              <w:spacing w:after="100"/>
              <w:jc w:val="center"/>
              <w:rPr>
                <w:rFonts w:eastAsia="Times New Roman"/>
              </w:rPr>
            </w:pPr>
            <w:r>
              <w:rPr>
                <w:rFonts w:eastAsia="Times New Roman"/>
                <w:b/>
                <w:bCs/>
                <w:color w:val="000000"/>
                <w:sz w:val="18"/>
                <w:szCs w:val="18"/>
              </w:rPr>
              <w:t>Other Changes</w:t>
            </w:r>
            <w:r>
              <w:rPr>
                <w:rFonts w:eastAsia="Times New Roman"/>
                <w:b/>
                <w:bCs/>
                <w:color w:val="000000"/>
                <w:sz w:val="18"/>
                <w:szCs w:val="18"/>
              </w:rPr>
              <w:br/>
              <w:t>(c)</w:t>
            </w:r>
          </w:p>
        </w:tc>
        <w:tc>
          <w:tcPr>
            <w:tcW w:w="0" w:type="auto"/>
            <w:gridSpan w:val="3"/>
            <w:tcMar>
              <w:top w:w="0" w:type="dxa"/>
              <w:left w:w="20" w:type="dxa"/>
              <w:bottom w:w="0" w:type="dxa"/>
              <w:right w:w="20" w:type="dxa"/>
            </w:tcMar>
            <w:vAlign w:val="center"/>
            <w:hideMark/>
          </w:tcPr>
          <w:p w14:paraId="36ACA968"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8EBCA6F" w14:textId="77777777" w:rsidR="00000000" w:rsidRDefault="000C49AD">
            <w:pPr>
              <w:spacing w:after="100"/>
              <w:jc w:val="center"/>
              <w:rPr>
                <w:rFonts w:eastAsia="Times New Roman"/>
              </w:rPr>
            </w:pPr>
            <w:r>
              <w:rPr>
                <w:rFonts w:eastAsia="Times New Roman"/>
                <w:b/>
                <w:bCs/>
                <w:color w:val="000000"/>
                <w:sz w:val="18"/>
                <w:szCs w:val="18"/>
              </w:rPr>
              <w:t xml:space="preserve">Balance, </w:t>
            </w:r>
            <w:r>
              <w:rPr>
                <w:rFonts w:eastAsia="Times New Roman"/>
                <w:b/>
                <w:bCs/>
                <w:color w:val="000000"/>
                <w:sz w:val="18"/>
                <w:szCs w:val="18"/>
              </w:rPr>
              <w:br/>
              <w:t>End of Period</w:t>
            </w:r>
          </w:p>
        </w:tc>
      </w:tr>
      <w:tr w:rsidR="00000000" w14:paraId="44C03EB7" w14:textId="77777777">
        <w:trPr>
          <w:trHeight w:val="60"/>
          <w:jc w:val="center"/>
        </w:trPr>
        <w:tc>
          <w:tcPr>
            <w:tcW w:w="0" w:type="auto"/>
            <w:gridSpan w:val="3"/>
            <w:tcBorders>
              <w:top w:val="single" w:sz="8" w:space="0" w:color="000000"/>
            </w:tcBorders>
            <w:tcMar>
              <w:top w:w="0" w:type="dxa"/>
              <w:left w:w="20" w:type="dxa"/>
              <w:bottom w:w="0" w:type="dxa"/>
              <w:right w:w="20" w:type="dxa"/>
            </w:tcMar>
            <w:vAlign w:val="center"/>
            <w:hideMark/>
          </w:tcPr>
          <w:p w14:paraId="2B309F96" w14:textId="77777777" w:rsidR="00000000" w:rsidRDefault="000C49AD">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366FF22"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21567353"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9304EE"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F30E6C3"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11D1E9"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50AE8FEA"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D3EDA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4512438"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E7382F"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C63339F" w14:textId="77777777" w:rsidR="00000000" w:rsidRDefault="000C49AD">
            <w:pPr>
              <w:spacing w:after="100"/>
              <w:rPr>
                <w:rFonts w:eastAsia="Times New Roman"/>
                <w:sz w:val="20"/>
                <w:szCs w:val="20"/>
              </w:rPr>
            </w:pPr>
          </w:p>
        </w:tc>
      </w:tr>
      <w:tr w:rsidR="00000000" w14:paraId="296BF3CE" w14:textId="77777777">
        <w:trPr>
          <w:jc w:val="center"/>
        </w:trPr>
        <w:tc>
          <w:tcPr>
            <w:tcW w:w="0" w:type="auto"/>
            <w:gridSpan w:val="3"/>
            <w:shd w:val="clear" w:color="auto" w:fill="CCEEFF"/>
            <w:tcMar>
              <w:top w:w="30" w:type="dxa"/>
              <w:left w:w="155" w:type="dxa"/>
              <w:bottom w:w="30" w:type="dxa"/>
              <w:right w:w="20" w:type="dxa"/>
            </w:tcMar>
            <w:vAlign w:val="bottom"/>
            <w:hideMark/>
          </w:tcPr>
          <w:p w14:paraId="1E32D829" w14:textId="77777777" w:rsidR="00000000" w:rsidRDefault="000C49AD">
            <w:pPr>
              <w:spacing w:after="100"/>
              <w:rPr>
                <w:rFonts w:eastAsia="Times New Roman"/>
              </w:rPr>
            </w:pPr>
            <w:r>
              <w:rPr>
                <w:rFonts w:eastAsia="Times New Roman"/>
                <w:color w:val="000000"/>
                <w:sz w:val="18"/>
                <w:szCs w:val="18"/>
              </w:rPr>
              <w:t>2021</w:t>
            </w:r>
          </w:p>
        </w:tc>
        <w:tc>
          <w:tcPr>
            <w:tcW w:w="0" w:type="auto"/>
            <w:gridSpan w:val="3"/>
            <w:shd w:val="clear" w:color="auto" w:fill="CCEEFF"/>
            <w:tcMar>
              <w:top w:w="0" w:type="dxa"/>
              <w:left w:w="20" w:type="dxa"/>
              <w:bottom w:w="0" w:type="dxa"/>
              <w:right w:w="20" w:type="dxa"/>
            </w:tcMar>
            <w:vAlign w:val="center"/>
            <w:hideMark/>
          </w:tcPr>
          <w:p w14:paraId="1F9B6308"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2732DDFC"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57AC93D" w14:textId="77777777" w:rsidR="00000000" w:rsidRDefault="000C49AD">
            <w:pPr>
              <w:spacing w:after="100"/>
              <w:jc w:val="right"/>
              <w:rPr>
                <w:rFonts w:eastAsia="Times New Roman"/>
              </w:rPr>
            </w:pPr>
            <w:r>
              <w:rPr>
                <w:rFonts w:eastAsia="Times New Roman"/>
                <w:color w:val="000000"/>
                <w:sz w:val="18"/>
                <w:szCs w:val="18"/>
              </w:rPr>
              <w:t>21,624 </w:t>
            </w:r>
          </w:p>
        </w:tc>
        <w:tc>
          <w:tcPr>
            <w:tcW w:w="0" w:type="auto"/>
            <w:shd w:val="clear" w:color="auto" w:fill="CCEEFF"/>
            <w:tcMar>
              <w:top w:w="30" w:type="dxa"/>
              <w:left w:w="0" w:type="dxa"/>
              <w:bottom w:w="30" w:type="dxa"/>
              <w:right w:w="20" w:type="dxa"/>
            </w:tcMar>
            <w:vAlign w:val="bottom"/>
            <w:hideMark/>
          </w:tcPr>
          <w:p w14:paraId="328707F2"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48A024"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3434A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FD4F7FC" w14:textId="77777777" w:rsidR="00000000" w:rsidRDefault="000C49AD">
            <w:pPr>
              <w:spacing w:after="100"/>
              <w:jc w:val="right"/>
              <w:rPr>
                <w:rFonts w:eastAsia="Times New Roman"/>
              </w:rPr>
            </w:pPr>
            <w:r>
              <w:rPr>
                <w:rFonts w:eastAsia="Times New Roman"/>
                <w:color w:val="000000"/>
                <w:sz w:val="18"/>
                <w:szCs w:val="18"/>
              </w:rPr>
              <w:t>4,235 </w:t>
            </w:r>
          </w:p>
        </w:tc>
        <w:tc>
          <w:tcPr>
            <w:tcW w:w="0" w:type="auto"/>
            <w:shd w:val="clear" w:color="auto" w:fill="CCEEFF"/>
            <w:tcMar>
              <w:top w:w="30" w:type="dxa"/>
              <w:left w:w="0" w:type="dxa"/>
              <w:bottom w:w="30" w:type="dxa"/>
              <w:right w:w="20" w:type="dxa"/>
            </w:tcMar>
            <w:vAlign w:val="bottom"/>
            <w:hideMark/>
          </w:tcPr>
          <w:p w14:paraId="483A538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A2C80C"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FE126B5"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7B96F05A" w14:textId="77777777" w:rsidR="00000000" w:rsidRDefault="000C49AD">
            <w:pPr>
              <w:spacing w:after="100"/>
              <w:jc w:val="right"/>
              <w:rPr>
                <w:rFonts w:eastAsia="Times New Roman"/>
              </w:rPr>
            </w:pPr>
            <w:r>
              <w:rPr>
                <w:rFonts w:eastAsia="Times New Roman"/>
                <w:color w:val="000000"/>
                <w:sz w:val="18"/>
                <w:szCs w:val="18"/>
              </w:rPr>
              <w:t>(51)</w:t>
            </w:r>
          </w:p>
        </w:tc>
        <w:tc>
          <w:tcPr>
            <w:tcW w:w="0" w:type="auto"/>
            <w:shd w:val="clear" w:color="auto" w:fill="CCEEFF"/>
            <w:tcMar>
              <w:top w:w="30" w:type="dxa"/>
              <w:left w:w="0" w:type="dxa"/>
              <w:bottom w:w="30" w:type="dxa"/>
              <w:right w:w="20" w:type="dxa"/>
            </w:tcMar>
            <w:vAlign w:val="bottom"/>
            <w:hideMark/>
          </w:tcPr>
          <w:p w14:paraId="688FA92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590BC4"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5254CC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3000BD9" w14:textId="77777777" w:rsidR="00000000" w:rsidRDefault="000C49AD">
            <w:pPr>
              <w:spacing w:after="100"/>
              <w:jc w:val="right"/>
              <w:rPr>
                <w:rFonts w:eastAsia="Times New Roman"/>
              </w:rPr>
            </w:pPr>
            <w:r>
              <w:rPr>
                <w:rFonts w:eastAsia="Times New Roman"/>
                <w:color w:val="000000"/>
                <w:sz w:val="18"/>
                <w:szCs w:val="18"/>
              </w:rPr>
              <w:t>(1,783)</w:t>
            </w:r>
          </w:p>
        </w:tc>
        <w:tc>
          <w:tcPr>
            <w:tcW w:w="0" w:type="auto"/>
            <w:shd w:val="clear" w:color="auto" w:fill="CCEEFF"/>
            <w:tcMar>
              <w:top w:w="30" w:type="dxa"/>
              <w:left w:w="0" w:type="dxa"/>
              <w:bottom w:w="30" w:type="dxa"/>
              <w:right w:w="20" w:type="dxa"/>
            </w:tcMar>
            <w:vAlign w:val="bottom"/>
            <w:hideMark/>
          </w:tcPr>
          <w:p w14:paraId="23D3404D"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5693D9"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72EFC7"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265A08C" w14:textId="77777777" w:rsidR="00000000" w:rsidRDefault="000C49AD">
            <w:pPr>
              <w:spacing w:after="100"/>
              <w:jc w:val="right"/>
              <w:rPr>
                <w:rFonts w:eastAsia="Times New Roman"/>
              </w:rPr>
            </w:pPr>
            <w:r>
              <w:rPr>
                <w:rFonts w:eastAsia="Times New Roman"/>
                <w:color w:val="000000"/>
                <w:sz w:val="18"/>
                <w:szCs w:val="18"/>
              </w:rPr>
              <w:t>24,025 </w:t>
            </w:r>
          </w:p>
        </w:tc>
        <w:tc>
          <w:tcPr>
            <w:tcW w:w="0" w:type="auto"/>
            <w:shd w:val="clear" w:color="auto" w:fill="CCEEFF"/>
            <w:tcMar>
              <w:top w:w="30" w:type="dxa"/>
              <w:left w:w="0" w:type="dxa"/>
              <w:bottom w:w="30" w:type="dxa"/>
              <w:right w:w="20" w:type="dxa"/>
            </w:tcMar>
            <w:vAlign w:val="bottom"/>
            <w:hideMark/>
          </w:tcPr>
          <w:p w14:paraId="6FCD1357" w14:textId="77777777" w:rsidR="00000000" w:rsidRDefault="000C49AD">
            <w:pPr>
              <w:spacing w:after="100"/>
              <w:jc w:val="right"/>
              <w:rPr>
                <w:rFonts w:eastAsia="Times New Roman"/>
              </w:rPr>
            </w:pPr>
          </w:p>
        </w:tc>
      </w:tr>
      <w:tr w:rsidR="00000000" w14:paraId="3E9DC09B" w14:textId="77777777">
        <w:trPr>
          <w:jc w:val="center"/>
        </w:trPr>
        <w:tc>
          <w:tcPr>
            <w:tcW w:w="0" w:type="auto"/>
            <w:gridSpan w:val="3"/>
            <w:shd w:val="clear" w:color="auto" w:fill="FFFFFF"/>
            <w:tcMar>
              <w:top w:w="30" w:type="dxa"/>
              <w:left w:w="155" w:type="dxa"/>
              <w:bottom w:w="30" w:type="dxa"/>
              <w:right w:w="20" w:type="dxa"/>
            </w:tcMar>
            <w:vAlign w:val="bottom"/>
            <w:hideMark/>
          </w:tcPr>
          <w:p w14:paraId="2D7501C6" w14:textId="77777777" w:rsidR="00000000" w:rsidRDefault="000C49AD">
            <w:pPr>
              <w:spacing w:after="100"/>
              <w:rPr>
                <w:rFonts w:eastAsia="Times New Roman"/>
              </w:rPr>
            </w:pPr>
            <w:r>
              <w:rPr>
                <w:rFonts w:eastAsia="Times New Roman"/>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14:paraId="7CD1DDE5" w14:textId="77777777" w:rsidR="00000000" w:rsidRDefault="000C49AD">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1A3A99A6"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552527BB" w14:textId="77777777" w:rsidR="00000000" w:rsidRDefault="000C49AD">
            <w:pPr>
              <w:spacing w:after="100"/>
              <w:jc w:val="right"/>
              <w:rPr>
                <w:rFonts w:eastAsia="Times New Roman"/>
              </w:rPr>
            </w:pPr>
            <w:r>
              <w:rPr>
                <w:rFonts w:eastAsia="Times New Roman"/>
                <w:color w:val="000000"/>
                <w:sz w:val="18"/>
                <w:szCs w:val="18"/>
              </w:rPr>
              <w:t>17,037 </w:t>
            </w:r>
          </w:p>
        </w:tc>
        <w:tc>
          <w:tcPr>
            <w:tcW w:w="0" w:type="auto"/>
            <w:shd w:val="clear" w:color="auto" w:fill="FFFFFF"/>
            <w:tcMar>
              <w:top w:w="30" w:type="dxa"/>
              <w:left w:w="0" w:type="dxa"/>
              <w:bottom w:w="30" w:type="dxa"/>
              <w:right w:w="20" w:type="dxa"/>
            </w:tcMar>
            <w:vAlign w:val="bottom"/>
            <w:hideMark/>
          </w:tcPr>
          <w:p w14:paraId="0D721424"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7B6F6F"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6EE4A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77474AF6" w14:textId="77777777" w:rsidR="00000000" w:rsidRDefault="000C49AD">
            <w:pPr>
              <w:spacing w:after="100"/>
              <w:jc w:val="right"/>
              <w:rPr>
                <w:rFonts w:eastAsia="Times New Roman"/>
              </w:rPr>
            </w:pPr>
            <w:r>
              <w:rPr>
                <w:rFonts w:eastAsia="Times New Roman"/>
                <w:color w:val="000000"/>
                <w:sz w:val="18"/>
                <w:szCs w:val="18"/>
              </w:rPr>
              <w:t>2,805 </w:t>
            </w:r>
          </w:p>
        </w:tc>
        <w:tc>
          <w:tcPr>
            <w:tcW w:w="0" w:type="auto"/>
            <w:shd w:val="clear" w:color="auto" w:fill="FFFFFF"/>
            <w:tcMar>
              <w:top w:w="30" w:type="dxa"/>
              <w:left w:w="0" w:type="dxa"/>
              <w:bottom w:w="30" w:type="dxa"/>
              <w:right w:w="20" w:type="dxa"/>
            </w:tcMar>
            <w:vAlign w:val="bottom"/>
            <w:hideMark/>
          </w:tcPr>
          <w:p w14:paraId="0513AD37"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E8D58B"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555290A"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F141B8E" w14:textId="77777777" w:rsidR="00000000" w:rsidRDefault="000C49AD">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14:paraId="5171F5E5"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F32DD5"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31FD7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7D5F488" w14:textId="77777777" w:rsidR="00000000" w:rsidRDefault="000C49AD">
            <w:pPr>
              <w:spacing w:after="100"/>
              <w:jc w:val="right"/>
              <w:rPr>
                <w:rFonts w:eastAsia="Times New Roman"/>
              </w:rPr>
            </w:pPr>
            <w:r>
              <w:rPr>
                <w:rFonts w:eastAsia="Times New Roman"/>
                <w:color w:val="000000"/>
                <w:sz w:val="18"/>
                <w:szCs w:val="18"/>
              </w:rPr>
              <w:t>1,782 </w:t>
            </w:r>
          </w:p>
        </w:tc>
        <w:tc>
          <w:tcPr>
            <w:tcW w:w="0" w:type="auto"/>
            <w:shd w:val="clear" w:color="auto" w:fill="FFFFFF"/>
            <w:tcMar>
              <w:top w:w="30" w:type="dxa"/>
              <w:left w:w="0" w:type="dxa"/>
              <w:bottom w:w="30" w:type="dxa"/>
              <w:right w:w="20" w:type="dxa"/>
            </w:tcMar>
            <w:vAlign w:val="bottom"/>
            <w:hideMark/>
          </w:tcPr>
          <w:p w14:paraId="5612DC9F" w14:textId="77777777" w:rsidR="00000000" w:rsidRDefault="000C49AD">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A6AA16" w14:textId="77777777" w:rsidR="00000000" w:rsidRDefault="000C49AD">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0D7DE2B"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4472D8BC" w14:textId="77777777" w:rsidR="00000000" w:rsidRDefault="000C49AD">
            <w:pPr>
              <w:spacing w:after="100"/>
              <w:jc w:val="right"/>
              <w:rPr>
                <w:rFonts w:eastAsia="Times New Roman"/>
              </w:rPr>
            </w:pPr>
            <w:r>
              <w:rPr>
                <w:rFonts w:eastAsia="Times New Roman"/>
                <w:color w:val="000000"/>
                <w:sz w:val="18"/>
                <w:szCs w:val="18"/>
              </w:rPr>
              <w:t>21,624 </w:t>
            </w:r>
          </w:p>
        </w:tc>
        <w:tc>
          <w:tcPr>
            <w:tcW w:w="0" w:type="auto"/>
            <w:shd w:val="clear" w:color="auto" w:fill="FFFFFF"/>
            <w:tcMar>
              <w:top w:w="30" w:type="dxa"/>
              <w:left w:w="0" w:type="dxa"/>
              <w:bottom w:w="30" w:type="dxa"/>
              <w:right w:w="20" w:type="dxa"/>
            </w:tcMar>
            <w:vAlign w:val="bottom"/>
            <w:hideMark/>
          </w:tcPr>
          <w:p w14:paraId="04F17838" w14:textId="77777777" w:rsidR="00000000" w:rsidRDefault="000C49AD">
            <w:pPr>
              <w:spacing w:after="100"/>
              <w:jc w:val="right"/>
              <w:rPr>
                <w:rFonts w:eastAsia="Times New Roman"/>
              </w:rPr>
            </w:pPr>
          </w:p>
        </w:tc>
      </w:tr>
      <w:tr w:rsidR="00000000" w14:paraId="049DB911" w14:textId="77777777">
        <w:trPr>
          <w:jc w:val="center"/>
        </w:trPr>
        <w:tc>
          <w:tcPr>
            <w:tcW w:w="0" w:type="auto"/>
            <w:gridSpan w:val="3"/>
            <w:shd w:val="clear" w:color="auto" w:fill="CCEEFF"/>
            <w:tcMar>
              <w:top w:w="30" w:type="dxa"/>
              <w:left w:w="155" w:type="dxa"/>
              <w:bottom w:w="30" w:type="dxa"/>
              <w:right w:w="20" w:type="dxa"/>
            </w:tcMar>
            <w:vAlign w:val="bottom"/>
            <w:hideMark/>
          </w:tcPr>
          <w:p w14:paraId="44F2BFFE" w14:textId="77777777" w:rsidR="00000000" w:rsidRDefault="000C49AD">
            <w:pPr>
              <w:spacing w:after="100"/>
              <w:rPr>
                <w:rFonts w:eastAsia="Times New Roman"/>
              </w:rPr>
            </w:pPr>
            <w:r>
              <w:rPr>
                <w:rFonts w:eastAsia="Times New Roman"/>
                <w:color w:val="000000"/>
                <w:sz w:val="18"/>
                <w:szCs w:val="18"/>
              </w:rPr>
              <w:t>2019</w:t>
            </w:r>
          </w:p>
        </w:tc>
        <w:tc>
          <w:tcPr>
            <w:tcW w:w="0" w:type="auto"/>
            <w:gridSpan w:val="3"/>
            <w:shd w:val="clear" w:color="auto" w:fill="CCEEFF"/>
            <w:tcMar>
              <w:top w:w="0" w:type="dxa"/>
              <w:left w:w="20" w:type="dxa"/>
              <w:bottom w:w="0" w:type="dxa"/>
              <w:right w:w="20" w:type="dxa"/>
            </w:tcMar>
            <w:vAlign w:val="center"/>
            <w:hideMark/>
          </w:tcPr>
          <w:p w14:paraId="2FBC4A44" w14:textId="77777777" w:rsidR="00000000" w:rsidRDefault="000C49AD">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6579E81F"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0CAC9CD" w14:textId="77777777" w:rsidR="00000000" w:rsidRDefault="000C49AD">
            <w:pPr>
              <w:spacing w:after="100"/>
              <w:jc w:val="right"/>
              <w:rPr>
                <w:rFonts w:eastAsia="Times New Roman"/>
              </w:rPr>
            </w:pPr>
            <w:r>
              <w:rPr>
                <w:rFonts w:eastAsia="Times New Roman"/>
                <w:color w:val="000000"/>
                <w:sz w:val="18"/>
                <w:szCs w:val="18"/>
              </w:rPr>
              <w:t>21,199 </w:t>
            </w:r>
          </w:p>
        </w:tc>
        <w:tc>
          <w:tcPr>
            <w:tcW w:w="0" w:type="auto"/>
            <w:shd w:val="clear" w:color="auto" w:fill="CCEEFF"/>
            <w:tcMar>
              <w:top w:w="30" w:type="dxa"/>
              <w:left w:w="0" w:type="dxa"/>
              <w:bottom w:w="30" w:type="dxa"/>
              <w:right w:w="20" w:type="dxa"/>
            </w:tcMar>
            <w:vAlign w:val="bottom"/>
            <w:hideMark/>
          </w:tcPr>
          <w:p w14:paraId="4EAC7D76"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55F65A"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D8B668"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3ADA9A35" w14:textId="77777777" w:rsidR="00000000" w:rsidRDefault="000C49AD">
            <w:pPr>
              <w:spacing w:after="100"/>
              <w:jc w:val="right"/>
              <w:rPr>
                <w:rFonts w:eastAsia="Times New Roman"/>
              </w:rPr>
            </w:pPr>
            <w:r>
              <w:rPr>
                <w:rFonts w:eastAsia="Times New Roman"/>
                <w:color w:val="000000"/>
                <w:sz w:val="18"/>
                <w:szCs w:val="18"/>
              </w:rPr>
              <w:t>6,496 </w:t>
            </w:r>
          </w:p>
        </w:tc>
        <w:tc>
          <w:tcPr>
            <w:tcW w:w="0" w:type="auto"/>
            <w:shd w:val="clear" w:color="auto" w:fill="CCEEFF"/>
            <w:tcMar>
              <w:top w:w="30" w:type="dxa"/>
              <w:left w:w="0" w:type="dxa"/>
              <w:bottom w:w="30" w:type="dxa"/>
              <w:right w:w="20" w:type="dxa"/>
            </w:tcMar>
            <w:vAlign w:val="bottom"/>
            <w:hideMark/>
          </w:tcPr>
          <w:p w14:paraId="6F5AC8B4"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29F59"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337D9D9"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60AD1C5E" w14:textId="77777777" w:rsidR="00000000" w:rsidRDefault="000C49AD">
            <w:pPr>
              <w:spacing w:after="100"/>
              <w:jc w:val="right"/>
              <w:rPr>
                <w:rFonts w:eastAsia="Times New Roman"/>
              </w:rPr>
            </w:pPr>
            <w:r>
              <w:rPr>
                <w:rFonts w:eastAsia="Times New Roman"/>
                <w:color w:val="000000"/>
                <w:sz w:val="18"/>
                <w:szCs w:val="18"/>
              </w:rPr>
              <w:t>(4,762)</w:t>
            </w:r>
          </w:p>
        </w:tc>
        <w:tc>
          <w:tcPr>
            <w:tcW w:w="0" w:type="auto"/>
            <w:shd w:val="clear" w:color="auto" w:fill="CCEEFF"/>
            <w:tcMar>
              <w:top w:w="30" w:type="dxa"/>
              <w:left w:w="0" w:type="dxa"/>
              <w:bottom w:w="30" w:type="dxa"/>
              <w:right w:w="20" w:type="dxa"/>
            </w:tcMar>
            <w:vAlign w:val="bottom"/>
            <w:hideMark/>
          </w:tcPr>
          <w:p w14:paraId="6C262760"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C176EE"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FC2F0D"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1BA5CE1B" w14:textId="77777777" w:rsidR="00000000" w:rsidRDefault="000C49AD">
            <w:pPr>
              <w:spacing w:after="100"/>
              <w:jc w:val="right"/>
              <w:rPr>
                <w:rFonts w:eastAsia="Times New Roman"/>
              </w:rPr>
            </w:pPr>
            <w:r>
              <w:rPr>
                <w:rFonts w:eastAsia="Times New Roman"/>
                <w:color w:val="000000"/>
                <w:sz w:val="18"/>
                <w:szCs w:val="18"/>
              </w:rPr>
              <w:t>(5,896)</w:t>
            </w:r>
          </w:p>
        </w:tc>
        <w:tc>
          <w:tcPr>
            <w:tcW w:w="0" w:type="auto"/>
            <w:shd w:val="clear" w:color="auto" w:fill="CCEEFF"/>
            <w:tcMar>
              <w:top w:w="30" w:type="dxa"/>
              <w:left w:w="0" w:type="dxa"/>
              <w:bottom w:w="30" w:type="dxa"/>
              <w:right w:w="20" w:type="dxa"/>
            </w:tcMar>
            <w:vAlign w:val="bottom"/>
            <w:hideMark/>
          </w:tcPr>
          <w:p w14:paraId="42E0A71E" w14:textId="77777777" w:rsidR="00000000" w:rsidRDefault="000C49AD">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78046A" w14:textId="77777777" w:rsidR="00000000" w:rsidRDefault="000C49AD">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4E1A2A" w14:textId="77777777" w:rsidR="00000000" w:rsidRDefault="000C49AD">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214EBE49" w14:textId="77777777" w:rsidR="00000000" w:rsidRDefault="000C49AD">
            <w:pPr>
              <w:spacing w:after="100"/>
              <w:jc w:val="right"/>
              <w:rPr>
                <w:rFonts w:eastAsia="Times New Roman"/>
              </w:rPr>
            </w:pPr>
            <w:r>
              <w:rPr>
                <w:rFonts w:eastAsia="Times New Roman"/>
                <w:color w:val="000000"/>
                <w:sz w:val="18"/>
                <w:szCs w:val="18"/>
              </w:rPr>
              <w:t>17,037 </w:t>
            </w:r>
          </w:p>
        </w:tc>
        <w:tc>
          <w:tcPr>
            <w:tcW w:w="0" w:type="auto"/>
            <w:shd w:val="clear" w:color="auto" w:fill="CCEEFF"/>
            <w:tcMar>
              <w:top w:w="30" w:type="dxa"/>
              <w:left w:w="0" w:type="dxa"/>
              <w:bottom w:w="30" w:type="dxa"/>
              <w:right w:w="20" w:type="dxa"/>
            </w:tcMar>
            <w:vAlign w:val="bottom"/>
            <w:hideMark/>
          </w:tcPr>
          <w:p w14:paraId="64E6C844" w14:textId="77777777" w:rsidR="00000000" w:rsidRDefault="000C49AD">
            <w:pPr>
              <w:spacing w:after="100"/>
              <w:jc w:val="right"/>
              <w:rPr>
                <w:rFonts w:eastAsia="Times New Roman"/>
              </w:rPr>
            </w:pPr>
          </w:p>
        </w:tc>
      </w:tr>
      <w:tr w:rsidR="00000000" w14:paraId="359AC9B5" w14:textId="77777777">
        <w:trPr>
          <w:jc w:val="center"/>
        </w:trPr>
        <w:tc>
          <w:tcPr>
            <w:tcW w:w="0" w:type="auto"/>
            <w:gridSpan w:val="3"/>
            <w:vAlign w:val="center"/>
            <w:hideMark/>
          </w:tcPr>
          <w:p w14:paraId="31D164EB" w14:textId="77777777" w:rsidR="00000000" w:rsidRDefault="000C49AD">
            <w:pPr>
              <w:spacing w:after="100"/>
              <w:jc w:val="right"/>
              <w:rPr>
                <w:rFonts w:eastAsia="Times New Roman"/>
                <w:sz w:val="20"/>
                <w:szCs w:val="20"/>
              </w:rPr>
            </w:pPr>
          </w:p>
        </w:tc>
        <w:tc>
          <w:tcPr>
            <w:tcW w:w="0" w:type="auto"/>
            <w:gridSpan w:val="3"/>
            <w:vAlign w:val="center"/>
            <w:hideMark/>
          </w:tcPr>
          <w:p w14:paraId="4919577F" w14:textId="77777777" w:rsidR="00000000" w:rsidRDefault="000C49AD">
            <w:pPr>
              <w:spacing w:after="100"/>
              <w:rPr>
                <w:rFonts w:eastAsia="Times New Roman"/>
                <w:sz w:val="20"/>
                <w:szCs w:val="20"/>
              </w:rPr>
            </w:pPr>
          </w:p>
        </w:tc>
        <w:tc>
          <w:tcPr>
            <w:tcW w:w="0" w:type="auto"/>
            <w:gridSpan w:val="3"/>
            <w:vAlign w:val="center"/>
            <w:hideMark/>
          </w:tcPr>
          <w:p w14:paraId="6C3E91F4" w14:textId="77777777" w:rsidR="00000000" w:rsidRDefault="000C49AD">
            <w:pPr>
              <w:spacing w:after="100"/>
              <w:rPr>
                <w:rFonts w:eastAsia="Times New Roman"/>
                <w:sz w:val="20"/>
                <w:szCs w:val="20"/>
              </w:rPr>
            </w:pPr>
          </w:p>
        </w:tc>
        <w:tc>
          <w:tcPr>
            <w:tcW w:w="0" w:type="auto"/>
            <w:gridSpan w:val="3"/>
            <w:vAlign w:val="center"/>
            <w:hideMark/>
          </w:tcPr>
          <w:p w14:paraId="37723048" w14:textId="77777777" w:rsidR="00000000" w:rsidRDefault="000C49AD">
            <w:pPr>
              <w:spacing w:after="100"/>
              <w:rPr>
                <w:rFonts w:eastAsia="Times New Roman"/>
                <w:sz w:val="20"/>
                <w:szCs w:val="20"/>
              </w:rPr>
            </w:pPr>
          </w:p>
        </w:tc>
        <w:tc>
          <w:tcPr>
            <w:tcW w:w="0" w:type="auto"/>
            <w:gridSpan w:val="3"/>
            <w:vAlign w:val="center"/>
            <w:hideMark/>
          </w:tcPr>
          <w:p w14:paraId="32B310B3" w14:textId="77777777" w:rsidR="00000000" w:rsidRDefault="000C49AD">
            <w:pPr>
              <w:spacing w:after="100"/>
              <w:rPr>
                <w:rFonts w:eastAsia="Times New Roman"/>
                <w:sz w:val="20"/>
                <w:szCs w:val="20"/>
              </w:rPr>
            </w:pPr>
          </w:p>
        </w:tc>
        <w:tc>
          <w:tcPr>
            <w:tcW w:w="0" w:type="auto"/>
            <w:gridSpan w:val="3"/>
            <w:vAlign w:val="center"/>
            <w:hideMark/>
          </w:tcPr>
          <w:p w14:paraId="1A947500" w14:textId="77777777" w:rsidR="00000000" w:rsidRDefault="000C49AD">
            <w:pPr>
              <w:spacing w:after="100"/>
              <w:rPr>
                <w:rFonts w:eastAsia="Times New Roman"/>
                <w:sz w:val="20"/>
                <w:szCs w:val="20"/>
              </w:rPr>
            </w:pPr>
          </w:p>
        </w:tc>
        <w:tc>
          <w:tcPr>
            <w:tcW w:w="0" w:type="auto"/>
            <w:gridSpan w:val="3"/>
            <w:vAlign w:val="center"/>
            <w:hideMark/>
          </w:tcPr>
          <w:p w14:paraId="4C594FE6" w14:textId="77777777" w:rsidR="00000000" w:rsidRDefault="000C49AD">
            <w:pPr>
              <w:spacing w:after="100"/>
              <w:rPr>
                <w:rFonts w:eastAsia="Times New Roman"/>
                <w:sz w:val="20"/>
                <w:szCs w:val="20"/>
              </w:rPr>
            </w:pPr>
          </w:p>
        </w:tc>
        <w:tc>
          <w:tcPr>
            <w:tcW w:w="0" w:type="auto"/>
            <w:gridSpan w:val="3"/>
            <w:vAlign w:val="center"/>
            <w:hideMark/>
          </w:tcPr>
          <w:p w14:paraId="195B0EA9" w14:textId="77777777" w:rsidR="00000000" w:rsidRDefault="000C49AD">
            <w:pPr>
              <w:spacing w:after="100"/>
              <w:rPr>
                <w:rFonts w:eastAsia="Times New Roman"/>
                <w:sz w:val="20"/>
                <w:szCs w:val="20"/>
              </w:rPr>
            </w:pPr>
          </w:p>
        </w:tc>
        <w:tc>
          <w:tcPr>
            <w:tcW w:w="0" w:type="auto"/>
            <w:gridSpan w:val="3"/>
            <w:vAlign w:val="center"/>
            <w:hideMark/>
          </w:tcPr>
          <w:p w14:paraId="554E36A5" w14:textId="77777777" w:rsidR="00000000" w:rsidRDefault="000C49AD">
            <w:pPr>
              <w:spacing w:after="100"/>
              <w:rPr>
                <w:rFonts w:eastAsia="Times New Roman"/>
                <w:sz w:val="20"/>
                <w:szCs w:val="20"/>
              </w:rPr>
            </w:pPr>
          </w:p>
        </w:tc>
        <w:tc>
          <w:tcPr>
            <w:tcW w:w="0" w:type="auto"/>
            <w:gridSpan w:val="3"/>
            <w:vAlign w:val="center"/>
            <w:hideMark/>
          </w:tcPr>
          <w:p w14:paraId="34933C32" w14:textId="77777777" w:rsidR="00000000" w:rsidRDefault="000C49AD">
            <w:pPr>
              <w:spacing w:after="100"/>
              <w:rPr>
                <w:rFonts w:eastAsia="Times New Roman"/>
                <w:sz w:val="20"/>
                <w:szCs w:val="20"/>
              </w:rPr>
            </w:pPr>
          </w:p>
        </w:tc>
        <w:tc>
          <w:tcPr>
            <w:tcW w:w="0" w:type="auto"/>
            <w:gridSpan w:val="3"/>
            <w:vAlign w:val="center"/>
            <w:hideMark/>
          </w:tcPr>
          <w:p w14:paraId="0F79255B" w14:textId="77777777" w:rsidR="00000000" w:rsidRDefault="000C49AD">
            <w:pPr>
              <w:spacing w:after="100"/>
              <w:rPr>
                <w:rFonts w:eastAsia="Times New Roman"/>
                <w:sz w:val="20"/>
                <w:szCs w:val="20"/>
              </w:rPr>
            </w:pPr>
          </w:p>
        </w:tc>
      </w:tr>
      <w:tr w:rsidR="00000000" w14:paraId="7EF5BB18" w14:textId="77777777">
        <w:trPr>
          <w:jc w:val="center"/>
        </w:trPr>
        <w:tc>
          <w:tcPr>
            <w:tcW w:w="0" w:type="auto"/>
            <w:gridSpan w:val="3"/>
            <w:vAlign w:val="center"/>
            <w:hideMark/>
          </w:tcPr>
          <w:p w14:paraId="0E3900B2" w14:textId="77777777" w:rsidR="00000000" w:rsidRDefault="000C49AD">
            <w:pPr>
              <w:spacing w:after="100"/>
              <w:rPr>
                <w:rFonts w:eastAsia="Times New Roman"/>
                <w:sz w:val="20"/>
                <w:szCs w:val="20"/>
              </w:rPr>
            </w:pPr>
          </w:p>
        </w:tc>
        <w:tc>
          <w:tcPr>
            <w:tcW w:w="0" w:type="auto"/>
            <w:gridSpan w:val="3"/>
            <w:vAlign w:val="center"/>
            <w:hideMark/>
          </w:tcPr>
          <w:p w14:paraId="3BDC5B45" w14:textId="77777777" w:rsidR="00000000" w:rsidRDefault="000C49AD">
            <w:pPr>
              <w:spacing w:after="100"/>
              <w:rPr>
                <w:rFonts w:eastAsia="Times New Roman"/>
                <w:sz w:val="20"/>
                <w:szCs w:val="20"/>
              </w:rPr>
            </w:pPr>
          </w:p>
        </w:tc>
        <w:tc>
          <w:tcPr>
            <w:tcW w:w="0" w:type="auto"/>
            <w:gridSpan w:val="3"/>
            <w:vAlign w:val="center"/>
            <w:hideMark/>
          </w:tcPr>
          <w:p w14:paraId="0FA63F29" w14:textId="77777777" w:rsidR="00000000" w:rsidRDefault="000C49AD">
            <w:pPr>
              <w:spacing w:after="100"/>
              <w:rPr>
                <w:rFonts w:eastAsia="Times New Roman"/>
                <w:sz w:val="20"/>
                <w:szCs w:val="20"/>
              </w:rPr>
            </w:pPr>
          </w:p>
        </w:tc>
        <w:tc>
          <w:tcPr>
            <w:tcW w:w="0" w:type="auto"/>
            <w:gridSpan w:val="3"/>
            <w:vAlign w:val="center"/>
            <w:hideMark/>
          </w:tcPr>
          <w:p w14:paraId="77D1BA3E" w14:textId="77777777" w:rsidR="00000000" w:rsidRDefault="000C49AD">
            <w:pPr>
              <w:spacing w:after="100"/>
              <w:rPr>
                <w:rFonts w:eastAsia="Times New Roman"/>
                <w:sz w:val="20"/>
                <w:szCs w:val="20"/>
              </w:rPr>
            </w:pPr>
          </w:p>
        </w:tc>
        <w:tc>
          <w:tcPr>
            <w:tcW w:w="0" w:type="auto"/>
            <w:gridSpan w:val="3"/>
            <w:vAlign w:val="center"/>
            <w:hideMark/>
          </w:tcPr>
          <w:p w14:paraId="43E2DF20" w14:textId="77777777" w:rsidR="00000000" w:rsidRDefault="000C49AD">
            <w:pPr>
              <w:spacing w:after="100"/>
              <w:rPr>
                <w:rFonts w:eastAsia="Times New Roman"/>
                <w:sz w:val="20"/>
                <w:szCs w:val="20"/>
              </w:rPr>
            </w:pPr>
          </w:p>
        </w:tc>
        <w:tc>
          <w:tcPr>
            <w:tcW w:w="0" w:type="auto"/>
            <w:gridSpan w:val="3"/>
            <w:vAlign w:val="center"/>
            <w:hideMark/>
          </w:tcPr>
          <w:p w14:paraId="7196992D" w14:textId="77777777" w:rsidR="00000000" w:rsidRDefault="000C49AD">
            <w:pPr>
              <w:spacing w:after="100"/>
              <w:rPr>
                <w:rFonts w:eastAsia="Times New Roman"/>
                <w:sz w:val="20"/>
                <w:szCs w:val="20"/>
              </w:rPr>
            </w:pPr>
          </w:p>
        </w:tc>
        <w:tc>
          <w:tcPr>
            <w:tcW w:w="0" w:type="auto"/>
            <w:gridSpan w:val="3"/>
            <w:vAlign w:val="center"/>
            <w:hideMark/>
          </w:tcPr>
          <w:p w14:paraId="397F4949" w14:textId="77777777" w:rsidR="00000000" w:rsidRDefault="000C49AD">
            <w:pPr>
              <w:spacing w:after="100"/>
              <w:rPr>
                <w:rFonts w:eastAsia="Times New Roman"/>
                <w:sz w:val="20"/>
                <w:szCs w:val="20"/>
              </w:rPr>
            </w:pPr>
          </w:p>
        </w:tc>
        <w:tc>
          <w:tcPr>
            <w:tcW w:w="0" w:type="auto"/>
            <w:gridSpan w:val="3"/>
            <w:vAlign w:val="center"/>
            <w:hideMark/>
          </w:tcPr>
          <w:p w14:paraId="632B4BC3" w14:textId="77777777" w:rsidR="00000000" w:rsidRDefault="000C49AD">
            <w:pPr>
              <w:spacing w:after="100"/>
              <w:rPr>
                <w:rFonts w:eastAsia="Times New Roman"/>
                <w:sz w:val="20"/>
                <w:szCs w:val="20"/>
              </w:rPr>
            </w:pPr>
          </w:p>
        </w:tc>
        <w:tc>
          <w:tcPr>
            <w:tcW w:w="0" w:type="auto"/>
            <w:gridSpan w:val="3"/>
            <w:vAlign w:val="center"/>
            <w:hideMark/>
          </w:tcPr>
          <w:p w14:paraId="0F06544E" w14:textId="77777777" w:rsidR="00000000" w:rsidRDefault="000C49AD">
            <w:pPr>
              <w:spacing w:after="100"/>
              <w:rPr>
                <w:rFonts w:eastAsia="Times New Roman"/>
                <w:sz w:val="20"/>
                <w:szCs w:val="20"/>
              </w:rPr>
            </w:pPr>
          </w:p>
        </w:tc>
        <w:tc>
          <w:tcPr>
            <w:tcW w:w="0" w:type="auto"/>
            <w:gridSpan w:val="3"/>
            <w:vAlign w:val="center"/>
            <w:hideMark/>
          </w:tcPr>
          <w:p w14:paraId="00DCED5C" w14:textId="77777777" w:rsidR="00000000" w:rsidRDefault="000C49AD">
            <w:pPr>
              <w:spacing w:after="100"/>
              <w:rPr>
                <w:rFonts w:eastAsia="Times New Roman"/>
                <w:sz w:val="20"/>
                <w:szCs w:val="20"/>
              </w:rPr>
            </w:pPr>
          </w:p>
        </w:tc>
        <w:tc>
          <w:tcPr>
            <w:tcW w:w="0" w:type="auto"/>
            <w:gridSpan w:val="3"/>
            <w:vAlign w:val="center"/>
            <w:hideMark/>
          </w:tcPr>
          <w:p w14:paraId="368A9EAA" w14:textId="77777777" w:rsidR="00000000" w:rsidRDefault="000C49AD">
            <w:pPr>
              <w:spacing w:after="100"/>
              <w:rPr>
                <w:rFonts w:eastAsia="Times New Roman"/>
                <w:sz w:val="20"/>
                <w:szCs w:val="20"/>
              </w:rPr>
            </w:pPr>
          </w:p>
        </w:tc>
      </w:tr>
    </w:tbl>
    <w:p w14:paraId="34177D22" w14:textId="77777777" w:rsidR="00000000" w:rsidRDefault="000C49AD">
      <w:pPr>
        <w:jc w:val="center"/>
        <w:rPr>
          <w:rFonts w:eastAsia="Times New Roman"/>
        </w:rPr>
      </w:pPr>
    </w:p>
    <w:p w14:paraId="04284D1C" w14:textId="77777777" w:rsidR="00000000" w:rsidRDefault="000C49AD">
      <w:pPr>
        <w:ind w:hanging="360"/>
        <w:jc w:val="both"/>
        <w:divId w:val="1831285036"/>
        <w:rPr>
          <w:rFonts w:eastAsia="Times New Roman"/>
        </w:rPr>
      </w:pPr>
      <w:r>
        <w:rPr>
          <w:rFonts w:eastAsia="Times New Roman"/>
          <w:color w:val="000000"/>
          <w:sz w:val="20"/>
          <w:szCs w:val="20"/>
        </w:rPr>
        <w:t>a.</w:t>
      </w:r>
      <w:r>
        <w:rPr>
          <w:rFonts w:eastAsia="Times New Roman"/>
          <w:color w:val="000000"/>
          <w:sz w:val="20"/>
          <w:szCs w:val="20"/>
        </w:rPr>
        <w:t>Additions to the deferred tax asset valuation allowance relate to movements on certain French, Irish and U.S. deferred tax assets where we continue to maintain a valuation allowance until sufficient positive evidence exists to support reversal.</w:t>
      </w:r>
    </w:p>
    <w:p w14:paraId="1922D0CA" w14:textId="77777777" w:rsidR="00000000" w:rsidRDefault="000C49AD">
      <w:pPr>
        <w:ind w:hanging="360"/>
        <w:jc w:val="both"/>
        <w:divId w:val="2065911174"/>
        <w:rPr>
          <w:rFonts w:eastAsia="Times New Roman"/>
        </w:rPr>
      </w:pPr>
      <w:r>
        <w:rPr>
          <w:rFonts w:eastAsia="Times New Roman"/>
          <w:color w:val="000000"/>
          <w:sz w:val="20"/>
          <w:szCs w:val="20"/>
        </w:rPr>
        <w:t>b.Deduction</w:t>
      </w:r>
      <w:r>
        <w:rPr>
          <w:rFonts w:eastAsia="Times New Roman"/>
          <w:color w:val="000000"/>
          <w:sz w:val="20"/>
          <w:szCs w:val="20"/>
        </w:rPr>
        <w:t>s to the deferred tax asset valuation allowance include movements relating to utilization of net operating losses and tax credit carryforwards, release in valuation allowance and other movements including adjustments following finalization of tax returns.</w:t>
      </w:r>
    </w:p>
    <w:p w14:paraId="67B08FE6" w14:textId="77777777" w:rsidR="00000000" w:rsidRDefault="000C49AD">
      <w:pPr>
        <w:ind w:hanging="360"/>
        <w:jc w:val="both"/>
        <w:divId w:val="630281856"/>
        <w:rPr>
          <w:rFonts w:eastAsia="Times New Roman"/>
        </w:rPr>
      </w:pPr>
      <w:r>
        <w:rPr>
          <w:rFonts w:eastAsia="Times New Roman"/>
          <w:color w:val="000000"/>
          <w:sz w:val="20"/>
          <w:szCs w:val="20"/>
        </w:rPr>
        <w:t>c.Other changes to the deferred tax asset valuation allowance including currency translation adjustments recorded directly in equity, account method changes and the impact of corporate restructuring.</w:t>
      </w:r>
    </w:p>
    <w:p w14:paraId="7B8D656F" w14:textId="77777777" w:rsidR="00000000" w:rsidRDefault="000C49AD">
      <w:pPr>
        <w:ind w:hanging="360"/>
        <w:jc w:val="both"/>
        <w:divId w:val="422336117"/>
        <w:rPr>
          <w:rFonts w:eastAsia="Times New Roman"/>
        </w:rPr>
      </w:pPr>
      <w:r>
        <w:rPr>
          <w:rFonts w:eastAsia="Times New Roman"/>
          <w:b/>
          <w:bCs/>
          <w:i/>
          <w:iCs/>
          <w:color w:val="000000"/>
          <w:sz w:val="20"/>
          <w:szCs w:val="20"/>
        </w:rPr>
        <w:t>3. Exhibits required by Item 601 of Regulation S-K</w:t>
      </w:r>
    </w:p>
    <w:p w14:paraId="7A794F54" w14:textId="77777777" w:rsidR="00000000" w:rsidRDefault="000C49AD">
      <w:pPr>
        <w:jc w:val="both"/>
        <w:rPr>
          <w:rFonts w:eastAsia="Times New Roman"/>
        </w:rPr>
      </w:pPr>
      <w:r>
        <w:rPr>
          <w:rFonts w:eastAsia="Times New Roman"/>
          <w:color w:val="000000"/>
          <w:sz w:val="20"/>
          <w:szCs w:val="20"/>
        </w:rPr>
        <w:t>The e</w:t>
      </w:r>
      <w:r>
        <w:rPr>
          <w:rFonts w:eastAsia="Times New Roman"/>
          <w:color w:val="000000"/>
          <w:sz w:val="20"/>
          <w:szCs w:val="20"/>
        </w:rPr>
        <w:t>xhibits required by Item 601 of Regulation S-K and Item 15(b) of this Annual Report on Form 10-K are listed in the Exhibit Index immediately preceding the signature page of this Annual Report on Form 10-K. The exhibits listed in the Exhibit Index are incor</w:t>
      </w:r>
      <w:r>
        <w:rPr>
          <w:rFonts w:eastAsia="Times New Roman"/>
          <w:color w:val="000000"/>
          <w:sz w:val="20"/>
          <w:szCs w:val="20"/>
        </w:rPr>
        <w:t>porated by reference herein.</w:t>
      </w:r>
    </w:p>
    <w:p w14:paraId="1AE53B09" w14:textId="77777777" w:rsidR="00000000" w:rsidRDefault="000C49AD">
      <w:pPr>
        <w:jc w:val="both"/>
        <w:rPr>
          <w:rFonts w:eastAsia="Times New Roman"/>
        </w:rPr>
      </w:pPr>
    </w:p>
    <w:p w14:paraId="671682F0" w14:textId="77777777" w:rsidR="00000000" w:rsidRDefault="000C49AD">
      <w:pPr>
        <w:jc w:val="both"/>
        <w:rPr>
          <w:rFonts w:eastAsia="Times New Roman"/>
        </w:rPr>
      </w:pPr>
      <w:r>
        <w:rPr>
          <w:rFonts w:eastAsia="Times New Roman"/>
          <w:b/>
          <w:bCs/>
          <w:color w:val="000000"/>
          <w:sz w:val="20"/>
          <w:szCs w:val="20"/>
        </w:rPr>
        <w:t>Item 16.     Form 10-K Summary</w:t>
      </w:r>
    </w:p>
    <w:p w14:paraId="65AA13A4" w14:textId="77777777" w:rsidR="00000000" w:rsidRDefault="000C49AD">
      <w:pPr>
        <w:jc w:val="both"/>
        <w:rPr>
          <w:rFonts w:eastAsia="Times New Roman"/>
        </w:rPr>
      </w:pPr>
    </w:p>
    <w:p w14:paraId="48C06E58" w14:textId="77777777" w:rsidR="00000000" w:rsidRDefault="000C49AD">
      <w:pPr>
        <w:jc w:val="both"/>
        <w:rPr>
          <w:rFonts w:eastAsia="Times New Roman"/>
        </w:rPr>
      </w:pPr>
      <w:r>
        <w:rPr>
          <w:rFonts w:eastAsia="Times New Roman"/>
          <w:color w:val="000000"/>
          <w:sz w:val="20"/>
          <w:szCs w:val="20"/>
        </w:rPr>
        <w:t>The Company has elected not to include summary information.</w:t>
      </w:r>
    </w:p>
    <w:p w14:paraId="1955F1CD" w14:textId="77777777" w:rsidR="00000000" w:rsidRDefault="000C49AD">
      <w:pPr>
        <w:jc w:val="both"/>
        <w:rPr>
          <w:rFonts w:eastAsia="Times New Roman"/>
        </w:rPr>
      </w:pPr>
    </w:p>
    <w:p w14:paraId="1129F20F" w14:textId="77777777" w:rsidR="00000000" w:rsidRDefault="000C49AD">
      <w:pPr>
        <w:jc w:val="both"/>
        <w:divId w:val="1796949615"/>
        <w:rPr>
          <w:rFonts w:eastAsia="Times New Roman"/>
        </w:rPr>
      </w:pPr>
      <w:r>
        <w:rPr>
          <w:rFonts w:eastAsia="Times New Roman"/>
          <w:b/>
          <w:bCs/>
          <w:color w:val="000000"/>
          <w:sz w:val="20"/>
          <w:szCs w:val="20"/>
        </w:rPr>
        <w:t>Index to Exhibits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6"/>
        <w:gridCol w:w="36"/>
        <w:gridCol w:w="36"/>
        <w:gridCol w:w="106"/>
        <w:gridCol w:w="36"/>
        <w:gridCol w:w="61"/>
        <w:gridCol w:w="6785"/>
        <w:gridCol w:w="37"/>
      </w:tblGrid>
      <w:tr w:rsidR="00000000" w14:paraId="30496325" w14:textId="77777777">
        <w:trPr>
          <w:divId w:val="1035078903"/>
          <w:jc w:val="center"/>
        </w:trPr>
        <w:tc>
          <w:tcPr>
            <w:tcW w:w="50" w:type="pct"/>
            <w:vAlign w:val="center"/>
            <w:hideMark/>
          </w:tcPr>
          <w:p w14:paraId="1137DFDA" w14:textId="77777777" w:rsidR="00000000" w:rsidRDefault="000C49AD">
            <w:pPr>
              <w:jc w:val="both"/>
              <w:rPr>
                <w:rFonts w:eastAsia="Times New Roman"/>
              </w:rPr>
            </w:pPr>
          </w:p>
        </w:tc>
        <w:tc>
          <w:tcPr>
            <w:tcW w:w="699" w:type="pct"/>
            <w:vAlign w:val="center"/>
            <w:hideMark/>
          </w:tcPr>
          <w:p w14:paraId="27935CBA" w14:textId="77777777" w:rsidR="00000000" w:rsidRDefault="000C49AD">
            <w:pPr>
              <w:spacing w:after="100"/>
              <w:rPr>
                <w:rFonts w:eastAsia="Times New Roman"/>
                <w:sz w:val="20"/>
                <w:szCs w:val="20"/>
              </w:rPr>
            </w:pPr>
          </w:p>
        </w:tc>
        <w:tc>
          <w:tcPr>
            <w:tcW w:w="5" w:type="pct"/>
            <w:vAlign w:val="center"/>
            <w:hideMark/>
          </w:tcPr>
          <w:p w14:paraId="5B591DB1" w14:textId="77777777" w:rsidR="00000000" w:rsidRDefault="000C49AD">
            <w:pPr>
              <w:spacing w:after="100"/>
              <w:rPr>
                <w:rFonts w:eastAsia="Times New Roman"/>
                <w:sz w:val="20"/>
                <w:szCs w:val="20"/>
              </w:rPr>
            </w:pPr>
          </w:p>
        </w:tc>
        <w:tc>
          <w:tcPr>
            <w:tcW w:w="5" w:type="pct"/>
            <w:vAlign w:val="center"/>
            <w:hideMark/>
          </w:tcPr>
          <w:p w14:paraId="04D4EC24" w14:textId="77777777" w:rsidR="00000000" w:rsidRDefault="000C49AD">
            <w:pPr>
              <w:spacing w:after="100"/>
              <w:rPr>
                <w:rFonts w:eastAsia="Times New Roman"/>
                <w:sz w:val="20"/>
                <w:szCs w:val="20"/>
              </w:rPr>
            </w:pPr>
          </w:p>
        </w:tc>
        <w:tc>
          <w:tcPr>
            <w:tcW w:w="77" w:type="pct"/>
            <w:vAlign w:val="center"/>
            <w:hideMark/>
          </w:tcPr>
          <w:p w14:paraId="7773D693" w14:textId="77777777" w:rsidR="00000000" w:rsidRDefault="000C49AD">
            <w:pPr>
              <w:spacing w:after="100"/>
              <w:rPr>
                <w:rFonts w:eastAsia="Times New Roman"/>
                <w:sz w:val="20"/>
                <w:szCs w:val="20"/>
              </w:rPr>
            </w:pPr>
          </w:p>
        </w:tc>
        <w:tc>
          <w:tcPr>
            <w:tcW w:w="5" w:type="pct"/>
            <w:vAlign w:val="center"/>
            <w:hideMark/>
          </w:tcPr>
          <w:p w14:paraId="31FBB9C4" w14:textId="77777777" w:rsidR="00000000" w:rsidRDefault="000C49AD">
            <w:pPr>
              <w:spacing w:after="100"/>
              <w:rPr>
                <w:rFonts w:eastAsia="Times New Roman"/>
                <w:sz w:val="20"/>
                <w:szCs w:val="20"/>
              </w:rPr>
            </w:pPr>
          </w:p>
        </w:tc>
        <w:tc>
          <w:tcPr>
            <w:tcW w:w="50" w:type="pct"/>
            <w:vAlign w:val="center"/>
            <w:hideMark/>
          </w:tcPr>
          <w:p w14:paraId="2112717E" w14:textId="77777777" w:rsidR="00000000" w:rsidRDefault="000C49AD">
            <w:pPr>
              <w:spacing w:after="100"/>
              <w:rPr>
                <w:rFonts w:eastAsia="Times New Roman"/>
                <w:sz w:val="20"/>
                <w:szCs w:val="20"/>
              </w:rPr>
            </w:pPr>
          </w:p>
        </w:tc>
        <w:tc>
          <w:tcPr>
            <w:tcW w:w="4103" w:type="pct"/>
            <w:vAlign w:val="center"/>
            <w:hideMark/>
          </w:tcPr>
          <w:p w14:paraId="5B98A7B8" w14:textId="77777777" w:rsidR="00000000" w:rsidRDefault="000C49AD">
            <w:pPr>
              <w:spacing w:after="100"/>
              <w:rPr>
                <w:rFonts w:eastAsia="Times New Roman"/>
                <w:sz w:val="20"/>
                <w:szCs w:val="20"/>
              </w:rPr>
            </w:pPr>
          </w:p>
        </w:tc>
        <w:tc>
          <w:tcPr>
            <w:tcW w:w="5" w:type="pct"/>
            <w:vAlign w:val="center"/>
            <w:hideMark/>
          </w:tcPr>
          <w:p w14:paraId="0A67197C" w14:textId="77777777" w:rsidR="00000000" w:rsidRDefault="000C49AD">
            <w:pPr>
              <w:spacing w:after="100"/>
              <w:rPr>
                <w:rFonts w:eastAsia="Times New Roman"/>
                <w:sz w:val="20"/>
                <w:szCs w:val="20"/>
              </w:rPr>
            </w:pPr>
          </w:p>
        </w:tc>
      </w:tr>
      <w:tr w:rsidR="00000000" w14:paraId="05B9ABC6" w14:textId="77777777">
        <w:trPr>
          <w:divId w:val="1035078903"/>
          <w:jc w:val="center"/>
        </w:trPr>
        <w:tc>
          <w:tcPr>
            <w:tcW w:w="0" w:type="auto"/>
            <w:gridSpan w:val="3"/>
            <w:tcMar>
              <w:top w:w="30" w:type="dxa"/>
              <w:left w:w="20" w:type="dxa"/>
              <w:bottom w:w="30" w:type="dxa"/>
              <w:right w:w="20" w:type="dxa"/>
            </w:tcMar>
            <w:vAlign w:val="center"/>
            <w:hideMark/>
          </w:tcPr>
          <w:p w14:paraId="0A6D45A8" w14:textId="77777777" w:rsidR="00000000" w:rsidRDefault="000C49AD">
            <w:pPr>
              <w:spacing w:after="100"/>
              <w:jc w:val="center"/>
              <w:rPr>
                <w:rFonts w:eastAsia="Times New Roman"/>
              </w:rPr>
            </w:pPr>
            <w:r>
              <w:rPr>
                <w:rFonts w:eastAsia="Times New Roman"/>
                <w:b/>
                <w:bCs/>
                <w:color w:val="000000"/>
                <w:sz w:val="20"/>
                <w:szCs w:val="20"/>
              </w:rPr>
              <w:t>Exhibit Number</w:t>
            </w:r>
          </w:p>
        </w:tc>
        <w:tc>
          <w:tcPr>
            <w:tcW w:w="0" w:type="auto"/>
            <w:gridSpan w:val="3"/>
            <w:tcMar>
              <w:top w:w="0" w:type="dxa"/>
              <w:left w:w="20" w:type="dxa"/>
              <w:bottom w:w="0" w:type="dxa"/>
              <w:right w:w="20" w:type="dxa"/>
            </w:tcMar>
            <w:vAlign w:val="center"/>
            <w:hideMark/>
          </w:tcPr>
          <w:p w14:paraId="1D15EEE3"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7A3E6C" w14:textId="77777777" w:rsidR="00000000" w:rsidRDefault="000C49AD">
            <w:pPr>
              <w:spacing w:after="100"/>
              <w:rPr>
                <w:rFonts w:eastAsia="Times New Roman"/>
              </w:rPr>
            </w:pPr>
            <w:r>
              <w:rPr>
                <w:rFonts w:eastAsia="Times New Roman"/>
                <w:b/>
                <w:bCs/>
                <w:color w:val="000000"/>
                <w:sz w:val="20"/>
                <w:szCs w:val="20"/>
              </w:rPr>
              <w:t>Exhibit Description</w:t>
            </w:r>
          </w:p>
        </w:tc>
      </w:tr>
      <w:tr w:rsidR="00000000" w14:paraId="1A7D9905" w14:textId="77777777">
        <w:trPr>
          <w:divId w:val="1035078903"/>
          <w:trHeight w:val="300"/>
          <w:jc w:val="center"/>
        </w:trPr>
        <w:tc>
          <w:tcPr>
            <w:tcW w:w="0" w:type="auto"/>
            <w:gridSpan w:val="3"/>
            <w:tcBorders>
              <w:top w:val="single" w:sz="8" w:space="0" w:color="000000"/>
            </w:tcBorders>
            <w:tcMar>
              <w:top w:w="0" w:type="dxa"/>
              <w:left w:w="20" w:type="dxa"/>
              <w:bottom w:w="0" w:type="dxa"/>
              <w:right w:w="20" w:type="dxa"/>
            </w:tcMar>
            <w:vAlign w:val="center"/>
            <w:hideMark/>
          </w:tcPr>
          <w:p w14:paraId="3EFF8C31" w14:textId="77777777" w:rsidR="00000000" w:rsidRDefault="000C49AD">
            <w:pPr>
              <w:spacing w:after="100"/>
              <w:rPr>
                <w:rFonts w:eastAsia="Times New Roman"/>
              </w:rPr>
            </w:pPr>
          </w:p>
        </w:tc>
        <w:tc>
          <w:tcPr>
            <w:tcW w:w="0" w:type="auto"/>
            <w:gridSpan w:val="3"/>
            <w:tcMar>
              <w:top w:w="0" w:type="dxa"/>
              <w:left w:w="20" w:type="dxa"/>
              <w:bottom w:w="0" w:type="dxa"/>
              <w:right w:w="20" w:type="dxa"/>
            </w:tcMar>
            <w:vAlign w:val="center"/>
            <w:hideMark/>
          </w:tcPr>
          <w:p w14:paraId="6CB215A8" w14:textId="77777777" w:rsidR="00000000" w:rsidRDefault="000C49AD">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6F5B06A" w14:textId="77777777" w:rsidR="00000000" w:rsidRDefault="000C49AD">
            <w:pPr>
              <w:spacing w:after="100"/>
              <w:rPr>
                <w:rFonts w:eastAsia="Times New Roman"/>
                <w:sz w:val="20"/>
                <w:szCs w:val="20"/>
              </w:rPr>
            </w:pPr>
          </w:p>
        </w:tc>
      </w:tr>
      <w:tr w:rsidR="00000000" w14:paraId="32CCC529" w14:textId="77777777">
        <w:trPr>
          <w:divId w:val="1035078903"/>
          <w:jc w:val="center"/>
        </w:trPr>
        <w:tc>
          <w:tcPr>
            <w:tcW w:w="0" w:type="auto"/>
            <w:gridSpan w:val="3"/>
            <w:tcMar>
              <w:top w:w="30" w:type="dxa"/>
              <w:left w:w="20" w:type="dxa"/>
              <w:bottom w:w="30" w:type="dxa"/>
              <w:right w:w="20" w:type="dxa"/>
            </w:tcMar>
            <w:vAlign w:val="center"/>
            <w:hideMark/>
          </w:tcPr>
          <w:p w14:paraId="5F64055E" w14:textId="77777777" w:rsidR="00000000" w:rsidRDefault="000C49AD">
            <w:pPr>
              <w:spacing w:after="100"/>
              <w:jc w:val="center"/>
              <w:rPr>
                <w:rFonts w:eastAsia="Times New Roman"/>
              </w:rPr>
            </w:pPr>
            <w:r>
              <w:rPr>
                <w:rFonts w:eastAsia="Times New Roman"/>
                <w:b/>
                <w:bCs/>
                <w:color w:val="000000"/>
                <w:sz w:val="20"/>
                <w:szCs w:val="20"/>
              </w:rPr>
              <w:t>3.1</w:t>
            </w:r>
          </w:p>
        </w:tc>
        <w:tc>
          <w:tcPr>
            <w:tcW w:w="0" w:type="auto"/>
            <w:gridSpan w:val="3"/>
            <w:tcMar>
              <w:top w:w="0" w:type="dxa"/>
              <w:left w:w="20" w:type="dxa"/>
              <w:bottom w:w="0" w:type="dxa"/>
              <w:right w:w="20" w:type="dxa"/>
            </w:tcMar>
            <w:vAlign w:val="center"/>
            <w:hideMark/>
          </w:tcPr>
          <w:p w14:paraId="1B2EDBF7"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FB94D06" w14:textId="77777777" w:rsidR="00000000" w:rsidRDefault="000C49AD">
            <w:pPr>
              <w:spacing w:after="100"/>
              <w:jc w:val="both"/>
              <w:rPr>
                <w:rFonts w:eastAsia="Times New Roman"/>
              </w:rPr>
            </w:pPr>
            <w:hyperlink r:id="rId5" w:history="1">
              <w:r>
                <w:rPr>
                  <w:rStyle w:val="a3"/>
                  <w:rFonts w:eastAsia="Times New Roman"/>
                  <w:sz w:val="20"/>
                  <w:szCs w:val="20"/>
                </w:rPr>
                <w:t xml:space="preserve">Constitution (containing the Memorandum and Articles of Association) of Avadel Pharmaceuticals plc (incorporated by reference to Appendix 15 of Exhibit 2.1 </w:t>
              </w:r>
              <w:r>
                <w:rPr>
                  <w:rStyle w:val="a3"/>
                  <w:rFonts w:eastAsia="Times New Roman"/>
                  <w:sz w:val="20"/>
                  <w:szCs w:val="20"/>
                </w:rPr>
                <w:t>to the registrant’s current report on Form 8-K, filed on July 1, 2016)</w:t>
              </w:r>
            </w:hyperlink>
          </w:p>
        </w:tc>
      </w:tr>
      <w:tr w:rsidR="00000000" w14:paraId="481CF8C2" w14:textId="77777777">
        <w:trPr>
          <w:divId w:val="1035078903"/>
          <w:trHeight w:val="300"/>
          <w:jc w:val="center"/>
        </w:trPr>
        <w:tc>
          <w:tcPr>
            <w:tcW w:w="0" w:type="auto"/>
            <w:gridSpan w:val="3"/>
            <w:tcMar>
              <w:top w:w="0" w:type="dxa"/>
              <w:left w:w="20" w:type="dxa"/>
              <w:bottom w:w="0" w:type="dxa"/>
              <w:right w:w="20" w:type="dxa"/>
            </w:tcMar>
            <w:vAlign w:val="center"/>
            <w:hideMark/>
          </w:tcPr>
          <w:p w14:paraId="74B4719C"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97764F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468EB71" w14:textId="77777777" w:rsidR="00000000" w:rsidRDefault="000C49AD">
            <w:pPr>
              <w:spacing w:after="100"/>
              <w:rPr>
                <w:rFonts w:eastAsia="Times New Roman"/>
                <w:sz w:val="20"/>
                <w:szCs w:val="20"/>
              </w:rPr>
            </w:pPr>
          </w:p>
        </w:tc>
      </w:tr>
      <w:tr w:rsidR="00000000" w14:paraId="407D70BE" w14:textId="77777777">
        <w:trPr>
          <w:divId w:val="1035078903"/>
          <w:jc w:val="center"/>
        </w:trPr>
        <w:tc>
          <w:tcPr>
            <w:tcW w:w="0" w:type="auto"/>
            <w:gridSpan w:val="3"/>
            <w:tcMar>
              <w:top w:w="30" w:type="dxa"/>
              <w:left w:w="20" w:type="dxa"/>
              <w:bottom w:w="30" w:type="dxa"/>
              <w:right w:w="20" w:type="dxa"/>
            </w:tcMar>
            <w:vAlign w:val="center"/>
            <w:hideMark/>
          </w:tcPr>
          <w:p w14:paraId="1A8018D9" w14:textId="77777777" w:rsidR="00000000" w:rsidRDefault="000C49AD">
            <w:pPr>
              <w:spacing w:after="100"/>
              <w:jc w:val="center"/>
              <w:rPr>
                <w:rFonts w:eastAsia="Times New Roman"/>
              </w:rPr>
            </w:pPr>
            <w:r>
              <w:rPr>
                <w:rFonts w:eastAsia="Times New Roman"/>
                <w:b/>
                <w:bCs/>
                <w:color w:val="000000"/>
                <w:sz w:val="20"/>
                <w:szCs w:val="20"/>
              </w:rPr>
              <w:t>3.2</w:t>
            </w:r>
          </w:p>
        </w:tc>
        <w:tc>
          <w:tcPr>
            <w:tcW w:w="0" w:type="auto"/>
            <w:gridSpan w:val="3"/>
            <w:tcMar>
              <w:top w:w="0" w:type="dxa"/>
              <w:left w:w="20" w:type="dxa"/>
              <w:bottom w:w="0" w:type="dxa"/>
              <w:right w:w="20" w:type="dxa"/>
            </w:tcMar>
            <w:vAlign w:val="center"/>
            <w:hideMark/>
          </w:tcPr>
          <w:p w14:paraId="3F4605AA"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C541383" w14:textId="77777777" w:rsidR="00000000" w:rsidRDefault="000C49AD">
            <w:pPr>
              <w:spacing w:after="100"/>
              <w:jc w:val="both"/>
              <w:rPr>
                <w:rFonts w:eastAsia="Times New Roman"/>
              </w:rPr>
            </w:pPr>
            <w:hyperlink r:id="rId6" w:history="1">
              <w:r>
                <w:rPr>
                  <w:rStyle w:val="a3"/>
                  <w:rFonts w:eastAsia="Times New Roman"/>
                  <w:sz w:val="20"/>
                  <w:szCs w:val="20"/>
                </w:rPr>
                <w:t>Certificate of Designation of Series A Non-Voting Convertible Preferred Shares of Avadel Pharmaceuticals plc, dated February 20, 2020 (incorporated by re</w:t>
              </w:r>
              <w:r>
                <w:rPr>
                  <w:rStyle w:val="a3"/>
                  <w:rFonts w:eastAsia="Times New Roman"/>
                  <w:sz w:val="20"/>
                  <w:szCs w:val="20"/>
                </w:rPr>
                <w:t>ference to Exhibit 3.1 to the registrant’s current report on Form 8-K, filed on February 24, 2020)</w:t>
              </w:r>
            </w:hyperlink>
          </w:p>
        </w:tc>
      </w:tr>
      <w:tr w:rsidR="00000000" w14:paraId="06A53C64" w14:textId="77777777">
        <w:trPr>
          <w:divId w:val="1035078903"/>
          <w:trHeight w:val="300"/>
          <w:jc w:val="center"/>
        </w:trPr>
        <w:tc>
          <w:tcPr>
            <w:tcW w:w="0" w:type="auto"/>
            <w:gridSpan w:val="3"/>
            <w:tcMar>
              <w:top w:w="0" w:type="dxa"/>
              <w:left w:w="20" w:type="dxa"/>
              <w:bottom w:w="0" w:type="dxa"/>
              <w:right w:w="20" w:type="dxa"/>
            </w:tcMar>
            <w:vAlign w:val="center"/>
            <w:hideMark/>
          </w:tcPr>
          <w:p w14:paraId="275AEF15"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692CC1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ACC243" w14:textId="77777777" w:rsidR="00000000" w:rsidRDefault="000C49AD">
            <w:pPr>
              <w:spacing w:after="100"/>
              <w:rPr>
                <w:rFonts w:eastAsia="Times New Roman"/>
                <w:sz w:val="20"/>
                <w:szCs w:val="20"/>
              </w:rPr>
            </w:pPr>
          </w:p>
        </w:tc>
      </w:tr>
    </w:tbl>
    <w:p w14:paraId="0C0A76B6" w14:textId="77777777" w:rsidR="00000000" w:rsidRDefault="000C49AD">
      <w:pPr>
        <w:jc w:val="center"/>
        <w:divId w:val="1948151412"/>
        <w:rPr>
          <w:rFonts w:eastAsia="Times New Roman"/>
        </w:rPr>
      </w:pPr>
      <w:r>
        <w:rPr>
          <w:rFonts w:eastAsia="Times New Roman"/>
          <w:color w:val="000000"/>
          <w:sz w:val="20"/>
          <w:szCs w:val="20"/>
        </w:rPr>
        <w:t>-112-</w:t>
      </w:r>
    </w:p>
    <w:p w14:paraId="0878E84E" w14:textId="77777777" w:rsidR="00000000" w:rsidRDefault="000C49AD">
      <w:pPr>
        <w:rPr>
          <w:rFonts w:eastAsia="Times New Roman"/>
        </w:rPr>
      </w:pPr>
      <w:r>
        <w:rPr>
          <w:rFonts w:eastAsia="Times New Roman"/>
        </w:rPr>
        <w:pict w14:anchorId="7CAAD5B6">
          <v:rect id="_x0000_i1137" style="width:0;height:1.5pt" o:hralign="center" o:hrstd="t" o:hr="t" fillcolor="#a0a0a0" stroked="f"/>
        </w:pict>
      </w:r>
    </w:p>
    <w:p w14:paraId="2174B70E" w14:textId="77777777" w:rsidR="00000000" w:rsidRDefault="000C49AD">
      <w:pPr>
        <w:divId w:val="137638984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7"/>
        <w:gridCol w:w="36"/>
        <w:gridCol w:w="36"/>
        <w:gridCol w:w="106"/>
        <w:gridCol w:w="36"/>
        <w:gridCol w:w="61"/>
        <w:gridCol w:w="6785"/>
        <w:gridCol w:w="36"/>
      </w:tblGrid>
      <w:tr w:rsidR="00000000" w14:paraId="48909CFA" w14:textId="77777777">
        <w:trPr>
          <w:divId w:val="1000084363"/>
          <w:jc w:val="center"/>
        </w:trPr>
        <w:tc>
          <w:tcPr>
            <w:tcW w:w="50" w:type="pct"/>
            <w:vAlign w:val="center"/>
            <w:hideMark/>
          </w:tcPr>
          <w:p w14:paraId="159F48D7" w14:textId="77777777" w:rsidR="00000000" w:rsidRDefault="000C49AD">
            <w:pPr>
              <w:rPr>
                <w:rFonts w:eastAsia="Times New Roman"/>
              </w:rPr>
            </w:pPr>
          </w:p>
        </w:tc>
        <w:tc>
          <w:tcPr>
            <w:tcW w:w="699" w:type="pct"/>
            <w:vAlign w:val="center"/>
            <w:hideMark/>
          </w:tcPr>
          <w:p w14:paraId="1ABA0ECA" w14:textId="77777777" w:rsidR="00000000" w:rsidRDefault="000C49AD">
            <w:pPr>
              <w:spacing w:after="100"/>
              <w:rPr>
                <w:rFonts w:eastAsia="Times New Roman"/>
                <w:sz w:val="20"/>
                <w:szCs w:val="20"/>
              </w:rPr>
            </w:pPr>
          </w:p>
        </w:tc>
        <w:tc>
          <w:tcPr>
            <w:tcW w:w="5" w:type="pct"/>
            <w:vAlign w:val="center"/>
            <w:hideMark/>
          </w:tcPr>
          <w:p w14:paraId="6ED61513" w14:textId="77777777" w:rsidR="00000000" w:rsidRDefault="000C49AD">
            <w:pPr>
              <w:spacing w:after="100"/>
              <w:rPr>
                <w:rFonts w:eastAsia="Times New Roman"/>
                <w:sz w:val="20"/>
                <w:szCs w:val="20"/>
              </w:rPr>
            </w:pPr>
          </w:p>
        </w:tc>
        <w:tc>
          <w:tcPr>
            <w:tcW w:w="5" w:type="pct"/>
            <w:vAlign w:val="center"/>
            <w:hideMark/>
          </w:tcPr>
          <w:p w14:paraId="25F374DD" w14:textId="77777777" w:rsidR="00000000" w:rsidRDefault="000C49AD">
            <w:pPr>
              <w:spacing w:after="100"/>
              <w:rPr>
                <w:rFonts w:eastAsia="Times New Roman"/>
                <w:sz w:val="20"/>
                <w:szCs w:val="20"/>
              </w:rPr>
            </w:pPr>
          </w:p>
        </w:tc>
        <w:tc>
          <w:tcPr>
            <w:tcW w:w="77" w:type="pct"/>
            <w:vAlign w:val="center"/>
            <w:hideMark/>
          </w:tcPr>
          <w:p w14:paraId="07D6F89D" w14:textId="77777777" w:rsidR="00000000" w:rsidRDefault="000C49AD">
            <w:pPr>
              <w:spacing w:after="100"/>
              <w:rPr>
                <w:rFonts w:eastAsia="Times New Roman"/>
                <w:sz w:val="20"/>
                <w:szCs w:val="20"/>
              </w:rPr>
            </w:pPr>
          </w:p>
        </w:tc>
        <w:tc>
          <w:tcPr>
            <w:tcW w:w="5" w:type="pct"/>
            <w:vAlign w:val="center"/>
            <w:hideMark/>
          </w:tcPr>
          <w:p w14:paraId="5D0C4699" w14:textId="77777777" w:rsidR="00000000" w:rsidRDefault="000C49AD">
            <w:pPr>
              <w:spacing w:after="100"/>
              <w:rPr>
                <w:rFonts w:eastAsia="Times New Roman"/>
                <w:sz w:val="20"/>
                <w:szCs w:val="20"/>
              </w:rPr>
            </w:pPr>
          </w:p>
        </w:tc>
        <w:tc>
          <w:tcPr>
            <w:tcW w:w="50" w:type="pct"/>
            <w:vAlign w:val="center"/>
            <w:hideMark/>
          </w:tcPr>
          <w:p w14:paraId="3AFD31D3" w14:textId="77777777" w:rsidR="00000000" w:rsidRDefault="000C49AD">
            <w:pPr>
              <w:spacing w:after="100"/>
              <w:rPr>
                <w:rFonts w:eastAsia="Times New Roman"/>
                <w:sz w:val="20"/>
                <w:szCs w:val="20"/>
              </w:rPr>
            </w:pPr>
          </w:p>
        </w:tc>
        <w:tc>
          <w:tcPr>
            <w:tcW w:w="4103" w:type="pct"/>
            <w:vAlign w:val="center"/>
            <w:hideMark/>
          </w:tcPr>
          <w:p w14:paraId="1E6D481E" w14:textId="77777777" w:rsidR="00000000" w:rsidRDefault="000C49AD">
            <w:pPr>
              <w:spacing w:after="100"/>
              <w:rPr>
                <w:rFonts w:eastAsia="Times New Roman"/>
                <w:sz w:val="20"/>
                <w:szCs w:val="20"/>
              </w:rPr>
            </w:pPr>
          </w:p>
        </w:tc>
        <w:tc>
          <w:tcPr>
            <w:tcW w:w="5" w:type="pct"/>
            <w:vAlign w:val="center"/>
            <w:hideMark/>
          </w:tcPr>
          <w:p w14:paraId="61745FEB" w14:textId="77777777" w:rsidR="00000000" w:rsidRDefault="000C49AD">
            <w:pPr>
              <w:spacing w:after="100"/>
              <w:rPr>
                <w:rFonts w:eastAsia="Times New Roman"/>
                <w:sz w:val="20"/>
                <w:szCs w:val="20"/>
              </w:rPr>
            </w:pPr>
          </w:p>
        </w:tc>
      </w:tr>
      <w:tr w:rsidR="00000000" w14:paraId="434736B3" w14:textId="77777777">
        <w:trPr>
          <w:divId w:val="1000084363"/>
          <w:jc w:val="center"/>
        </w:trPr>
        <w:tc>
          <w:tcPr>
            <w:tcW w:w="0" w:type="auto"/>
            <w:gridSpan w:val="3"/>
            <w:tcMar>
              <w:top w:w="30" w:type="dxa"/>
              <w:left w:w="20" w:type="dxa"/>
              <w:bottom w:w="30" w:type="dxa"/>
              <w:right w:w="20" w:type="dxa"/>
            </w:tcMar>
            <w:vAlign w:val="center"/>
            <w:hideMark/>
          </w:tcPr>
          <w:p w14:paraId="6EE2FE28" w14:textId="77777777" w:rsidR="00000000" w:rsidRDefault="000C49AD">
            <w:pPr>
              <w:spacing w:after="100"/>
              <w:jc w:val="center"/>
              <w:rPr>
                <w:rFonts w:eastAsia="Times New Roman"/>
              </w:rPr>
            </w:pPr>
            <w:r>
              <w:rPr>
                <w:rFonts w:eastAsia="Times New Roman"/>
                <w:b/>
                <w:bCs/>
                <w:color w:val="000000"/>
                <w:sz w:val="20"/>
                <w:szCs w:val="20"/>
              </w:rPr>
              <w:t>4.1</w:t>
            </w:r>
          </w:p>
        </w:tc>
        <w:tc>
          <w:tcPr>
            <w:tcW w:w="0" w:type="auto"/>
            <w:gridSpan w:val="3"/>
            <w:tcMar>
              <w:top w:w="0" w:type="dxa"/>
              <w:left w:w="20" w:type="dxa"/>
              <w:bottom w:w="0" w:type="dxa"/>
              <w:right w:w="20" w:type="dxa"/>
            </w:tcMar>
            <w:vAlign w:val="center"/>
            <w:hideMark/>
          </w:tcPr>
          <w:p w14:paraId="153D2E7C"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72CF887" w14:textId="77777777" w:rsidR="00000000" w:rsidRDefault="000C49AD">
            <w:pPr>
              <w:spacing w:after="100"/>
              <w:jc w:val="both"/>
              <w:rPr>
                <w:rFonts w:eastAsia="Times New Roman"/>
              </w:rPr>
            </w:pPr>
            <w:hyperlink r:id="rId7" w:history="1">
              <w:r>
                <w:rPr>
                  <w:rStyle w:val="a3"/>
                  <w:rFonts w:eastAsia="Times New Roman"/>
                  <w:sz w:val="20"/>
                  <w:szCs w:val="20"/>
                </w:rPr>
                <w:t>Deposit Agreement dated as of January 3, 2017 among Avadel Pharmaceuticals plc, The Bank of New York, as Depositary, and holders from time to time of American Depositary Shares issued thereunder (including as an exhibit the form of American Depositary Rece</w:t>
              </w:r>
              <w:r>
                <w:rPr>
                  <w:rStyle w:val="a3"/>
                  <w:rFonts w:eastAsia="Times New Roman"/>
                  <w:sz w:val="20"/>
                  <w:szCs w:val="20"/>
                </w:rPr>
                <w:t>ipt) (incorporated by reference to Exhibit 1.1 to the registrant’s current report on Form 8-K12B, filed on January 4, 2017 and amended January 6, 2017)</w:t>
              </w:r>
            </w:hyperlink>
          </w:p>
        </w:tc>
      </w:tr>
      <w:tr w:rsidR="00000000" w14:paraId="520D168B" w14:textId="77777777">
        <w:trPr>
          <w:divId w:val="1000084363"/>
          <w:trHeight w:val="300"/>
          <w:jc w:val="center"/>
        </w:trPr>
        <w:tc>
          <w:tcPr>
            <w:tcW w:w="0" w:type="auto"/>
            <w:gridSpan w:val="3"/>
            <w:tcMar>
              <w:top w:w="0" w:type="dxa"/>
              <w:left w:w="20" w:type="dxa"/>
              <w:bottom w:w="0" w:type="dxa"/>
              <w:right w:w="20" w:type="dxa"/>
            </w:tcMar>
            <w:vAlign w:val="center"/>
            <w:hideMark/>
          </w:tcPr>
          <w:p w14:paraId="1E0A3AD6"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97FD400"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F4B695" w14:textId="77777777" w:rsidR="00000000" w:rsidRDefault="000C49AD">
            <w:pPr>
              <w:spacing w:after="100"/>
              <w:rPr>
                <w:rFonts w:eastAsia="Times New Roman"/>
                <w:sz w:val="20"/>
                <w:szCs w:val="20"/>
              </w:rPr>
            </w:pPr>
          </w:p>
        </w:tc>
      </w:tr>
      <w:tr w:rsidR="00000000" w14:paraId="3BC84626" w14:textId="77777777">
        <w:trPr>
          <w:divId w:val="1000084363"/>
          <w:jc w:val="center"/>
        </w:trPr>
        <w:tc>
          <w:tcPr>
            <w:tcW w:w="0" w:type="auto"/>
            <w:gridSpan w:val="3"/>
            <w:tcMar>
              <w:top w:w="30" w:type="dxa"/>
              <w:left w:w="20" w:type="dxa"/>
              <w:bottom w:w="30" w:type="dxa"/>
              <w:right w:w="20" w:type="dxa"/>
            </w:tcMar>
            <w:vAlign w:val="center"/>
            <w:hideMark/>
          </w:tcPr>
          <w:p w14:paraId="5B26B6F9" w14:textId="77777777" w:rsidR="00000000" w:rsidRDefault="000C49AD">
            <w:pPr>
              <w:spacing w:after="100"/>
              <w:jc w:val="center"/>
              <w:rPr>
                <w:rFonts w:eastAsia="Times New Roman"/>
              </w:rPr>
            </w:pPr>
            <w:r>
              <w:rPr>
                <w:rFonts w:eastAsia="Times New Roman"/>
                <w:b/>
                <w:bCs/>
                <w:color w:val="000000"/>
                <w:sz w:val="20"/>
                <w:szCs w:val="20"/>
              </w:rPr>
              <w:t>4.2</w:t>
            </w:r>
          </w:p>
        </w:tc>
        <w:tc>
          <w:tcPr>
            <w:tcW w:w="0" w:type="auto"/>
            <w:gridSpan w:val="3"/>
            <w:tcMar>
              <w:top w:w="0" w:type="dxa"/>
              <w:left w:w="20" w:type="dxa"/>
              <w:bottom w:w="0" w:type="dxa"/>
              <w:right w:w="20" w:type="dxa"/>
            </w:tcMar>
            <w:vAlign w:val="center"/>
            <w:hideMark/>
          </w:tcPr>
          <w:p w14:paraId="77465E8C"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1A616DF" w14:textId="77777777" w:rsidR="00000000" w:rsidRDefault="000C49AD">
            <w:pPr>
              <w:spacing w:after="100"/>
              <w:jc w:val="both"/>
              <w:rPr>
                <w:rFonts w:eastAsia="Times New Roman"/>
              </w:rPr>
            </w:pPr>
            <w:hyperlink r:id="rId8" w:history="1">
              <w:r>
                <w:rPr>
                  <w:rStyle w:val="a3"/>
                  <w:rFonts w:eastAsia="Times New Roman"/>
                  <w:sz w:val="20"/>
                  <w:szCs w:val="20"/>
                </w:rPr>
                <w:t>Indenture, dated as of February 16, 2018, by and between Avadel Finance Cayman Limited, Avadel Pharmaceuticals plc, and The Bank of New York Mellon, as Tru</w:t>
              </w:r>
              <w:r>
                <w:rPr>
                  <w:rStyle w:val="a3"/>
                  <w:rFonts w:eastAsia="Times New Roman"/>
                  <w:sz w:val="20"/>
                  <w:szCs w:val="20"/>
                </w:rPr>
                <w:t>stee (including an as exhibit the Form of 4.50% Exchangeable Senior Note due 2023) (incorporated by reference to Exhibit 4.1 to the registrant’s current report on Form 8-K, filed on February 16, 2018)</w:t>
              </w:r>
            </w:hyperlink>
          </w:p>
        </w:tc>
      </w:tr>
      <w:tr w:rsidR="00000000" w14:paraId="5D9D9CE9" w14:textId="77777777">
        <w:trPr>
          <w:divId w:val="1000084363"/>
          <w:trHeight w:val="300"/>
          <w:jc w:val="center"/>
        </w:trPr>
        <w:tc>
          <w:tcPr>
            <w:tcW w:w="0" w:type="auto"/>
            <w:gridSpan w:val="3"/>
            <w:tcMar>
              <w:top w:w="0" w:type="dxa"/>
              <w:left w:w="20" w:type="dxa"/>
              <w:bottom w:w="0" w:type="dxa"/>
              <w:right w:w="20" w:type="dxa"/>
            </w:tcMar>
            <w:vAlign w:val="center"/>
            <w:hideMark/>
          </w:tcPr>
          <w:p w14:paraId="0D37F12E"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62C2F3A"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1CA2C7" w14:textId="77777777" w:rsidR="00000000" w:rsidRDefault="000C49AD">
            <w:pPr>
              <w:spacing w:after="100"/>
              <w:rPr>
                <w:rFonts w:eastAsia="Times New Roman"/>
                <w:sz w:val="20"/>
                <w:szCs w:val="20"/>
              </w:rPr>
            </w:pPr>
          </w:p>
        </w:tc>
      </w:tr>
      <w:tr w:rsidR="00000000" w14:paraId="532655A2" w14:textId="77777777">
        <w:trPr>
          <w:divId w:val="1000084363"/>
          <w:jc w:val="center"/>
        </w:trPr>
        <w:tc>
          <w:tcPr>
            <w:tcW w:w="0" w:type="auto"/>
            <w:gridSpan w:val="3"/>
            <w:tcMar>
              <w:top w:w="30" w:type="dxa"/>
              <w:left w:w="20" w:type="dxa"/>
              <w:bottom w:w="30" w:type="dxa"/>
              <w:right w:w="20" w:type="dxa"/>
            </w:tcMar>
            <w:vAlign w:val="center"/>
            <w:hideMark/>
          </w:tcPr>
          <w:p w14:paraId="029970B6" w14:textId="77777777" w:rsidR="00000000" w:rsidRDefault="000C49AD">
            <w:pPr>
              <w:spacing w:after="100"/>
              <w:jc w:val="center"/>
              <w:rPr>
                <w:rFonts w:eastAsia="Times New Roman"/>
              </w:rPr>
            </w:pPr>
            <w:r>
              <w:rPr>
                <w:rFonts w:eastAsia="Times New Roman"/>
                <w:b/>
                <w:bCs/>
                <w:color w:val="000000"/>
                <w:sz w:val="20"/>
                <w:szCs w:val="20"/>
              </w:rPr>
              <w:t>4.3</w:t>
            </w:r>
          </w:p>
        </w:tc>
        <w:tc>
          <w:tcPr>
            <w:tcW w:w="0" w:type="auto"/>
            <w:gridSpan w:val="3"/>
            <w:tcMar>
              <w:top w:w="0" w:type="dxa"/>
              <w:left w:w="20" w:type="dxa"/>
              <w:bottom w:w="0" w:type="dxa"/>
              <w:right w:w="20" w:type="dxa"/>
            </w:tcMar>
            <w:vAlign w:val="center"/>
            <w:hideMark/>
          </w:tcPr>
          <w:p w14:paraId="5385B654"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BB0A7E8" w14:textId="77777777" w:rsidR="00000000" w:rsidRDefault="000C49AD">
            <w:pPr>
              <w:spacing w:after="100"/>
              <w:jc w:val="both"/>
              <w:rPr>
                <w:rFonts w:eastAsia="Times New Roman"/>
              </w:rPr>
            </w:pPr>
            <w:hyperlink r:id="rId9" w:history="1">
              <w:r>
                <w:rPr>
                  <w:rStyle w:val="a3"/>
                  <w:rFonts w:eastAsia="Times New Roman"/>
                  <w:sz w:val="20"/>
                  <w:szCs w:val="20"/>
                </w:rPr>
                <w:t>First Supplemental Indenture, dated as of February 6, 2019, by and among Avadel Finance Cayman Limited, Avadel Pharmaceuticals plc, and The Bank of New Yor</w:t>
              </w:r>
              <w:r>
                <w:rPr>
                  <w:rStyle w:val="a3"/>
                  <w:rFonts w:eastAsia="Times New Roman"/>
                  <w:sz w:val="20"/>
                  <w:szCs w:val="20"/>
                </w:rPr>
                <w:t>k Mellon, as Trustee (incorporated by reference to Exhibit 4.1 to the registrant’s current report on Form 8-K, filed on February 7, 2019)</w:t>
              </w:r>
            </w:hyperlink>
          </w:p>
        </w:tc>
      </w:tr>
      <w:tr w:rsidR="00000000" w14:paraId="584E043E" w14:textId="77777777">
        <w:trPr>
          <w:divId w:val="1000084363"/>
          <w:trHeight w:val="300"/>
          <w:jc w:val="center"/>
        </w:trPr>
        <w:tc>
          <w:tcPr>
            <w:tcW w:w="0" w:type="auto"/>
            <w:gridSpan w:val="3"/>
            <w:tcMar>
              <w:top w:w="0" w:type="dxa"/>
              <w:left w:w="20" w:type="dxa"/>
              <w:bottom w:w="0" w:type="dxa"/>
              <w:right w:w="20" w:type="dxa"/>
            </w:tcMar>
            <w:vAlign w:val="center"/>
            <w:hideMark/>
          </w:tcPr>
          <w:p w14:paraId="00B00657"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BEFECF3"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E623312" w14:textId="77777777" w:rsidR="00000000" w:rsidRDefault="000C49AD">
            <w:pPr>
              <w:spacing w:after="100"/>
              <w:rPr>
                <w:rFonts w:eastAsia="Times New Roman"/>
                <w:sz w:val="20"/>
                <w:szCs w:val="20"/>
              </w:rPr>
            </w:pPr>
          </w:p>
        </w:tc>
      </w:tr>
      <w:tr w:rsidR="00000000" w14:paraId="1B94375B" w14:textId="77777777">
        <w:trPr>
          <w:divId w:val="1000084363"/>
          <w:jc w:val="center"/>
        </w:trPr>
        <w:tc>
          <w:tcPr>
            <w:tcW w:w="0" w:type="auto"/>
            <w:gridSpan w:val="3"/>
            <w:tcMar>
              <w:top w:w="30" w:type="dxa"/>
              <w:left w:w="20" w:type="dxa"/>
              <w:bottom w:w="30" w:type="dxa"/>
              <w:right w:w="20" w:type="dxa"/>
            </w:tcMar>
            <w:vAlign w:val="bottom"/>
            <w:hideMark/>
          </w:tcPr>
          <w:p w14:paraId="44059C09" w14:textId="77777777" w:rsidR="00000000" w:rsidRDefault="000C49AD">
            <w:pPr>
              <w:spacing w:after="100"/>
              <w:jc w:val="center"/>
              <w:rPr>
                <w:rFonts w:eastAsia="Times New Roman"/>
              </w:rPr>
            </w:pPr>
            <w:r>
              <w:rPr>
                <w:rFonts w:eastAsia="Times New Roman"/>
                <w:b/>
                <w:bCs/>
                <w:color w:val="000000"/>
                <w:sz w:val="20"/>
                <w:szCs w:val="20"/>
              </w:rPr>
              <w:t>4.4</w:t>
            </w:r>
          </w:p>
        </w:tc>
        <w:tc>
          <w:tcPr>
            <w:tcW w:w="0" w:type="auto"/>
            <w:gridSpan w:val="3"/>
            <w:tcMar>
              <w:top w:w="0" w:type="dxa"/>
              <w:left w:w="20" w:type="dxa"/>
              <w:bottom w:w="0" w:type="dxa"/>
              <w:right w:w="20" w:type="dxa"/>
            </w:tcMar>
            <w:vAlign w:val="center"/>
            <w:hideMark/>
          </w:tcPr>
          <w:p w14:paraId="263FD31F"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9931B88" w14:textId="77777777" w:rsidR="00000000" w:rsidRDefault="000C49AD">
            <w:pPr>
              <w:spacing w:after="100"/>
              <w:jc w:val="both"/>
              <w:rPr>
                <w:rFonts w:eastAsia="Times New Roman"/>
              </w:rPr>
            </w:pPr>
            <w:hyperlink r:id="rId10" w:history="1">
              <w:r>
                <w:rPr>
                  <w:rStyle w:val="a3"/>
                  <w:rFonts w:eastAsia="Times New Roman"/>
                  <w:sz w:val="20"/>
                  <w:szCs w:val="20"/>
                </w:rPr>
                <w:t>Description of Securities (incorporated by reference to Exhibit 4.6 to the registrants annual report on Form 10-K, filed on March 16, 2020)</w:t>
              </w:r>
            </w:hyperlink>
          </w:p>
        </w:tc>
      </w:tr>
      <w:tr w:rsidR="00000000" w14:paraId="1D36C98C" w14:textId="77777777">
        <w:trPr>
          <w:divId w:val="1000084363"/>
          <w:trHeight w:val="300"/>
          <w:jc w:val="center"/>
        </w:trPr>
        <w:tc>
          <w:tcPr>
            <w:tcW w:w="0" w:type="auto"/>
            <w:gridSpan w:val="3"/>
            <w:tcMar>
              <w:top w:w="0" w:type="dxa"/>
              <w:left w:w="20" w:type="dxa"/>
              <w:bottom w:w="0" w:type="dxa"/>
              <w:right w:w="20" w:type="dxa"/>
            </w:tcMar>
            <w:vAlign w:val="center"/>
            <w:hideMark/>
          </w:tcPr>
          <w:p w14:paraId="201C56C8"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A39FD63"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BAAACA" w14:textId="77777777" w:rsidR="00000000" w:rsidRDefault="000C49AD">
            <w:pPr>
              <w:spacing w:after="100"/>
              <w:rPr>
                <w:rFonts w:eastAsia="Times New Roman"/>
                <w:sz w:val="20"/>
                <w:szCs w:val="20"/>
              </w:rPr>
            </w:pPr>
          </w:p>
        </w:tc>
      </w:tr>
      <w:tr w:rsidR="00000000" w14:paraId="7BD644A1" w14:textId="77777777">
        <w:trPr>
          <w:divId w:val="1000084363"/>
          <w:jc w:val="center"/>
        </w:trPr>
        <w:tc>
          <w:tcPr>
            <w:tcW w:w="0" w:type="auto"/>
            <w:gridSpan w:val="3"/>
            <w:tcMar>
              <w:top w:w="30" w:type="dxa"/>
              <w:left w:w="20" w:type="dxa"/>
              <w:bottom w:w="30" w:type="dxa"/>
              <w:right w:w="20" w:type="dxa"/>
            </w:tcMar>
            <w:vAlign w:val="center"/>
            <w:hideMark/>
          </w:tcPr>
          <w:p w14:paraId="59DEC23F" w14:textId="77777777" w:rsidR="00000000" w:rsidRDefault="000C49AD">
            <w:pPr>
              <w:spacing w:after="100"/>
              <w:jc w:val="center"/>
              <w:rPr>
                <w:rFonts w:eastAsia="Times New Roman"/>
              </w:rPr>
            </w:pPr>
            <w:r>
              <w:rPr>
                <w:rFonts w:eastAsia="Times New Roman"/>
                <w:b/>
                <w:bCs/>
                <w:color w:val="000000"/>
                <w:sz w:val="20"/>
                <w:szCs w:val="20"/>
              </w:rPr>
              <w:t>10.1</w:t>
            </w:r>
            <w:r>
              <w:rPr>
                <w:rFonts w:eastAsia="Times New Roman"/>
                <w:b/>
                <w:bCs/>
                <w:color w:val="000000"/>
                <w:sz w:val="20"/>
                <w:szCs w:val="20"/>
              </w:rPr>
              <w:t>*</w:t>
            </w:r>
          </w:p>
        </w:tc>
        <w:tc>
          <w:tcPr>
            <w:tcW w:w="0" w:type="auto"/>
            <w:gridSpan w:val="3"/>
            <w:tcMar>
              <w:top w:w="0" w:type="dxa"/>
              <w:left w:w="20" w:type="dxa"/>
              <w:bottom w:w="0" w:type="dxa"/>
              <w:right w:w="20" w:type="dxa"/>
            </w:tcMar>
            <w:vAlign w:val="center"/>
            <w:hideMark/>
          </w:tcPr>
          <w:p w14:paraId="51CEC22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3FC29A5" w14:textId="77777777" w:rsidR="00000000" w:rsidRDefault="000C49AD">
            <w:pPr>
              <w:spacing w:after="100"/>
              <w:jc w:val="both"/>
              <w:rPr>
                <w:rFonts w:eastAsia="Times New Roman"/>
              </w:rPr>
            </w:pPr>
            <w:hyperlink r:id="rId11" w:history="1">
              <w:r>
                <w:rPr>
                  <w:rStyle w:val="a3"/>
                  <w:rFonts w:eastAsia="Times New Roman"/>
                  <w:sz w:val="20"/>
                  <w:szCs w:val="20"/>
                </w:rPr>
                <w:t>Exclusive License Agreement by and between Perrigo Pharma International DAC (f/k/a Elan Pharma International Limited) and Flamel Ireland Limited d</w:t>
              </w:r>
              <w:r>
                <w:rPr>
                  <w:rStyle w:val="a3"/>
                  <w:rFonts w:eastAsia="Times New Roman"/>
                  <w:sz w:val="20"/>
                  <w:szCs w:val="20"/>
                </w:rPr>
                <w:t>ated September 30, 2015, as amended by the First Amendment to Exclusive License Agreement dated December 21, 2018 (incorporated by reference to Exhibit 10.1 to the registrant’s Annual Report on Form 10-K for the year ended December 31, 2020, filed on March</w:t>
              </w:r>
              <w:r>
                <w:rPr>
                  <w:rStyle w:val="a3"/>
                  <w:rFonts w:eastAsia="Times New Roman"/>
                  <w:sz w:val="20"/>
                  <w:szCs w:val="20"/>
                </w:rPr>
                <w:t xml:space="preserve"> 9, 2021)</w:t>
              </w:r>
            </w:hyperlink>
          </w:p>
        </w:tc>
      </w:tr>
      <w:tr w:rsidR="00000000" w14:paraId="1948ACF1" w14:textId="77777777">
        <w:trPr>
          <w:divId w:val="1000084363"/>
          <w:trHeight w:val="300"/>
          <w:jc w:val="center"/>
        </w:trPr>
        <w:tc>
          <w:tcPr>
            <w:tcW w:w="0" w:type="auto"/>
            <w:gridSpan w:val="3"/>
            <w:tcMar>
              <w:top w:w="0" w:type="dxa"/>
              <w:left w:w="20" w:type="dxa"/>
              <w:bottom w:w="0" w:type="dxa"/>
              <w:right w:w="20" w:type="dxa"/>
            </w:tcMar>
            <w:vAlign w:val="center"/>
            <w:hideMark/>
          </w:tcPr>
          <w:p w14:paraId="6613BC56"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E2D2628"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1D8A1F" w14:textId="77777777" w:rsidR="00000000" w:rsidRDefault="000C49AD">
            <w:pPr>
              <w:spacing w:after="100"/>
              <w:rPr>
                <w:rFonts w:eastAsia="Times New Roman"/>
                <w:sz w:val="20"/>
                <w:szCs w:val="20"/>
              </w:rPr>
            </w:pPr>
          </w:p>
        </w:tc>
      </w:tr>
      <w:tr w:rsidR="00000000" w14:paraId="34F6373A" w14:textId="77777777">
        <w:trPr>
          <w:divId w:val="1000084363"/>
          <w:jc w:val="center"/>
        </w:trPr>
        <w:tc>
          <w:tcPr>
            <w:tcW w:w="0" w:type="auto"/>
            <w:gridSpan w:val="3"/>
            <w:tcMar>
              <w:top w:w="30" w:type="dxa"/>
              <w:left w:w="20" w:type="dxa"/>
              <w:bottom w:w="30" w:type="dxa"/>
              <w:right w:w="20" w:type="dxa"/>
            </w:tcMar>
            <w:vAlign w:val="center"/>
            <w:hideMark/>
          </w:tcPr>
          <w:p w14:paraId="141F5FB0" w14:textId="77777777" w:rsidR="00000000" w:rsidRDefault="000C49AD">
            <w:pPr>
              <w:spacing w:after="100"/>
              <w:jc w:val="center"/>
              <w:rPr>
                <w:rFonts w:eastAsia="Times New Roman"/>
              </w:rPr>
            </w:pPr>
            <w:r>
              <w:rPr>
                <w:rFonts w:eastAsia="Times New Roman"/>
                <w:b/>
                <w:bCs/>
                <w:color w:val="000000"/>
                <w:sz w:val="20"/>
                <w:szCs w:val="20"/>
              </w:rPr>
              <w:t>10.2</w:t>
            </w:r>
          </w:p>
        </w:tc>
        <w:tc>
          <w:tcPr>
            <w:tcW w:w="0" w:type="auto"/>
            <w:gridSpan w:val="3"/>
            <w:tcMar>
              <w:top w:w="0" w:type="dxa"/>
              <w:left w:w="20" w:type="dxa"/>
              <w:bottom w:w="0" w:type="dxa"/>
              <w:right w:w="20" w:type="dxa"/>
            </w:tcMar>
            <w:vAlign w:val="center"/>
            <w:hideMark/>
          </w:tcPr>
          <w:p w14:paraId="12A69704"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FC3126" w14:textId="77777777" w:rsidR="00000000" w:rsidRDefault="000C49AD">
            <w:pPr>
              <w:spacing w:after="100"/>
              <w:jc w:val="both"/>
              <w:rPr>
                <w:rFonts w:eastAsia="Times New Roman"/>
              </w:rPr>
            </w:pPr>
            <w:hyperlink r:id="rId12" w:history="1">
              <w:r>
                <w:rPr>
                  <w:rStyle w:val="a3"/>
                  <w:rFonts w:eastAsia="Times New Roman"/>
                  <w:sz w:val="20"/>
                  <w:szCs w:val="20"/>
                </w:rPr>
                <w:t>Office Lease Agreement by and between Grove II LLC and Eclat Pharmaceuticals LLC dated October 5, 2015, as amended (</w:t>
              </w:r>
            </w:hyperlink>
            <w:hyperlink r:id="rId13" w:history="1">
              <w:r>
                <w:rPr>
                  <w:rStyle w:val="a3"/>
                  <w:rFonts w:eastAsia="Times New Roman"/>
                  <w:sz w:val="20"/>
                  <w:szCs w:val="20"/>
                </w:rPr>
                <w:t xml:space="preserve">incorporated by reference to Exhibit </w:t>
              </w:r>
              <w:r>
                <w:rPr>
                  <w:rStyle w:val="a3"/>
                  <w:rFonts w:eastAsia="Times New Roman"/>
                  <w:sz w:val="20"/>
                  <w:szCs w:val="20"/>
                </w:rPr>
                <w:t>10.</w:t>
              </w:r>
            </w:hyperlink>
            <w:hyperlink r:id="rId14" w:history="1">
              <w:r>
                <w:rPr>
                  <w:rStyle w:val="a3"/>
                  <w:rFonts w:eastAsia="Times New Roman"/>
                  <w:sz w:val="20"/>
                  <w:szCs w:val="20"/>
                </w:rPr>
                <w:t>2</w:t>
              </w:r>
            </w:hyperlink>
            <w:hyperlink r:id="rId15" w:history="1">
              <w:r>
                <w:rPr>
                  <w:rStyle w:val="a3"/>
                  <w:rFonts w:eastAsia="Times New Roman"/>
                  <w:sz w:val="20"/>
                  <w:szCs w:val="20"/>
                </w:rPr>
                <w:t xml:space="preserve"> to the registrant’s Annual Report on Form 10-K for the year ended December 31, 2020, filed on March 9, 2021</w:t>
              </w:r>
            </w:hyperlink>
            <w:hyperlink r:id="rId16" w:history="1">
              <w:r>
                <w:rPr>
                  <w:rStyle w:val="a3"/>
                  <w:rFonts w:eastAsia="Times New Roman"/>
                  <w:sz w:val="20"/>
                  <w:szCs w:val="20"/>
                </w:rPr>
                <w:t>)</w:t>
              </w:r>
            </w:hyperlink>
          </w:p>
        </w:tc>
      </w:tr>
      <w:tr w:rsidR="00000000" w14:paraId="4E05D9D5" w14:textId="77777777">
        <w:trPr>
          <w:divId w:val="1000084363"/>
          <w:trHeight w:val="300"/>
          <w:jc w:val="center"/>
        </w:trPr>
        <w:tc>
          <w:tcPr>
            <w:tcW w:w="0" w:type="auto"/>
            <w:gridSpan w:val="3"/>
            <w:tcMar>
              <w:top w:w="0" w:type="dxa"/>
              <w:left w:w="20" w:type="dxa"/>
              <w:bottom w:w="0" w:type="dxa"/>
              <w:right w:w="20" w:type="dxa"/>
            </w:tcMar>
            <w:vAlign w:val="center"/>
            <w:hideMark/>
          </w:tcPr>
          <w:p w14:paraId="64B17D4A"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8207C3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492463" w14:textId="77777777" w:rsidR="00000000" w:rsidRDefault="000C49AD">
            <w:pPr>
              <w:spacing w:after="100"/>
              <w:rPr>
                <w:rFonts w:eastAsia="Times New Roman"/>
                <w:sz w:val="20"/>
                <w:szCs w:val="20"/>
              </w:rPr>
            </w:pPr>
          </w:p>
        </w:tc>
      </w:tr>
      <w:tr w:rsidR="00000000" w14:paraId="7248625C" w14:textId="77777777">
        <w:trPr>
          <w:divId w:val="1000084363"/>
          <w:jc w:val="center"/>
        </w:trPr>
        <w:tc>
          <w:tcPr>
            <w:tcW w:w="0" w:type="auto"/>
            <w:gridSpan w:val="3"/>
            <w:tcMar>
              <w:top w:w="30" w:type="dxa"/>
              <w:left w:w="20" w:type="dxa"/>
              <w:bottom w:w="30" w:type="dxa"/>
              <w:right w:w="20" w:type="dxa"/>
            </w:tcMar>
            <w:vAlign w:val="center"/>
            <w:hideMark/>
          </w:tcPr>
          <w:p w14:paraId="5182A17C" w14:textId="77777777" w:rsidR="00000000" w:rsidRDefault="000C49AD">
            <w:pPr>
              <w:spacing w:after="100"/>
              <w:jc w:val="center"/>
              <w:rPr>
                <w:rFonts w:eastAsia="Times New Roman"/>
              </w:rPr>
            </w:pPr>
            <w:r>
              <w:rPr>
                <w:rFonts w:eastAsia="Times New Roman"/>
                <w:b/>
                <w:bCs/>
                <w:color w:val="000000"/>
                <w:sz w:val="20"/>
                <w:szCs w:val="20"/>
              </w:rPr>
              <w:t>10.3‡</w:t>
            </w:r>
          </w:p>
        </w:tc>
        <w:tc>
          <w:tcPr>
            <w:tcW w:w="0" w:type="auto"/>
            <w:gridSpan w:val="3"/>
            <w:tcMar>
              <w:top w:w="0" w:type="dxa"/>
              <w:left w:w="20" w:type="dxa"/>
              <w:bottom w:w="0" w:type="dxa"/>
              <w:right w:w="20" w:type="dxa"/>
            </w:tcMar>
            <w:vAlign w:val="center"/>
            <w:hideMark/>
          </w:tcPr>
          <w:p w14:paraId="1B79FB79"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1B11A3D" w14:textId="77777777" w:rsidR="00000000" w:rsidRDefault="000C49AD">
            <w:pPr>
              <w:spacing w:after="100"/>
              <w:jc w:val="both"/>
              <w:rPr>
                <w:rFonts w:eastAsia="Times New Roman"/>
              </w:rPr>
            </w:pPr>
            <w:hyperlink r:id="rId17" w:history="1">
              <w:r>
                <w:rPr>
                  <w:rStyle w:val="a3"/>
                  <w:rFonts w:eastAsia="Times New Roman"/>
                  <w:sz w:val="20"/>
                  <w:szCs w:val="20"/>
                </w:rPr>
                <w:t>December 2015 Stock Option Rules (incorporated by reference to Exhibit 10.25 to the registrant’s Annual Report on Form 10-K for the year ended December 31</w:t>
              </w:r>
              <w:r>
                <w:rPr>
                  <w:rStyle w:val="a3"/>
                  <w:rFonts w:eastAsia="Times New Roman"/>
                  <w:sz w:val="20"/>
                  <w:szCs w:val="20"/>
                </w:rPr>
                <w:t>, 2015, filed on March 15, 2016)</w:t>
              </w:r>
            </w:hyperlink>
          </w:p>
        </w:tc>
      </w:tr>
      <w:tr w:rsidR="00000000" w14:paraId="5C2EA18A" w14:textId="77777777">
        <w:trPr>
          <w:divId w:val="1000084363"/>
          <w:trHeight w:val="300"/>
          <w:jc w:val="center"/>
        </w:trPr>
        <w:tc>
          <w:tcPr>
            <w:tcW w:w="0" w:type="auto"/>
            <w:gridSpan w:val="3"/>
            <w:tcMar>
              <w:top w:w="0" w:type="dxa"/>
              <w:left w:w="20" w:type="dxa"/>
              <w:bottom w:w="0" w:type="dxa"/>
              <w:right w:w="20" w:type="dxa"/>
            </w:tcMar>
            <w:vAlign w:val="center"/>
            <w:hideMark/>
          </w:tcPr>
          <w:p w14:paraId="5DF25935"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55534C6"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D666B3" w14:textId="77777777" w:rsidR="00000000" w:rsidRDefault="000C49AD">
            <w:pPr>
              <w:spacing w:after="100"/>
              <w:rPr>
                <w:rFonts w:eastAsia="Times New Roman"/>
                <w:sz w:val="20"/>
                <w:szCs w:val="20"/>
              </w:rPr>
            </w:pPr>
          </w:p>
        </w:tc>
      </w:tr>
      <w:tr w:rsidR="00000000" w14:paraId="0A0DD539" w14:textId="77777777">
        <w:trPr>
          <w:divId w:val="1000084363"/>
          <w:jc w:val="center"/>
        </w:trPr>
        <w:tc>
          <w:tcPr>
            <w:tcW w:w="0" w:type="auto"/>
            <w:gridSpan w:val="3"/>
            <w:tcMar>
              <w:top w:w="30" w:type="dxa"/>
              <w:left w:w="20" w:type="dxa"/>
              <w:bottom w:w="30" w:type="dxa"/>
              <w:right w:w="20" w:type="dxa"/>
            </w:tcMar>
            <w:vAlign w:val="center"/>
            <w:hideMark/>
          </w:tcPr>
          <w:p w14:paraId="03F81409" w14:textId="77777777" w:rsidR="00000000" w:rsidRDefault="000C49AD">
            <w:pPr>
              <w:spacing w:after="100"/>
              <w:jc w:val="center"/>
              <w:rPr>
                <w:rFonts w:eastAsia="Times New Roman"/>
              </w:rPr>
            </w:pPr>
            <w:r>
              <w:rPr>
                <w:rFonts w:eastAsia="Times New Roman"/>
                <w:b/>
                <w:bCs/>
                <w:color w:val="000000"/>
                <w:sz w:val="20"/>
                <w:szCs w:val="20"/>
              </w:rPr>
              <w:t>10.4‡</w:t>
            </w:r>
          </w:p>
        </w:tc>
        <w:tc>
          <w:tcPr>
            <w:tcW w:w="0" w:type="auto"/>
            <w:gridSpan w:val="3"/>
            <w:tcMar>
              <w:top w:w="0" w:type="dxa"/>
              <w:left w:w="20" w:type="dxa"/>
              <w:bottom w:w="0" w:type="dxa"/>
              <w:right w:w="20" w:type="dxa"/>
            </w:tcMar>
            <w:vAlign w:val="center"/>
            <w:hideMark/>
          </w:tcPr>
          <w:p w14:paraId="5F255C22"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74C6D67" w14:textId="77777777" w:rsidR="00000000" w:rsidRDefault="000C49AD">
            <w:pPr>
              <w:spacing w:after="100"/>
              <w:jc w:val="both"/>
              <w:rPr>
                <w:rFonts w:eastAsia="Times New Roman"/>
              </w:rPr>
            </w:pPr>
            <w:hyperlink r:id="rId18" w:history="1">
              <w:r>
                <w:rPr>
                  <w:rStyle w:val="a3"/>
                  <w:rFonts w:eastAsia="Times New Roman"/>
                  <w:sz w:val="20"/>
                  <w:szCs w:val="20"/>
                </w:rPr>
                <w:t>Form of Stock Option Grant Letter (incorporated by reference to Exhibit 10.26 to the registrant’s Annual Report on Form 10-K for the year ended December 31, 2015, filed on March 15, 2016)</w:t>
              </w:r>
            </w:hyperlink>
          </w:p>
        </w:tc>
      </w:tr>
      <w:tr w:rsidR="00000000" w14:paraId="03A03261" w14:textId="77777777">
        <w:trPr>
          <w:divId w:val="1000084363"/>
          <w:trHeight w:val="300"/>
          <w:jc w:val="center"/>
        </w:trPr>
        <w:tc>
          <w:tcPr>
            <w:tcW w:w="0" w:type="auto"/>
            <w:gridSpan w:val="3"/>
            <w:tcMar>
              <w:top w:w="0" w:type="dxa"/>
              <w:left w:w="20" w:type="dxa"/>
              <w:bottom w:w="0" w:type="dxa"/>
              <w:right w:w="20" w:type="dxa"/>
            </w:tcMar>
            <w:vAlign w:val="center"/>
            <w:hideMark/>
          </w:tcPr>
          <w:p w14:paraId="4FB9A627"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027F3B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7BDB39C" w14:textId="77777777" w:rsidR="00000000" w:rsidRDefault="000C49AD">
            <w:pPr>
              <w:spacing w:after="100"/>
              <w:rPr>
                <w:rFonts w:eastAsia="Times New Roman"/>
                <w:sz w:val="20"/>
                <w:szCs w:val="20"/>
              </w:rPr>
            </w:pPr>
          </w:p>
        </w:tc>
      </w:tr>
      <w:tr w:rsidR="00000000" w14:paraId="0F7B8F43" w14:textId="77777777">
        <w:trPr>
          <w:divId w:val="1000084363"/>
          <w:jc w:val="center"/>
        </w:trPr>
        <w:tc>
          <w:tcPr>
            <w:tcW w:w="0" w:type="auto"/>
            <w:gridSpan w:val="3"/>
            <w:tcMar>
              <w:top w:w="30" w:type="dxa"/>
              <w:left w:w="20" w:type="dxa"/>
              <w:bottom w:w="30" w:type="dxa"/>
              <w:right w:w="20" w:type="dxa"/>
            </w:tcMar>
            <w:vAlign w:val="center"/>
            <w:hideMark/>
          </w:tcPr>
          <w:p w14:paraId="33B96A63" w14:textId="77777777" w:rsidR="00000000" w:rsidRDefault="000C49AD">
            <w:pPr>
              <w:spacing w:after="100"/>
              <w:jc w:val="center"/>
              <w:rPr>
                <w:rFonts w:eastAsia="Times New Roman"/>
              </w:rPr>
            </w:pPr>
            <w:r>
              <w:rPr>
                <w:rFonts w:eastAsia="Times New Roman"/>
                <w:b/>
                <w:bCs/>
                <w:color w:val="000000"/>
                <w:sz w:val="20"/>
                <w:szCs w:val="20"/>
              </w:rPr>
              <w:t>10.5‡</w:t>
            </w:r>
          </w:p>
        </w:tc>
        <w:tc>
          <w:tcPr>
            <w:tcW w:w="0" w:type="auto"/>
            <w:gridSpan w:val="3"/>
            <w:tcMar>
              <w:top w:w="0" w:type="dxa"/>
              <w:left w:w="20" w:type="dxa"/>
              <w:bottom w:w="0" w:type="dxa"/>
              <w:right w:w="20" w:type="dxa"/>
            </w:tcMar>
            <w:vAlign w:val="center"/>
            <w:hideMark/>
          </w:tcPr>
          <w:p w14:paraId="6B3325D0"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43E9234" w14:textId="77777777" w:rsidR="00000000" w:rsidRDefault="000C49AD">
            <w:pPr>
              <w:spacing w:after="100"/>
              <w:jc w:val="both"/>
              <w:rPr>
                <w:rFonts w:eastAsia="Times New Roman"/>
              </w:rPr>
            </w:pPr>
            <w:hyperlink r:id="rId19" w:history="1">
              <w:r>
                <w:rPr>
                  <w:rStyle w:val="a3"/>
                  <w:rFonts w:eastAsia="Times New Roman"/>
                  <w:sz w:val="20"/>
                  <w:szCs w:val="20"/>
                </w:rPr>
                <w:t>Rules Governing the Free Share Plan - August 2016 (incorporated by reference to Exhibit 99.1 to the registrant’s Registration Statement (No. 333-213154) on</w:t>
              </w:r>
              <w:r>
                <w:rPr>
                  <w:rStyle w:val="a3"/>
                  <w:rFonts w:eastAsia="Times New Roman"/>
                  <w:sz w:val="20"/>
                  <w:szCs w:val="20"/>
                </w:rPr>
                <w:t xml:space="preserve"> Form S-8, filed on August 16, 2016)</w:t>
              </w:r>
            </w:hyperlink>
          </w:p>
        </w:tc>
      </w:tr>
      <w:tr w:rsidR="00000000" w14:paraId="6499DB63" w14:textId="77777777">
        <w:trPr>
          <w:divId w:val="1000084363"/>
          <w:trHeight w:val="300"/>
          <w:jc w:val="center"/>
        </w:trPr>
        <w:tc>
          <w:tcPr>
            <w:tcW w:w="0" w:type="auto"/>
            <w:gridSpan w:val="3"/>
            <w:tcMar>
              <w:top w:w="0" w:type="dxa"/>
              <w:left w:w="20" w:type="dxa"/>
              <w:bottom w:w="0" w:type="dxa"/>
              <w:right w:w="20" w:type="dxa"/>
            </w:tcMar>
            <w:vAlign w:val="center"/>
            <w:hideMark/>
          </w:tcPr>
          <w:p w14:paraId="1233C3ED"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6F0129E"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072818" w14:textId="77777777" w:rsidR="00000000" w:rsidRDefault="000C49AD">
            <w:pPr>
              <w:spacing w:after="100"/>
              <w:rPr>
                <w:rFonts w:eastAsia="Times New Roman"/>
                <w:sz w:val="20"/>
                <w:szCs w:val="20"/>
              </w:rPr>
            </w:pPr>
          </w:p>
        </w:tc>
      </w:tr>
      <w:tr w:rsidR="00000000" w14:paraId="71DE4CCF" w14:textId="77777777">
        <w:trPr>
          <w:divId w:val="1000084363"/>
          <w:jc w:val="center"/>
        </w:trPr>
        <w:tc>
          <w:tcPr>
            <w:tcW w:w="0" w:type="auto"/>
            <w:gridSpan w:val="3"/>
            <w:tcMar>
              <w:top w:w="30" w:type="dxa"/>
              <w:left w:w="20" w:type="dxa"/>
              <w:bottom w:w="30" w:type="dxa"/>
              <w:right w:w="20" w:type="dxa"/>
            </w:tcMar>
            <w:vAlign w:val="center"/>
            <w:hideMark/>
          </w:tcPr>
          <w:p w14:paraId="7D82476B" w14:textId="77777777" w:rsidR="00000000" w:rsidRDefault="000C49AD">
            <w:pPr>
              <w:spacing w:after="100"/>
              <w:jc w:val="center"/>
              <w:rPr>
                <w:rFonts w:eastAsia="Times New Roman"/>
              </w:rPr>
            </w:pPr>
            <w:r>
              <w:rPr>
                <w:rFonts w:eastAsia="Times New Roman"/>
                <w:b/>
                <w:bCs/>
                <w:color w:val="000000"/>
                <w:sz w:val="20"/>
                <w:szCs w:val="20"/>
              </w:rPr>
              <w:t>10.6‡</w:t>
            </w:r>
          </w:p>
        </w:tc>
        <w:tc>
          <w:tcPr>
            <w:tcW w:w="0" w:type="auto"/>
            <w:gridSpan w:val="3"/>
            <w:tcMar>
              <w:top w:w="0" w:type="dxa"/>
              <w:left w:w="20" w:type="dxa"/>
              <w:bottom w:w="0" w:type="dxa"/>
              <w:right w:w="20" w:type="dxa"/>
            </w:tcMar>
            <w:vAlign w:val="center"/>
            <w:hideMark/>
          </w:tcPr>
          <w:p w14:paraId="09FAC7A4"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4C9841D" w14:textId="77777777" w:rsidR="00000000" w:rsidRDefault="000C49AD">
            <w:pPr>
              <w:spacing w:after="100"/>
              <w:jc w:val="both"/>
              <w:rPr>
                <w:rFonts w:eastAsia="Times New Roman"/>
              </w:rPr>
            </w:pPr>
            <w:hyperlink r:id="rId20" w:history="1">
              <w:r>
                <w:rPr>
                  <w:rStyle w:val="a3"/>
                  <w:rFonts w:eastAsia="Times New Roman"/>
                  <w:sz w:val="20"/>
                  <w:szCs w:val="20"/>
                </w:rPr>
                <w:t>August 2016 Stock Option Rules (incorporated by reference to Exhibit 99.2 to the registrant’s Registration Statement (No. 333-213154) on Form S-8, filed on August 16, 2016)</w:t>
              </w:r>
            </w:hyperlink>
          </w:p>
        </w:tc>
      </w:tr>
      <w:tr w:rsidR="00000000" w14:paraId="2ABB2121" w14:textId="77777777">
        <w:trPr>
          <w:divId w:val="1000084363"/>
          <w:trHeight w:val="300"/>
          <w:jc w:val="center"/>
        </w:trPr>
        <w:tc>
          <w:tcPr>
            <w:tcW w:w="0" w:type="auto"/>
            <w:gridSpan w:val="3"/>
            <w:tcMar>
              <w:top w:w="0" w:type="dxa"/>
              <w:left w:w="20" w:type="dxa"/>
              <w:bottom w:w="0" w:type="dxa"/>
              <w:right w:w="20" w:type="dxa"/>
            </w:tcMar>
            <w:vAlign w:val="center"/>
            <w:hideMark/>
          </w:tcPr>
          <w:p w14:paraId="7835A033"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C4FC03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8E9370" w14:textId="77777777" w:rsidR="00000000" w:rsidRDefault="000C49AD">
            <w:pPr>
              <w:spacing w:after="100"/>
              <w:rPr>
                <w:rFonts w:eastAsia="Times New Roman"/>
                <w:sz w:val="20"/>
                <w:szCs w:val="20"/>
              </w:rPr>
            </w:pPr>
          </w:p>
        </w:tc>
      </w:tr>
      <w:tr w:rsidR="00000000" w14:paraId="08256826" w14:textId="77777777">
        <w:trPr>
          <w:divId w:val="1000084363"/>
          <w:jc w:val="center"/>
        </w:trPr>
        <w:tc>
          <w:tcPr>
            <w:tcW w:w="0" w:type="auto"/>
            <w:gridSpan w:val="3"/>
            <w:tcMar>
              <w:top w:w="30" w:type="dxa"/>
              <w:left w:w="20" w:type="dxa"/>
              <w:bottom w:w="30" w:type="dxa"/>
              <w:right w:w="20" w:type="dxa"/>
            </w:tcMar>
            <w:vAlign w:val="center"/>
            <w:hideMark/>
          </w:tcPr>
          <w:p w14:paraId="67F2C8FA" w14:textId="77777777" w:rsidR="00000000" w:rsidRDefault="000C49AD">
            <w:pPr>
              <w:spacing w:after="100"/>
              <w:jc w:val="center"/>
              <w:rPr>
                <w:rFonts w:eastAsia="Times New Roman"/>
              </w:rPr>
            </w:pPr>
            <w:r>
              <w:rPr>
                <w:rFonts w:eastAsia="Times New Roman"/>
                <w:b/>
                <w:bCs/>
                <w:color w:val="000000"/>
                <w:sz w:val="20"/>
                <w:szCs w:val="20"/>
              </w:rPr>
              <w:t>10.7‡</w:t>
            </w:r>
          </w:p>
        </w:tc>
        <w:tc>
          <w:tcPr>
            <w:tcW w:w="0" w:type="auto"/>
            <w:gridSpan w:val="3"/>
            <w:tcMar>
              <w:top w:w="0" w:type="dxa"/>
              <w:left w:w="20" w:type="dxa"/>
              <w:bottom w:w="0" w:type="dxa"/>
              <w:right w:w="20" w:type="dxa"/>
            </w:tcMar>
            <w:vAlign w:val="center"/>
            <w:hideMark/>
          </w:tcPr>
          <w:p w14:paraId="6814FE6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871931D" w14:textId="77777777" w:rsidR="00000000" w:rsidRDefault="000C49AD">
            <w:pPr>
              <w:spacing w:after="100"/>
              <w:jc w:val="both"/>
              <w:rPr>
                <w:rFonts w:eastAsia="Times New Roman"/>
              </w:rPr>
            </w:pPr>
            <w:hyperlink r:id="rId21" w:history="1">
              <w:r>
                <w:rPr>
                  <w:rStyle w:val="a3"/>
                  <w:rFonts w:eastAsia="Times New Roman"/>
                  <w:sz w:val="20"/>
                  <w:szCs w:val="20"/>
                </w:rPr>
                <w:t>August 2016 Stock Warrant Rules (incorporated by reference to Exhibit 99.3 to the registrant’s Registration Statement (No. 333-213154) on Form S-8, filed on August 16, 2016)</w:t>
              </w:r>
            </w:hyperlink>
          </w:p>
        </w:tc>
      </w:tr>
      <w:tr w:rsidR="00000000" w14:paraId="40F36CA5" w14:textId="77777777">
        <w:trPr>
          <w:divId w:val="1000084363"/>
          <w:trHeight w:val="300"/>
          <w:jc w:val="center"/>
        </w:trPr>
        <w:tc>
          <w:tcPr>
            <w:tcW w:w="0" w:type="auto"/>
            <w:gridSpan w:val="3"/>
            <w:tcMar>
              <w:top w:w="0" w:type="dxa"/>
              <w:left w:w="20" w:type="dxa"/>
              <w:bottom w:w="0" w:type="dxa"/>
              <w:right w:w="20" w:type="dxa"/>
            </w:tcMar>
            <w:vAlign w:val="center"/>
            <w:hideMark/>
          </w:tcPr>
          <w:p w14:paraId="1E193E84"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980171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2026542" w14:textId="77777777" w:rsidR="00000000" w:rsidRDefault="000C49AD">
            <w:pPr>
              <w:spacing w:after="100"/>
              <w:rPr>
                <w:rFonts w:eastAsia="Times New Roman"/>
                <w:sz w:val="20"/>
                <w:szCs w:val="20"/>
              </w:rPr>
            </w:pPr>
          </w:p>
        </w:tc>
      </w:tr>
      <w:tr w:rsidR="00000000" w14:paraId="330F78A1" w14:textId="77777777">
        <w:trPr>
          <w:divId w:val="1000084363"/>
          <w:jc w:val="center"/>
        </w:trPr>
        <w:tc>
          <w:tcPr>
            <w:tcW w:w="0" w:type="auto"/>
            <w:gridSpan w:val="3"/>
            <w:tcMar>
              <w:top w:w="30" w:type="dxa"/>
              <w:left w:w="20" w:type="dxa"/>
              <w:bottom w:w="30" w:type="dxa"/>
              <w:right w:w="20" w:type="dxa"/>
            </w:tcMar>
            <w:vAlign w:val="center"/>
            <w:hideMark/>
          </w:tcPr>
          <w:p w14:paraId="559BBD59" w14:textId="77777777" w:rsidR="00000000" w:rsidRDefault="000C49AD">
            <w:pPr>
              <w:spacing w:after="100"/>
              <w:jc w:val="center"/>
              <w:rPr>
                <w:rFonts w:eastAsia="Times New Roman"/>
              </w:rPr>
            </w:pPr>
            <w:r>
              <w:rPr>
                <w:rFonts w:eastAsia="Times New Roman"/>
                <w:b/>
                <w:bCs/>
                <w:color w:val="000000"/>
                <w:sz w:val="20"/>
                <w:szCs w:val="20"/>
              </w:rPr>
              <w:t>10.8</w:t>
            </w:r>
            <w:r>
              <w:rPr>
                <w:rFonts w:eastAsia="Times New Roman"/>
                <w:b/>
                <w:bCs/>
                <w:color w:val="000000"/>
                <w:sz w:val="18"/>
                <w:szCs w:val="18"/>
              </w:rPr>
              <w:t>‡</w:t>
            </w:r>
          </w:p>
        </w:tc>
        <w:tc>
          <w:tcPr>
            <w:tcW w:w="0" w:type="auto"/>
            <w:gridSpan w:val="3"/>
            <w:tcMar>
              <w:top w:w="0" w:type="dxa"/>
              <w:left w:w="20" w:type="dxa"/>
              <w:bottom w:w="0" w:type="dxa"/>
              <w:right w:w="20" w:type="dxa"/>
            </w:tcMar>
            <w:vAlign w:val="center"/>
            <w:hideMark/>
          </w:tcPr>
          <w:p w14:paraId="52BBDD24"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C1F97CE" w14:textId="77777777" w:rsidR="00000000" w:rsidRDefault="000C49AD">
            <w:pPr>
              <w:spacing w:after="100"/>
              <w:jc w:val="both"/>
              <w:rPr>
                <w:rFonts w:eastAsia="Times New Roman"/>
              </w:rPr>
            </w:pPr>
            <w:hyperlink r:id="rId22" w:history="1">
              <w:r>
                <w:rPr>
                  <w:rStyle w:val="a3"/>
                  <w:rFonts w:eastAsia="Times New Roman"/>
                  <w:sz w:val="20"/>
                  <w:szCs w:val="20"/>
                </w:rPr>
                <w:t>Form of stock option grant letter for 2016 Stock Option Rules (incorporated by reference to Exhibit 10.31 to the registrant's Annual Report on Form 10-K for t</w:t>
              </w:r>
              <w:r>
                <w:rPr>
                  <w:rStyle w:val="a3"/>
                  <w:rFonts w:eastAsia="Times New Roman"/>
                  <w:sz w:val="20"/>
                  <w:szCs w:val="20"/>
                </w:rPr>
                <w:t>he year ended December 31, 2016, filed on March 28, 2017)</w:t>
              </w:r>
            </w:hyperlink>
          </w:p>
        </w:tc>
      </w:tr>
      <w:tr w:rsidR="00000000" w14:paraId="3FC6C5CE" w14:textId="77777777">
        <w:trPr>
          <w:divId w:val="1000084363"/>
          <w:trHeight w:val="300"/>
          <w:jc w:val="center"/>
        </w:trPr>
        <w:tc>
          <w:tcPr>
            <w:tcW w:w="0" w:type="auto"/>
            <w:gridSpan w:val="3"/>
            <w:tcMar>
              <w:top w:w="0" w:type="dxa"/>
              <w:left w:w="20" w:type="dxa"/>
              <w:bottom w:w="0" w:type="dxa"/>
              <w:right w:w="20" w:type="dxa"/>
            </w:tcMar>
            <w:vAlign w:val="center"/>
            <w:hideMark/>
          </w:tcPr>
          <w:p w14:paraId="73937434"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ADDE62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DD42CC8" w14:textId="77777777" w:rsidR="00000000" w:rsidRDefault="000C49AD">
            <w:pPr>
              <w:spacing w:after="100"/>
              <w:rPr>
                <w:rFonts w:eastAsia="Times New Roman"/>
                <w:sz w:val="20"/>
                <w:szCs w:val="20"/>
              </w:rPr>
            </w:pPr>
          </w:p>
        </w:tc>
      </w:tr>
      <w:tr w:rsidR="00000000" w14:paraId="25366694" w14:textId="77777777">
        <w:trPr>
          <w:divId w:val="1000084363"/>
          <w:jc w:val="center"/>
        </w:trPr>
        <w:tc>
          <w:tcPr>
            <w:tcW w:w="0" w:type="auto"/>
            <w:gridSpan w:val="3"/>
            <w:tcMar>
              <w:top w:w="30" w:type="dxa"/>
              <w:left w:w="20" w:type="dxa"/>
              <w:bottom w:w="30" w:type="dxa"/>
              <w:right w:w="20" w:type="dxa"/>
            </w:tcMar>
            <w:vAlign w:val="center"/>
            <w:hideMark/>
          </w:tcPr>
          <w:p w14:paraId="479F3ECF" w14:textId="77777777" w:rsidR="00000000" w:rsidRDefault="000C49AD">
            <w:pPr>
              <w:spacing w:after="100"/>
              <w:jc w:val="center"/>
              <w:rPr>
                <w:rFonts w:eastAsia="Times New Roman"/>
              </w:rPr>
            </w:pPr>
            <w:r>
              <w:rPr>
                <w:rFonts w:eastAsia="Times New Roman"/>
                <w:b/>
                <w:bCs/>
                <w:color w:val="000000"/>
                <w:sz w:val="20"/>
                <w:szCs w:val="20"/>
              </w:rPr>
              <w:t>10.9‡</w:t>
            </w:r>
          </w:p>
        </w:tc>
        <w:tc>
          <w:tcPr>
            <w:tcW w:w="0" w:type="auto"/>
            <w:gridSpan w:val="3"/>
            <w:tcMar>
              <w:top w:w="0" w:type="dxa"/>
              <w:left w:w="20" w:type="dxa"/>
              <w:bottom w:w="0" w:type="dxa"/>
              <w:right w:w="20" w:type="dxa"/>
            </w:tcMar>
            <w:vAlign w:val="center"/>
            <w:hideMark/>
          </w:tcPr>
          <w:p w14:paraId="43397646"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E7B2490" w14:textId="77777777" w:rsidR="00000000" w:rsidRDefault="000C49AD">
            <w:pPr>
              <w:spacing w:after="100"/>
              <w:jc w:val="both"/>
              <w:rPr>
                <w:rFonts w:eastAsia="Times New Roman"/>
              </w:rPr>
            </w:pPr>
            <w:hyperlink r:id="rId23" w:history="1">
              <w:r>
                <w:rPr>
                  <w:rStyle w:val="a3"/>
                  <w:rFonts w:eastAsia="Times New Roman"/>
                  <w:sz w:val="20"/>
                  <w:szCs w:val="20"/>
                </w:rPr>
                <w:t xml:space="preserve">Amended Employment Agreement dated as of June 3, 2019 between Avadel Management Corporation and Gregory J. Divis (incorporated by reference to Exhibit </w:t>
              </w:r>
              <w:r>
                <w:rPr>
                  <w:rStyle w:val="a3"/>
                  <w:rFonts w:eastAsia="Times New Roman"/>
                  <w:sz w:val="20"/>
                  <w:szCs w:val="20"/>
                </w:rPr>
                <w:t>10.1 to the registrant’s current report on Form 8-K, filed on June 5, 2019)</w:t>
              </w:r>
            </w:hyperlink>
            <w:r>
              <w:rPr>
                <w:rFonts w:eastAsia="Times New Roman"/>
                <w:color w:val="000000"/>
                <w:sz w:val="20"/>
                <w:szCs w:val="20"/>
              </w:rPr>
              <w:t xml:space="preserve"> </w:t>
            </w:r>
          </w:p>
        </w:tc>
      </w:tr>
      <w:tr w:rsidR="00000000" w14:paraId="695CA9BF" w14:textId="77777777">
        <w:trPr>
          <w:divId w:val="1000084363"/>
          <w:trHeight w:val="300"/>
          <w:jc w:val="center"/>
        </w:trPr>
        <w:tc>
          <w:tcPr>
            <w:tcW w:w="0" w:type="auto"/>
            <w:gridSpan w:val="3"/>
            <w:tcMar>
              <w:top w:w="0" w:type="dxa"/>
              <w:left w:w="20" w:type="dxa"/>
              <w:bottom w:w="0" w:type="dxa"/>
              <w:right w:w="20" w:type="dxa"/>
            </w:tcMar>
            <w:vAlign w:val="center"/>
            <w:hideMark/>
          </w:tcPr>
          <w:p w14:paraId="330A136F"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49850BC"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5DF3BF" w14:textId="77777777" w:rsidR="00000000" w:rsidRDefault="000C49AD">
            <w:pPr>
              <w:spacing w:after="100"/>
              <w:rPr>
                <w:rFonts w:eastAsia="Times New Roman"/>
                <w:sz w:val="20"/>
                <w:szCs w:val="20"/>
              </w:rPr>
            </w:pPr>
          </w:p>
        </w:tc>
      </w:tr>
      <w:tr w:rsidR="00000000" w14:paraId="04992DCA" w14:textId="77777777">
        <w:trPr>
          <w:divId w:val="1000084363"/>
          <w:jc w:val="center"/>
        </w:trPr>
        <w:tc>
          <w:tcPr>
            <w:tcW w:w="0" w:type="auto"/>
            <w:gridSpan w:val="3"/>
            <w:tcMar>
              <w:top w:w="30" w:type="dxa"/>
              <w:left w:w="20" w:type="dxa"/>
              <w:bottom w:w="30" w:type="dxa"/>
              <w:right w:w="20" w:type="dxa"/>
            </w:tcMar>
            <w:vAlign w:val="center"/>
            <w:hideMark/>
          </w:tcPr>
          <w:p w14:paraId="22E8E98B" w14:textId="77777777" w:rsidR="00000000" w:rsidRDefault="000C49AD">
            <w:pPr>
              <w:spacing w:after="100"/>
              <w:jc w:val="center"/>
              <w:rPr>
                <w:rFonts w:eastAsia="Times New Roman"/>
              </w:rPr>
            </w:pPr>
            <w:r>
              <w:rPr>
                <w:rFonts w:eastAsia="Times New Roman"/>
                <w:b/>
                <w:bCs/>
                <w:color w:val="000000"/>
                <w:sz w:val="20"/>
                <w:szCs w:val="20"/>
              </w:rPr>
              <w:t>10.10‡</w:t>
            </w:r>
          </w:p>
        </w:tc>
        <w:tc>
          <w:tcPr>
            <w:tcW w:w="0" w:type="auto"/>
            <w:gridSpan w:val="3"/>
            <w:tcMar>
              <w:top w:w="0" w:type="dxa"/>
              <w:left w:w="20" w:type="dxa"/>
              <w:bottom w:w="0" w:type="dxa"/>
              <w:right w:w="20" w:type="dxa"/>
            </w:tcMar>
            <w:vAlign w:val="center"/>
            <w:hideMark/>
          </w:tcPr>
          <w:p w14:paraId="5C544C37"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8FCC834" w14:textId="77777777" w:rsidR="00000000" w:rsidRDefault="000C49AD">
            <w:pPr>
              <w:spacing w:after="100"/>
              <w:jc w:val="both"/>
              <w:rPr>
                <w:rFonts w:eastAsia="Times New Roman"/>
              </w:rPr>
            </w:pPr>
            <w:hyperlink r:id="rId24" w:history="1">
              <w:r>
                <w:rPr>
                  <w:rStyle w:val="a3"/>
                  <w:rFonts w:eastAsia="Times New Roman"/>
                  <w:sz w:val="20"/>
                  <w:szCs w:val="20"/>
                </w:rPr>
                <w:t>Employment Agreement dated as of May 15, 2020 between Avadel Management Corporation and Thomas S. McHugh (incorporated by reference to Exhibit 10.2 to th</w:t>
              </w:r>
              <w:r>
                <w:rPr>
                  <w:rStyle w:val="a3"/>
                  <w:rFonts w:eastAsia="Times New Roman"/>
                  <w:sz w:val="20"/>
                  <w:szCs w:val="20"/>
                </w:rPr>
                <w:t>e registrant’s current report on Form 10-Q, filed on August 10, 2020)</w:t>
              </w:r>
            </w:hyperlink>
          </w:p>
        </w:tc>
      </w:tr>
      <w:tr w:rsidR="00000000" w14:paraId="5ABFBCF8" w14:textId="77777777">
        <w:trPr>
          <w:divId w:val="1000084363"/>
          <w:trHeight w:val="300"/>
          <w:jc w:val="center"/>
        </w:trPr>
        <w:tc>
          <w:tcPr>
            <w:tcW w:w="0" w:type="auto"/>
            <w:gridSpan w:val="3"/>
            <w:tcMar>
              <w:top w:w="0" w:type="dxa"/>
              <w:left w:w="20" w:type="dxa"/>
              <w:bottom w:w="0" w:type="dxa"/>
              <w:right w:w="20" w:type="dxa"/>
            </w:tcMar>
            <w:vAlign w:val="center"/>
            <w:hideMark/>
          </w:tcPr>
          <w:p w14:paraId="037E4905"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EC405D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216F82" w14:textId="77777777" w:rsidR="00000000" w:rsidRDefault="000C49AD">
            <w:pPr>
              <w:spacing w:after="100"/>
              <w:rPr>
                <w:rFonts w:eastAsia="Times New Roman"/>
                <w:sz w:val="20"/>
                <w:szCs w:val="20"/>
              </w:rPr>
            </w:pPr>
          </w:p>
        </w:tc>
      </w:tr>
    </w:tbl>
    <w:p w14:paraId="08C161C5" w14:textId="77777777" w:rsidR="00000000" w:rsidRDefault="000C49AD">
      <w:pPr>
        <w:jc w:val="center"/>
        <w:divId w:val="1276595499"/>
        <w:rPr>
          <w:rFonts w:eastAsia="Times New Roman"/>
        </w:rPr>
      </w:pPr>
      <w:r>
        <w:rPr>
          <w:rFonts w:eastAsia="Times New Roman"/>
          <w:color w:val="000000"/>
          <w:sz w:val="20"/>
          <w:szCs w:val="20"/>
        </w:rPr>
        <w:t>-113-</w:t>
      </w:r>
    </w:p>
    <w:p w14:paraId="7DD076B7" w14:textId="77777777" w:rsidR="00000000" w:rsidRDefault="000C49AD">
      <w:pPr>
        <w:rPr>
          <w:rFonts w:eastAsia="Times New Roman"/>
        </w:rPr>
      </w:pPr>
      <w:r>
        <w:rPr>
          <w:rFonts w:eastAsia="Times New Roman"/>
        </w:rPr>
        <w:pict w14:anchorId="40D5A020">
          <v:rect id="_x0000_i1138" style="width:0;height:1.5pt" o:hralign="center" o:hrstd="t" o:hr="t" fillcolor="#a0a0a0" stroked="f"/>
        </w:pict>
      </w:r>
    </w:p>
    <w:p w14:paraId="41673481" w14:textId="77777777" w:rsidR="00000000" w:rsidRDefault="000C49AD">
      <w:pPr>
        <w:divId w:val="184589861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7"/>
        <w:gridCol w:w="36"/>
        <w:gridCol w:w="36"/>
        <w:gridCol w:w="106"/>
        <w:gridCol w:w="36"/>
        <w:gridCol w:w="61"/>
        <w:gridCol w:w="6785"/>
        <w:gridCol w:w="36"/>
      </w:tblGrid>
      <w:tr w:rsidR="00000000" w14:paraId="7D49EC58" w14:textId="77777777">
        <w:trPr>
          <w:divId w:val="313997319"/>
          <w:jc w:val="center"/>
        </w:trPr>
        <w:tc>
          <w:tcPr>
            <w:tcW w:w="50" w:type="pct"/>
            <w:vAlign w:val="center"/>
            <w:hideMark/>
          </w:tcPr>
          <w:p w14:paraId="2F56139A" w14:textId="77777777" w:rsidR="00000000" w:rsidRDefault="000C49AD">
            <w:pPr>
              <w:rPr>
                <w:rFonts w:eastAsia="Times New Roman"/>
              </w:rPr>
            </w:pPr>
          </w:p>
        </w:tc>
        <w:tc>
          <w:tcPr>
            <w:tcW w:w="699" w:type="pct"/>
            <w:vAlign w:val="center"/>
            <w:hideMark/>
          </w:tcPr>
          <w:p w14:paraId="143AD383" w14:textId="77777777" w:rsidR="00000000" w:rsidRDefault="000C49AD">
            <w:pPr>
              <w:spacing w:after="100"/>
              <w:rPr>
                <w:rFonts w:eastAsia="Times New Roman"/>
                <w:sz w:val="20"/>
                <w:szCs w:val="20"/>
              </w:rPr>
            </w:pPr>
          </w:p>
        </w:tc>
        <w:tc>
          <w:tcPr>
            <w:tcW w:w="5" w:type="pct"/>
            <w:vAlign w:val="center"/>
            <w:hideMark/>
          </w:tcPr>
          <w:p w14:paraId="2FD116E4" w14:textId="77777777" w:rsidR="00000000" w:rsidRDefault="000C49AD">
            <w:pPr>
              <w:spacing w:after="100"/>
              <w:rPr>
                <w:rFonts w:eastAsia="Times New Roman"/>
                <w:sz w:val="20"/>
                <w:szCs w:val="20"/>
              </w:rPr>
            </w:pPr>
          </w:p>
        </w:tc>
        <w:tc>
          <w:tcPr>
            <w:tcW w:w="5" w:type="pct"/>
            <w:vAlign w:val="center"/>
            <w:hideMark/>
          </w:tcPr>
          <w:p w14:paraId="0367FB8E" w14:textId="77777777" w:rsidR="00000000" w:rsidRDefault="000C49AD">
            <w:pPr>
              <w:spacing w:after="100"/>
              <w:rPr>
                <w:rFonts w:eastAsia="Times New Roman"/>
                <w:sz w:val="20"/>
                <w:szCs w:val="20"/>
              </w:rPr>
            </w:pPr>
          </w:p>
        </w:tc>
        <w:tc>
          <w:tcPr>
            <w:tcW w:w="77" w:type="pct"/>
            <w:vAlign w:val="center"/>
            <w:hideMark/>
          </w:tcPr>
          <w:p w14:paraId="472A1814" w14:textId="77777777" w:rsidR="00000000" w:rsidRDefault="000C49AD">
            <w:pPr>
              <w:spacing w:after="100"/>
              <w:rPr>
                <w:rFonts w:eastAsia="Times New Roman"/>
                <w:sz w:val="20"/>
                <w:szCs w:val="20"/>
              </w:rPr>
            </w:pPr>
          </w:p>
        </w:tc>
        <w:tc>
          <w:tcPr>
            <w:tcW w:w="5" w:type="pct"/>
            <w:vAlign w:val="center"/>
            <w:hideMark/>
          </w:tcPr>
          <w:p w14:paraId="34EA9886" w14:textId="77777777" w:rsidR="00000000" w:rsidRDefault="000C49AD">
            <w:pPr>
              <w:spacing w:after="100"/>
              <w:rPr>
                <w:rFonts w:eastAsia="Times New Roman"/>
                <w:sz w:val="20"/>
                <w:szCs w:val="20"/>
              </w:rPr>
            </w:pPr>
          </w:p>
        </w:tc>
        <w:tc>
          <w:tcPr>
            <w:tcW w:w="50" w:type="pct"/>
            <w:vAlign w:val="center"/>
            <w:hideMark/>
          </w:tcPr>
          <w:p w14:paraId="26EA1DAE" w14:textId="77777777" w:rsidR="00000000" w:rsidRDefault="000C49AD">
            <w:pPr>
              <w:spacing w:after="100"/>
              <w:rPr>
                <w:rFonts w:eastAsia="Times New Roman"/>
                <w:sz w:val="20"/>
                <w:szCs w:val="20"/>
              </w:rPr>
            </w:pPr>
          </w:p>
        </w:tc>
        <w:tc>
          <w:tcPr>
            <w:tcW w:w="4103" w:type="pct"/>
            <w:vAlign w:val="center"/>
            <w:hideMark/>
          </w:tcPr>
          <w:p w14:paraId="7E815D3F" w14:textId="77777777" w:rsidR="00000000" w:rsidRDefault="000C49AD">
            <w:pPr>
              <w:spacing w:after="100"/>
              <w:rPr>
                <w:rFonts w:eastAsia="Times New Roman"/>
                <w:sz w:val="20"/>
                <w:szCs w:val="20"/>
              </w:rPr>
            </w:pPr>
          </w:p>
        </w:tc>
        <w:tc>
          <w:tcPr>
            <w:tcW w:w="5" w:type="pct"/>
            <w:vAlign w:val="center"/>
            <w:hideMark/>
          </w:tcPr>
          <w:p w14:paraId="43E32D34" w14:textId="77777777" w:rsidR="00000000" w:rsidRDefault="000C49AD">
            <w:pPr>
              <w:spacing w:after="100"/>
              <w:rPr>
                <w:rFonts w:eastAsia="Times New Roman"/>
                <w:sz w:val="20"/>
                <w:szCs w:val="20"/>
              </w:rPr>
            </w:pPr>
          </w:p>
        </w:tc>
      </w:tr>
      <w:tr w:rsidR="00000000" w14:paraId="267C578B" w14:textId="77777777">
        <w:trPr>
          <w:divId w:val="313997319"/>
          <w:jc w:val="center"/>
        </w:trPr>
        <w:tc>
          <w:tcPr>
            <w:tcW w:w="0" w:type="auto"/>
            <w:gridSpan w:val="3"/>
            <w:tcMar>
              <w:top w:w="30" w:type="dxa"/>
              <w:left w:w="20" w:type="dxa"/>
              <w:bottom w:w="30" w:type="dxa"/>
              <w:right w:w="20" w:type="dxa"/>
            </w:tcMar>
            <w:vAlign w:val="center"/>
            <w:hideMark/>
          </w:tcPr>
          <w:p w14:paraId="17FCDE9D" w14:textId="77777777" w:rsidR="00000000" w:rsidRDefault="000C49AD">
            <w:pPr>
              <w:spacing w:after="100"/>
              <w:jc w:val="center"/>
              <w:rPr>
                <w:rFonts w:eastAsia="Times New Roman"/>
              </w:rPr>
            </w:pPr>
            <w:r>
              <w:rPr>
                <w:rFonts w:eastAsia="Times New Roman"/>
                <w:b/>
                <w:bCs/>
                <w:color w:val="000000"/>
                <w:sz w:val="20"/>
                <w:szCs w:val="20"/>
              </w:rPr>
              <w:t>10.11*</w:t>
            </w:r>
          </w:p>
        </w:tc>
        <w:tc>
          <w:tcPr>
            <w:tcW w:w="0" w:type="auto"/>
            <w:gridSpan w:val="3"/>
            <w:tcMar>
              <w:top w:w="0" w:type="dxa"/>
              <w:left w:w="20" w:type="dxa"/>
              <w:bottom w:w="0" w:type="dxa"/>
              <w:right w:w="20" w:type="dxa"/>
            </w:tcMar>
            <w:vAlign w:val="center"/>
            <w:hideMark/>
          </w:tcPr>
          <w:p w14:paraId="5AF4DD36"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ED758F3" w14:textId="77777777" w:rsidR="00000000" w:rsidRDefault="000C49AD">
            <w:pPr>
              <w:spacing w:after="100"/>
              <w:jc w:val="both"/>
              <w:rPr>
                <w:rFonts w:eastAsia="Times New Roman"/>
              </w:rPr>
            </w:pPr>
            <w:hyperlink r:id="rId25" w:history="1">
              <w:r>
                <w:rPr>
                  <w:rStyle w:val="a3"/>
                  <w:rFonts w:eastAsia="Times New Roman"/>
                  <w:sz w:val="20"/>
                  <w:szCs w:val="20"/>
                </w:rPr>
                <w:t xml:space="preserve">Asset Purchase Agreement by and among Cerecor, Inc. and Avadel Pharmaceuticals (USA), Inc., Avadel Pediatrics, Inc., FSC Therapeutics, LLC, Avadel US Holdings, Inc. and Avadel Pharmaceuticals plc dated as of February 12, 2018 </w:t>
              </w:r>
            </w:hyperlink>
            <w:hyperlink r:id="rId26" w:history="1">
              <w:r>
                <w:rPr>
                  <w:rStyle w:val="a3"/>
                  <w:rFonts w:eastAsia="Times New Roman"/>
                  <w:sz w:val="20"/>
                  <w:szCs w:val="20"/>
                </w:rPr>
                <w:t>(incorporated by reference to Exhibit 10.43 to the registrant’s Annual Report on Form 10-K for the year ended December 31, 2017, filed on March 16, 2018)</w:t>
              </w:r>
            </w:hyperlink>
          </w:p>
        </w:tc>
      </w:tr>
      <w:tr w:rsidR="00000000" w14:paraId="67F1AE71" w14:textId="77777777">
        <w:trPr>
          <w:divId w:val="313997319"/>
          <w:trHeight w:val="300"/>
          <w:jc w:val="center"/>
        </w:trPr>
        <w:tc>
          <w:tcPr>
            <w:tcW w:w="0" w:type="auto"/>
            <w:gridSpan w:val="3"/>
            <w:tcMar>
              <w:top w:w="0" w:type="dxa"/>
              <w:left w:w="20" w:type="dxa"/>
              <w:bottom w:w="0" w:type="dxa"/>
              <w:right w:w="20" w:type="dxa"/>
            </w:tcMar>
            <w:vAlign w:val="center"/>
            <w:hideMark/>
          </w:tcPr>
          <w:p w14:paraId="0B372D51"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ED22A48"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FACEC4A" w14:textId="77777777" w:rsidR="00000000" w:rsidRDefault="000C49AD">
            <w:pPr>
              <w:spacing w:after="100"/>
              <w:rPr>
                <w:rFonts w:eastAsia="Times New Roman"/>
                <w:sz w:val="20"/>
                <w:szCs w:val="20"/>
              </w:rPr>
            </w:pPr>
          </w:p>
        </w:tc>
      </w:tr>
      <w:tr w:rsidR="00000000" w14:paraId="1D341A39" w14:textId="77777777">
        <w:trPr>
          <w:divId w:val="313997319"/>
          <w:jc w:val="center"/>
        </w:trPr>
        <w:tc>
          <w:tcPr>
            <w:tcW w:w="0" w:type="auto"/>
            <w:gridSpan w:val="3"/>
            <w:tcMar>
              <w:top w:w="30" w:type="dxa"/>
              <w:left w:w="20" w:type="dxa"/>
              <w:bottom w:w="30" w:type="dxa"/>
              <w:right w:w="20" w:type="dxa"/>
            </w:tcMar>
            <w:vAlign w:val="center"/>
            <w:hideMark/>
          </w:tcPr>
          <w:p w14:paraId="3DBE23E8" w14:textId="77777777" w:rsidR="00000000" w:rsidRDefault="000C49AD">
            <w:pPr>
              <w:spacing w:after="100"/>
              <w:jc w:val="center"/>
              <w:rPr>
                <w:rFonts w:eastAsia="Times New Roman"/>
              </w:rPr>
            </w:pPr>
            <w:r>
              <w:rPr>
                <w:rFonts w:eastAsia="Times New Roman"/>
                <w:b/>
                <w:bCs/>
                <w:color w:val="000000"/>
                <w:sz w:val="20"/>
                <w:szCs w:val="20"/>
              </w:rPr>
              <w:t>10.12*</w:t>
            </w:r>
          </w:p>
        </w:tc>
        <w:tc>
          <w:tcPr>
            <w:tcW w:w="0" w:type="auto"/>
            <w:gridSpan w:val="3"/>
            <w:tcMar>
              <w:top w:w="0" w:type="dxa"/>
              <w:left w:w="20" w:type="dxa"/>
              <w:bottom w:w="0" w:type="dxa"/>
              <w:right w:w="20" w:type="dxa"/>
            </w:tcMar>
            <w:vAlign w:val="center"/>
            <w:hideMark/>
          </w:tcPr>
          <w:p w14:paraId="4274429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2C57E2" w14:textId="77777777" w:rsidR="00000000" w:rsidRDefault="000C49AD">
            <w:pPr>
              <w:spacing w:after="100"/>
              <w:jc w:val="both"/>
              <w:rPr>
                <w:rFonts w:eastAsia="Times New Roman"/>
              </w:rPr>
            </w:pPr>
            <w:hyperlink r:id="rId27" w:history="1">
              <w:r>
                <w:rPr>
                  <w:rStyle w:val="a3"/>
                  <w:rFonts w:eastAsia="Times New Roman"/>
                  <w:sz w:val="20"/>
                  <w:szCs w:val="20"/>
                </w:rPr>
                <w:t>Guarantee by Avadel US Holdings, Inc. and Avadel Pharmaceuticals plc in favor of Deerfield CSF, LLC, Peter Steelman and James Flynn dated as of February 16, 2</w:t>
              </w:r>
              <w:r>
                <w:rPr>
                  <w:rStyle w:val="a3"/>
                  <w:rFonts w:eastAsia="Times New Roman"/>
                  <w:sz w:val="20"/>
                  <w:szCs w:val="20"/>
                </w:rPr>
                <w:t>018 (incorporated by reference to Exhibit 10.45 to the registrant’s Annual Report on Form 10-K for the year ended December 31, 2017, filed on March 16, 2018)</w:t>
              </w:r>
            </w:hyperlink>
          </w:p>
        </w:tc>
      </w:tr>
      <w:tr w:rsidR="00000000" w14:paraId="79A81045" w14:textId="77777777">
        <w:trPr>
          <w:divId w:val="313997319"/>
          <w:trHeight w:val="300"/>
          <w:jc w:val="center"/>
        </w:trPr>
        <w:tc>
          <w:tcPr>
            <w:tcW w:w="0" w:type="auto"/>
            <w:gridSpan w:val="3"/>
            <w:tcMar>
              <w:top w:w="0" w:type="dxa"/>
              <w:left w:w="20" w:type="dxa"/>
              <w:bottom w:w="0" w:type="dxa"/>
              <w:right w:w="20" w:type="dxa"/>
            </w:tcMar>
            <w:vAlign w:val="center"/>
            <w:hideMark/>
          </w:tcPr>
          <w:p w14:paraId="72DEBB1F"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5BD855D"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B23500" w14:textId="77777777" w:rsidR="00000000" w:rsidRDefault="000C49AD">
            <w:pPr>
              <w:spacing w:after="100"/>
              <w:rPr>
                <w:rFonts w:eastAsia="Times New Roman"/>
                <w:sz w:val="20"/>
                <w:szCs w:val="20"/>
              </w:rPr>
            </w:pPr>
          </w:p>
        </w:tc>
      </w:tr>
      <w:tr w:rsidR="00000000" w14:paraId="4B6E8416" w14:textId="77777777">
        <w:trPr>
          <w:divId w:val="313997319"/>
          <w:jc w:val="center"/>
        </w:trPr>
        <w:tc>
          <w:tcPr>
            <w:tcW w:w="0" w:type="auto"/>
            <w:gridSpan w:val="3"/>
            <w:tcMar>
              <w:top w:w="30" w:type="dxa"/>
              <w:left w:w="20" w:type="dxa"/>
              <w:bottom w:w="30" w:type="dxa"/>
              <w:right w:w="20" w:type="dxa"/>
            </w:tcMar>
            <w:vAlign w:val="center"/>
            <w:hideMark/>
          </w:tcPr>
          <w:p w14:paraId="3F852E03" w14:textId="77777777" w:rsidR="00000000" w:rsidRDefault="000C49AD">
            <w:pPr>
              <w:spacing w:after="100"/>
              <w:jc w:val="center"/>
              <w:rPr>
                <w:rFonts w:eastAsia="Times New Roman"/>
              </w:rPr>
            </w:pPr>
            <w:r>
              <w:rPr>
                <w:rFonts w:eastAsia="Times New Roman"/>
                <w:b/>
                <w:bCs/>
                <w:color w:val="000000"/>
                <w:sz w:val="20"/>
                <w:szCs w:val="20"/>
              </w:rPr>
              <w:t>10.13*</w:t>
            </w:r>
          </w:p>
        </w:tc>
        <w:tc>
          <w:tcPr>
            <w:tcW w:w="0" w:type="auto"/>
            <w:gridSpan w:val="3"/>
            <w:tcMar>
              <w:top w:w="0" w:type="dxa"/>
              <w:left w:w="20" w:type="dxa"/>
              <w:bottom w:w="0" w:type="dxa"/>
              <w:right w:w="20" w:type="dxa"/>
            </w:tcMar>
            <w:vAlign w:val="center"/>
            <w:hideMark/>
          </w:tcPr>
          <w:p w14:paraId="7343082C"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D9D6D14" w14:textId="77777777" w:rsidR="00000000" w:rsidRDefault="000C49AD">
            <w:pPr>
              <w:spacing w:after="100"/>
              <w:jc w:val="both"/>
              <w:rPr>
                <w:rFonts w:eastAsia="Times New Roman"/>
              </w:rPr>
            </w:pPr>
            <w:hyperlink r:id="rId28" w:history="1">
              <w:r>
                <w:rPr>
                  <w:rStyle w:val="a3"/>
                  <w:rFonts w:eastAsia="Times New Roman"/>
                  <w:sz w:val="20"/>
                  <w:szCs w:val="20"/>
                </w:rPr>
                <w:t>Guarantee by Armistice Capital Master Fund, Ltd. in favor of Avadel US Holdings, Inc. dated as of February 16, 2018 (incorporated by reference to Exhibit 10.4</w:t>
              </w:r>
              <w:r>
                <w:rPr>
                  <w:rStyle w:val="a3"/>
                  <w:rFonts w:eastAsia="Times New Roman"/>
                  <w:sz w:val="20"/>
                  <w:szCs w:val="20"/>
                </w:rPr>
                <w:t>6 to the registrant’s Annual Report on Form 10-K for the year ended December 31, 2017, filed on March 16, 2018)</w:t>
              </w:r>
            </w:hyperlink>
          </w:p>
        </w:tc>
      </w:tr>
      <w:tr w:rsidR="00000000" w14:paraId="385E8C81" w14:textId="77777777">
        <w:trPr>
          <w:divId w:val="313997319"/>
          <w:trHeight w:val="300"/>
          <w:jc w:val="center"/>
        </w:trPr>
        <w:tc>
          <w:tcPr>
            <w:tcW w:w="0" w:type="auto"/>
            <w:gridSpan w:val="3"/>
            <w:tcMar>
              <w:top w:w="0" w:type="dxa"/>
              <w:left w:w="20" w:type="dxa"/>
              <w:bottom w:w="0" w:type="dxa"/>
              <w:right w:w="20" w:type="dxa"/>
            </w:tcMar>
            <w:vAlign w:val="center"/>
            <w:hideMark/>
          </w:tcPr>
          <w:p w14:paraId="69CE2884"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4F538B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8D28AE" w14:textId="77777777" w:rsidR="00000000" w:rsidRDefault="000C49AD">
            <w:pPr>
              <w:spacing w:after="100"/>
              <w:rPr>
                <w:rFonts w:eastAsia="Times New Roman"/>
                <w:sz w:val="20"/>
                <w:szCs w:val="20"/>
              </w:rPr>
            </w:pPr>
          </w:p>
        </w:tc>
      </w:tr>
      <w:tr w:rsidR="00000000" w14:paraId="21516BCF" w14:textId="77777777">
        <w:trPr>
          <w:divId w:val="313997319"/>
          <w:jc w:val="center"/>
        </w:trPr>
        <w:tc>
          <w:tcPr>
            <w:tcW w:w="0" w:type="auto"/>
            <w:gridSpan w:val="3"/>
            <w:tcMar>
              <w:top w:w="30" w:type="dxa"/>
              <w:left w:w="20" w:type="dxa"/>
              <w:bottom w:w="30" w:type="dxa"/>
              <w:right w:w="20" w:type="dxa"/>
            </w:tcMar>
            <w:vAlign w:val="center"/>
            <w:hideMark/>
          </w:tcPr>
          <w:p w14:paraId="1E40FCEB" w14:textId="77777777" w:rsidR="00000000" w:rsidRDefault="000C49AD">
            <w:pPr>
              <w:spacing w:after="100"/>
              <w:jc w:val="center"/>
              <w:rPr>
                <w:rFonts w:eastAsia="Times New Roman"/>
              </w:rPr>
            </w:pPr>
            <w:r>
              <w:rPr>
                <w:rFonts w:eastAsia="Times New Roman"/>
                <w:b/>
                <w:bCs/>
                <w:color w:val="000000"/>
                <w:sz w:val="20"/>
                <w:szCs w:val="20"/>
              </w:rPr>
              <w:t>10.14#</w:t>
            </w:r>
          </w:p>
        </w:tc>
        <w:tc>
          <w:tcPr>
            <w:tcW w:w="0" w:type="auto"/>
            <w:gridSpan w:val="3"/>
            <w:tcMar>
              <w:top w:w="0" w:type="dxa"/>
              <w:left w:w="20" w:type="dxa"/>
              <w:bottom w:w="0" w:type="dxa"/>
              <w:right w:w="20" w:type="dxa"/>
            </w:tcMar>
            <w:vAlign w:val="center"/>
            <w:hideMark/>
          </w:tcPr>
          <w:p w14:paraId="3E3384DC"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97CBC52" w14:textId="77777777" w:rsidR="00000000" w:rsidRDefault="000C49AD">
            <w:pPr>
              <w:spacing w:after="100"/>
              <w:jc w:val="both"/>
              <w:rPr>
                <w:rFonts w:eastAsia="Times New Roman"/>
              </w:rPr>
            </w:pPr>
            <w:hyperlink r:id="rId29" w:history="1">
              <w:r>
                <w:rPr>
                  <w:rStyle w:val="a3"/>
                  <w:rFonts w:eastAsia="Times New Roman"/>
                  <w:sz w:val="20"/>
                  <w:szCs w:val="20"/>
                </w:rPr>
                <w:t>Securities Purchase Agreement, dated February 20, 2020, by and among Avadel Pharmaceuticals plc and the Investors named therein (incorporated by referen</w:t>
              </w:r>
              <w:r>
                <w:rPr>
                  <w:rStyle w:val="a3"/>
                  <w:rFonts w:eastAsia="Times New Roman"/>
                  <w:sz w:val="20"/>
                  <w:szCs w:val="20"/>
                </w:rPr>
                <w:t>ce to Exhibit 10.1 to the registrant’s current report on Form 8-K, filed on February 24, 2020)</w:t>
              </w:r>
            </w:hyperlink>
          </w:p>
        </w:tc>
      </w:tr>
      <w:tr w:rsidR="00000000" w14:paraId="224F5053" w14:textId="77777777">
        <w:trPr>
          <w:divId w:val="313997319"/>
          <w:trHeight w:val="300"/>
          <w:jc w:val="center"/>
        </w:trPr>
        <w:tc>
          <w:tcPr>
            <w:tcW w:w="0" w:type="auto"/>
            <w:gridSpan w:val="3"/>
            <w:tcMar>
              <w:top w:w="0" w:type="dxa"/>
              <w:left w:w="20" w:type="dxa"/>
              <w:bottom w:w="0" w:type="dxa"/>
              <w:right w:w="20" w:type="dxa"/>
            </w:tcMar>
            <w:vAlign w:val="center"/>
            <w:hideMark/>
          </w:tcPr>
          <w:p w14:paraId="4BA1ABC1"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446F6DD"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793768" w14:textId="77777777" w:rsidR="00000000" w:rsidRDefault="000C49AD">
            <w:pPr>
              <w:spacing w:after="100"/>
              <w:rPr>
                <w:rFonts w:eastAsia="Times New Roman"/>
                <w:sz w:val="20"/>
                <w:szCs w:val="20"/>
              </w:rPr>
            </w:pPr>
          </w:p>
        </w:tc>
      </w:tr>
      <w:tr w:rsidR="00000000" w14:paraId="2B201746" w14:textId="77777777">
        <w:trPr>
          <w:divId w:val="313997319"/>
          <w:jc w:val="center"/>
        </w:trPr>
        <w:tc>
          <w:tcPr>
            <w:tcW w:w="0" w:type="auto"/>
            <w:gridSpan w:val="3"/>
            <w:tcMar>
              <w:top w:w="30" w:type="dxa"/>
              <w:left w:w="20" w:type="dxa"/>
              <w:bottom w:w="30" w:type="dxa"/>
              <w:right w:w="20" w:type="dxa"/>
            </w:tcMar>
            <w:vAlign w:val="center"/>
            <w:hideMark/>
          </w:tcPr>
          <w:p w14:paraId="57C934D4" w14:textId="77777777" w:rsidR="00000000" w:rsidRDefault="000C49AD">
            <w:pPr>
              <w:spacing w:after="100"/>
              <w:jc w:val="center"/>
              <w:rPr>
                <w:rFonts w:eastAsia="Times New Roman"/>
              </w:rPr>
            </w:pPr>
            <w:r>
              <w:rPr>
                <w:rFonts w:eastAsia="Times New Roman"/>
                <w:b/>
                <w:bCs/>
                <w:color w:val="000000"/>
                <w:sz w:val="20"/>
                <w:szCs w:val="20"/>
              </w:rPr>
              <w:t>10.15</w:t>
            </w:r>
          </w:p>
        </w:tc>
        <w:tc>
          <w:tcPr>
            <w:tcW w:w="0" w:type="auto"/>
            <w:gridSpan w:val="3"/>
            <w:tcMar>
              <w:top w:w="0" w:type="dxa"/>
              <w:left w:w="20" w:type="dxa"/>
              <w:bottom w:w="0" w:type="dxa"/>
              <w:right w:w="20" w:type="dxa"/>
            </w:tcMar>
            <w:vAlign w:val="center"/>
            <w:hideMark/>
          </w:tcPr>
          <w:p w14:paraId="5CFC8297"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2ACDA5" w14:textId="77777777" w:rsidR="00000000" w:rsidRDefault="000C49AD">
            <w:pPr>
              <w:spacing w:after="100"/>
              <w:divId w:val="1339767684"/>
              <w:rPr>
                <w:rFonts w:eastAsia="Times New Roman"/>
              </w:rPr>
            </w:pPr>
            <w:hyperlink r:id="rId30" w:history="1">
              <w:r>
                <w:rPr>
                  <w:rStyle w:val="a3"/>
                  <w:rFonts w:eastAsia="Times New Roman"/>
                  <w:sz w:val="20"/>
                  <w:szCs w:val="20"/>
                </w:rPr>
                <w:t>Registration Rights Agreement, dated February 25, 2020, by and among Avadel Pharmaceuticals plc and the Investors named therein incorporated by reference t</w:t>
              </w:r>
              <w:r>
                <w:rPr>
                  <w:rStyle w:val="a3"/>
                  <w:rFonts w:eastAsia="Times New Roman"/>
                  <w:sz w:val="20"/>
                  <w:szCs w:val="20"/>
                </w:rPr>
                <w:t>o Exhibit 10.40 to the registrant’s annual report on Form 10-K, filed on March 16, 2020)</w:t>
              </w:r>
            </w:hyperlink>
          </w:p>
        </w:tc>
      </w:tr>
      <w:tr w:rsidR="00000000" w14:paraId="1798FDA4" w14:textId="77777777">
        <w:trPr>
          <w:divId w:val="313997319"/>
          <w:trHeight w:val="300"/>
          <w:jc w:val="center"/>
        </w:trPr>
        <w:tc>
          <w:tcPr>
            <w:tcW w:w="0" w:type="auto"/>
            <w:gridSpan w:val="3"/>
            <w:tcMar>
              <w:top w:w="0" w:type="dxa"/>
              <w:left w:w="20" w:type="dxa"/>
              <w:bottom w:w="0" w:type="dxa"/>
              <w:right w:w="20" w:type="dxa"/>
            </w:tcMar>
            <w:vAlign w:val="center"/>
            <w:hideMark/>
          </w:tcPr>
          <w:p w14:paraId="0929943A" w14:textId="77777777" w:rsidR="00000000" w:rsidRDefault="000C49AD">
            <w:pPr>
              <w:spacing w:after="100"/>
              <w:rPr>
                <w:rFonts w:eastAsia="Times New Roman"/>
              </w:rPr>
            </w:pPr>
          </w:p>
        </w:tc>
        <w:tc>
          <w:tcPr>
            <w:tcW w:w="0" w:type="auto"/>
            <w:gridSpan w:val="3"/>
            <w:tcMar>
              <w:top w:w="0" w:type="dxa"/>
              <w:left w:w="20" w:type="dxa"/>
              <w:bottom w:w="0" w:type="dxa"/>
              <w:right w:w="20" w:type="dxa"/>
            </w:tcMar>
            <w:vAlign w:val="center"/>
            <w:hideMark/>
          </w:tcPr>
          <w:p w14:paraId="1B28269A"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5D97E4" w14:textId="77777777" w:rsidR="00000000" w:rsidRDefault="000C49AD">
            <w:pPr>
              <w:spacing w:after="100"/>
              <w:rPr>
                <w:rFonts w:eastAsia="Times New Roman"/>
                <w:sz w:val="20"/>
                <w:szCs w:val="20"/>
              </w:rPr>
            </w:pPr>
          </w:p>
        </w:tc>
      </w:tr>
      <w:tr w:rsidR="00000000" w14:paraId="179D8A1B" w14:textId="77777777">
        <w:trPr>
          <w:divId w:val="313997319"/>
          <w:jc w:val="center"/>
        </w:trPr>
        <w:tc>
          <w:tcPr>
            <w:tcW w:w="0" w:type="auto"/>
            <w:gridSpan w:val="3"/>
            <w:tcMar>
              <w:top w:w="30" w:type="dxa"/>
              <w:left w:w="20" w:type="dxa"/>
              <w:bottom w:w="30" w:type="dxa"/>
              <w:right w:w="20" w:type="dxa"/>
            </w:tcMar>
            <w:vAlign w:val="center"/>
            <w:hideMark/>
          </w:tcPr>
          <w:p w14:paraId="63474123" w14:textId="77777777" w:rsidR="00000000" w:rsidRDefault="000C49AD">
            <w:pPr>
              <w:spacing w:after="100"/>
              <w:jc w:val="center"/>
              <w:rPr>
                <w:rFonts w:eastAsia="Times New Roman"/>
              </w:rPr>
            </w:pPr>
            <w:r>
              <w:rPr>
                <w:rFonts w:eastAsia="Times New Roman"/>
                <w:b/>
                <w:bCs/>
                <w:color w:val="000000"/>
                <w:sz w:val="20"/>
                <w:szCs w:val="20"/>
              </w:rPr>
              <w:t>10.16*#</w:t>
            </w:r>
          </w:p>
        </w:tc>
        <w:tc>
          <w:tcPr>
            <w:tcW w:w="0" w:type="auto"/>
            <w:gridSpan w:val="3"/>
            <w:tcMar>
              <w:top w:w="0" w:type="dxa"/>
              <w:left w:w="20" w:type="dxa"/>
              <w:bottom w:w="0" w:type="dxa"/>
              <w:right w:w="20" w:type="dxa"/>
            </w:tcMar>
            <w:vAlign w:val="center"/>
            <w:hideMark/>
          </w:tcPr>
          <w:p w14:paraId="3F9ABD46"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E5BECF0" w14:textId="77777777" w:rsidR="00000000" w:rsidRDefault="000C49AD">
            <w:pPr>
              <w:spacing w:after="100"/>
              <w:jc w:val="both"/>
              <w:rPr>
                <w:rFonts w:eastAsia="Times New Roman"/>
              </w:rPr>
            </w:pPr>
            <w:hyperlink r:id="rId31" w:history="1">
              <w:r>
                <w:rPr>
                  <w:rStyle w:val="a3"/>
                  <w:rFonts w:eastAsia="Times New Roman"/>
                  <w:sz w:val="20"/>
                  <w:szCs w:val="20"/>
                </w:rPr>
                <w:t>Asset Purchase Agreement, dated as o</w:t>
              </w:r>
              <w:r>
                <w:rPr>
                  <w:rStyle w:val="a3"/>
                  <w:rFonts w:eastAsia="Times New Roman"/>
                  <w:sz w:val="20"/>
                  <w:szCs w:val="20"/>
                </w:rPr>
                <w:t>f June 30, 2020, by and between Avadel Seller, Seller Parent, Exela Buyer and Buyer Parent (incorporated by reference to Exhibit 10.1 to the registrant’s current report on Form 8-K, filed on July 2, 2020)</w:t>
              </w:r>
            </w:hyperlink>
          </w:p>
        </w:tc>
      </w:tr>
      <w:tr w:rsidR="00000000" w14:paraId="15917306" w14:textId="77777777">
        <w:trPr>
          <w:divId w:val="313997319"/>
          <w:trHeight w:val="300"/>
          <w:jc w:val="center"/>
        </w:trPr>
        <w:tc>
          <w:tcPr>
            <w:tcW w:w="0" w:type="auto"/>
            <w:gridSpan w:val="3"/>
            <w:tcMar>
              <w:top w:w="0" w:type="dxa"/>
              <w:left w:w="20" w:type="dxa"/>
              <w:bottom w:w="0" w:type="dxa"/>
              <w:right w:w="20" w:type="dxa"/>
            </w:tcMar>
            <w:vAlign w:val="center"/>
            <w:hideMark/>
          </w:tcPr>
          <w:p w14:paraId="11C7FC43"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02550A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933CD4" w14:textId="77777777" w:rsidR="00000000" w:rsidRDefault="000C49AD">
            <w:pPr>
              <w:spacing w:after="100"/>
              <w:rPr>
                <w:rFonts w:eastAsia="Times New Roman"/>
                <w:sz w:val="20"/>
                <w:szCs w:val="20"/>
              </w:rPr>
            </w:pPr>
          </w:p>
        </w:tc>
      </w:tr>
      <w:tr w:rsidR="00000000" w14:paraId="61665BB6" w14:textId="77777777">
        <w:trPr>
          <w:divId w:val="313997319"/>
          <w:jc w:val="center"/>
        </w:trPr>
        <w:tc>
          <w:tcPr>
            <w:tcW w:w="0" w:type="auto"/>
            <w:gridSpan w:val="3"/>
            <w:tcMar>
              <w:top w:w="30" w:type="dxa"/>
              <w:left w:w="20" w:type="dxa"/>
              <w:bottom w:w="30" w:type="dxa"/>
              <w:right w:w="20" w:type="dxa"/>
            </w:tcMar>
            <w:vAlign w:val="center"/>
            <w:hideMark/>
          </w:tcPr>
          <w:p w14:paraId="07F67723" w14:textId="77777777" w:rsidR="00000000" w:rsidRDefault="000C49AD">
            <w:pPr>
              <w:spacing w:after="100"/>
              <w:jc w:val="center"/>
              <w:rPr>
                <w:rFonts w:eastAsia="Times New Roman"/>
              </w:rPr>
            </w:pPr>
            <w:r>
              <w:rPr>
                <w:rFonts w:eastAsia="Times New Roman"/>
                <w:b/>
                <w:bCs/>
                <w:color w:val="000000"/>
                <w:sz w:val="20"/>
                <w:szCs w:val="20"/>
              </w:rPr>
              <w:t>10.17‡</w:t>
            </w:r>
          </w:p>
        </w:tc>
        <w:tc>
          <w:tcPr>
            <w:tcW w:w="0" w:type="auto"/>
            <w:gridSpan w:val="3"/>
            <w:tcMar>
              <w:top w:w="0" w:type="dxa"/>
              <w:left w:w="20" w:type="dxa"/>
              <w:bottom w:w="0" w:type="dxa"/>
              <w:right w:w="20" w:type="dxa"/>
            </w:tcMar>
            <w:vAlign w:val="center"/>
            <w:hideMark/>
          </w:tcPr>
          <w:p w14:paraId="154537E9"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7E8FFB" w14:textId="77777777" w:rsidR="00000000" w:rsidRDefault="000C49AD">
            <w:pPr>
              <w:spacing w:after="100"/>
              <w:jc w:val="both"/>
              <w:rPr>
                <w:rFonts w:eastAsia="Times New Roman"/>
              </w:rPr>
            </w:pPr>
            <w:hyperlink r:id="rId32" w:history="1">
              <w:r>
                <w:rPr>
                  <w:rStyle w:val="a3"/>
                  <w:rFonts w:eastAsia="Times New Roman"/>
                  <w:sz w:val="20"/>
                  <w:szCs w:val="20"/>
                </w:rPr>
                <w:t>Avadel Pharmaceuticals plc 2017 Omnibus Incentive Compensation Plan and related equity award agreements (</w:t>
              </w:r>
            </w:hyperlink>
            <w:hyperlink r:id="rId33" w:history="1">
              <w:r>
                <w:rPr>
                  <w:rStyle w:val="a3"/>
                  <w:rFonts w:eastAsia="Times New Roman"/>
                  <w:sz w:val="20"/>
                  <w:szCs w:val="20"/>
                </w:rPr>
                <w:t>incorporated by reference to Exhibit 10.</w:t>
              </w:r>
            </w:hyperlink>
            <w:hyperlink r:id="rId34" w:history="1">
              <w:r>
                <w:rPr>
                  <w:rStyle w:val="a3"/>
                  <w:rFonts w:eastAsia="Times New Roman"/>
                  <w:sz w:val="20"/>
                  <w:szCs w:val="20"/>
                </w:rPr>
                <w:t>18</w:t>
              </w:r>
            </w:hyperlink>
            <w:hyperlink r:id="rId35" w:history="1">
              <w:r>
                <w:rPr>
                  <w:rStyle w:val="a3"/>
                  <w:rFonts w:eastAsia="Times New Roman"/>
                  <w:sz w:val="20"/>
                  <w:szCs w:val="20"/>
                </w:rPr>
                <w:t xml:space="preserve"> to the registrant’s Annual Report on Form 10-K for the year ended December 31, 20</w:t>
              </w:r>
            </w:hyperlink>
            <w:hyperlink r:id="rId36" w:history="1">
              <w:r>
                <w:rPr>
                  <w:rStyle w:val="a3"/>
                  <w:rFonts w:eastAsia="Times New Roman"/>
                  <w:sz w:val="20"/>
                  <w:szCs w:val="20"/>
                </w:rPr>
                <w:t>20</w:t>
              </w:r>
            </w:hyperlink>
            <w:hyperlink r:id="rId37" w:history="1">
              <w:r>
                <w:rPr>
                  <w:rStyle w:val="a3"/>
                  <w:rFonts w:eastAsia="Times New Roman"/>
                  <w:sz w:val="20"/>
                  <w:szCs w:val="20"/>
                </w:rPr>
                <w:t xml:space="preserve">, filed on March </w:t>
              </w:r>
            </w:hyperlink>
            <w:hyperlink r:id="rId38" w:history="1">
              <w:r>
                <w:rPr>
                  <w:rStyle w:val="a3"/>
                  <w:rFonts w:eastAsia="Times New Roman"/>
                  <w:sz w:val="20"/>
                  <w:szCs w:val="20"/>
                </w:rPr>
                <w:t>9</w:t>
              </w:r>
            </w:hyperlink>
            <w:hyperlink r:id="rId39" w:history="1">
              <w:r>
                <w:rPr>
                  <w:rStyle w:val="a3"/>
                  <w:rFonts w:eastAsia="Times New Roman"/>
                  <w:sz w:val="20"/>
                  <w:szCs w:val="20"/>
                </w:rPr>
                <w:t>, 20</w:t>
              </w:r>
            </w:hyperlink>
            <w:hyperlink r:id="rId40" w:history="1">
              <w:r>
                <w:rPr>
                  <w:rStyle w:val="a3"/>
                  <w:rFonts w:eastAsia="Times New Roman"/>
                  <w:sz w:val="20"/>
                  <w:szCs w:val="20"/>
                </w:rPr>
                <w:t>21</w:t>
              </w:r>
            </w:hyperlink>
            <w:hyperlink r:id="rId41" w:history="1">
              <w:r>
                <w:rPr>
                  <w:rStyle w:val="a3"/>
                  <w:rFonts w:eastAsia="Times New Roman"/>
                  <w:sz w:val="20"/>
                  <w:szCs w:val="20"/>
                </w:rPr>
                <w:t>)</w:t>
              </w:r>
            </w:hyperlink>
          </w:p>
        </w:tc>
      </w:tr>
      <w:tr w:rsidR="00000000" w14:paraId="3B58981E" w14:textId="77777777">
        <w:trPr>
          <w:divId w:val="313997319"/>
          <w:trHeight w:val="300"/>
          <w:jc w:val="center"/>
        </w:trPr>
        <w:tc>
          <w:tcPr>
            <w:tcW w:w="0" w:type="auto"/>
            <w:gridSpan w:val="3"/>
            <w:tcMar>
              <w:top w:w="0" w:type="dxa"/>
              <w:left w:w="20" w:type="dxa"/>
              <w:bottom w:w="0" w:type="dxa"/>
              <w:right w:w="20" w:type="dxa"/>
            </w:tcMar>
            <w:vAlign w:val="center"/>
            <w:hideMark/>
          </w:tcPr>
          <w:p w14:paraId="2ED9328E"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D75387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50426FC" w14:textId="77777777" w:rsidR="00000000" w:rsidRDefault="000C49AD">
            <w:pPr>
              <w:spacing w:after="100"/>
              <w:rPr>
                <w:rFonts w:eastAsia="Times New Roman"/>
                <w:sz w:val="20"/>
                <w:szCs w:val="20"/>
              </w:rPr>
            </w:pPr>
          </w:p>
        </w:tc>
      </w:tr>
      <w:tr w:rsidR="00000000" w14:paraId="01AF0EE4" w14:textId="77777777">
        <w:trPr>
          <w:divId w:val="313997319"/>
          <w:jc w:val="center"/>
        </w:trPr>
        <w:tc>
          <w:tcPr>
            <w:tcW w:w="0" w:type="auto"/>
            <w:gridSpan w:val="3"/>
            <w:tcMar>
              <w:top w:w="30" w:type="dxa"/>
              <w:left w:w="20" w:type="dxa"/>
              <w:bottom w:w="30" w:type="dxa"/>
              <w:right w:w="20" w:type="dxa"/>
            </w:tcMar>
            <w:vAlign w:val="center"/>
            <w:hideMark/>
          </w:tcPr>
          <w:p w14:paraId="50D0996E" w14:textId="77777777" w:rsidR="00000000" w:rsidRDefault="000C49AD">
            <w:pPr>
              <w:spacing w:after="100"/>
              <w:jc w:val="center"/>
              <w:rPr>
                <w:rFonts w:eastAsia="Times New Roman"/>
              </w:rPr>
            </w:pPr>
            <w:r>
              <w:rPr>
                <w:rFonts w:eastAsia="Times New Roman"/>
                <w:b/>
                <w:bCs/>
                <w:color w:val="000000"/>
                <w:sz w:val="20"/>
                <w:szCs w:val="20"/>
              </w:rPr>
              <w:t>10.18‡</w:t>
            </w:r>
          </w:p>
        </w:tc>
        <w:tc>
          <w:tcPr>
            <w:tcW w:w="0" w:type="auto"/>
            <w:gridSpan w:val="3"/>
            <w:tcMar>
              <w:top w:w="0" w:type="dxa"/>
              <w:left w:w="20" w:type="dxa"/>
              <w:bottom w:w="0" w:type="dxa"/>
              <w:right w:w="20" w:type="dxa"/>
            </w:tcMar>
            <w:vAlign w:val="center"/>
            <w:hideMark/>
          </w:tcPr>
          <w:p w14:paraId="6D9AE554"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A5CB595" w14:textId="77777777" w:rsidR="00000000" w:rsidRDefault="000C49AD">
            <w:pPr>
              <w:spacing w:after="100"/>
              <w:jc w:val="both"/>
              <w:rPr>
                <w:rFonts w:eastAsia="Times New Roman"/>
              </w:rPr>
            </w:pPr>
            <w:hyperlink r:id="rId42" w:history="1">
              <w:r>
                <w:rPr>
                  <w:rStyle w:val="a3"/>
                  <w:rFonts w:eastAsia="Times New Roman"/>
                  <w:sz w:val="20"/>
                  <w:szCs w:val="20"/>
                </w:rPr>
                <w:t>Avadel Pharmaceuticals plc 2020 Omnibus Incentive Compensation Plan (</w:t>
              </w:r>
            </w:hyperlink>
            <w:hyperlink r:id="rId43" w:history="1">
              <w:r>
                <w:rPr>
                  <w:rStyle w:val="a3"/>
                  <w:rFonts w:eastAsia="Times New Roman"/>
                  <w:sz w:val="20"/>
                  <w:szCs w:val="20"/>
                </w:rPr>
                <w:t>incorporated by reference to Exhibit 10.1</w:t>
              </w:r>
            </w:hyperlink>
            <w:hyperlink r:id="rId44" w:history="1">
              <w:r>
                <w:rPr>
                  <w:rStyle w:val="a3"/>
                  <w:rFonts w:eastAsia="Times New Roman"/>
                  <w:sz w:val="20"/>
                  <w:szCs w:val="20"/>
                </w:rPr>
                <w:t>9</w:t>
              </w:r>
            </w:hyperlink>
            <w:hyperlink r:id="rId45" w:history="1">
              <w:r>
                <w:rPr>
                  <w:rStyle w:val="a3"/>
                  <w:rFonts w:eastAsia="Times New Roman"/>
                  <w:sz w:val="20"/>
                  <w:szCs w:val="20"/>
                </w:rPr>
                <w:t xml:space="preserve"> to the registrant’s Annual Report on Form 10-K for the year ended December 31, 2020, filed on March 9, 2021</w:t>
              </w:r>
            </w:hyperlink>
            <w:hyperlink r:id="rId46" w:history="1">
              <w:r>
                <w:rPr>
                  <w:rStyle w:val="a3"/>
                  <w:rFonts w:eastAsia="Times New Roman"/>
                  <w:sz w:val="20"/>
                  <w:szCs w:val="20"/>
                </w:rPr>
                <w:t>)</w:t>
              </w:r>
            </w:hyperlink>
          </w:p>
        </w:tc>
      </w:tr>
      <w:tr w:rsidR="00000000" w14:paraId="08640ABC" w14:textId="77777777">
        <w:trPr>
          <w:divId w:val="313997319"/>
          <w:trHeight w:val="300"/>
          <w:jc w:val="center"/>
        </w:trPr>
        <w:tc>
          <w:tcPr>
            <w:tcW w:w="0" w:type="auto"/>
            <w:gridSpan w:val="3"/>
            <w:tcMar>
              <w:top w:w="0" w:type="dxa"/>
              <w:left w:w="20" w:type="dxa"/>
              <w:bottom w:w="0" w:type="dxa"/>
              <w:right w:w="20" w:type="dxa"/>
            </w:tcMar>
            <w:vAlign w:val="center"/>
            <w:hideMark/>
          </w:tcPr>
          <w:p w14:paraId="33DAFAAD"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2CF7B0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CAF33D4" w14:textId="77777777" w:rsidR="00000000" w:rsidRDefault="000C49AD">
            <w:pPr>
              <w:spacing w:after="100"/>
              <w:rPr>
                <w:rFonts w:eastAsia="Times New Roman"/>
                <w:sz w:val="20"/>
                <w:szCs w:val="20"/>
              </w:rPr>
            </w:pPr>
          </w:p>
        </w:tc>
      </w:tr>
      <w:tr w:rsidR="00000000" w14:paraId="16C1D375" w14:textId="77777777">
        <w:trPr>
          <w:divId w:val="313997319"/>
          <w:jc w:val="center"/>
        </w:trPr>
        <w:tc>
          <w:tcPr>
            <w:tcW w:w="0" w:type="auto"/>
            <w:gridSpan w:val="3"/>
            <w:tcMar>
              <w:top w:w="30" w:type="dxa"/>
              <w:left w:w="20" w:type="dxa"/>
              <w:bottom w:w="30" w:type="dxa"/>
              <w:right w:w="20" w:type="dxa"/>
            </w:tcMar>
            <w:vAlign w:val="center"/>
            <w:hideMark/>
          </w:tcPr>
          <w:p w14:paraId="00FC830D" w14:textId="77777777" w:rsidR="00000000" w:rsidRDefault="000C49AD">
            <w:pPr>
              <w:spacing w:after="100"/>
              <w:jc w:val="center"/>
              <w:rPr>
                <w:rFonts w:eastAsia="Times New Roman"/>
              </w:rPr>
            </w:pPr>
            <w:r>
              <w:rPr>
                <w:rFonts w:eastAsia="Times New Roman"/>
                <w:b/>
                <w:bCs/>
                <w:color w:val="000000"/>
                <w:sz w:val="20"/>
                <w:szCs w:val="20"/>
              </w:rPr>
              <w:t>10.19‡</w:t>
            </w:r>
          </w:p>
        </w:tc>
        <w:tc>
          <w:tcPr>
            <w:tcW w:w="0" w:type="auto"/>
            <w:gridSpan w:val="3"/>
            <w:tcMar>
              <w:top w:w="0" w:type="dxa"/>
              <w:left w:w="20" w:type="dxa"/>
              <w:bottom w:w="0" w:type="dxa"/>
              <w:right w:w="20" w:type="dxa"/>
            </w:tcMar>
            <w:vAlign w:val="center"/>
            <w:hideMark/>
          </w:tcPr>
          <w:p w14:paraId="723C3866"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B4CA77B" w14:textId="77777777" w:rsidR="00000000" w:rsidRDefault="000C49AD">
            <w:pPr>
              <w:spacing w:after="100"/>
              <w:jc w:val="both"/>
              <w:rPr>
                <w:rFonts w:eastAsia="Times New Roman"/>
              </w:rPr>
            </w:pPr>
            <w:hyperlink r:id="rId47" w:history="1">
              <w:r>
                <w:rPr>
                  <w:rStyle w:val="a3"/>
                  <w:rFonts w:eastAsia="Times New Roman"/>
                  <w:sz w:val="20"/>
                  <w:szCs w:val="20"/>
                </w:rPr>
                <w:t>Employment Agreement dated as of</w:t>
              </w:r>
            </w:hyperlink>
            <w:hyperlink r:id="rId48" w:history="1">
              <w:r>
                <w:rPr>
                  <w:rStyle w:val="a3"/>
                  <w:rFonts w:eastAsia="Times New Roman"/>
                  <w:sz w:val="20"/>
                  <w:szCs w:val="20"/>
                </w:rPr>
                <w:t xml:space="preserve"> February</w:t>
              </w:r>
            </w:hyperlink>
            <w:hyperlink r:id="rId49" w:history="1">
              <w:r>
                <w:rPr>
                  <w:rStyle w:val="a3"/>
                  <w:rFonts w:eastAsia="Times New Roman"/>
                  <w:sz w:val="20"/>
                  <w:szCs w:val="20"/>
                </w:rPr>
                <w:t xml:space="preserve"> 1</w:t>
              </w:r>
            </w:hyperlink>
            <w:hyperlink r:id="rId50" w:history="1">
              <w:r>
                <w:rPr>
                  <w:rStyle w:val="a3"/>
                  <w:rFonts w:eastAsia="Times New Roman"/>
                  <w:sz w:val="20"/>
                  <w:szCs w:val="20"/>
                </w:rPr>
                <w:t>5</w:t>
              </w:r>
            </w:hyperlink>
            <w:hyperlink r:id="rId51" w:history="1">
              <w:r>
                <w:rPr>
                  <w:rStyle w:val="a3"/>
                  <w:rFonts w:eastAsia="Times New Roman"/>
                  <w:sz w:val="20"/>
                  <w:szCs w:val="20"/>
                </w:rPr>
                <w:t>, 202</w:t>
              </w:r>
            </w:hyperlink>
            <w:hyperlink r:id="rId52" w:history="1">
              <w:r>
                <w:rPr>
                  <w:rStyle w:val="a3"/>
                  <w:rFonts w:eastAsia="Times New Roman"/>
                  <w:sz w:val="20"/>
                  <w:szCs w:val="20"/>
                </w:rPr>
                <w:t>1</w:t>
              </w:r>
            </w:hyperlink>
            <w:hyperlink r:id="rId53" w:history="1">
              <w:r>
                <w:rPr>
                  <w:rStyle w:val="a3"/>
                  <w:rFonts w:eastAsia="Times New Roman"/>
                  <w:sz w:val="20"/>
                  <w:szCs w:val="20"/>
                </w:rPr>
                <w:t xml:space="preserve"> between Avadel Management Corporation and </w:t>
              </w:r>
            </w:hyperlink>
            <w:hyperlink r:id="rId54" w:history="1">
              <w:r>
                <w:rPr>
                  <w:rStyle w:val="a3"/>
                  <w:rFonts w:eastAsia="Times New Roman"/>
                  <w:sz w:val="20"/>
                  <w:szCs w:val="20"/>
                </w:rPr>
                <w:t>Richard Kim</w:t>
              </w:r>
            </w:hyperlink>
            <w:hyperlink r:id="rId55" w:history="1">
              <w:r>
                <w:rPr>
                  <w:rStyle w:val="a3"/>
                  <w:rFonts w:eastAsia="Times New Roman"/>
                  <w:sz w:val="20"/>
                  <w:szCs w:val="20"/>
                </w:rPr>
                <w:t xml:space="preserve"> (incorporated by reference to Exhibit 10.</w:t>
              </w:r>
            </w:hyperlink>
            <w:hyperlink r:id="rId56" w:history="1">
              <w:r>
                <w:rPr>
                  <w:rStyle w:val="a3"/>
                  <w:rFonts w:eastAsia="Times New Roman"/>
                  <w:sz w:val="20"/>
                  <w:szCs w:val="20"/>
                </w:rPr>
                <w:t>1</w:t>
              </w:r>
            </w:hyperlink>
            <w:hyperlink r:id="rId57" w:history="1">
              <w:r>
                <w:rPr>
                  <w:rStyle w:val="a3"/>
                  <w:rFonts w:eastAsia="Times New Roman"/>
                  <w:sz w:val="20"/>
                  <w:szCs w:val="20"/>
                </w:rPr>
                <w:t xml:space="preserve"> to the registrant’s </w:t>
              </w:r>
            </w:hyperlink>
            <w:hyperlink r:id="rId58" w:history="1">
              <w:r>
                <w:rPr>
                  <w:rStyle w:val="a3"/>
                  <w:rFonts w:eastAsia="Times New Roman"/>
                  <w:sz w:val="20"/>
                  <w:szCs w:val="20"/>
                </w:rPr>
                <w:t>Quarterly</w:t>
              </w:r>
            </w:hyperlink>
            <w:hyperlink r:id="rId59" w:history="1">
              <w:r>
                <w:rPr>
                  <w:rStyle w:val="a3"/>
                  <w:rFonts w:eastAsia="Times New Roman"/>
                  <w:sz w:val="20"/>
                  <w:szCs w:val="20"/>
                </w:rPr>
                <w:t xml:space="preserve"> report on Form 10-Q, </w:t>
              </w:r>
            </w:hyperlink>
            <w:hyperlink r:id="rId60" w:history="1">
              <w:r>
                <w:rPr>
                  <w:rStyle w:val="a3"/>
                  <w:rFonts w:eastAsia="Times New Roman"/>
                  <w:sz w:val="20"/>
                  <w:szCs w:val="20"/>
                </w:rPr>
                <w:t>for the qu</w:t>
              </w:r>
            </w:hyperlink>
            <w:hyperlink r:id="rId61" w:history="1">
              <w:r>
                <w:rPr>
                  <w:rStyle w:val="a3"/>
                  <w:rFonts w:eastAsia="Times New Roman"/>
                  <w:sz w:val="20"/>
                  <w:szCs w:val="20"/>
                </w:rPr>
                <w:t xml:space="preserve">arter ended March 31, 2021, </w:t>
              </w:r>
            </w:hyperlink>
            <w:hyperlink r:id="rId62" w:history="1">
              <w:r>
                <w:rPr>
                  <w:rStyle w:val="a3"/>
                  <w:rFonts w:eastAsia="Times New Roman"/>
                  <w:sz w:val="20"/>
                  <w:szCs w:val="20"/>
                </w:rPr>
                <w:t xml:space="preserve">filed on </w:t>
              </w:r>
            </w:hyperlink>
            <w:hyperlink r:id="rId63" w:history="1">
              <w:r>
                <w:rPr>
                  <w:rStyle w:val="a3"/>
                  <w:rFonts w:eastAsia="Times New Roman"/>
                  <w:sz w:val="20"/>
                  <w:szCs w:val="20"/>
                </w:rPr>
                <w:t>May</w:t>
              </w:r>
            </w:hyperlink>
            <w:hyperlink r:id="rId64" w:history="1">
              <w:r>
                <w:rPr>
                  <w:rStyle w:val="a3"/>
                  <w:rFonts w:eastAsia="Times New Roman"/>
                  <w:sz w:val="20"/>
                  <w:szCs w:val="20"/>
                </w:rPr>
                <w:t xml:space="preserve"> 10, 202</w:t>
              </w:r>
            </w:hyperlink>
            <w:hyperlink r:id="rId65" w:history="1">
              <w:r>
                <w:rPr>
                  <w:rStyle w:val="a3"/>
                  <w:rFonts w:eastAsia="Times New Roman"/>
                  <w:sz w:val="20"/>
                  <w:szCs w:val="20"/>
                </w:rPr>
                <w:t>1</w:t>
              </w:r>
            </w:hyperlink>
            <w:hyperlink r:id="rId66" w:history="1">
              <w:r>
                <w:rPr>
                  <w:rStyle w:val="a3"/>
                  <w:rFonts w:eastAsia="Times New Roman"/>
                  <w:sz w:val="20"/>
                  <w:szCs w:val="20"/>
                </w:rPr>
                <w:t>)</w:t>
              </w:r>
            </w:hyperlink>
          </w:p>
        </w:tc>
      </w:tr>
      <w:tr w:rsidR="00000000" w14:paraId="6C7EF72A" w14:textId="77777777">
        <w:trPr>
          <w:divId w:val="313997319"/>
          <w:trHeight w:val="300"/>
          <w:jc w:val="center"/>
        </w:trPr>
        <w:tc>
          <w:tcPr>
            <w:tcW w:w="0" w:type="auto"/>
            <w:gridSpan w:val="3"/>
            <w:tcMar>
              <w:top w:w="0" w:type="dxa"/>
              <w:left w:w="20" w:type="dxa"/>
              <w:bottom w:w="0" w:type="dxa"/>
              <w:right w:w="20" w:type="dxa"/>
            </w:tcMar>
            <w:vAlign w:val="center"/>
            <w:hideMark/>
          </w:tcPr>
          <w:p w14:paraId="24D9E4B4"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627A5E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13966F" w14:textId="77777777" w:rsidR="00000000" w:rsidRDefault="000C49AD">
            <w:pPr>
              <w:spacing w:after="100"/>
              <w:rPr>
                <w:rFonts w:eastAsia="Times New Roman"/>
                <w:sz w:val="20"/>
                <w:szCs w:val="20"/>
              </w:rPr>
            </w:pPr>
          </w:p>
        </w:tc>
      </w:tr>
      <w:tr w:rsidR="00000000" w14:paraId="68509E02" w14:textId="77777777">
        <w:trPr>
          <w:divId w:val="313997319"/>
          <w:jc w:val="center"/>
        </w:trPr>
        <w:tc>
          <w:tcPr>
            <w:tcW w:w="0" w:type="auto"/>
            <w:gridSpan w:val="3"/>
            <w:tcMar>
              <w:top w:w="30" w:type="dxa"/>
              <w:left w:w="20" w:type="dxa"/>
              <w:bottom w:w="30" w:type="dxa"/>
              <w:right w:w="20" w:type="dxa"/>
            </w:tcMar>
            <w:vAlign w:val="center"/>
            <w:hideMark/>
          </w:tcPr>
          <w:p w14:paraId="5DDCF41A" w14:textId="77777777" w:rsidR="00000000" w:rsidRDefault="000C49AD">
            <w:pPr>
              <w:spacing w:after="100"/>
              <w:jc w:val="center"/>
              <w:rPr>
                <w:rFonts w:eastAsia="Times New Roman"/>
              </w:rPr>
            </w:pPr>
            <w:r>
              <w:rPr>
                <w:rFonts w:eastAsia="Times New Roman"/>
                <w:b/>
                <w:bCs/>
                <w:color w:val="000000"/>
                <w:sz w:val="20"/>
                <w:szCs w:val="20"/>
              </w:rPr>
              <w:t>10.20</w:t>
            </w:r>
          </w:p>
        </w:tc>
        <w:tc>
          <w:tcPr>
            <w:tcW w:w="0" w:type="auto"/>
            <w:gridSpan w:val="3"/>
            <w:tcMar>
              <w:top w:w="0" w:type="dxa"/>
              <w:left w:w="20" w:type="dxa"/>
              <w:bottom w:w="0" w:type="dxa"/>
              <w:right w:w="20" w:type="dxa"/>
            </w:tcMar>
            <w:vAlign w:val="center"/>
            <w:hideMark/>
          </w:tcPr>
          <w:p w14:paraId="008D6E61"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D0260D" w14:textId="77777777" w:rsidR="00000000" w:rsidRDefault="000C49AD">
            <w:pPr>
              <w:spacing w:after="100"/>
              <w:divId w:val="1588030094"/>
              <w:rPr>
                <w:rFonts w:eastAsia="Times New Roman"/>
              </w:rPr>
            </w:pPr>
            <w:hyperlink r:id="rId67" w:history="1">
              <w:r>
                <w:rPr>
                  <w:rStyle w:val="a3"/>
                  <w:rFonts w:eastAsia="Times New Roman"/>
                  <w:sz w:val="20"/>
                  <w:szCs w:val="20"/>
                </w:rPr>
                <w:t>Avadel Pharmaceuticals plc 2021 Inducement Plan and related equity award agreements (filed herewith)</w:t>
              </w:r>
            </w:hyperlink>
          </w:p>
        </w:tc>
      </w:tr>
      <w:tr w:rsidR="00000000" w14:paraId="7BD51041" w14:textId="77777777">
        <w:trPr>
          <w:divId w:val="313997319"/>
          <w:trHeight w:val="300"/>
          <w:jc w:val="center"/>
        </w:trPr>
        <w:tc>
          <w:tcPr>
            <w:tcW w:w="0" w:type="auto"/>
            <w:gridSpan w:val="3"/>
            <w:tcMar>
              <w:top w:w="0" w:type="dxa"/>
              <w:left w:w="20" w:type="dxa"/>
              <w:bottom w:w="0" w:type="dxa"/>
              <w:right w:w="20" w:type="dxa"/>
            </w:tcMar>
            <w:vAlign w:val="center"/>
            <w:hideMark/>
          </w:tcPr>
          <w:p w14:paraId="77CA9D7F" w14:textId="77777777" w:rsidR="00000000" w:rsidRDefault="000C49AD">
            <w:pPr>
              <w:spacing w:after="100"/>
              <w:rPr>
                <w:rFonts w:eastAsia="Times New Roman"/>
              </w:rPr>
            </w:pPr>
          </w:p>
        </w:tc>
        <w:tc>
          <w:tcPr>
            <w:tcW w:w="0" w:type="auto"/>
            <w:gridSpan w:val="3"/>
            <w:tcMar>
              <w:top w:w="0" w:type="dxa"/>
              <w:left w:w="20" w:type="dxa"/>
              <w:bottom w:w="0" w:type="dxa"/>
              <w:right w:w="20" w:type="dxa"/>
            </w:tcMar>
            <w:vAlign w:val="center"/>
            <w:hideMark/>
          </w:tcPr>
          <w:p w14:paraId="33090B1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CFC7302" w14:textId="77777777" w:rsidR="00000000" w:rsidRDefault="000C49AD">
            <w:pPr>
              <w:spacing w:after="100"/>
              <w:rPr>
                <w:rFonts w:eastAsia="Times New Roman"/>
                <w:sz w:val="20"/>
                <w:szCs w:val="20"/>
              </w:rPr>
            </w:pPr>
          </w:p>
        </w:tc>
      </w:tr>
      <w:tr w:rsidR="00000000" w14:paraId="69242737" w14:textId="77777777">
        <w:trPr>
          <w:divId w:val="313997319"/>
          <w:jc w:val="center"/>
        </w:trPr>
        <w:tc>
          <w:tcPr>
            <w:tcW w:w="0" w:type="auto"/>
            <w:gridSpan w:val="3"/>
            <w:tcMar>
              <w:top w:w="30" w:type="dxa"/>
              <w:left w:w="20" w:type="dxa"/>
              <w:bottom w:w="30" w:type="dxa"/>
              <w:right w:w="20" w:type="dxa"/>
            </w:tcMar>
            <w:vAlign w:val="center"/>
            <w:hideMark/>
          </w:tcPr>
          <w:p w14:paraId="37DD899F" w14:textId="77777777" w:rsidR="00000000" w:rsidRDefault="000C49AD">
            <w:pPr>
              <w:spacing w:after="100"/>
              <w:jc w:val="center"/>
              <w:rPr>
                <w:rFonts w:eastAsia="Times New Roman"/>
              </w:rPr>
            </w:pPr>
            <w:r>
              <w:rPr>
                <w:rFonts w:eastAsia="Times New Roman"/>
                <w:b/>
                <w:bCs/>
                <w:color w:val="000000"/>
                <w:sz w:val="20"/>
                <w:szCs w:val="20"/>
              </w:rPr>
              <w:t>10.21‡</w:t>
            </w:r>
          </w:p>
        </w:tc>
        <w:tc>
          <w:tcPr>
            <w:tcW w:w="0" w:type="auto"/>
            <w:gridSpan w:val="3"/>
            <w:tcMar>
              <w:top w:w="0" w:type="dxa"/>
              <w:left w:w="20" w:type="dxa"/>
              <w:bottom w:w="0" w:type="dxa"/>
              <w:right w:w="20" w:type="dxa"/>
            </w:tcMar>
            <w:vAlign w:val="center"/>
            <w:hideMark/>
          </w:tcPr>
          <w:p w14:paraId="48F563EA"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906E8F8" w14:textId="77777777" w:rsidR="00000000" w:rsidRDefault="000C49AD">
            <w:pPr>
              <w:spacing w:after="100"/>
              <w:jc w:val="both"/>
              <w:rPr>
                <w:rFonts w:eastAsia="Times New Roman"/>
              </w:rPr>
            </w:pPr>
            <w:hyperlink r:id="rId68" w:history="1">
              <w:r>
                <w:rPr>
                  <w:rStyle w:val="a3"/>
                  <w:rFonts w:eastAsia="Times New Roman"/>
                  <w:sz w:val="20"/>
                  <w:szCs w:val="20"/>
                </w:rPr>
                <w:t>Employment Agreement dated as of February 1</w:t>
              </w:r>
            </w:hyperlink>
            <w:hyperlink r:id="rId69" w:history="1">
              <w:r>
                <w:rPr>
                  <w:rStyle w:val="a3"/>
                  <w:rFonts w:eastAsia="Times New Roman"/>
                  <w:sz w:val="20"/>
                  <w:szCs w:val="20"/>
                </w:rPr>
                <w:t>4</w:t>
              </w:r>
            </w:hyperlink>
            <w:hyperlink r:id="rId70" w:history="1">
              <w:r>
                <w:rPr>
                  <w:rStyle w:val="a3"/>
                  <w:rFonts w:eastAsia="Times New Roman"/>
                  <w:sz w:val="20"/>
                  <w:szCs w:val="20"/>
                </w:rPr>
                <w:t>, 202</w:t>
              </w:r>
            </w:hyperlink>
            <w:hyperlink r:id="rId71" w:history="1">
              <w:r>
                <w:rPr>
                  <w:rStyle w:val="a3"/>
                  <w:rFonts w:eastAsia="Times New Roman"/>
                  <w:sz w:val="20"/>
                  <w:szCs w:val="20"/>
                </w:rPr>
                <w:t>2</w:t>
              </w:r>
            </w:hyperlink>
            <w:hyperlink r:id="rId72" w:history="1">
              <w:r>
                <w:rPr>
                  <w:rStyle w:val="a3"/>
                  <w:rFonts w:eastAsia="Times New Roman"/>
                  <w:sz w:val="20"/>
                  <w:szCs w:val="20"/>
                </w:rPr>
                <w:t xml:space="preserve"> between Avadel Management Corporation and </w:t>
              </w:r>
            </w:hyperlink>
            <w:hyperlink r:id="rId73" w:history="1">
              <w:r>
                <w:rPr>
                  <w:rStyle w:val="a3"/>
                  <w:rFonts w:eastAsia="Times New Roman"/>
                  <w:sz w:val="20"/>
                  <w:szCs w:val="20"/>
                </w:rPr>
                <w:t>Douglas Williamson</w:t>
              </w:r>
            </w:hyperlink>
            <w:hyperlink r:id="rId74" w:history="1">
              <w:r>
                <w:rPr>
                  <w:rStyle w:val="a3"/>
                  <w:rFonts w:eastAsia="Times New Roman"/>
                  <w:sz w:val="20"/>
                  <w:szCs w:val="20"/>
                </w:rPr>
                <w:t xml:space="preserve"> </w:t>
              </w:r>
            </w:hyperlink>
            <w:hyperlink r:id="rId75" w:history="1">
              <w:r>
                <w:rPr>
                  <w:rStyle w:val="a3"/>
                  <w:rFonts w:eastAsia="Times New Roman"/>
                  <w:sz w:val="20"/>
                  <w:szCs w:val="20"/>
                </w:rPr>
                <w:t>(</w:t>
              </w:r>
            </w:hyperlink>
            <w:hyperlink r:id="rId76" w:history="1">
              <w:r>
                <w:rPr>
                  <w:rStyle w:val="a3"/>
                  <w:rFonts w:eastAsia="Times New Roman"/>
                  <w:sz w:val="20"/>
                  <w:szCs w:val="20"/>
                </w:rPr>
                <w:t>filed herewith</w:t>
              </w:r>
            </w:hyperlink>
            <w:hyperlink r:id="rId77" w:history="1">
              <w:r>
                <w:rPr>
                  <w:rStyle w:val="a3"/>
                  <w:rFonts w:eastAsia="Times New Roman"/>
                  <w:sz w:val="20"/>
                  <w:szCs w:val="20"/>
                </w:rPr>
                <w:t>)</w:t>
              </w:r>
            </w:hyperlink>
          </w:p>
        </w:tc>
      </w:tr>
      <w:tr w:rsidR="00000000" w14:paraId="3F073B29" w14:textId="77777777">
        <w:trPr>
          <w:divId w:val="313997319"/>
          <w:trHeight w:val="300"/>
          <w:jc w:val="center"/>
        </w:trPr>
        <w:tc>
          <w:tcPr>
            <w:tcW w:w="0" w:type="auto"/>
            <w:gridSpan w:val="3"/>
            <w:tcMar>
              <w:top w:w="0" w:type="dxa"/>
              <w:left w:w="20" w:type="dxa"/>
              <w:bottom w:w="0" w:type="dxa"/>
              <w:right w:w="20" w:type="dxa"/>
            </w:tcMar>
            <w:vAlign w:val="center"/>
            <w:hideMark/>
          </w:tcPr>
          <w:p w14:paraId="2B0160DE"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EEDF01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920EBEA" w14:textId="77777777" w:rsidR="00000000" w:rsidRDefault="000C49AD">
            <w:pPr>
              <w:spacing w:after="100"/>
              <w:rPr>
                <w:rFonts w:eastAsia="Times New Roman"/>
                <w:sz w:val="20"/>
                <w:szCs w:val="20"/>
              </w:rPr>
            </w:pPr>
          </w:p>
        </w:tc>
      </w:tr>
      <w:tr w:rsidR="00000000" w14:paraId="70790388" w14:textId="77777777">
        <w:trPr>
          <w:divId w:val="313997319"/>
          <w:jc w:val="center"/>
        </w:trPr>
        <w:tc>
          <w:tcPr>
            <w:tcW w:w="0" w:type="auto"/>
            <w:gridSpan w:val="3"/>
            <w:tcMar>
              <w:top w:w="30" w:type="dxa"/>
              <w:left w:w="20" w:type="dxa"/>
              <w:bottom w:w="30" w:type="dxa"/>
              <w:right w:w="20" w:type="dxa"/>
            </w:tcMar>
            <w:vAlign w:val="center"/>
            <w:hideMark/>
          </w:tcPr>
          <w:p w14:paraId="137574DB" w14:textId="77777777" w:rsidR="00000000" w:rsidRDefault="000C49AD">
            <w:pPr>
              <w:spacing w:after="100"/>
              <w:jc w:val="center"/>
              <w:rPr>
                <w:rFonts w:eastAsia="Times New Roman"/>
              </w:rPr>
            </w:pPr>
            <w:r>
              <w:rPr>
                <w:rFonts w:eastAsia="Times New Roman"/>
                <w:b/>
                <w:bCs/>
                <w:color w:val="000000"/>
                <w:sz w:val="20"/>
                <w:szCs w:val="20"/>
              </w:rPr>
              <w:t>10.22</w:t>
            </w:r>
          </w:p>
        </w:tc>
        <w:tc>
          <w:tcPr>
            <w:tcW w:w="0" w:type="auto"/>
            <w:gridSpan w:val="3"/>
            <w:tcMar>
              <w:top w:w="0" w:type="dxa"/>
              <w:left w:w="20" w:type="dxa"/>
              <w:bottom w:w="0" w:type="dxa"/>
              <w:right w:w="20" w:type="dxa"/>
            </w:tcMar>
            <w:vAlign w:val="center"/>
            <w:hideMark/>
          </w:tcPr>
          <w:p w14:paraId="1C10AAAF"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670CD19" w14:textId="77777777" w:rsidR="00000000" w:rsidRDefault="000C49AD">
            <w:pPr>
              <w:spacing w:after="100"/>
              <w:jc w:val="both"/>
              <w:rPr>
                <w:rFonts w:eastAsia="Times New Roman"/>
              </w:rPr>
            </w:pPr>
            <w:hyperlink r:id="rId78" w:history="1">
              <w:r>
                <w:rPr>
                  <w:rStyle w:val="a3"/>
                  <w:rFonts w:eastAsia="Times New Roman"/>
                  <w:sz w:val="20"/>
                  <w:szCs w:val="20"/>
                </w:rPr>
                <w:t>Form of Exchange Agreement between Avade</w:t>
              </w:r>
              <w:r>
                <w:rPr>
                  <w:rStyle w:val="a3"/>
                  <w:rFonts w:eastAsia="Times New Roman"/>
                  <w:sz w:val="20"/>
                  <w:szCs w:val="20"/>
                </w:rPr>
                <w:t>l Finance Cayman Limited, Avadel Pharmaceuticals plc and certain holders of its February 2023 Notes</w:t>
              </w:r>
            </w:hyperlink>
            <w:hyperlink r:id="rId79" w:history="1">
              <w:r>
                <w:rPr>
                  <w:rStyle w:val="a3"/>
                  <w:rFonts w:eastAsia="Times New Roman"/>
                  <w:sz w:val="20"/>
                  <w:szCs w:val="20"/>
                </w:rPr>
                <w:t xml:space="preserve"> (filed herewith)</w:t>
              </w:r>
            </w:hyperlink>
            <w:hyperlink r:id="rId80" w:history="1">
              <w:r>
                <w:rPr>
                  <w:rStyle w:val="a3"/>
                  <w:rFonts w:eastAsia="Times New Roman"/>
                  <w:sz w:val="20"/>
                  <w:szCs w:val="20"/>
                </w:rPr>
                <w:t xml:space="preserve"> </w:t>
              </w:r>
            </w:hyperlink>
          </w:p>
        </w:tc>
      </w:tr>
      <w:tr w:rsidR="00000000" w14:paraId="60D0112C" w14:textId="77777777">
        <w:trPr>
          <w:divId w:val="313997319"/>
          <w:trHeight w:val="300"/>
          <w:jc w:val="center"/>
        </w:trPr>
        <w:tc>
          <w:tcPr>
            <w:tcW w:w="0" w:type="auto"/>
            <w:gridSpan w:val="3"/>
            <w:tcMar>
              <w:top w:w="0" w:type="dxa"/>
              <w:left w:w="20" w:type="dxa"/>
              <w:bottom w:w="0" w:type="dxa"/>
              <w:right w:w="20" w:type="dxa"/>
            </w:tcMar>
            <w:vAlign w:val="center"/>
            <w:hideMark/>
          </w:tcPr>
          <w:p w14:paraId="6D89753C"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D637050"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D88E17" w14:textId="77777777" w:rsidR="00000000" w:rsidRDefault="000C49AD">
            <w:pPr>
              <w:spacing w:after="100"/>
              <w:rPr>
                <w:rFonts w:eastAsia="Times New Roman"/>
                <w:sz w:val="20"/>
                <w:szCs w:val="20"/>
              </w:rPr>
            </w:pPr>
          </w:p>
        </w:tc>
      </w:tr>
      <w:tr w:rsidR="00000000" w14:paraId="1FD63449" w14:textId="77777777">
        <w:trPr>
          <w:divId w:val="313997319"/>
          <w:jc w:val="center"/>
        </w:trPr>
        <w:tc>
          <w:tcPr>
            <w:tcW w:w="0" w:type="auto"/>
            <w:gridSpan w:val="3"/>
            <w:tcMar>
              <w:top w:w="30" w:type="dxa"/>
              <w:left w:w="20" w:type="dxa"/>
              <w:bottom w:w="30" w:type="dxa"/>
              <w:right w:w="20" w:type="dxa"/>
            </w:tcMar>
            <w:vAlign w:val="center"/>
            <w:hideMark/>
          </w:tcPr>
          <w:p w14:paraId="292FB8E6" w14:textId="77777777" w:rsidR="00000000" w:rsidRDefault="000C49AD">
            <w:pPr>
              <w:spacing w:after="100"/>
              <w:jc w:val="center"/>
              <w:rPr>
                <w:rFonts w:eastAsia="Times New Roman"/>
              </w:rPr>
            </w:pPr>
            <w:r>
              <w:rPr>
                <w:rFonts w:eastAsia="Times New Roman"/>
                <w:b/>
                <w:bCs/>
                <w:color w:val="000000"/>
                <w:sz w:val="20"/>
                <w:szCs w:val="20"/>
              </w:rPr>
              <w:t>14.1</w:t>
            </w:r>
          </w:p>
        </w:tc>
        <w:tc>
          <w:tcPr>
            <w:tcW w:w="0" w:type="auto"/>
            <w:gridSpan w:val="3"/>
            <w:tcMar>
              <w:top w:w="0" w:type="dxa"/>
              <w:left w:w="20" w:type="dxa"/>
              <w:bottom w:w="0" w:type="dxa"/>
              <w:right w:w="20" w:type="dxa"/>
            </w:tcMar>
            <w:vAlign w:val="center"/>
            <w:hideMark/>
          </w:tcPr>
          <w:p w14:paraId="26D52952"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A9EF97E" w14:textId="77777777" w:rsidR="00000000" w:rsidRDefault="000C49AD">
            <w:pPr>
              <w:spacing w:after="100"/>
              <w:jc w:val="both"/>
              <w:rPr>
                <w:rFonts w:eastAsia="Times New Roman"/>
              </w:rPr>
            </w:pPr>
            <w:hyperlink r:id="rId81" w:history="1">
              <w:r>
                <w:rPr>
                  <w:rStyle w:val="a3"/>
                  <w:rFonts w:eastAsia="Times New Roman"/>
                  <w:sz w:val="20"/>
                  <w:szCs w:val="20"/>
                </w:rPr>
                <w:t>Code of Business Conduct and Ethics (</w:t>
              </w:r>
            </w:hyperlink>
            <w:hyperlink r:id="rId82" w:history="1">
              <w:r>
                <w:rPr>
                  <w:rStyle w:val="a3"/>
                  <w:rFonts w:eastAsia="Times New Roman"/>
                  <w:sz w:val="20"/>
                  <w:szCs w:val="20"/>
                </w:rPr>
                <w:t xml:space="preserve">incorporated </w:t>
              </w:r>
              <w:r>
                <w:rPr>
                  <w:rStyle w:val="a3"/>
                  <w:rFonts w:eastAsia="Times New Roman"/>
                  <w:sz w:val="20"/>
                  <w:szCs w:val="20"/>
                </w:rPr>
                <w:t xml:space="preserve">by reference to Exhibit </w:t>
              </w:r>
            </w:hyperlink>
            <w:hyperlink r:id="rId83" w:history="1">
              <w:r>
                <w:rPr>
                  <w:rStyle w:val="a3"/>
                  <w:rFonts w:eastAsia="Times New Roman"/>
                  <w:sz w:val="20"/>
                  <w:szCs w:val="20"/>
                </w:rPr>
                <w:t>14.1</w:t>
              </w:r>
            </w:hyperlink>
            <w:hyperlink r:id="rId84" w:history="1">
              <w:r>
                <w:rPr>
                  <w:rStyle w:val="a3"/>
                  <w:rFonts w:eastAsia="Times New Roman"/>
                  <w:sz w:val="20"/>
                  <w:szCs w:val="20"/>
                </w:rPr>
                <w:t xml:space="preserve"> to the registrant’s A</w:t>
              </w:r>
              <w:r>
                <w:rPr>
                  <w:rStyle w:val="a3"/>
                  <w:rFonts w:eastAsia="Times New Roman"/>
                  <w:sz w:val="20"/>
                  <w:szCs w:val="20"/>
                </w:rPr>
                <w:t>nnual Report on Form 10-K for the year ended December 31, 2020, filed on March 9, 2021</w:t>
              </w:r>
            </w:hyperlink>
            <w:hyperlink r:id="rId85" w:history="1">
              <w:r>
                <w:rPr>
                  <w:rStyle w:val="a3"/>
                  <w:rFonts w:eastAsia="Times New Roman"/>
                  <w:sz w:val="20"/>
                  <w:szCs w:val="20"/>
                </w:rPr>
                <w:t>)</w:t>
              </w:r>
            </w:hyperlink>
          </w:p>
        </w:tc>
      </w:tr>
      <w:tr w:rsidR="00000000" w14:paraId="2AB022B3" w14:textId="77777777">
        <w:trPr>
          <w:divId w:val="313997319"/>
          <w:trHeight w:val="300"/>
          <w:jc w:val="center"/>
        </w:trPr>
        <w:tc>
          <w:tcPr>
            <w:tcW w:w="0" w:type="auto"/>
            <w:gridSpan w:val="3"/>
            <w:tcMar>
              <w:top w:w="0" w:type="dxa"/>
              <w:left w:w="20" w:type="dxa"/>
              <w:bottom w:w="0" w:type="dxa"/>
              <w:right w:w="20" w:type="dxa"/>
            </w:tcMar>
            <w:vAlign w:val="center"/>
            <w:hideMark/>
          </w:tcPr>
          <w:p w14:paraId="77A0A25E"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881E5C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5930C0" w14:textId="77777777" w:rsidR="00000000" w:rsidRDefault="000C49AD">
            <w:pPr>
              <w:spacing w:after="100"/>
              <w:rPr>
                <w:rFonts w:eastAsia="Times New Roman"/>
                <w:sz w:val="20"/>
                <w:szCs w:val="20"/>
              </w:rPr>
            </w:pPr>
          </w:p>
        </w:tc>
      </w:tr>
      <w:tr w:rsidR="00000000" w14:paraId="50ED5112" w14:textId="77777777">
        <w:trPr>
          <w:divId w:val="313997319"/>
          <w:jc w:val="center"/>
        </w:trPr>
        <w:tc>
          <w:tcPr>
            <w:tcW w:w="0" w:type="auto"/>
            <w:gridSpan w:val="3"/>
            <w:tcMar>
              <w:top w:w="30" w:type="dxa"/>
              <w:left w:w="20" w:type="dxa"/>
              <w:bottom w:w="30" w:type="dxa"/>
              <w:right w:w="20" w:type="dxa"/>
            </w:tcMar>
            <w:vAlign w:val="center"/>
            <w:hideMark/>
          </w:tcPr>
          <w:p w14:paraId="422FE48D" w14:textId="77777777" w:rsidR="00000000" w:rsidRDefault="000C49AD">
            <w:pPr>
              <w:spacing w:after="100"/>
              <w:jc w:val="center"/>
              <w:rPr>
                <w:rFonts w:eastAsia="Times New Roman"/>
              </w:rPr>
            </w:pPr>
            <w:r>
              <w:rPr>
                <w:rFonts w:eastAsia="Times New Roman"/>
                <w:b/>
                <w:bCs/>
                <w:color w:val="000000"/>
                <w:sz w:val="20"/>
                <w:szCs w:val="20"/>
              </w:rPr>
              <w:t>14.2</w:t>
            </w:r>
          </w:p>
        </w:tc>
        <w:tc>
          <w:tcPr>
            <w:tcW w:w="0" w:type="auto"/>
            <w:gridSpan w:val="3"/>
            <w:tcMar>
              <w:top w:w="0" w:type="dxa"/>
              <w:left w:w="20" w:type="dxa"/>
              <w:bottom w:w="0" w:type="dxa"/>
              <w:right w:w="20" w:type="dxa"/>
            </w:tcMar>
            <w:vAlign w:val="center"/>
            <w:hideMark/>
          </w:tcPr>
          <w:p w14:paraId="425FBF8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E446541" w14:textId="77777777" w:rsidR="00000000" w:rsidRDefault="000C49AD">
            <w:pPr>
              <w:spacing w:after="100"/>
              <w:jc w:val="both"/>
              <w:rPr>
                <w:rFonts w:eastAsia="Times New Roman"/>
              </w:rPr>
            </w:pPr>
            <w:hyperlink r:id="rId86" w:history="1">
              <w:r>
                <w:rPr>
                  <w:rStyle w:val="a3"/>
                  <w:rFonts w:eastAsia="Times New Roman"/>
                  <w:sz w:val="20"/>
                  <w:szCs w:val="20"/>
                </w:rPr>
                <w:t>Financial Integrity Policy (incorporated by reference to Exhibit 14.2 to the registrant’s current report on Form 8-K, filed on March 7, 2017)</w:t>
              </w:r>
            </w:hyperlink>
          </w:p>
        </w:tc>
      </w:tr>
      <w:tr w:rsidR="00000000" w14:paraId="538C8151" w14:textId="77777777">
        <w:trPr>
          <w:divId w:val="313997319"/>
          <w:trHeight w:val="300"/>
          <w:jc w:val="center"/>
        </w:trPr>
        <w:tc>
          <w:tcPr>
            <w:tcW w:w="0" w:type="auto"/>
            <w:gridSpan w:val="3"/>
            <w:tcMar>
              <w:top w:w="0" w:type="dxa"/>
              <w:left w:w="20" w:type="dxa"/>
              <w:bottom w:w="0" w:type="dxa"/>
              <w:right w:w="20" w:type="dxa"/>
            </w:tcMar>
            <w:vAlign w:val="center"/>
            <w:hideMark/>
          </w:tcPr>
          <w:p w14:paraId="3B4BED17"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AD3651E"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DB20F7" w14:textId="77777777" w:rsidR="00000000" w:rsidRDefault="000C49AD">
            <w:pPr>
              <w:spacing w:after="100"/>
              <w:rPr>
                <w:rFonts w:eastAsia="Times New Roman"/>
                <w:sz w:val="20"/>
                <w:szCs w:val="20"/>
              </w:rPr>
            </w:pPr>
          </w:p>
        </w:tc>
      </w:tr>
      <w:tr w:rsidR="00000000" w14:paraId="5336A158" w14:textId="77777777">
        <w:trPr>
          <w:divId w:val="313997319"/>
          <w:jc w:val="center"/>
        </w:trPr>
        <w:tc>
          <w:tcPr>
            <w:tcW w:w="0" w:type="auto"/>
            <w:gridSpan w:val="3"/>
            <w:tcMar>
              <w:top w:w="30" w:type="dxa"/>
              <w:left w:w="20" w:type="dxa"/>
              <w:bottom w:w="30" w:type="dxa"/>
              <w:right w:w="20" w:type="dxa"/>
            </w:tcMar>
            <w:vAlign w:val="center"/>
            <w:hideMark/>
          </w:tcPr>
          <w:p w14:paraId="5049D53E" w14:textId="77777777" w:rsidR="00000000" w:rsidRDefault="000C49AD">
            <w:pPr>
              <w:spacing w:after="100"/>
              <w:jc w:val="center"/>
              <w:rPr>
                <w:rFonts w:eastAsia="Times New Roman"/>
              </w:rPr>
            </w:pPr>
            <w:r>
              <w:rPr>
                <w:rFonts w:eastAsia="Times New Roman"/>
                <w:b/>
                <w:bCs/>
                <w:color w:val="000000"/>
                <w:sz w:val="20"/>
                <w:szCs w:val="20"/>
              </w:rPr>
              <w:t>21.1</w:t>
            </w:r>
          </w:p>
        </w:tc>
        <w:tc>
          <w:tcPr>
            <w:tcW w:w="0" w:type="auto"/>
            <w:gridSpan w:val="3"/>
            <w:tcMar>
              <w:top w:w="0" w:type="dxa"/>
              <w:left w:w="20" w:type="dxa"/>
              <w:bottom w:w="0" w:type="dxa"/>
              <w:right w:w="20" w:type="dxa"/>
            </w:tcMar>
            <w:vAlign w:val="center"/>
            <w:hideMark/>
          </w:tcPr>
          <w:p w14:paraId="3B869D0A"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6436997" w14:textId="77777777" w:rsidR="00000000" w:rsidRDefault="000C49AD">
            <w:pPr>
              <w:spacing w:after="100"/>
              <w:jc w:val="both"/>
              <w:rPr>
                <w:rFonts w:eastAsia="Times New Roman"/>
              </w:rPr>
            </w:pPr>
            <w:hyperlink r:id="rId87" w:history="1">
              <w:r>
                <w:rPr>
                  <w:rStyle w:val="a3"/>
                  <w:rFonts w:eastAsia="Times New Roman"/>
                  <w:sz w:val="20"/>
                  <w:szCs w:val="20"/>
                </w:rPr>
                <w:t>List of Subsidiaries (filed herewith)</w:t>
              </w:r>
            </w:hyperlink>
          </w:p>
        </w:tc>
      </w:tr>
      <w:tr w:rsidR="00000000" w14:paraId="1B42AF02" w14:textId="77777777">
        <w:trPr>
          <w:divId w:val="313997319"/>
          <w:trHeight w:val="300"/>
          <w:jc w:val="center"/>
        </w:trPr>
        <w:tc>
          <w:tcPr>
            <w:tcW w:w="0" w:type="auto"/>
            <w:gridSpan w:val="3"/>
            <w:tcMar>
              <w:top w:w="0" w:type="dxa"/>
              <w:left w:w="20" w:type="dxa"/>
              <w:bottom w:w="0" w:type="dxa"/>
              <w:right w:w="20" w:type="dxa"/>
            </w:tcMar>
            <w:vAlign w:val="center"/>
            <w:hideMark/>
          </w:tcPr>
          <w:p w14:paraId="71D87E7D"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979733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464E9C" w14:textId="77777777" w:rsidR="00000000" w:rsidRDefault="000C49AD">
            <w:pPr>
              <w:spacing w:after="100"/>
              <w:rPr>
                <w:rFonts w:eastAsia="Times New Roman"/>
                <w:sz w:val="20"/>
                <w:szCs w:val="20"/>
              </w:rPr>
            </w:pPr>
          </w:p>
        </w:tc>
      </w:tr>
    </w:tbl>
    <w:p w14:paraId="6840AEA0" w14:textId="77777777" w:rsidR="00000000" w:rsidRDefault="000C49AD">
      <w:pPr>
        <w:jc w:val="center"/>
        <w:divId w:val="1984656274"/>
        <w:rPr>
          <w:rFonts w:eastAsia="Times New Roman"/>
        </w:rPr>
      </w:pPr>
      <w:r>
        <w:rPr>
          <w:rFonts w:eastAsia="Times New Roman"/>
          <w:color w:val="000000"/>
          <w:sz w:val="20"/>
          <w:szCs w:val="20"/>
        </w:rPr>
        <w:t>-114-</w:t>
      </w:r>
    </w:p>
    <w:p w14:paraId="1478143B" w14:textId="77777777" w:rsidR="00000000" w:rsidRDefault="000C49AD">
      <w:pPr>
        <w:rPr>
          <w:rFonts w:eastAsia="Times New Roman"/>
        </w:rPr>
      </w:pPr>
      <w:r>
        <w:rPr>
          <w:rFonts w:eastAsia="Times New Roman"/>
        </w:rPr>
        <w:pict w14:anchorId="5E6CD2F3">
          <v:rect id="_x0000_i1139" style="width:0;height:1.5pt" o:hralign="center" o:hrstd="t" o:hr="t" fillcolor="#a0a0a0" stroked="f"/>
        </w:pict>
      </w:r>
    </w:p>
    <w:p w14:paraId="5DACE8AF" w14:textId="77777777" w:rsidR="00000000" w:rsidRDefault="000C49AD">
      <w:pPr>
        <w:divId w:val="893850771"/>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0"/>
        <w:gridCol w:w="1136"/>
        <w:gridCol w:w="36"/>
        <w:gridCol w:w="36"/>
        <w:gridCol w:w="106"/>
        <w:gridCol w:w="36"/>
        <w:gridCol w:w="61"/>
        <w:gridCol w:w="6785"/>
        <w:gridCol w:w="37"/>
      </w:tblGrid>
      <w:tr w:rsidR="00000000" w14:paraId="6745CD62" w14:textId="77777777">
        <w:trPr>
          <w:divId w:val="459033053"/>
          <w:jc w:val="center"/>
        </w:trPr>
        <w:tc>
          <w:tcPr>
            <w:tcW w:w="50" w:type="pct"/>
            <w:vAlign w:val="center"/>
            <w:hideMark/>
          </w:tcPr>
          <w:p w14:paraId="4D6765D4" w14:textId="77777777" w:rsidR="00000000" w:rsidRDefault="000C49AD">
            <w:pPr>
              <w:rPr>
                <w:rFonts w:eastAsia="Times New Roman"/>
              </w:rPr>
            </w:pPr>
          </w:p>
        </w:tc>
        <w:tc>
          <w:tcPr>
            <w:tcW w:w="699" w:type="pct"/>
            <w:vAlign w:val="center"/>
            <w:hideMark/>
          </w:tcPr>
          <w:p w14:paraId="12BA5135" w14:textId="77777777" w:rsidR="00000000" w:rsidRDefault="000C49AD">
            <w:pPr>
              <w:spacing w:after="100"/>
              <w:rPr>
                <w:rFonts w:eastAsia="Times New Roman"/>
                <w:sz w:val="20"/>
                <w:szCs w:val="20"/>
              </w:rPr>
            </w:pPr>
          </w:p>
        </w:tc>
        <w:tc>
          <w:tcPr>
            <w:tcW w:w="5" w:type="pct"/>
            <w:vAlign w:val="center"/>
            <w:hideMark/>
          </w:tcPr>
          <w:p w14:paraId="10CA13E8" w14:textId="77777777" w:rsidR="00000000" w:rsidRDefault="000C49AD">
            <w:pPr>
              <w:spacing w:after="100"/>
              <w:rPr>
                <w:rFonts w:eastAsia="Times New Roman"/>
                <w:sz w:val="20"/>
                <w:szCs w:val="20"/>
              </w:rPr>
            </w:pPr>
          </w:p>
        </w:tc>
        <w:tc>
          <w:tcPr>
            <w:tcW w:w="5" w:type="pct"/>
            <w:vAlign w:val="center"/>
            <w:hideMark/>
          </w:tcPr>
          <w:p w14:paraId="336A60DB" w14:textId="77777777" w:rsidR="00000000" w:rsidRDefault="000C49AD">
            <w:pPr>
              <w:spacing w:after="100"/>
              <w:rPr>
                <w:rFonts w:eastAsia="Times New Roman"/>
                <w:sz w:val="20"/>
                <w:szCs w:val="20"/>
              </w:rPr>
            </w:pPr>
          </w:p>
        </w:tc>
        <w:tc>
          <w:tcPr>
            <w:tcW w:w="77" w:type="pct"/>
            <w:vAlign w:val="center"/>
            <w:hideMark/>
          </w:tcPr>
          <w:p w14:paraId="13128688" w14:textId="77777777" w:rsidR="00000000" w:rsidRDefault="000C49AD">
            <w:pPr>
              <w:spacing w:after="100"/>
              <w:rPr>
                <w:rFonts w:eastAsia="Times New Roman"/>
                <w:sz w:val="20"/>
                <w:szCs w:val="20"/>
              </w:rPr>
            </w:pPr>
          </w:p>
        </w:tc>
        <w:tc>
          <w:tcPr>
            <w:tcW w:w="5" w:type="pct"/>
            <w:vAlign w:val="center"/>
            <w:hideMark/>
          </w:tcPr>
          <w:p w14:paraId="48BFC222" w14:textId="77777777" w:rsidR="00000000" w:rsidRDefault="000C49AD">
            <w:pPr>
              <w:spacing w:after="100"/>
              <w:rPr>
                <w:rFonts w:eastAsia="Times New Roman"/>
                <w:sz w:val="20"/>
                <w:szCs w:val="20"/>
              </w:rPr>
            </w:pPr>
          </w:p>
        </w:tc>
        <w:tc>
          <w:tcPr>
            <w:tcW w:w="50" w:type="pct"/>
            <w:vAlign w:val="center"/>
            <w:hideMark/>
          </w:tcPr>
          <w:p w14:paraId="7F876B10" w14:textId="77777777" w:rsidR="00000000" w:rsidRDefault="000C49AD">
            <w:pPr>
              <w:spacing w:after="100"/>
              <w:rPr>
                <w:rFonts w:eastAsia="Times New Roman"/>
                <w:sz w:val="20"/>
                <w:szCs w:val="20"/>
              </w:rPr>
            </w:pPr>
          </w:p>
        </w:tc>
        <w:tc>
          <w:tcPr>
            <w:tcW w:w="4103" w:type="pct"/>
            <w:vAlign w:val="center"/>
            <w:hideMark/>
          </w:tcPr>
          <w:p w14:paraId="0923476B" w14:textId="77777777" w:rsidR="00000000" w:rsidRDefault="000C49AD">
            <w:pPr>
              <w:spacing w:after="100"/>
              <w:rPr>
                <w:rFonts w:eastAsia="Times New Roman"/>
                <w:sz w:val="20"/>
                <w:szCs w:val="20"/>
              </w:rPr>
            </w:pPr>
          </w:p>
        </w:tc>
        <w:tc>
          <w:tcPr>
            <w:tcW w:w="5" w:type="pct"/>
            <w:vAlign w:val="center"/>
            <w:hideMark/>
          </w:tcPr>
          <w:p w14:paraId="29777810" w14:textId="77777777" w:rsidR="00000000" w:rsidRDefault="000C49AD">
            <w:pPr>
              <w:spacing w:after="100"/>
              <w:rPr>
                <w:rFonts w:eastAsia="Times New Roman"/>
                <w:sz w:val="20"/>
                <w:szCs w:val="20"/>
              </w:rPr>
            </w:pPr>
          </w:p>
        </w:tc>
      </w:tr>
      <w:tr w:rsidR="00000000" w14:paraId="6E6A4D7C" w14:textId="77777777">
        <w:trPr>
          <w:divId w:val="459033053"/>
          <w:jc w:val="center"/>
        </w:trPr>
        <w:tc>
          <w:tcPr>
            <w:tcW w:w="0" w:type="auto"/>
            <w:gridSpan w:val="3"/>
            <w:tcMar>
              <w:top w:w="30" w:type="dxa"/>
              <w:left w:w="20" w:type="dxa"/>
              <w:bottom w:w="30" w:type="dxa"/>
              <w:right w:w="20" w:type="dxa"/>
            </w:tcMar>
            <w:vAlign w:val="center"/>
            <w:hideMark/>
          </w:tcPr>
          <w:p w14:paraId="7BE5250E" w14:textId="77777777" w:rsidR="00000000" w:rsidRDefault="000C49AD">
            <w:pPr>
              <w:spacing w:after="100"/>
              <w:jc w:val="center"/>
              <w:rPr>
                <w:rFonts w:eastAsia="Times New Roman"/>
              </w:rPr>
            </w:pPr>
            <w:r>
              <w:rPr>
                <w:rFonts w:eastAsia="Times New Roman"/>
                <w:b/>
                <w:bCs/>
                <w:color w:val="000000"/>
                <w:sz w:val="20"/>
                <w:szCs w:val="20"/>
              </w:rPr>
              <w:t>23.1</w:t>
            </w:r>
          </w:p>
        </w:tc>
        <w:tc>
          <w:tcPr>
            <w:tcW w:w="0" w:type="auto"/>
            <w:gridSpan w:val="3"/>
            <w:tcMar>
              <w:top w:w="0" w:type="dxa"/>
              <w:left w:w="20" w:type="dxa"/>
              <w:bottom w:w="0" w:type="dxa"/>
              <w:right w:w="20" w:type="dxa"/>
            </w:tcMar>
            <w:vAlign w:val="center"/>
            <w:hideMark/>
          </w:tcPr>
          <w:p w14:paraId="20CB7EFA"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9D2FE15" w14:textId="77777777" w:rsidR="00000000" w:rsidRDefault="000C49AD">
            <w:pPr>
              <w:spacing w:after="100"/>
              <w:jc w:val="both"/>
              <w:rPr>
                <w:rFonts w:eastAsia="Times New Roman"/>
              </w:rPr>
            </w:pPr>
            <w:hyperlink r:id="rId88" w:history="1">
              <w:r>
                <w:rPr>
                  <w:rStyle w:val="a3"/>
                  <w:rFonts w:eastAsia="Times New Roman"/>
                  <w:sz w:val="20"/>
                  <w:szCs w:val="20"/>
                </w:rPr>
                <w:t>Consent of Deloitte &amp; Touche LLP (filed herewith)</w:t>
              </w:r>
            </w:hyperlink>
          </w:p>
        </w:tc>
      </w:tr>
      <w:tr w:rsidR="00000000" w14:paraId="658D9BE9" w14:textId="77777777">
        <w:trPr>
          <w:divId w:val="459033053"/>
          <w:trHeight w:val="300"/>
          <w:jc w:val="center"/>
        </w:trPr>
        <w:tc>
          <w:tcPr>
            <w:tcW w:w="0" w:type="auto"/>
            <w:gridSpan w:val="3"/>
            <w:tcMar>
              <w:top w:w="0" w:type="dxa"/>
              <w:left w:w="20" w:type="dxa"/>
              <w:bottom w:w="0" w:type="dxa"/>
              <w:right w:w="20" w:type="dxa"/>
            </w:tcMar>
            <w:vAlign w:val="center"/>
            <w:hideMark/>
          </w:tcPr>
          <w:p w14:paraId="7F2B706D"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084F278"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56BC96" w14:textId="77777777" w:rsidR="00000000" w:rsidRDefault="000C49AD">
            <w:pPr>
              <w:spacing w:after="100"/>
              <w:rPr>
                <w:rFonts w:eastAsia="Times New Roman"/>
                <w:sz w:val="20"/>
                <w:szCs w:val="20"/>
              </w:rPr>
            </w:pPr>
          </w:p>
        </w:tc>
      </w:tr>
      <w:tr w:rsidR="00000000" w14:paraId="2A84C466" w14:textId="77777777">
        <w:trPr>
          <w:divId w:val="459033053"/>
          <w:jc w:val="center"/>
        </w:trPr>
        <w:tc>
          <w:tcPr>
            <w:tcW w:w="0" w:type="auto"/>
            <w:gridSpan w:val="3"/>
            <w:tcMar>
              <w:top w:w="30" w:type="dxa"/>
              <w:left w:w="20" w:type="dxa"/>
              <w:bottom w:w="30" w:type="dxa"/>
              <w:right w:w="20" w:type="dxa"/>
            </w:tcMar>
            <w:vAlign w:val="center"/>
            <w:hideMark/>
          </w:tcPr>
          <w:p w14:paraId="04A3162F" w14:textId="77777777" w:rsidR="00000000" w:rsidRDefault="000C49AD">
            <w:pPr>
              <w:spacing w:after="100"/>
              <w:jc w:val="center"/>
              <w:rPr>
                <w:rFonts w:eastAsia="Times New Roman"/>
              </w:rPr>
            </w:pPr>
            <w:r>
              <w:rPr>
                <w:rFonts w:eastAsia="Times New Roman"/>
                <w:b/>
                <w:bCs/>
                <w:color w:val="000000"/>
                <w:sz w:val="20"/>
                <w:szCs w:val="20"/>
              </w:rPr>
              <w:t>31.1</w:t>
            </w:r>
          </w:p>
        </w:tc>
        <w:tc>
          <w:tcPr>
            <w:tcW w:w="0" w:type="auto"/>
            <w:gridSpan w:val="3"/>
            <w:tcMar>
              <w:top w:w="0" w:type="dxa"/>
              <w:left w:w="20" w:type="dxa"/>
              <w:bottom w:w="0" w:type="dxa"/>
              <w:right w:w="20" w:type="dxa"/>
            </w:tcMar>
            <w:vAlign w:val="center"/>
            <w:hideMark/>
          </w:tcPr>
          <w:p w14:paraId="7F96C90F"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6AC494C" w14:textId="77777777" w:rsidR="00000000" w:rsidRDefault="000C49AD">
            <w:pPr>
              <w:spacing w:after="100"/>
              <w:jc w:val="both"/>
              <w:rPr>
                <w:rFonts w:eastAsia="Times New Roman"/>
              </w:rPr>
            </w:pPr>
            <w:hyperlink r:id="rId89" w:history="1">
              <w:r>
                <w:rPr>
                  <w:rStyle w:val="a3"/>
                  <w:rFonts w:eastAsia="Times New Roman"/>
                  <w:sz w:val="20"/>
                  <w:szCs w:val="20"/>
                </w:rPr>
                <w:t>Certification of the Chief Executive Officer pursuant to Rule 13a-14(a)/15d-14(a) of the Securities Exchange Act, as adopted pursuant to Section 302 of the Sarbanes-Oxley Act of 2002 (filed herewith)</w:t>
              </w:r>
            </w:hyperlink>
          </w:p>
        </w:tc>
      </w:tr>
      <w:tr w:rsidR="00000000" w14:paraId="3D29332E" w14:textId="77777777">
        <w:trPr>
          <w:divId w:val="459033053"/>
          <w:trHeight w:val="300"/>
          <w:jc w:val="center"/>
        </w:trPr>
        <w:tc>
          <w:tcPr>
            <w:tcW w:w="0" w:type="auto"/>
            <w:gridSpan w:val="3"/>
            <w:tcMar>
              <w:top w:w="0" w:type="dxa"/>
              <w:left w:w="20" w:type="dxa"/>
              <w:bottom w:w="0" w:type="dxa"/>
              <w:right w:w="20" w:type="dxa"/>
            </w:tcMar>
            <w:vAlign w:val="center"/>
            <w:hideMark/>
          </w:tcPr>
          <w:p w14:paraId="426F4416"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193E153"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138051E" w14:textId="77777777" w:rsidR="00000000" w:rsidRDefault="000C49AD">
            <w:pPr>
              <w:spacing w:after="100"/>
              <w:rPr>
                <w:rFonts w:eastAsia="Times New Roman"/>
                <w:sz w:val="20"/>
                <w:szCs w:val="20"/>
              </w:rPr>
            </w:pPr>
          </w:p>
        </w:tc>
      </w:tr>
      <w:tr w:rsidR="00000000" w14:paraId="30074D5D" w14:textId="77777777">
        <w:trPr>
          <w:divId w:val="459033053"/>
          <w:jc w:val="center"/>
        </w:trPr>
        <w:tc>
          <w:tcPr>
            <w:tcW w:w="0" w:type="auto"/>
            <w:gridSpan w:val="3"/>
            <w:tcMar>
              <w:top w:w="30" w:type="dxa"/>
              <w:left w:w="20" w:type="dxa"/>
              <w:bottom w:w="30" w:type="dxa"/>
              <w:right w:w="20" w:type="dxa"/>
            </w:tcMar>
            <w:vAlign w:val="center"/>
            <w:hideMark/>
          </w:tcPr>
          <w:p w14:paraId="709D3909" w14:textId="77777777" w:rsidR="00000000" w:rsidRDefault="000C49AD">
            <w:pPr>
              <w:spacing w:after="100"/>
              <w:jc w:val="center"/>
              <w:rPr>
                <w:rFonts w:eastAsia="Times New Roman"/>
              </w:rPr>
            </w:pPr>
            <w:r>
              <w:rPr>
                <w:rFonts w:eastAsia="Times New Roman"/>
                <w:b/>
                <w:bCs/>
                <w:color w:val="000000"/>
                <w:sz w:val="20"/>
                <w:szCs w:val="20"/>
              </w:rPr>
              <w:t>31.2</w:t>
            </w:r>
          </w:p>
        </w:tc>
        <w:tc>
          <w:tcPr>
            <w:tcW w:w="0" w:type="auto"/>
            <w:gridSpan w:val="3"/>
            <w:tcMar>
              <w:top w:w="0" w:type="dxa"/>
              <w:left w:w="20" w:type="dxa"/>
              <w:bottom w:w="0" w:type="dxa"/>
              <w:right w:w="20" w:type="dxa"/>
            </w:tcMar>
            <w:vAlign w:val="center"/>
            <w:hideMark/>
          </w:tcPr>
          <w:p w14:paraId="5AA1F97E"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12ED2DEB" w14:textId="77777777" w:rsidR="00000000" w:rsidRDefault="000C49AD">
            <w:pPr>
              <w:spacing w:after="100"/>
              <w:jc w:val="both"/>
              <w:rPr>
                <w:rFonts w:eastAsia="Times New Roman"/>
              </w:rPr>
            </w:pPr>
            <w:hyperlink r:id="rId90" w:history="1">
              <w:r>
                <w:rPr>
                  <w:rStyle w:val="a3"/>
                  <w:rFonts w:eastAsia="Times New Roman"/>
                  <w:sz w:val="20"/>
                  <w:szCs w:val="20"/>
                </w:rPr>
                <w:t>Certification of the Principal Financial Officer pursuant to Rule 13a-14(a)/15d-14(a) of the Securities Exchange Act, as adopted pursuant to Section 302 of the Sarbanes-Oxley Act of 2002 (filed herewith)</w:t>
              </w:r>
            </w:hyperlink>
          </w:p>
        </w:tc>
      </w:tr>
      <w:tr w:rsidR="00000000" w14:paraId="4BF9D9CC" w14:textId="77777777">
        <w:trPr>
          <w:divId w:val="459033053"/>
          <w:trHeight w:val="300"/>
          <w:jc w:val="center"/>
        </w:trPr>
        <w:tc>
          <w:tcPr>
            <w:tcW w:w="0" w:type="auto"/>
            <w:gridSpan w:val="3"/>
            <w:tcMar>
              <w:top w:w="0" w:type="dxa"/>
              <w:left w:w="20" w:type="dxa"/>
              <w:bottom w:w="0" w:type="dxa"/>
              <w:right w:w="20" w:type="dxa"/>
            </w:tcMar>
            <w:vAlign w:val="center"/>
            <w:hideMark/>
          </w:tcPr>
          <w:p w14:paraId="232FBD15"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79758F5D"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09E097" w14:textId="77777777" w:rsidR="00000000" w:rsidRDefault="000C49AD">
            <w:pPr>
              <w:spacing w:after="100"/>
              <w:rPr>
                <w:rFonts w:eastAsia="Times New Roman"/>
                <w:sz w:val="20"/>
                <w:szCs w:val="20"/>
              </w:rPr>
            </w:pPr>
          </w:p>
        </w:tc>
      </w:tr>
      <w:tr w:rsidR="00000000" w14:paraId="3E035F97" w14:textId="77777777">
        <w:trPr>
          <w:divId w:val="459033053"/>
          <w:jc w:val="center"/>
        </w:trPr>
        <w:tc>
          <w:tcPr>
            <w:tcW w:w="0" w:type="auto"/>
            <w:gridSpan w:val="3"/>
            <w:tcMar>
              <w:top w:w="30" w:type="dxa"/>
              <w:left w:w="20" w:type="dxa"/>
              <w:bottom w:w="30" w:type="dxa"/>
              <w:right w:w="20" w:type="dxa"/>
            </w:tcMar>
            <w:vAlign w:val="center"/>
            <w:hideMark/>
          </w:tcPr>
          <w:p w14:paraId="4B2531E3" w14:textId="77777777" w:rsidR="00000000" w:rsidRDefault="000C49AD">
            <w:pPr>
              <w:spacing w:after="100"/>
              <w:jc w:val="center"/>
              <w:rPr>
                <w:rFonts w:eastAsia="Times New Roman"/>
              </w:rPr>
            </w:pPr>
            <w:r>
              <w:rPr>
                <w:rFonts w:eastAsia="Times New Roman"/>
                <w:b/>
                <w:bCs/>
                <w:color w:val="000000"/>
                <w:sz w:val="20"/>
                <w:szCs w:val="20"/>
              </w:rPr>
              <w:t>32.1</w:t>
            </w:r>
          </w:p>
        </w:tc>
        <w:tc>
          <w:tcPr>
            <w:tcW w:w="0" w:type="auto"/>
            <w:gridSpan w:val="3"/>
            <w:tcMar>
              <w:top w:w="0" w:type="dxa"/>
              <w:left w:w="20" w:type="dxa"/>
              <w:bottom w:w="0" w:type="dxa"/>
              <w:right w:w="20" w:type="dxa"/>
            </w:tcMar>
            <w:vAlign w:val="center"/>
            <w:hideMark/>
          </w:tcPr>
          <w:p w14:paraId="6CF7B5F1"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60BCEA4" w14:textId="77777777" w:rsidR="00000000" w:rsidRDefault="000C49AD">
            <w:pPr>
              <w:spacing w:after="100"/>
              <w:jc w:val="both"/>
              <w:rPr>
                <w:rFonts w:eastAsia="Times New Roman"/>
              </w:rPr>
            </w:pPr>
            <w:hyperlink r:id="rId91" w:history="1">
              <w:r>
                <w:rPr>
                  <w:rStyle w:val="a3"/>
                  <w:rFonts w:eastAsia="Times New Roman"/>
                  <w:sz w:val="20"/>
                  <w:szCs w:val="20"/>
                </w:rPr>
                <w:t>Certification of the Chief Executive Officer pursuant to USC Section 1350, as adopted pursuant to Section 906 of the Sarbanes-Oxley Act of 2002 (furnished herewith)</w:t>
              </w:r>
            </w:hyperlink>
          </w:p>
        </w:tc>
      </w:tr>
      <w:tr w:rsidR="00000000" w14:paraId="7B8708FF" w14:textId="77777777">
        <w:trPr>
          <w:divId w:val="459033053"/>
          <w:trHeight w:val="300"/>
          <w:jc w:val="center"/>
        </w:trPr>
        <w:tc>
          <w:tcPr>
            <w:tcW w:w="0" w:type="auto"/>
            <w:gridSpan w:val="3"/>
            <w:tcMar>
              <w:top w:w="0" w:type="dxa"/>
              <w:left w:w="20" w:type="dxa"/>
              <w:bottom w:w="0" w:type="dxa"/>
              <w:right w:w="20" w:type="dxa"/>
            </w:tcMar>
            <w:vAlign w:val="center"/>
            <w:hideMark/>
          </w:tcPr>
          <w:p w14:paraId="227700FE"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A6DE1A5"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765AD1" w14:textId="77777777" w:rsidR="00000000" w:rsidRDefault="000C49AD">
            <w:pPr>
              <w:spacing w:after="100"/>
              <w:rPr>
                <w:rFonts w:eastAsia="Times New Roman"/>
                <w:sz w:val="20"/>
                <w:szCs w:val="20"/>
              </w:rPr>
            </w:pPr>
          </w:p>
        </w:tc>
      </w:tr>
      <w:tr w:rsidR="00000000" w14:paraId="15F50D84" w14:textId="77777777">
        <w:trPr>
          <w:divId w:val="459033053"/>
          <w:jc w:val="center"/>
        </w:trPr>
        <w:tc>
          <w:tcPr>
            <w:tcW w:w="0" w:type="auto"/>
            <w:gridSpan w:val="3"/>
            <w:tcMar>
              <w:top w:w="30" w:type="dxa"/>
              <w:left w:w="20" w:type="dxa"/>
              <w:bottom w:w="30" w:type="dxa"/>
              <w:right w:w="20" w:type="dxa"/>
            </w:tcMar>
            <w:vAlign w:val="center"/>
            <w:hideMark/>
          </w:tcPr>
          <w:p w14:paraId="06710F42" w14:textId="77777777" w:rsidR="00000000" w:rsidRDefault="000C49AD">
            <w:pPr>
              <w:spacing w:after="100"/>
              <w:jc w:val="center"/>
              <w:rPr>
                <w:rFonts w:eastAsia="Times New Roman"/>
              </w:rPr>
            </w:pPr>
            <w:r>
              <w:rPr>
                <w:rFonts w:eastAsia="Times New Roman"/>
                <w:b/>
                <w:bCs/>
                <w:color w:val="000000"/>
                <w:sz w:val="20"/>
                <w:szCs w:val="20"/>
              </w:rPr>
              <w:t>32.2</w:t>
            </w:r>
          </w:p>
        </w:tc>
        <w:tc>
          <w:tcPr>
            <w:tcW w:w="0" w:type="auto"/>
            <w:gridSpan w:val="3"/>
            <w:tcMar>
              <w:top w:w="0" w:type="dxa"/>
              <w:left w:w="20" w:type="dxa"/>
              <w:bottom w:w="0" w:type="dxa"/>
              <w:right w:w="20" w:type="dxa"/>
            </w:tcMar>
            <w:vAlign w:val="center"/>
            <w:hideMark/>
          </w:tcPr>
          <w:p w14:paraId="3A630AC1"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04A0554D" w14:textId="77777777" w:rsidR="00000000" w:rsidRDefault="000C49AD">
            <w:pPr>
              <w:spacing w:after="100"/>
              <w:jc w:val="both"/>
              <w:rPr>
                <w:rFonts w:eastAsia="Times New Roman"/>
              </w:rPr>
            </w:pPr>
            <w:hyperlink r:id="rId92" w:history="1">
              <w:r>
                <w:rPr>
                  <w:rStyle w:val="a3"/>
                  <w:rFonts w:eastAsia="Times New Roman"/>
                  <w:sz w:val="20"/>
                  <w:szCs w:val="20"/>
                </w:rPr>
                <w:t>Certification of the Principal Financial Officer pursuant to USC Section 1350, as adopted pursuant to Section 906 of the Sarbanes-Oxley Act of 2002 (furnished herewith)</w:t>
              </w:r>
            </w:hyperlink>
          </w:p>
        </w:tc>
      </w:tr>
      <w:tr w:rsidR="00000000" w14:paraId="22972E10" w14:textId="77777777">
        <w:trPr>
          <w:divId w:val="459033053"/>
          <w:trHeight w:val="300"/>
          <w:jc w:val="center"/>
        </w:trPr>
        <w:tc>
          <w:tcPr>
            <w:tcW w:w="0" w:type="auto"/>
            <w:gridSpan w:val="3"/>
            <w:tcMar>
              <w:top w:w="0" w:type="dxa"/>
              <w:left w:w="20" w:type="dxa"/>
              <w:bottom w:w="0" w:type="dxa"/>
              <w:right w:w="20" w:type="dxa"/>
            </w:tcMar>
            <w:vAlign w:val="center"/>
            <w:hideMark/>
          </w:tcPr>
          <w:p w14:paraId="751450AD"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767E0E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2ADE18" w14:textId="77777777" w:rsidR="00000000" w:rsidRDefault="000C49AD">
            <w:pPr>
              <w:spacing w:after="100"/>
              <w:rPr>
                <w:rFonts w:eastAsia="Times New Roman"/>
                <w:sz w:val="20"/>
                <w:szCs w:val="20"/>
              </w:rPr>
            </w:pPr>
          </w:p>
        </w:tc>
      </w:tr>
      <w:tr w:rsidR="00000000" w14:paraId="58425758" w14:textId="77777777">
        <w:trPr>
          <w:divId w:val="459033053"/>
          <w:jc w:val="center"/>
        </w:trPr>
        <w:tc>
          <w:tcPr>
            <w:tcW w:w="0" w:type="auto"/>
            <w:gridSpan w:val="3"/>
            <w:tcMar>
              <w:top w:w="30" w:type="dxa"/>
              <w:left w:w="20" w:type="dxa"/>
              <w:bottom w:w="30" w:type="dxa"/>
              <w:right w:w="20" w:type="dxa"/>
            </w:tcMar>
            <w:vAlign w:val="center"/>
            <w:hideMark/>
          </w:tcPr>
          <w:p w14:paraId="1CCEF282" w14:textId="77777777" w:rsidR="00000000" w:rsidRDefault="000C49AD">
            <w:pPr>
              <w:spacing w:after="100"/>
              <w:jc w:val="center"/>
              <w:rPr>
                <w:rFonts w:eastAsia="Times New Roman"/>
              </w:rPr>
            </w:pPr>
            <w:r>
              <w:rPr>
                <w:rFonts w:eastAsia="Times New Roman"/>
                <w:b/>
                <w:bCs/>
                <w:color w:val="000000"/>
                <w:sz w:val="18"/>
                <w:szCs w:val="18"/>
              </w:rPr>
              <w:t>101.INS</w:t>
            </w:r>
          </w:p>
        </w:tc>
        <w:tc>
          <w:tcPr>
            <w:tcW w:w="0" w:type="auto"/>
            <w:gridSpan w:val="3"/>
            <w:tcMar>
              <w:top w:w="0" w:type="dxa"/>
              <w:left w:w="20" w:type="dxa"/>
              <w:bottom w:w="0" w:type="dxa"/>
              <w:right w:w="20" w:type="dxa"/>
            </w:tcMar>
            <w:vAlign w:val="center"/>
            <w:hideMark/>
          </w:tcPr>
          <w:p w14:paraId="4A3A1EC5"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2BB5897" w14:textId="77777777" w:rsidR="00000000" w:rsidRDefault="000C49AD">
            <w:pPr>
              <w:spacing w:after="100"/>
              <w:jc w:val="both"/>
              <w:rPr>
                <w:rFonts w:eastAsia="Times New Roman"/>
              </w:rPr>
            </w:pPr>
            <w:r>
              <w:rPr>
                <w:rFonts w:eastAsia="Times New Roman"/>
                <w:color w:val="000000"/>
                <w:sz w:val="20"/>
                <w:szCs w:val="20"/>
              </w:rPr>
              <w:t>Inline XBRL Instant Documen</w:t>
            </w:r>
            <w:r>
              <w:rPr>
                <w:rFonts w:eastAsia="Times New Roman"/>
                <w:color w:val="000000"/>
                <w:sz w:val="20"/>
                <w:szCs w:val="20"/>
              </w:rPr>
              <w:t>t</w:t>
            </w:r>
          </w:p>
        </w:tc>
      </w:tr>
      <w:tr w:rsidR="00000000" w14:paraId="56A67E56" w14:textId="77777777">
        <w:trPr>
          <w:divId w:val="459033053"/>
          <w:trHeight w:val="300"/>
          <w:jc w:val="center"/>
        </w:trPr>
        <w:tc>
          <w:tcPr>
            <w:tcW w:w="0" w:type="auto"/>
            <w:gridSpan w:val="3"/>
            <w:tcMar>
              <w:top w:w="0" w:type="dxa"/>
              <w:left w:w="20" w:type="dxa"/>
              <w:bottom w:w="0" w:type="dxa"/>
              <w:right w:w="20" w:type="dxa"/>
            </w:tcMar>
            <w:vAlign w:val="center"/>
            <w:hideMark/>
          </w:tcPr>
          <w:p w14:paraId="041DB78B"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3170A8B"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FC2F12" w14:textId="77777777" w:rsidR="00000000" w:rsidRDefault="000C49AD">
            <w:pPr>
              <w:spacing w:after="100"/>
              <w:rPr>
                <w:rFonts w:eastAsia="Times New Roman"/>
                <w:sz w:val="20"/>
                <w:szCs w:val="20"/>
              </w:rPr>
            </w:pPr>
          </w:p>
        </w:tc>
      </w:tr>
      <w:tr w:rsidR="00000000" w14:paraId="268DA06A" w14:textId="77777777">
        <w:trPr>
          <w:divId w:val="459033053"/>
          <w:jc w:val="center"/>
        </w:trPr>
        <w:tc>
          <w:tcPr>
            <w:tcW w:w="0" w:type="auto"/>
            <w:gridSpan w:val="3"/>
            <w:tcMar>
              <w:top w:w="30" w:type="dxa"/>
              <w:left w:w="20" w:type="dxa"/>
              <w:bottom w:w="30" w:type="dxa"/>
              <w:right w:w="20" w:type="dxa"/>
            </w:tcMar>
            <w:vAlign w:val="center"/>
            <w:hideMark/>
          </w:tcPr>
          <w:p w14:paraId="4C498DF2" w14:textId="77777777" w:rsidR="00000000" w:rsidRDefault="000C49AD">
            <w:pPr>
              <w:spacing w:after="100"/>
              <w:jc w:val="center"/>
              <w:rPr>
                <w:rFonts w:eastAsia="Times New Roman"/>
              </w:rPr>
            </w:pPr>
            <w:r>
              <w:rPr>
                <w:rFonts w:eastAsia="Times New Roman"/>
                <w:b/>
                <w:bCs/>
                <w:color w:val="000000"/>
                <w:sz w:val="18"/>
                <w:szCs w:val="18"/>
              </w:rPr>
              <w:t>101.SCH</w:t>
            </w:r>
          </w:p>
        </w:tc>
        <w:tc>
          <w:tcPr>
            <w:tcW w:w="0" w:type="auto"/>
            <w:gridSpan w:val="3"/>
            <w:tcMar>
              <w:top w:w="0" w:type="dxa"/>
              <w:left w:w="20" w:type="dxa"/>
              <w:bottom w:w="0" w:type="dxa"/>
              <w:right w:w="20" w:type="dxa"/>
            </w:tcMar>
            <w:vAlign w:val="center"/>
            <w:hideMark/>
          </w:tcPr>
          <w:p w14:paraId="3CD75B8D"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2CDFF382" w14:textId="77777777" w:rsidR="00000000" w:rsidRDefault="000C49AD">
            <w:pPr>
              <w:spacing w:after="100"/>
              <w:jc w:val="both"/>
              <w:rPr>
                <w:rFonts w:eastAsia="Times New Roman"/>
              </w:rPr>
            </w:pPr>
            <w:r>
              <w:rPr>
                <w:rFonts w:eastAsia="Times New Roman"/>
                <w:color w:val="000000"/>
                <w:sz w:val="20"/>
                <w:szCs w:val="20"/>
              </w:rPr>
              <w:t>Inline XBRL Taxonomy Extension Schema Document</w:t>
            </w:r>
          </w:p>
        </w:tc>
      </w:tr>
      <w:tr w:rsidR="00000000" w14:paraId="36CC5AFB" w14:textId="77777777">
        <w:trPr>
          <w:divId w:val="459033053"/>
          <w:trHeight w:val="300"/>
          <w:jc w:val="center"/>
        </w:trPr>
        <w:tc>
          <w:tcPr>
            <w:tcW w:w="0" w:type="auto"/>
            <w:gridSpan w:val="3"/>
            <w:tcMar>
              <w:top w:w="0" w:type="dxa"/>
              <w:left w:w="20" w:type="dxa"/>
              <w:bottom w:w="0" w:type="dxa"/>
              <w:right w:w="20" w:type="dxa"/>
            </w:tcMar>
            <w:vAlign w:val="center"/>
            <w:hideMark/>
          </w:tcPr>
          <w:p w14:paraId="224FC259"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68DFA0E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2BBBB1" w14:textId="77777777" w:rsidR="00000000" w:rsidRDefault="000C49AD">
            <w:pPr>
              <w:spacing w:after="100"/>
              <w:rPr>
                <w:rFonts w:eastAsia="Times New Roman"/>
                <w:sz w:val="20"/>
                <w:szCs w:val="20"/>
              </w:rPr>
            </w:pPr>
          </w:p>
        </w:tc>
      </w:tr>
      <w:tr w:rsidR="00000000" w14:paraId="7EBD5363" w14:textId="77777777">
        <w:trPr>
          <w:divId w:val="459033053"/>
          <w:jc w:val="center"/>
        </w:trPr>
        <w:tc>
          <w:tcPr>
            <w:tcW w:w="0" w:type="auto"/>
            <w:gridSpan w:val="3"/>
            <w:tcMar>
              <w:top w:w="30" w:type="dxa"/>
              <w:left w:w="20" w:type="dxa"/>
              <w:bottom w:w="30" w:type="dxa"/>
              <w:right w:w="20" w:type="dxa"/>
            </w:tcMar>
            <w:vAlign w:val="center"/>
            <w:hideMark/>
          </w:tcPr>
          <w:p w14:paraId="58CB1551" w14:textId="77777777" w:rsidR="00000000" w:rsidRDefault="000C49AD">
            <w:pPr>
              <w:spacing w:after="100"/>
              <w:jc w:val="center"/>
              <w:rPr>
                <w:rFonts w:eastAsia="Times New Roman"/>
              </w:rPr>
            </w:pPr>
            <w:r>
              <w:rPr>
                <w:rFonts w:eastAsia="Times New Roman"/>
                <w:b/>
                <w:bCs/>
                <w:color w:val="000000"/>
                <w:sz w:val="18"/>
                <w:szCs w:val="18"/>
              </w:rPr>
              <w:t>101.CAL</w:t>
            </w:r>
          </w:p>
        </w:tc>
        <w:tc>
          <w:tcPr>
            <w:tcW w:w="0" w:type="auto"/>
            <w:gridSpan w:val="3"/>
            <w:tcMar>
              <w:top w:w="0" w:type="dxa"/>
              <w:left w:w="20" w:type="dxa"/>
              <w:bottom w:w="0" w:type="dxa"/>
              <w:right w:w="20" w:type="dxa"/>
            </w:tcMar>
            <w:vAlign w:val="center"/>
            <w:hideMark/>
          </w:tcPr>
          <w:p w14:paraId="01FD9EDE"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79C46756" w14:textId="77777777" w:rsidR="00000000" w:rsidRDefault="000C49AD">
            <w:pPr>
              <w:spacing w:after="100"/>
              <w:jc w:val="both"/>
              <w:rPr>
                <w:rFonts w:eastAsia="Times New Roman"/>
              </w:rPr>
            </w:pPr>
            <w:r>
              <w:rPr>
                <w:rFonts w:eastAsia="Times New Roman"/>
                <w:color w:val="000000"/>
                <w:sz w:val="20"/>
                <w:szCs w:val="20"/>
              </w:rPr>
              <w:t>Inline XBRL Taxonomy Extension Calculation Linkbase Document</w:t>
            </w:r>
          </w:p>
        </w:tc>
      </w:tr>
      <w:tr w:rsidR="00000000" w14:paraId="12F35644" w14:textId="77777777">
        <w:trPr>
          <w:divId w:val="459033053"/>
          <w:trHeight w:val="300"/>
          <w:jc w:val="center"/>
        </w:trPr>
        <w:tc>
          <w:tcPr>
            <w:tcW w:w="0" w:type="auto"/>
            <w:gridSpan w:val="3"/>
            <w:tcMar>
              <w:top w:w="0" w:type="dxa"/>
              <w:left w:w="20" w:type="dxa"/>
              <w:bottom w:w="0" w:type="dxa"/>
              <w:right w:w="20" w:type="dxa"/>
            </w:tcMar>
            <w:vAlign w:val="center"/>
            <w:hideMark/>
          </w:tcPr>
          <w:p w14:paraId="40350B8E"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E091389"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3F5D83" w14:textId="77777777" w:rsidR="00000000" w:rsidRDefault="000C49AD">
            <w:pPr>
              <w:spacing w:after="100"/>
              <w:rPr>
                <w:rFonts w:eastAsia="Times New Roman"/>
                <w:sz w:val="20"/>
                <w:szCs w:val="20"/>
              </w:rPr>
            </w:pPr>
          </w:p>
        </w:tc>
      </w:tr>
      <w:tr w:rsidR="00000000" w14:paraId="37BFA853" w14:textId="77777777">
        <w:trPr>
          <w:divId w:val="459033053"/>
          <w:jc w:val="center"/>
        </w:trPr>
        <w:tc>
          <w:tcPr>
            <w:tcW w:w="0" w:type="auto"/>
            <w:gridSpan w:val="3"/>
            <w:tcMar>
              <w:top w:w="30" w:type="dxa"/>
              <w:left w:w="20" w:type="dxa"/>
              <w:bottom w:w="30" w:type="dxa"/>
              <w:right w:w="20" w:type="dxa"/>
            </w:tcMar>
            <w:vAlign w:val="center"/>
            <w:hideMark/>
          </w:tcPr>
          <w:p w14:paraId="1C4122DB" w14:textId="77777777" w:rsidR="00000000" w:rsidRDefault="000C49AD">
            <w:pPr>
              <w:spacing w:after="100"/>
              <w:jc w:val="center"/>
              <w:rPr>
                <w:rFonts w:eastAsia="Times New Roman"/>
              </w:rPr>
            </w:pPr>
            <w:r>
              <w:rPr>
                <w:rFonts w:eastAsia="Times New Roman"/>
                <w:b/>
                <w:bCs/>
                <w:color w:val="000000"/>
                <w:sz w:val="18"/>
                <w:szCs w:val="18"/>
              </w:rPr>
              <w:t>101.DEF</w:t>
            </w:r>
          </w:p>
        </w:tc>
        <w:tc>
          <w:tcPr>
            <w:tcW w:w="0" w:type="auto"/>
            <w:gridSpan w:val="3"/>
            <w:tcMar>
              <w:top w:w="0" w:type="dxa"/>
              <w:left w:w="20" w:type="dxa"/>
              <w:bottom w:w="0" w:type="dxa"/>
              <w:right w:w="20" w:type="dxa"/>
            </w:tcMar>
            <w:vAlign w:val="center"/>
            <w:hideMark/>
          </w:tcPr>
          <w:p w14:paraId="09E2EF39"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62001201" w14:textId="77777777" w:rsidR="00000000" w:rsidRDefault="000C49AD">
            <w:pPr>
              <w:spacing w:after="100"/>
              <w:jc w:val="both"/>
              <w:rPr>
                <w:rFonts w:eastAsia="Times New Roman"/>
              </w:rPr>
            </w:pPr>
            <w:r>
              <w:rPr>
                <w:rFonts w:eastAsia="Times New Roman"/>
                <w:color w:val="000000"/>
                <w:sz w:val="20"/>
                <w:szCs w:val="20"/>
              </w:rPr>
              <w:t>Inline XBRL Taxonomy Extension Definition Linkbase Document</w:t>
            </w:r>
          </w:p>
        </w:tc>
      </w:tr>
      <w:tr w:rsidR="00000000" w14:paraId="5D61417C" w14:textId="77777777">
        <w:trPr>
          <w:divId w:val="459033053"/>
          <w:trHeight w:val="300"/>
          <w:jc w:val="center"/>
        </w:trPr>
        <w:tc>
          <w:tcPr>
            <w:tcW w:w="0" w:type="auto"/>
            <w:gridSpan w:val="3"/>
            <w:tcMar>
              <w:top w:w="0" w:type="dxa"/>
              <w:left w:w="20" w:type="dxa"/>
              <w:bottom w:w="0" w:type="dxa"/>
              <w:right w:w="20" w:type="dxa"/>
            </w:tcMar>
            <w:vAlign w:val="center"/>
            <w:hideMark/>
          </w:tcPr>
          <w:p w14:paraId="4EA94A93"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F9EBBBF"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958021" w14:textId="77777777" w:rsidR="00000000" w:rsidRDefault="000C49AD">
            <w:pPr>
              <w:spacing w:after="100"/>
              <w:rPr>
                <w:rFonts w:eastAsia="Times New Roman"/>
                <w:sz w:val="20"/>
                <w:szCs w:val="20"/>
              </w:rPr>
            </w:pPr>
          </w:p>
        </w:tc>
      </w:tr>
      <w:tr w:rsidR="00000000" w14:paraId="341449BA" w14:textId="77777777">
        <w:trPr>
          <w:divId w:val="459033053"/>
          <w:jc w:val="center"/>
        </w:trPr>
        <w:tc>
          <w:tcPr>
            <w:tcW w:w="0" w:type="auto"/>
            <w:gridSpan w:val="3"/>
            <w:tcMar>
              <w:top w:w="30" w:type="dxa"/>
              <w:left w:w="20" w:type="dxa"/>
              <w:bottom w:w="30" w:type="dxa"/>
              <w:right w:w="20" w:type="dxa"/>
            </w:tcMar>
            <w:vAlign w:val="center"/>
            <w:hideMark/>
          </w:tcPr>
          <w:p w14:paraId="771A2788" w14:textId="77777777" w:rsidR="00000000" w:rsidRDefault="000C49AD">
            <w:pPr>
              <w:spacing w:after="100"/>
              <w:jc w:val="center"/>
              <w:rPr>
                <w:rFonts w:eastAsia="Times New Roman"/>
              </w:rPr>
            </w:pPr>
            <w:r>
              <w:rPr>
                <w:rFonts w:eastAsia="Times New Roman"/>
                <w:b/>
                <w:bCs/>
                <w:color w:val="000000"/>
                <w:sz w:val="18"/>
                <w:szCs w:val="18"/>
              </w:rPr>
              <w:t>101.LAB</w:t>
            </w:r>
          </w:p>
        </w:tc>
        <w:tc>
          <w:tcPr>
            <w:tcW w:w="0" w:type="auto"/>
            <w:gridSpan w:val="3"/>
            <w:tcMar>
              <w:top w:w="0" w:type="dxa"/>
              <w:left w:w="20" w:type="dxa"/>
              <w:bottom w:w="0" w:type="dxa"/>
              <w:right w:w="20" w:type="dxa"/>
            </w:tcMar>
            <w:vAlign w:val="center"/>
            <w:hideMark/>
          </w:tcPr>
          <w:p w14:paraId="416B856A"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4EA1AD5" w14:textId="77777777" w:rsidR="00000000" w:rsidRDefault="000C49AD">
            <w:pPr>
              <w:spacing w:after="100"/>
              <w:jc w:val="both"/>
              <w:rPr>
                <w:rFonts w:eastAsia="Times New Roman"/>
              </w:rPr>
            </w:pPr>
            <w:r>
              <w:rPr>
                <w:rFonts w:eastAsia="Times New Roman"/>
                <w:color w:val="000000"/>
                <w:sz w:val="20"/>
                <w:szCs w:val="20"/>
              </w:rPr>
              <w:t>Inline XBRL Taxonomy Extension Labels Linkbase Document</w:t>
            </w:r>
          </w:p>
        </w:tc>
      </w:tr>
      <w:tr w:rsidR="00000000" w14:paraId="6F3CB78E" w14:textId="77777777">
        <w:trPr>
          <w:divId w:val="459033053"/>
          <w:trHeight w:val="300"/>
          <w:jc w:val="center"/>
        </w:trPr>
        <w:tc>
          <w:tcPr>
            <w:tcW w:w="0" w:type="auto"/>
            <w:gridSpan w:val="3"/>
            <w:tcMar>
              <w:top w:w="0" w:type="dxa"/>
              <w:left w:w="20" w:type="dxa"/>
              <w:bottom w:w="0" w:type="dxa"/>
              <w:right w:w="20" w:type="dxa"/>
            </w:tcMar>
            <w:vAlign w:val="center"/>
            <w:hideMark/>
          </w:tcPr>
          <w:p w14:paraId="095D3113"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7306AD6"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7F71C6" w14:textId="77777777" w:rsidR="00000000" w:rsidRDefault="000C49AD">
            <w:pPr>
              <w:spacing w:after="100"/>
              <w:rPr>
                <w:rFonts w:eastAsia="Times New Roman"/>
                <w:sz w:val="20"/>
                <w:szCs w:val="20"/>
              </w:rPr>
            </w:pPr>
          </w:p>
        </w:tc>
      </w:tr>
      <w:tr w:rsidR="00000000" w14:paraId="2E518101" w14:textId="77777777">
        <w:trPr>
          <w:divId w:val="459033053"/>
          <w:jc w:val="center"/>
        </w:trPr>
        <w:tc>
          <w:tcPr>
            <w:tcW w:w="0" w:type="auto"/>
            <w:gridSpan w:val="3"/>
            <w:tcMar>
              <w:top w:w="30" w:type="dxa"/>
              <w:left w:w="20" w:type="dxa"/>
              <w:bottom w:w="30" w:type="dxa"/>
              <w:right w:w="20" w:type="dxa"/>
            </w:tcMar>
            <w:vAlign w:val="center"/>
            <w:hideMark/>
          </w:tcPr>
          <w:p w14:paraId="075AC1E5" w14:textId="77777777" w:rsidR="00000000" w:rsidRDefault="000C49AD">
            <w:pPr>
              <w:spacing w:after="100"/>
              <w:jc w:val="center"/>
              <w:rPr>
                <w:rFonts w:eastAsia="Times New Roman"/>
              </w:rPr>
            </w:pPr>
            <w:r>
              <w:rPr>
                <w:rFonts w:eastAsia="Times New Roman"/>
                <w:b/>
                <w:bCs/>
                <w:color w:val="000000"/>
                <w:sz w:val="18"/>
                <w:szCs w:val="18"/>
              </w:rPr>
              <w:t>101.PRE</w:t>
            </w:r>
          </w:p>
        </w:tc>
        <w:tc>
          <w:tcPr>
            <w:tcW w:w="0" w:type="auto"/>
            <w:gridSpan w:val="3"/>
            <w:tcMar>
              <w:top w:w="0" w:type="dxa"/>
              <w:left w:w="20" w:type="dxa"/>
              <w:bottom w:w="0" w:type="dxa"/>
              <w:right w:w="20" w:type="dxa"/>
            </w:tcMar>
            <w:vAlign w:val="center"/>
            <w:hideMark/>
          </w:tcPr>
          <w:p w14:paraId="3FCD12AF"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95288A9" w14:textId="77777777" w:rsidR="00000000" w:rsidRDefault="000C49AD">
            <w:pPr>
              <w:spacing w:after="100"/>
              <w:jc w:val="both"/>
              <w:rPr>
                <w:rFonts w:eastAsia="Times New Roman"/>
              </w:rPr>
            </w:pPr>
            <w:r>
              <w:rPr>
                <w:rFonts w:eastAsia="Times New Roman"/>
                <w:color w:val="000000"/>
                <w:sz w:val="18"/>
                <w:szCs w:val="18"/>
              </w:rPr>
              <w:t>Inline XBRL Taxonomy Extension Presentation Linkbase Document</w:t>
            </w:r>
          </w:p>
        </w:tc>
      </w:tr>
      <w:tr w:rsidR="00000000" w14:paraId="2BD7230E" w14:textId="77777777">
        <w:trPr>
          <w:divId w:val="459033053"/>
          <w:trHeight w:val="280"/>
          <w:jc w:val="center"/>
        </w:trPr>
        <w:tc>
          <w:tcPr>
            <w:tcW w:w="0" w:type="auto"/>
            <w:gridSpan w:val="3"/>
            <w:tcMar>
              <w:top w:w="0" w:type="dxa"/>
              <w:left w:w="20" w:type="dxa"/>
              <w:bottom w:w="0" w:type="dxa"/>
              <w:right w:w="20" w:type="dxa"/>
            </w:tcMar>
            <w:vAlign w:val="center"/>
            <w:hideMark/>
          </w:tcPr>
          <w:p w14:paraId="07CED364" w14:textId="77777777" w:rsidR="00000000" w:rsidRDefault="000C49AD">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4905682"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536F06" w14:textId="77777777" w:rsidR="00000000" w:rsidRDefault="000C49AD">
            <w:pPr>
              <w:spacing w:after="100"/>
              <w:rPr>
                <w:rFonts w:eastAsia="Times New Roman"/>
                <w:sz w:val="20"/>
                <w:szCs w:val="20"/>
              </w:rPr>
            </w:pPr>
          </w:p>
        </w:tc>
      </w:tr>
      <w:tr w:rsidR="00000000" w14:paraId="5928C19E" w14:textId="77777777">
        <w:trPr>
          <w:divId w:val="459033053"/>
          <w:jc w:val="center"/>
        </w:trPr>
        <w:tc>
          <w:tcPr>
            <w:tcW w:w="0" w:type="auto"/>
            <w:gridSpan w:val="3"/>
            <w:tcMar>
              <w:top w:w="30" w:type="dxa"/>
              <w:left w:w="20" w:type="dxa"/>
              <w:bottom w:w="30" w:type="dxa"/>
              <w:right w:w="20" w:type="dxa"/>
            </w:tcMar>
            <w:vAlign w:val="center"/>
            <w:hideMark/>
          </w:tcPr>
          <w:p w14:paraId="77689CCF" w14:textId="77777777" w:rsidR="00000000" w:rsidRDefault="000C49AD">
            <w:pPr>
              <w:spacing w:after="100"/>
              <w:jc w:val="center"/>
              <w:rPr>
                <w:rFonts w:eastAsia="Times New Roman"/>
              </w:rPr>
            </w:pPr>
            <w:r>
              <w:rPr>
                <w:rFonts w:eastAsia="Times New Roman"/>
                <w:b/>
                <w:bCs/>
                <w:color w:val="000000"/>
                <w:sz w:val="18"/>
                <w:szCs w:val="18"/>
              </w:rPr>
              <w:t>104</w:t>
            </w:r>
          </w:p>
        </w:tc>
        <w:tc>
          <w:tcPr>
            <w:tcW w:w="0" w:type="auto"/>
            <w:gridSpan w:val="3"/>
            <w:tcMar>
              <w:top w:w="0" w:type="dxa"/>
              <w:left w:w="20" w:type="dxa"/>
              <w:bottom w:w="0" w:type="dxa"/>
              <w:right w:w="20" w:type="dxa"/>
            </w:tcMar>
            <w:vAlign w:val="center"/>
            <w:hideMark/>
          </w:tcPr>
          <w:p w14:paraId="0354B168" w14:textId="77777777" w:rsidR="00000000" w:rsidRDefault="000C49AD">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3268E2A" w14:textId="77777777" w:rsidR="00000000" w:rsidRDefault="000C49AD">
            <w:pPr>
              <w:spacing w:after="100"/>
              <w:divId w:val="339738911"/>
              <w:rPr>
                <w:rFonts w:eastAsia="Times New Roman"/>
              </w:rPr>
            </w:pPr>
            <w:r>
              <w:rPr>
                <w:rFonts w:eastAsia="Times New Roman"/>
                <w:color w:val="000000"/>
                <w:sz w:val="20"/>
                <w:szCs w:val="20"/>
              </w:rPr>
              <w:t xml:space="preserve">Cover Page Interactive Data File (formatted as inline XBRL with applicable taxonomy extension information contained in Exhibits 101.*) </w:t>
            </w:r>
            <w:r>
              <w:rPr>
                <w:rFonts w:eastAsia="Times New Roman"/>
                <w:color w:val="0000FF"/>
                <w:sz w:val="20"/>
                <w:szCs w:val="20"/>
              </w:rPr>
              <w:t>(filed herewith)</w:t>
            </w:r>
          </w:p>
        </w:tc>
      </w:tr>
    </w:tbl>
    <w:p w14:paraId="0B98AB82" w14:textId="77777777" w:rsidR="00000000" w:rsidRDefault="000C49AD">
      <w:pPr>
        <w:jc w:val="both"/>
        <w:divId w:val="1365138336"/>
        <w:rPr>
          <w:rFonts w:eastAsia="Times New Roman"/>
        </w:rPr>
      </w:pPr>
      <w:r>
        <w:rPr>
          <w:rFonts w:eastAsia="Times New Roman"/>
          <w:b/>
          <w:bCs/>
          <w:color w:val="000000"/>
          <w:sz w:val="18"/>
          <w:szCs w:val="18"/>
        </w:rPr>
        <w:t xml:space="preserve">* </w:t>
      </w:r>
      <w:r>
        <w:rPr>
          <w:rFonts w:eastAsia="Times New Roman"/>
          <w:color w:val="000000"/>
          <w:sz w:val="18"/>
          <w:szCs w:val="18"/>
        </w:rPr>
        <w:t>Confidential treatment has been requested for the redacted portions of this agreement. A complete copy of the agreement, including the redacted portions, has been filed separately with the Securities and Exchange Commission.</w:t>
      </w:r>
    </w:p>
    <w:p w14:paraId="7AF85D49" w14:textId="77777777" w:rsidR="00000000" w:rsidRDefault="000C49AD">
      <w:pPr>
        <w:jc w:val="both"/>
        <w:divId w:val="1041324587"/>
        <w:rPr>
          <w:rFonts w:eastAsia="Times New Roman"/>
        </w:rPr>
      </w:pPr>
      <w:r>
        <w:rPr>
          <w:rFonts w:eastAsia="Times New Roman"/>
          <w:color w:val="000000"/>
          <w:sz w:val="18"/>
          <w:szCs w:val="18"/>
        </w:rPr>
        <w:t># The representations and warranties contained in this agreement were made only for purposes of the transactions contemplated by the agreement as of specific dates and may have been qualified by certain disclosures between the parties and a contractual sta</w:t>
      </w:r>
      <w:r>
        <w:rPr>
          <w:rFonts w:eastAsia="Times New Roman"/>
          <w:color w:val="000000"/>
          <w:sz w:val="18"/>
          <w:szCs w:val="18"/>
        </w:rPr>
        <w:t>ndard of materiality different from those generally applicable under securities laws, among other limitations. The representations and warranties were made for purposes of allocating contractual risk between the parties to the agreement and should not be r</w:t>
      </w:r>
      <w:r>
        <w:rPr>
          <w:rFonts w:eastAsia="Times New Roman"/>
          <w:color w:val="000000"/>
          <w:sz w:val="18"/>
          <w:szCs w:val="18"/>
        </w:rPr>
        <w:t>elied upon as a disclosure of factual information relating to the Company, the Investors or the transaction described in the Current Report on Form 8-K.</w:t>
      </w:r>
    </w:p>
    <w:p w14:paraId="251FA92A" w14:textId="77777777" w:rsidR="00000000" w:rsidRDefault="000C49AD">
      <w:pPr>
        <w:jc w:val="both"/>
        <w:divId w:val="1256671846"/>
        <w:rPr>
          <w:rFonts w:eastAsia="Times New Roman"/>
        </w:rPr>
      </w:pPr>
      <w:r>
        <w:rPr>
          <w:rFonts w:eastAsia="Times New Roman"/>
          <w:b/>
          <w:bCs/>
          <w:color w:val="000000"/>
          <w:sz w:val="18"/>
          <w:szCs w:val="18"/>
        </w:rPr>
        <w:t xml:space="preserve">‡ </w:t>
      </w:r>
      <w:r>
        <w:rPr>
          <w:rFonts w:eastAsia="Times New Roman"/>
          <w:color w:val="000000"/>
          <w:sz w:val="18"/>
          <w:szCs w:val="18"/>
        </w:rPr>
        <w:t>Management contract or compensatory plan or arrangement filed pursuant to Item 15(b) of Form 10-K.</w:t>
      </w:r>
    </w:p>
    <w:p w14:paraId="4AA97C9C" w14:textId="77777777" w:rsidR="00000000" w:rsidRDefault="000C49AD">
      <w:pPr>
        <w:jc w:val="both"/>
        <w:divId w:val="1023432383"/>
        <w:rPr>
          <w:rFonts w:eastAsia="Times New Roman"/>
        </w:rPr>
      </w:pPr>
      <w:r>
        <w:rPr>
          <w:rFonts w:eastAsia="Times New Roman"/>
          <w:color w:val="000000"/>
          <w:sz w:val="18"/>
          <w:szCs w:val="18"/>
        </w:rPr>
        <w:t>(1</w:t>
      </w:r>
      <w:r>
        <w:rPr>
          <w:rFonts w:eastAsia="Times New Roman"/>
          <w:color w:val="000000"/>
          <w:sz w:val="18"/>
          <w:szCs w:val="18"/>
        </w:rPr>
        <w:t>) This certification accompanies the Form 10-K to which it relates, is not deemed filed with the Securities and Exchange Commission and is not to be incorporated by reference into any filing of the registrant under the Securities Act of 1933 or the Securit</w:t>
      </w:r>
      <w:r>
        <w:rPr>
          <w:rFonts w:eastAsia="Times New Roman"/>
          <w:color w:val="000000"/>
          <w:sz w:val="18"/>
          <w:szCs w:val="18"/>
        </w:rPr>
        <w:t xml:space="preserve">ies Exchange Act of 1934 (whether made before or after the date of the Form 10-K), irrespective of any general incorporation language contained in such filing. </w:t>
      </w:r>
    </w:p>
    <w:p w14:paraId="631E4A08" w14:textId="77777777" w:rsidR="00000000" w:rsidRDefault="000C49AD">
      <w:pPr>
        <w:jc w:val="both"/>
        <w:divId w:val="2143964422"/>
        <w:rPr>
          <w:rFonts w:eastAsia="Times New Roman"/>
        </w:rPr>
      </w:pPr>
    </w:p>
    <w:p w14:paraId="1C0AFB30" w14:textId="77777777" w:rsidR="00000000" w:rsidRDefault="000C49AD">
      <w:pPr>
        <w:jc w:val="both"/>
        <w:divId w:val="1956524806"/>
        <w:rPr>
          <w:rFonts w:eastAsia="Times New Roman"/>
        </w:rPr>
      </w:pPr>
      <w:r>
        <w:rPr>
          <w:rFonts w:eastAsia="Times New Roman"/>
          <w:color w:val="000000"/>
          <w:sz w:val="20"/>
          <w:szCs w:val="20"/>
        </w:rPr>
        <w:t>  </w:t>
      </w:r>
    </w:p>
    <w:p w14:paraId="6C531197" w14:textId="77777777" w:rsidR="00000000" w:rsidRDefault="000C49AD">
      <w:pPr>
        <w:jc w:val="both"/>
        <w:divId w:val="262229779"/>
        <w:rPr>
          <w:rFonts w:eastAsia="Times New Roman"/>
        </w:rPr>
      </w:pPr>
    </w:p>
    <w:p w14:paraId="49D6ADB0" w14:textId="77777777" w:rsidR="00000000" w:rsidRDefault="000C49AD">
      <w:pPr>
        <w:jc w:val="center"/>
        <w:divId w:val="726807266"/>
        <w:rPr>
          <w:rFonts w:eastAsia="Times New Roman"/>
        </w:rPr>
      </w:pPr>
      <w:r>
        <w:rPr>
          <w:rFonts w:eastAsia="Times New Roman"/>
          <w:color w:val="000000"/>
          <w:sz w:val="20"/>
          <w:szCs w:val="20"/>
        </w:rPr>
        <w:t>-115-</w:t>
      </w:r>
    </w:p>
    <w:p w14:paraId="4BD21F10" w14:textId="77777777" w:rsidR="00000000" w:rsidRDefault="000C49AD">
      <w:pPr>
        <w:rPr>
          <w:rFonts w:eastAsia="Times New Roman"/>
        </w:rPr>
      </w:pPr>
      <w:r>
        <w:rPr>
          <w:rFonts w:eastAsia="Times New Roman"/>
        </w:rPr>
        <w:pict w14:anchorId="0FE5A0A0">
          <v:rect id="_x0000_i1140" style="width:0;height:1.5pt" o:hralign="center" o:hrstd="t" o:hr="t" fillcolor="#a0a0a0" stroked="f"/>
        </w:pict>
      </w:r>
    </w:p>
    <w:p w14:paraId="56FE98C1" w14:textId="77777777" w:rsidR="00000000" w:rsidRDefault="000C49AD">
      <w:pPr>
        <w:divId w:val="987830307"/>
        <w:rPr>
          <w:rFonts w:eastAsia="Times New Roman"/>
        </w:rPr>
      </w:pPr>
    </w:p>
    <w:p w14:paraId="00370C31" w14:textId="77777777" w:rsidR="00000000" w:rsidRDefault="000C49AD">
      <w:pPr>
        <w:jc w:val="center"/>
        <w:rPr>
          <w:rFonts w:eastAsia="Times New Roman"/>
        </w:rPr>
      </w:pPr>
      <w:r>
        <w:rPr>
          <w:rFonts w:eastAsia="Times New Roman"/>
          <w:b/>
          <w:bCs/>
          <w:color w:val="000000"/>
          <w:sz w:val="20"/>
          <w:szCs w:val="20"/>
        </w:rPr>
        <w:t>SIGNATURES</w:t>
      </w:r>
    </w:p>
    <w:p w14:paraId="5ADB72BD" w14:textId="77777777" w:rsidR="00000000" w:rsidRDefault="000C49AD">
      <w:pPr>
        <w:jc w:val="both"/>
        <w:rPr>
          <w:rFonts w:eastAsia="Times New Roman"/>
        </w:rPr>
      </w:pPr>
      <w:r>
        <w:rPr>
          <w:rFonts w:eastAsia="Times New Roman"/>
          <w:color w:val="000000"/>
          <w:sz w:val="20"/>
          <w:szCs w:val="20"/>
        </w:rPr>
        <w:t> </w:t>
      </w:r>
    </w:p>
    <w:p w14:paraId="2FCDACAE" w14:textId="77777777" w:rsidR="00000000" w:rsidRDefault="000C49AD">
      <w:pPr>
        <w:jc w:val="both"/>
        <w:rPr>
          <w:rFonts w:eastAsia="Times New Roman"/>
        </w:rPr>
      </w:pPr>
      <w:r>
        <w:rPr>
          <w:rFonts w:eastAsia="Times New Roman"/>
          <w:color w:val="000000"/>
          <w:sz w:val="20"/>
          <w:szCs w:val="20"/>
        </w:rPr>
        <w:t>Pursuant to the requirements of</w:t>
      </w:r>
      <w:r>
        <w:rPr>
          <w:rFonts w:eastAsia="Times New Roman"/>
          <w:color w:val="000000"/>
          <w:sz w:val="20"/>
          <w:szCs w:val="20"/>
        </w:rPr>
        <w:t xml:space="preserve"> Section 13 or 15(d) of the Securities Exchange Act of 1934, the registrant has duly caused this Report to be signed on its behalf by the undersigned, thereunto duly authorized.</w:t>
      </w:r>
    </w:p>
    <w:p w14:paraId="00666648" w14:textId="77777777" w:rsidR="00000000" w:rsidRDefault="000C49AD">
      <w:pPr>
        <w:jc w:val="both"/>
        <w:rPr>
          <w:rFonts w:eastAsia="Times New Roman"/>
        </w:rPr>
      </w:pPr>
      <w:r>
        <w:rPr>
          <w:rFonts w:eastAsia="Times New Roman"/>
          <w:color w:val="000000"/>
          <w:sz w:val="20"/>
          <w:szCs w:val="20"/>
        </w:rPr>
        <w:t> </w:t>
      </w:r>
    </w:p>
    <w:tbl>
      <w:tblPr>
        <w:tblW w:w="4992" w:type="pct"/>
        <w:tblCellMar>
          <w:top w:w="15" w:type="dxa"/>
          <w:left w:w="15" w:type="dxa"/>
          <w:bottom w:w="15" w:type="dxa"/>
          <w:right w:w="15" w:type="dxa"/>
        </w:tblCellMar>
        <w:tblLook w:val="04A0" w:firstRow="1" w:lastRow="0" w:firstColumn="1" w:lastColumn="0" w:noHBand="0" w:noVBand="1"/>
      </w:tblPr>
      <w:tblGrid>
        <w:gridCol w:w="69"/>
        <w:gridCol w:w="3635"/>
        <w:gridCol w:w="36"/>
        <w:gridCol w:w="69"/>
        <w:gridCol w:w="367"/>
        <w:gridCol w:w="36"/>
        <w:gridCol w:w="69"/>
        <w:gridCol w:w="3976"/>
        <w:gridCol w:w="36"/>
      </w:tblGrid>
      <w:tr w:rsidR="00000000" w14:paraId="037E4C7C" w14:textId="77777777">
        <w:tc>
          <w:tcPr>
            <w:tcW w:w="50" w:type="pct"/>
            <w:vAlign w:val="center"/>
            <w:hideMark/>
          </w:tcPr>
          <w:p w14:paraId="736E8E2D" w14:textId="77777777" w:rsidR="00000000" w:rsidRDefault="000C49AD">
            <w:pPr>
              <w:jc w:val="both"/>
              <w:rPr>
                <w:rFonts w:eastAsia="Times New Roman"/>
              </w:rPr>
            </w:pPr>
          </w:p>
        </w:tc>
        <w:tc>
          <w:tcPr>
            <w:tcW w:w="2199" w:type="pct"/>
            <w:vAlign w:val="center"/>
            <w:hideMark/>
          </w:tcPr>
          <w:p w14:paraId="73515320" w14:textId="77777777" w:rsidR="00000000" w:rsidRDefault="000C49AD">
            <w:pPr>
              <w:spacing w:after="100"/>
              <w:rPr>
                <w:rFonts w:eastAsia="Times New Roman"/>
                <w:sz w:val="20"/>
                <w:szCs w:val="20"/>
              </w:rPr>
            </w:pPr>
          </w:p>
        </w:tc>
        <w:tc>
          <w:tcPr>
            <w:tcW w:w="5" w:type="pct"/>
            <w:vAlign w:val="center"/>
            <w:hideMark/>
          </w:tcPr>
          <w:p w14:paraId="11EEE7BE" w14:textId="77777777" w:rsidR="00000000" w:rsidRDefault="000C49AD">
            <w:pPr>
              <w:spacing w:after="100"/>
              <w:rPr>
                <w:rFonts w:eastAsia="Times New Roman"/>
                <w:sz w:val="20"/>
                <w:szCs w:val="20"/>
              </w:rPr>
            </w:pPr>
          </w:p>
        </w:tc>
        <w:tc>
          <w:tcPr>
            <w:tcW w:w="50" w:type="pct"/>
            <w:vAlign w:val="center"/>
            <w:hideMark/>
          </w:tcPr>
          <w:p w14:paraId="153D13E8" w14:textId="77777777" w:rsidR="00000000" w:rsidRDefault="000C49AD">
            <w:pPr>
              <w:spacing w:after="100"/>
              <w:rPr>
                <w:rFonts w:eastAsia="Times New Roman"/>
                <w:sz w:val="20"/>
                <w:szCs w:val="20"/>
              </w:rPr>
            </w:pPr>
          </w:p>
        </w:tc>
        <w:tc>
          <w:tcPr>
            <w:tcW w:w="230" w:type="pct"/>
            <w:vAlign w:val="center"/>
            <w:hideMark/>
          </w:tcPr>
          <w:p w14:paraId="63316161" w14:textId="77777777" w:rsidR="00000000" w:rsidRDefault="000C49AD">
            <w:pPr>
              <w:spacing w:after="100"/>
              <w:rPr>
                <w:rFonts w:eastAsia="Times New Roman"/>
                <w:sz w:val="20"/>
                <w:szCs w:val="20"/>
              </w:rPr>
            </w:pPr>
          </w:p>
        </w:tc>
        <w:tc>
          <w:tcPr>
            <w:tcW w:w="5" w:type="pct"/>
            <w:vAlign w:val="center"/>
            <w:hideMark/>
          </w:tcPr>
          <w:p w14:paraId="7871A59E" w14:textId="77777777" w:rsidR="00000000" w:rsidRDefault="000C49AD">
            <w:pPr>
              <w:spacing w:after="100"/>
              <w:rPr>
                <w:rFonts w:eastAsia="Times New Roman"/>
                <w:sz w:val="20"/>
                <w:szCs w:val="20"/>
              </w:rPr>
            </w:pPr>
          </w:p>
        </w:tc>
        <w:tc>
          <w:tcPr>
            <w:tcW w:w="50" w:type="pct"/>
            <w:vAlign w:val="center"/>
            <w:hideMark/>
          </w:tcPr>
          <w:p w14:paraId="3AEBA75E" w14:textId="77777777" w:rsidR="00000000" w:rsidRDefault="000C49AD">
            <w:pPr>
              <w:spacing w:after="100"/>
              <w:rPr>
                <w:rFonts w:eastAsia="Times New Roman"/>
                <w:sz w:val="20"/>
                <w:szCs w:val="20"/>
              </w:rPr>
            </w:pPr>
          </w:p>
        </w:tc>
        <w:tc>
          <w:tcPr>
            <w:tcW w:w="2404" w:type="pct"/>
            <w:vAlign w:val="center"/>
            <w:hideMark/>
          </w:tcPr>
          <w:p w14:paraId="7D809C7C" w14:textId="77777777" w:rsidR="00000000" w:rsidRDefault="000C49AD">
            <w:pPr>
              <w:spacing w:after="100"/>
              <w:rPr>
                <w:rFonts w:eastAsia="Times New Roman"/>
                <w:sz w:val="20"/>
                <w:szCs w:val="20"/>
              </w:rPr>
            </w:pPr>
          </w:p>
        </w:tc>
        <w:tc>
          <w:tcPr>
            <w:tcW w:w="5" w:type="pct"/>
            <w:vAlign w:val="center"/>
            <w:hideMark/>
          </w:tcPr>
          <w:p w14:paraId="4A002AFF" w14:textId="77777777" w:rsidR="00000000" w:rsidRDefault="000C49AD">
            <w:pPr>
              <w:spacing w:after="100"/>
              <w:rPr>
                <w:rFonts w:eastAsia="Times New Roman"/>
                <w:sz w:val="20"/>
                <w:szCs w:val="20"/>
              </w:rPr>
            </w:pPr>
          </w:p>
        </w:tc>
      </w:tr>
      <w:tr w:rsidR="00000000" w14:paraId="37A16CC8" w14:textId="77777777">
        <w:tc>
          <w:tcPr>
            <w:tcW w:w="0" w:type="auto"/>
            <w:gridSpan w:val="3"/>
            <w:tcMar>
              <w:top w:w="30" w:type="dxa"/>
              <w:left w:w="20" w:type="dxa"/>
              <w:bottom w:w="30" w:type="dxa"/>
              <w:right w:w="20" w:type="dxa"/>
            </w:tcMar>
            <w:vAlign w:val="bottom"/>
            <w:hideMark/>
          </w:tcPr>
          <w:p w14:paraId="1F48EE57"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BEC4969"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2C917C3" w14:textId="77777777" w:rsidR="00000000" w:rsidRDefault="000C49AD">
            <w:pPr>
              <w:spacing w:after="100"/>
              <w:rPr>
                <w:rFonts w:eastAsia="Times New Roman"/>
              </w:rPr>
            </w:pPr>
            <w:r>
              <w:rPr>
                <w:rFonts w:eastAsia="Times New Roman"/>
                <w:color w:val="000000"/>
                <w:sz w:val="20"/>
                <w:szCs w:val="20"/>
              </w:rPr>
              <w:t>Avadel Pharmaceuticals plc</w:t>
            </w:r>
          </w:p>
        </w:tc>
      </w:tr>
      <w:tr w:rsidR="00000000" w14:paraId="0B75C354" w14:textId="77777777">
        <w:trPr>
          <w:trHeight w:val="60"/>
        </w:trPr>
        <w:tc>
          <w:tcPr>
            <w:tcW w:w="0" w:type="auto"/>
            <w:gridSpan w:val="3"/>
            <w:tcMar>
              <w:top w:w="0" w:type="dxa"/>
              <w:left w:w="20" w:type="dxa"/>
              <w:bottom w:w="0" w:type="dxa"/>
              <w:right w:w="20" w:type="dxa"/>
            </w:tcMar>
            <w:vAlign w:val="center"/>
            <w:hideMark/>
          </w:tcPr>
          <w:p w14:paraId="46D6FF6F" w14:textId="77777777" w:rsidR="00000000" w:rsidRDefault="000C49AD">
            <w:pPr>
              <w:spacing w:after="100"/>
              <w:rPr>
                <w:rFonts w:eastAsia="Times New Roman"/>
              </w:rPr>
            </w:pPr>
          </w:p>
        </w:tc>
        <w:tc>
          <w:tcPr>
            <w:tcW w:w="0" w:type="auto"/>
            <w:gridSpan w:val="3"/>
            <w:tcMar>
              <w:top w:w="0" w:type="dxa"/>
              <w:left w:w="20" w:type="dxa"/>
              <w:bottom w:w="0" w:type="dxa"/>
              <w:right w:w="20" w:type="dxa"/>
            </w:tcMar>
            <w:vAlign w:val="center"/>
            <w:hideMark/>
          </w:tcPr>
          <w:p w14:paraId="411229CE"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DA8D90" w14:textId="77777777" w:rsidR="00000000" w:rsidRDefault="000C49AD">
            <w:pPr>
              <w:spacing w:after="100"/>
              <w:rPr>
                <w:rFonts w:eastAsia="Times New Roman"/>
                <w:sz w:val="20"/>
                <w:szCs w:val="20"/>
              </w:rPr>
            </w:pPr>
          </w:p>
        </w:tc>
      </w:tr>
      <w:tr w:rsidR="00000000" w14:paraId="318B197C" w14:textId="77777777">
        <w:tc>
          <w:tcPr>
            <w:tcW w:w="0" w:type="auto"/>
            <w:gridSpan w:val="3"/>
            <w:tcMar>
              <w:top w:w="30" w:type="dxa"/>
              <w:left w:w="20" w:type="dxa"/>
              <w:bottom w:w="30" w:type="dxa"/>
              <w:right w:w="20" w:type="dxa"/>
            </w:tcMar>
            <w:vAlign w:val="bottom"/>
            <w:hideMark/>
          </w:tcPr>
          <w:p w14:paraId="3FD3244A" w14:textId="77777777" w:rsidR="00000000" w:rsidRDefault="000C49AD">
            <w:pPr>
              <w:spacing w:after="100"/>
              <w:rPr>
                <w:rFonts w:eastAsia="Times New Roman"/>
              </w:rPr>
            </w:pPr>
            <w:r>
              <w:rPr>
                <w:rFonts w:eastAsia="Times New Roman"/>
                <w:color w:val="000000"/>
                <w:sz w:val="20"/>
                <w:szCs w:val="20"/>
              </w:rPr>
              <w:t>Dated: March 16, 2022</w:t>
            </w:r>
          </w:p>
        </w:tc>
        <w:tc>
          <w:tcPr>
            <w:tcW w:w="0" w:type="auto"/>
            <w:gridSpan w:val="3"/>
            <w:tcMar>
              <w:top w:w="30" w:type="dxa"/>
              <w:left w:w="20" w:type="dxa"/>
              <w:bottom w:w="30" w:type="dxa"/>
              <w:right w:w="20" w:type="dxa"/>
            </w:tcMar>
            <w:vAlign w:val="bottom"/>
            <w:hideMark/>
          </w:tcPr>
          <w:p w14:paraId="2223FC42" w14:textId="77777777" w:rsidR="00000000" w:rsidRDefault="000C49AD">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59912D7E" w14:textId="77777777" w:rsidR="00000000" w:rsidRDefault="000C49AD">
            <w:pPr>
              <w:spacing w:after="100"/>
              <w:rPr>
                <w:rFonts w:eastAsia="Times New Roman"/>
              </w:rPr>
            </w:pPr>
            <w:r>
              <w:rPr>
                <w:rFonts w:eastAsia="Times New Roman"/>
                <w:color w:val="000000"/>
                <w:sz w:val="20"/>
                <w:szCs w:val="20"/>
              </w:rPr>
              <w:t>/s/ Gregory J. Divis</w:t>
            </w:r>
          </w:p>
        </w:tc>
      </w:tr>
      <w:tr w:rsidR="00000000" w14:paraId="5121FCDC" w14:textId="77777777">
        <w:tc>
          <w:tcPr>
            <w:tcW w:w="0" w:type="auto"/>
            <w:gridSpan w:val="3"/>
            <w:tcMar>
              <w:top w:w="30" w:type="dxa"/>
              <w:left w:w="20" w:type="dxa"/>
              <w:bottom w:w="30" w:type="dxa"/>
              <w:right w:w="20" w:type="dxa"/>
            </w:tcMar>
            <w:vAlign w:val="bottom"/>
            <w:hideMark/>
          </w:tcPr>
          <w:p w14:paraId="405D744D"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C438809"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hideMark/>
          </w:tcPr>
          <w:p w14:paraId="25C6A7D9" w14:textId="77777777" w:rsidR="00000000" w:rsidRDefault="000C49AD">
            <w:pPr>
              <w:spacing w:after="100"/>
              <w:rPr>
                <w:rFonts w:eastAsia="Times New Roman"/>
              </w:rPr>
            </w:pPr>
            <w:r>
              <w:rPr>
                <w:rFonts w:eastAsia="Times New Roman"/>
                <w:color w:val="000000"/>
                <w:sz w:val="20"/>
                <w:szCs w:val="20"/>
              </w:rPr>
              <w:t>Name:   Gregory J. Divis</w:t>
            </w:r>
          </w:p>
        </w:tc>
      </w:tr>
      <w:tr w:rsidR="00000000" w14:paraId="4D128C05" w14:textId="77777777">
        <w:tc>
          <w:tcPr>
            <w:tcW w:w="0" w:type="auto"/>
            <w:gridSpan w:val="3"/>
            <w:tcMar>
              <w:top w:w="30" w:type="dxa"/>
              <w:left w:w="20" w:type="dxa"/>
              <w:bottom w:w="30" w:type="dxa"/>
              <w:right w:w="20" w:type="dxa"/>
            </w:tcMar>
            <w:vAlign w:val="bottom"/>
            <w:hideMark/>
          </w:tcPr>
          <w:p w14:paraId="1FEE5346"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4FD659F"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14:paraId="58303949" w14:textId="77777777" w:rsidR="00000000" w:rsidRDefault="000C49AD">
            <w:pPr>
              <w:spacing w:after="100"/>
              <w:rPr>
                <w:rFonts w:eastAsia="Times New Roman"/>
              </w:rPr>
            </w:pPr>
            <w:r>
              <w:rPr>
                <w:rFonts w:eastAsia="Times New Roman"/>
                <w:color w:val="000000"/>
                <w:sz w:val="20"/>
                <w:szCs w:val="20"/>
              </w:rPr>
              <w:t>Title:    Chief Executive Officer</w:t>
            </w:r>
          </w:p>
        </w:tc>
      </w:tr>
    </w:tbl>
    <w:p w14:paraId="5B92883C" w14:textId="77777777" w:rsidR="00000000" w:rsidRDefault="000C49AD">
      <w:pPr>
        <w:jc w:val="both"/>
        <w:rPr>
          <w:rFonts w:eastAsia="Times New Roman"/>
        </w:rPr>
      </w:pPr>
      <w:r>
        <w:rPr>
          <w:rFonts w:eastAsia="Times New Roman"/>
          <w:color w:val="000000"/>
          <w:sz w:val="20"/>
          <w:szCs w:val="20"/>
        </w:rPr>
        <w:t> </w:t>
      </w:r>
    </w:p>
    <w:p w14:paraId="1F815FA2" w14:textId="77777777" w:rsidR="00000000" w:rsidRDefault="000C49AD">
      <w:pPr>
        <w:jc w:val="both"/>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p w14:paraId="413E8AAA" w14:textId="77777777" w:rsidR="00000000" w:rsidRDefault="000C49AD">
      <w:pPr>
        <w:jc w:val="center"/>
        <w:rPr>
          <w:rFonts w:eastAsia="Times New Roman"/>
        </w:rPr>
      </w:pPr>
      <w:r>
        <w:rPr>
          <w:rFonts w:eastAsia="Times New Roman"/>
          <w:color w:val="000000"/>
          <w:sz w:val="20"/>
          <w:szCs w:val="20"/>
        </w:rPr>
        <w:t> </w:t>
      </w:r>
    </w:p>
    <w:p w14:paraId="175A7A2C" w14:textId="77777777" w:rsidR="00000000" w:rsidRDefault="000C49AD">
      <w:pPr>
        <w:jc w:val="center"/>
        <w:rPr>
          <w:rFonts w:eastAsia="Times New Roman"/>
        </w:rPr>
      </w:pPr>
      <w:r>
        <w:rPr>
          <w:rFonts w:eastAsia="Times New Roman"/>
          <w:b/>
          <w:bCs/>
          <w:color w:val="000000"/>
          <w:sz w:val="20"/>
          <w:szCs w:val="20"/>
        </w:rPr>
        <w:t>POWER OF ATTORNEY</w:t>
      </w:r>
    </w:p>
    <w:p w14:paraId="050D985E" w14:textId="77777777" w:rsidR="00000000" w:rsidRDefault="000C49AD">
      <w:pPr>
        <w:jc w:val="both"/>
        <w:rPr>
          <w:rFonts w:eastAsia="Times New Roman"/>
        </w:rPr>
      </w:pPr>
      <w:r>
        <w:rPr>
          <w:rFonts w:eastAsia="Times New Roman"/>
          <w:b/>
          <w:bCs/>
          <w:color w:val="000000"/>
          <w:sz w:val="20"/>
          <w:szCs w:val="20"/>
        </w:rPr>
        <w:t> </w:t>
      </w:r>
    </w:p>
    <w:p w14:paraId="759B1255" w14:textId="77777777" w:rsidR="00000000" w:rsidRDefault="000C49AD">
      <w:pPr>
        <w:jc w:val="both"/>
        <w:rPr>
          <w:rFonts w:eastAsia="Times New Roman"/>
        </w:rPr>
      </w:pPr>
      <w:r>
        <w:rPr>
          <w:rFonts w:eastAsia="Times New Roman"/>
          <w:b/>
          <w:bCs/>
          <w:color w:val="000000"/>
          <w:sz w:val="20"/>
          <w:szCs w:val="20"/>
        </w:rPr>
        <w:t>KNOW ALL PERSONS BY THESE PR</w:t>
      </w:r>
      <w:r>
        <w:rPr>
          <w:rFonts w:eastAsia="Times New Roman"/>
          <w:b/>
          <w:bCs/>
          <w:color w:val="000000"/>
          <w:sz w:val="20"/>
          <w:szCs w:val="20"/>
        </w:rPr>
        <w:t>ESENTS</w:t>
      </w:r>
      <w:r>
        <w:rPr>
          <w:rFonts w:eastAsia="Times New Roman"/>
          <w:color w:val="000000"/>
          <w:sz w:val="20"/>
          <w:szCs w:val="20"/>
        </w:rPr>
        <w:t>, that each of Geoffrey M. Glass, Eric J. Ende, Mark A. McCamish, MD, Ph.D., Linda S. Palczuk, and Peter J. Thornton, by their respective signatures below, irrevocably constitutes and appoints Gregory J. Divis and Thomas S. McHugh, and each of them i</w:t>
      </w:r>
      <w:r>
        <w:rPr>
          <w:rFonts w:eastAsia="Times New Roman"/>
          <w:color w:val="000000"/>
          <w:sz w:val="20"/>
          <w:szCs w:val="20"/>
        </w:rPr>
        <w:t>ndividually acting alone without the other, his true and lawful attorneys-in-fact and agents, with full power of substitution and resubstitution, for him and in his name, place and stead, in any and all capacities, to sign any and all amendments to this re</w:t>
      </w:r>
      <w:r>
        <w:rPr>
          <w:rFonts w:eastAsia="Times New Roman"/>
          <w:color w:val="000000"/>
          <w:sz w:val="20"/>
          <w:szCs w:val="20"/>
        </w:rPr>
        <w:t>port, and to file the same, with all exhibits thereto, and other documents in connection therewith, with the Securities and Exchange Commission, granting unto said attorneys-in-fact and agents, and each of them, full power and authority to do and perform e</w:t>
      </w:r>
      <w:r>
        <w:rPr>
          <w:rFonts w:eastAsia="Times New Roman"/>
          <w:color w:val="000000"/>
          <w:sz w:val="20"/>
          <w:szCs w:val="20"/>
        </w:rPr>
        <w:t xml:space="preserve">ach and every act and thing requisite and necessary to be done in connection therewith, as fully to all intents and purposes as he or she might or could do in person, hereby ratifying and confirming all that said attorneys-in-fact and agents, or either of </w:t>
      </w:r>
      <w:r>
        <w:rPr>
          <w:rFonts w:eastAsia="Times New Roman"/>
          <w:color w:val="000000"/>
          <w:sz w:val="20"/>
          <w:szCs w:val="20"/>
        </w:rPr>
        <w:t>them, or their or his substitutes or substitute, may lawfully do or cause to be done by virtue hereof.</w:t>
      </w:r>
    </w:p>
    <w:tbl>
      <w:tblPr>
        <w:tblW w:w="4985" w:type="pct"/>
        <w:tblCellMar>
          <w:top w:w="15" w:type="dxa"/>
          <w:left w:w="15" w:type="dxa"/>
          <w:bottom w:w="15" w:type="dxa"/>
          <w:right w:w="15" w:type="dxa"/>
        </w:tblCellMar>
        <w:tblLook w:val="04A0" w:firstRow="1" w:lastRow="0" w:firstColumn="1" w:lastColumn="0" w:noHBand="0" w:noVBand="1"/>
      </w:tblPr>
      <w:tblGrid>
        <w:gridCol w:w="68"/>
        <w:gridCol w:w="2420"/>
        <w:gridCol w:w="38"/>
        <w:gridCol w:w="68"/>
        <w:gridCol w:w="198"/>
        <w:gridCol w:w="36"/>
        <w:gridCol w:w="69"/>
        <w:gridCol w:w="3393"/>
        <w:gridCol w:w="37"/>
        <w:gridCol w:w="69"/>
        <w:gridCol w:w="185"/>
        <w:gridCol w:w="36"/>
        <w:gridCol w:w="69"/>
        <w:gridCol w:w="1559"/>
        <w:gridCol w:w="36"/>
      </w:tblGrid>
      <w:tr w:rsidR="00000000" w14:paraId="21E182B5" w14:textId="77777777">
        <w:trPr>
          <w:divId w:val="1252549398"/>
        </w:trPr>
        <w:tc>
          <w:tcPr>
            <w:tcW w:w="50" w:type="pct"/>
            <w:vAlign w:val="center"/>
            <w:hideMark/>
          </w:tcPr>
          <w:p w14:paraId="591B2BF5" w14:textId="77777777" w:rsidR="00000000" w:rsidRDefault="000C49AD">
            <w:pPr>
              <w:jc w:val="both"/>
              <w:rPr>
                <w:rFonts w:eastAsia="Times New Roman"/>
              </w:rPr>
            </w:pPr>
          </w:p>
        </w:tc>
        <w:tc>
          <w:tcPr>
            <w:tcW w:w="1469" w:type="pct"/>
            <w:vAlign w:val="center"/>
            <w:hideMark/>
          </w:tcPr>
          <w:p w14:paraId="02723132" w14:textId="77777777" w:rsidR="00000000" w:rsidRDefault="000C49AD">
            <w:pPr>
              <w:spacing w:after="100"/>
              <w:rPr>
                <w:rFonts w:eastAsia="Times New Roman"/>
                <w:sz w:val="20"/>
                <w:szCs w:val="20"/>
              </w:rPr>
            </w:pPr>
          </w:p>
        </w:tc>
        <w:tc>
          <w:tcPr>
            <w:tcW w:w="5" w:type="pct"/>
            <w:vAlign w:val="center"/>
            <w:hideMark/>
          </w:tcPr>
          <w:p w14:paraId="71D600CF" w14:textId="77777777" w:rsidR="00000000" w:rsidRDefault="000C49AD">
            <w:pPr>
              <w:spacing w:after="100"/>
              <w:rPr>
                <w:rFonts w:eastAsia="Times New Roman"/>
                <w:sz w:val="20"/>
                <w:szCs w:val="20"/>
              </w:rPr>
            </w:pPr>
          </w:p>
        </w:tc>
        <w:tc>
          <w:tcPr>
            <w:tcW w:w="50" w:type="pct"/>
            <w:vAlign w:val="center"/>
            <w:hideMark/>
          </w:tcPr>
          <w:p w14:paraId="39EA0781" w14:textId="77777777" w:rsidR="00000000" w:rsidRDefault="000C49AD">
            <w:pPr>
              <w:spacing w:after="100"/>
              <w:rPr>
                <w:rFonts w:eastAsia="Times New Roman"/>
                <w:sz w:val="20"/>
                <w:szCs w:val="20"/>
              </w:rPr>
            </w:pPr>
          </w:p>
        </w:tc>
        <w:tc>
          <w:tcPr>
            <w:tcW w:w="128" w:type="pct"/>
            <w:vAlign w:val="center"/>
            <w:hideMark/>
          </w:tcPr>
          <w:p w14:paraId="622EA578" w14:textId="77777777" w:rsidR="00000000" w:rsidRDefault="000C49AD">
            <w:pPr>
              <w:spacing w:after="100"/>
              <w:rPr>
                <w:rFonts w:eastAsia="Times New Roman"/>
                <w:sz w:val="20"/>
                <w:szCs w:val="20"/>
              </w:rPr>
            </w:pPr>
          </w:p>
        </w:tc>
        <w:tc>
          <w:tcPr>
            <w:tcW w:w="5" w:type="pct"/>
            <w:vAlign w:val="center"/>
            <w:hideMark/>
          </w:tcPr>
          <w:p w14:paraId="328EE2FB" w14:textId="77777777" w:rsidR="00000000" w:rsidRDefault="000C49AD">
            <w:pPr>
              <w:spacing w:after="100"/>
              <w:rPr>
                <w:rFonts w:eastAsia="Times New Roman"/>
                <w:sz w:val="20"/>
                <w:szCs w:val="20"/>
              </w:rPr>
            </w:pPr>
          </w:p>
        </w:tc>
        <w:tc>
          <w:tcPr>
            <w:tcW w:w="50" w:type="pct"/>
            <w:vAlign w:val="center"/>
            <w:hideMark/>
          </w:tcPr>
          <w:p w14:paraId="2EA690B9" w14:textId="77777777" w:rsidR="00000000" w:rsidRDefault="000C49AD">
            <w:pPr>
              <w:spacing w:after="100"/>
              <w:rPr>
                <w:rFonts w:eastAsia="Times New Roman"/>
                <w:sz w:val="20"/>
                <w:szCs w:val="20"/>
              </w:rPr>
            </w:pPr>
          </w:p>
        </w:tc>
        <w:tc>
          <w:tcPr>
            <w:tcW w:w="2056" w:type="pct"/>
            <w:vAlign w:val="center"/>
            <w:hideMark/>
          </w:tcPr>
          <w:p w14:paraId="470AE55E" w14:textId="77777777" w:rsidR="00000000" w:rsidRDefault="000C49AD">
            <w:pPr>
              <w:spacing w:after="100"/>
              <w:rPr>
                <w:rFonts w:eastAsia="Times New Roman"/>
                <w:sz w:val="20"/>
                <w:szCs w:val="20"/>
              </w:rPr>
            </w:pPr>
          </w:p>
        </w:tc>
        <w:tc>
          <w:tcPr>
            <w:tcW w:w="5" w:type="pct"/>
            <w:vAlign w:val="center"/>
            <w:hideMark/>
          </w:tcPr>
          <w:p w14:paraId="080E3107" w14:textId="77777777" w:rsidR="00000000" w:rsidRDefault="000C49AD">
            <w:pPr>
              <w:spacing w:after="100"/>
              <w:rPr>
                <w:rFonts w:eastAsia="Times New Roman"/>
                <w:sz w:val="20"/>
                <w:szCs w:val="20"/>
              </w:rPr>
            </w:pPr>
          </w:p>
        </w:tc>
        <w:tc>
          <w:tcPr>
            <w:tcW w:w="50" w:type="pct"/>
            <w:vAlign w:val="center"/>
            <w:hideMark/>
          </w:tcPr>
          <w:p w14:paraId="237B7FE9" w14:textId="77777777" w:rsidR="00000000" w:rsidRDefault="000C49AD">
            <w:pPr>
              <w:spacing w:after="100"/>
              <w:rPr>
                <w:rFonts w:eastAsia="Times New Roman"/>
                <w:sz w:val="20"/>
                <w:szCs w:val="20"/>
              </w:rPr>
            </w:pPr>
          </w:p>
        </w:tc>
        <w:tc>
          <w:tcPr>
            <w:tcW w:w="120" w:type="pct"/>
            <w:vAlign w:val="center"/>
            <w:hideMark/>
          </w:tcPr>
          <w:p w14:paraId="53E6C11F" w14:textId="77777777" w:rsidR="00000000" w:rsidRDefault="000C49AD">
            <w:pPr>
              <w:spacing w:after="100"/>
              <w:rPr>
                <w:rFonts w:eastAsia="Times New Roman"/>
                <w:sz w:val="20"/>
                <w:szCs w:val="20"/>
              </w:rPr>
            </w:pPr>
          </w:p>
        </w:tc>
        <w:tc>
          <w:tcPr>
            <w:tcW w:w="5" w:type="pct"/>
            <w:vAlign w:val="center"/>
            <w:hideMark/>
          </w:tcPr>
          <w:p w14:paraId="568B93EF" w14:textId="77777777" w:rsidR="00000000" w:rsidRDefault="000C49AD">
            <w:pPr>
              <w:spacing w:after="100"/>
              <w:rPr>
                <w:rFonts w:eastAsia="Times New Roman"/>
                <w:sz w:val="20"/>
                <w:szCs w:val="20"/>
              </w:rPr>
            </w:pPr>
          </w:p>
        </w:tc>
        <w:tc>
          <w:tcPr>
            <w:tcW w:w="50" w:type="pct"/>
            <w:vAlign w:val="center"/>
            <w:hideMark/>
          </w:tcPr>
          <w:p w14:paraId="43B71137" w14:textId="77777777" w:rsidR="00000000" w:rsidRDefault="000C49AD">
            <w:pPr>
              <w:spacing w:after="100"/>
              <w:rPr>
                <w:rFonts w:eastAsia="Times New Roman"/>
                <w:sz w:val="20"/>
                <w:szCs w:val="20"/>
              </w:rPr>
            </w:pPr>
          </w:p>
        </w:tc>
        <w:tc>
          <w:tcPr>
            <w:tcW w:w="949" w:type="pct"/>
            <w:vAlign w:val="center"/>
            <w:hideMark/>
          </w:tcPr>
          <w:p w14:paraId="611C3934" w14:textId="77777777" w:rsidR="00000000" w:rsidRDefault="000C49AD">
            <w:pPr>
              <w:spacing w:after="100"/>
              <w:rPr>
                <w:rFonts w:eastAsia="Times New Roman"/>
                <w:sz w:val="20"/>
                <w:szCs w:val="20"/>
              </w:rPr>
            </w:pPr>
          </w:p>
        </w:tc>
        <w:tc>
          <w:tcPr>
            <w:tcW w:w="5" w:type="pct"/>
            <w:vAlign w:val="center"/>
            <w:hideMark/>
          </w:tcPr>
          <w:p w14:paraId="12CB7202" w14:textId="77777777" w:rsidR="00000000" w:rsidRDefault="000C49AD">
            <w:pPr>
              <w:spacing w:after="100"/>
              <w:rPr>
                <w:rFonts w:eastAsia="Times New Roman"/>
                <w:sz w:val="20"/>
                <w:szCs w:val="20"/>
              </w:rPr>
            </w:pPr>
          </w:p>
        </w:tc>
      </w:tr>
      <w:tr w:rsidR="00000000" w14:paraId="63EC83B8" w14:textId="77777777">
        <w:trPr>
          <w:divId w:val="1252549398"/>
        </w:trPr>
        <w:tc>
          <w:tcPr>
            <w:tcW w:w="0" w:type="auto"/>
            <w:gridSpan w:val="3"/>
            <w:tcMar>
              <w:top w:w="30" w:type="dxa"/>
              <w:left w:w="20" w:type="dxa"/>
              <w:bottom w:w="30" w:type="dxa"/>
              <w:right w:w="20" w:type="dxa"/>
            </w:tcMar>
            <w:vAlign w:val="bottom"/>
            <w:hideMark/>
          </w:tcPr>
          <w:p w14:paraId="63601445" w14:textId="77777777" w:rsidR="00000000" w:rsidRDefault="000C49AD">
            <w:pPr>
              <w:spacing w:after="100"/>
              <w:rPr>
                <w:rFonts w:eastAsia="Times New Roman"/>
              </w:rPr>
            </w:pPr>
            <w:r>
              <w:rPr>
                <w:rFonts w:eastAsia="Times New Roman"/>
                <w:color w:val="000000"/>
                <w:sz w:val="20"/>
                <w:szCs w:val="20"/>
              </w:rPr>
              <w:t>Signature</w:t>
            </w:r>
          </w:p>
        </w:tc>
        <w:tc>
          <w:tcPr>
            <w:tcW w:w="0" w:type="auto"/>
            <w:gridSpan w:val="3"/>
            <w:tcMar>
              <w:top w:w="30" w:type="dxa"/>
              <w:left w:w="20" w:type="dxa"/>
              <w:bottom w:w="30" w:type="dxa"/>
              <w:right w:w="20" w:type="dxa"/>
            </w:tcMar>
            <w:vAlign w:val="bottom"/>
            <w:hideMark/>
          </w:tcPr>
          <w:p w14:paraId="77F695F2"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9E360EC" w14:textId="77777777" w:rsidR="00000000" w:rsidRDefault="000C49AD">
            <w:pPr>
              <w:spacing w:after="100"/>
              <w:rPr>
                <w:rFonts w:eastAsia="Times New Roman"/>
              </w:rPr>
            </w:pPr>
            <w:r>
              <w:rPr>
                <w:rFonts w:eastAsia="Times New Roman"/>
                <w:color w:val="000000"/>
                <w:sz w:val="20"/>
                <w:szCs w:val="20"/>
              </w:rPr>
              <w:t>Title</w:t>
            </w:r>
          </w:p>
        </w:tc>
        <w:tc>
          <w:tcPr>
            <w:tcW w:w="0" w:type="auto"/>
            <w:gridSpan w:val="3"/>
            <w:tcMar>
              <w:top w:w="30" w:type="dxa"/>
              <w:left w:w="20" w:type="dxa"/>
              <w:bottom w:w="30" w:type="dxa"/>
              <w:right w:w="20" w:type="dxa"/>
            </w:tcMar>
            <w:vAlign w:val="bottom"/>
            <w:hideMark/>
          </w:tcPr>
          <w:p w14:paraId="330A08E3"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303CD6D" w14:textId="77777777" w:rsidR="00000000" w:rsidRDefault="000C49AD">
            <w:pPr>
              <w:spacing w:after="100"/>
              <w:rPr>
                <w:rFonts w:eastAsia="Times New Roman"/>
              </w:rPr>
            </w:pPr>
            <w:r>
              <w:rPr>
                <w:rFonts w:eastAsia="Times New Roman"/>
                <w:color w:val="000000"/>
                <w:sz w:val="20"/>
                <w:szCs w:val="20"/>
              </w:rPr>
              <w:t>Date</w:t>
            </w:r>
          </w:p>
        </w:tc>
      </w:tr>
      <w:tr w:rsidR="00000000" w14:paraId="63458F5F" w14:textId="77777777">
        <w:trPr>
          <w:divId w:val="1252549398"/>
        </w:trPr>
        <w:tc>
          <w:tcPr>
            <w:tcW w:w="0" w:type="auto"/>
            <w:gridSpan w:val="3"/>
            <w:tcBorders>
              <w:top w:val="single" w:sz="8" w:space="0" w:color="000000"/>
            </w:tcBorders>
            <w:tcMar>
              <w:top w:w="30" w:type="dxa"/>
              <w:left w:w="20" w:type="dxa"/>
              <w:bottom w:w="30" w:type="dxa"/>
              <w:right w:w="20" w:type="dxa"/>
            </w:tcMar>
            <w:vAlign w:val="bottom"/>
            <w:hideMark/>
          </w:tcPr>
          <w:p w14:paraId="038621BC"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BC8CE63"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1A2826E"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272A755"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38A149D" w14:textId="77777777" w:rsidR="00000000" w:rsidRDefault="000C49AD">
            <w:pPr>
              <w:spacing w:after="100"/>
              <w:rPr>
                <w:rFonts w:eastAsia="Times New Roman"/>
              </w:rPr>
            </w:pPr>
            <w:r>
              <w:rPr>
                <w:rFonts w:eastAsia="Times New Roman"/>
                <w:color w:val="000000"/>
                <w:sz w:val="20"/>
                <w:szCs w:val="20"/>
              </w:rPr>
              <w:t> </w:t>
            </w:r>
          </w:p>
        </w:tc>
      </w:tr>
      <w:tr w:rsidR="00000000" w14:paraId="185E930A" w14:textId="77777777">
        <w:trPr>
          <w:divId w:val="1252549398"/>
        </w:trPr>
        <w:tc>
          <w:tcPr>
            <w:tcW w:w="0" w:type="auto"/>
            <w:gridSpan w:val="3"/>
            <w:tcMar>
              <w:top w:w="30" w:type="dxa"/>
              <w:left w:w="20" w:type="dxa"/>
              <w:bottom w:w="30" w:type="dxa"/>
              <w:right w:w="20" w:type="dxa"/>
            </w:tcMar>
            <w:vAlign w:val="bottom"/>
            <w:hideMark/>
          </w:tcPr>
          <w:p w14:paraId="7E9A1327" w14:textId="77777777" w:rsidR="00000000" w:rsidRDefault="000C49AD">
            <w:pPr>
              <w:spacing w:after="100"/>
              <w:rPr>
                <w:rFonts w:eastAsia="Times New Roman"/>
              </w:rPr>
            </w:pPr>
            <w:r>
              <w:rPr>
                <w:rFonts w:eastAsia="Times New Roman"/>
                <w:color w:val="000000"/>
                <w:sz w:val="20"/>
                <w:szCs w:val="20"/>
              </w:rPr>
              <w:t>/s/ Gregory J. Divis</w:t>
            </w:r>
          </w:p>
        </w:tc>
        <w:tc>
          <w:tcPr>
            <w:tcW w:w="0" w:type="auto"/>
            <w:gridSpan w:val="3"/>
            <w:tcMar>
              <w:top w:w="30" w:type="dxa"/>
              <w:left w:w="20" w:type="dxa"/>
              <w:bottom w:w="30" w:type="dxa"/>
              <w:right w:w="20" w:type="dxa"/>
            </w:tcMar>
            <w:vAlign w:val="bottom"/>
            <w:hideMark/>
          </w:tcPr>
          <w:p w14:paraId="77DDC669"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211A51B" w14:textId="77777777" w:rsidR="00000000" w:rsidRDefault="000C49AD">
            <w:pPr>
              <w:spacing w:after="100"/>
              <w:rPr>
                <w:rFonts w:eastAsia="Times New Roman"/>
              </w:rPr>
            </w:pPr>
            <w:r>
              <w:rPr>
                <w:rFonts w:eastAsia="Times New Roman"/>
                <w:color w:val="000000"/>
                <w:sz w:val="20"/>
                <w:szCs w:val="20"/>
              </w:rPr>
              <w:t>Director, Chief Executive Officer and Principal Executive Officer</w:t>
            </w:r>
          </w:p>
        </w:tc>
        <w:tc>
          <w:tcPr>
            <w:tcW w:w="0" w:type="auto"/>
            <w:gridSpan w:val="3"/>
            <w:tcMar>
              <w:top w:w="30" w:type="dxa"/>
              <w:left w:w="20" w:type="dxa"/>
              <w:bottom w:w="30" w:type="dxa"/>
              <w:right w:w="20" w:type="dxa"/>
            </w:tcMar>
            <w:vAlign w:val="bottom"/>
            <w:hideMark/>
          </w:tcPr>
          <w:p w14:paraId="49F7B322"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E9FED47" w14:textId="77777777" w:rsidR="00000000" w:rsidRDefault="000C49AD">
            <w:pPr>
              <w:spacing w:after="100"/>
              <w:rPr>
                <w:rFonts w:eastAsia="Times New Roman"/>
              </w:rPr>
            </w:pPr>
            <w:r>
              <w:rPr>
                <w:rFonts w:eastAsia="Times New Roman"/>
                <w:color w:val="000000"/>
                <w:sz w:val="20"/>
                <w:szCs w:val="20"/>
              </w:rPr>
              <w:t>March 16, 2022</w:t>
            </w:r>
          </w:p>
        </w:tc>
      </w:tr>
      <w:tr w:rsidR="00000000" w14:paraId="3105A6DB" w14:textId="77777777">
        <w:trPr>
          <w:divId w:val="1252549398"/>
        </w:trPr>
        <w:tc>
          <w:tcPr>
            <w:tcW w:w="0" w:type="auto"/>
            <w:gridSpan w:val="3"/>
            <w:tcBorders>
              <w:top w:val="single" w:sz="8" w:space="0" w:color="000000"/>
            </w:tcBorders>
            <w:tcMar>
              <w:top w:w="30" w:type="dxa"/>
              <w:left w:w="20" w:type="dxa"/>
              <w:bottom w:w="30" w:type="dxa"/>
              <w:right w:w="20" w:type="dxa"/>
            </w:tcMar>
            <w:vAlign w:val="bottom"/>
            <w:hideMark/>
          </w:tcPr>
          <w:p w14:paraId="7F3B9CBA" w14:textId="77777777" w:rsidR="00000000" w:rsidRDefault="000C49AD">
            <w:pPr>
              <w:spacing w:after="100"/>
              <w:rPr>
                <w:rFonts w:eastAsia="Times New Roman"/>
              </w:rPr>
            </w:pPr>
            <w:r>
              <w:rPr>
                <w:rFonts w:eastAsia="Times New Roman"/>
                <w:color w:val="000000"/>
                <w:sz w:val="20"/>
                <w:szCs w:val="20"/>
              </w:rPr>
              <w:t>Gregory J. Divis</w:t>
            </w:r>
          </w:p>
        </w:tc>
        <w:tc>
          <w:tcPr>
            <w:tcW w:w="0" w:type="auto"/>
            <w:gridSpan w:val="3"/>
            <w:tcMar>
              <w:top w:w="30" w:type="dxa"/>
              <w:left w:w="20" w:type="dxa"/>
              <w:bottom w:w="30" w:type="dxa"/>
              <w:right w:w="20" w:type="dxa"/>
            </w:tcMar>
            <w:vAlign w:val="bottom"/>
            <w:hideMark/>
          </w:tcPr>
          <w:p w14:paraId="2CF89152"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56EBB31B"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2B42F51E"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2C23F5D" w14:textId="77777777" w:rsidR="00000000" w:rsidRDefault="000C49AD">
            <w:pPr>
              <w:spacing w:after="100"/>
              <w:rPr>
                <w:rFonts w:eastAsia="Times New Roman"/>
              </w:rPr>
            </w:pPr>
            <w:r>
              <w:rPr>
                <w:rFonts w:eastAsia="Times New Roman"/>
                <w:color w:val="000000"/>
                <w:sz w:val="20"/>
                <w:szCs w:val="20"/>
              </w:rPr>
              <w:t> </w:t>
            </w:r>
          </w:p>
        </w:tc>
      </w:tr>
      <w:tr w:rsidR="00000000" w14:paraId="3B8517FA" w14:textId="77777777">
        <w:trPr>
          <w:divId w:val="1252549398"/>
        </w:trPr>
        <w:tc>
          <w:tcPr>
            <w:tcW w:w="0" w:type="auto"/>
            <w:gridSpan w:val="3"/>
            <w:tcMar>
              <w:top w:w="30" w:type="dxa"/>
              <w:left w:w="20" w:type="dxa"/>
              <w:bottom w:w="30" w:type="dxa"/>
              <w:right w:w="20" w:type="dxa"/>
            </w:tcMar>
            <w:vAlign w:val="bottom"/>
            <w:hideMark/>
          </w:tcPr>
          <w:p w14:paraId="40DEF1C1"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3ED5CEB"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4127B1E"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409D5E9"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8602556" w14:textId="77777777" w:rsidR="00000000" w:rsidRDefault="000C49AD">
            <w:pPr>
              <w:spacing w:after="100"/>
              <w:rPr>
                <w:rFonts w:eastAsia="Times New Roman"/>
              </w:rPr>
            </w:pPr>
            <w:r>
              <w:rPr>
                <w:rFonts w:eastAsia="Times New Roman"/>
                <w:color w:val="000000"/>
                <w:sz w:val="20"/>
                <w:szCs w:val="20"/>
              </w:rPr>
              <w:t> </w:t>
            </w:r>
          </w:p>
        </w:tc>
      </w:tr>
      <w:tr w:rsidR="00000000" w14:paraId="0FDDCB37" w14:textId="77777777">
        <w:trPr>
          <w:divId w:val="1252549398"/>
        </w:trPr>
        <w:tc>
          <w:tcPr>
            <w:tcW w:w="0" w:type="auto"/>
            <w:gridSpan w:val="3"/>
            <w:tcMar>
              <w:top w:w="30" w:type="dxa"/>
              <w:left w:w="20" w:type="dxa"/>
              <w:bottom w:w="30" w:type="dxa"/>
              <w:right w:w="20" w:type="dxa"/>
            </w:tcMar>
            <w:vAlign w:val="bottom"/>
            <w:hideMark/>
          </w:tcPr>
          <w:p w14:paraId="7BF5B373" w14:textId="77777777" w:rsidR="00000000" w:rsidRDefault="000C49AD">
            <w:pPr>
              <w:spacing w:after="100"/>
              <w:rPr>
                <w:rFonts w:eastAsia="Times New Roman"/>
              </w:rPr>
            </w:pPr>
            <w:r>
              <w:rPr>
                <w:rFonts w:eastAsia="Times New Roman"/>
                <w:color w:val="000000"/>
                <w:sz w:val="20"/>
                <w:szCs w:val="20"/>
              </w:rPr>
              <w:t>/s/ Thomas S. McHugh</w:t>
            </w:r>
          </w:p>
        </w:tc>
        <w:tc>
          <w:tcPr>
            <w:tcW w:w="0" w:type="auto"/>
            <w:gridSpan w:val="3"/>
            <w:tcMar>
              <w:top w:w="30" w:type="dxa"/>
              <w:left w:w="20" w:type="dxa"/>
              <w:bottom w:w="30" w:type="dxa"/>
              <w:right w:w="20" w:type="dxa"/>
            </w:tcMar>
            <w:vAlign w:val="bottom"/>
            <w:hideMark/>
          </w:tcPr>
          <w:p w14:paraId="1BF2369E"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6261E58" w14:textId="77777777" w:rsidR="00000000" w:rsidRDefault="000C49AD">
            <w:pPr>
              <w:spacing w:after="100"/>
              <w:rPr>
                <w:rFonts w:eastAsia="Times New Roman"/>
              </w:rPr>
            </w:pPr>
            <w:r>
              <w:rPr>
                <w:rFonts w:eastAsia="Times New Roman"/>
                <w:color w:val="000000"/>
                <w:sz w:val="20"/>
                <w:szCs w:val="20"/>
              </w:rPr>
              <w:t>Chief Financial Officer and Principal Financial and Accounting Officer</w:t>
            </w:r>
          </w:p>
        </w:tc>
        <w:tc>
          <w:tcPr>
            <w:tcW w:w="0" w:type="auto"/>
            <w:gridSpan w:val="3"/>
            <w:tcMar>
              <w:top w:w="30" w:type="dxa"/>
              <w:left w:w="20" w:type="dxa"/>
              <w:bottom w:w="30" w:type="dxa"/>
              <w:right w:w="20" w:type="dxa"/>
            </w:tcMar>
            <w:vAlign w:val="bottom"/>
            <w:hideMark/>
          </w:tcPr>
          <w:p w14:paraId="6F66F2BA"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B7AC4D3" w14:textId="77777777" w:rsidR="00000000" w:rsidRDefault="000C49AD">
            <w:pPr>
              <w:spacing w:after="100"/>
              <w:rPr>
                <w:rFonts w:eastAsia="Times New Roman"/>
              </w:rPr>
            </w:pPr>
            <w:r>
              <w:rPr>
                <w:rFonts w:eastAsia="Times New Roman"/>
                <w:color w:val="000000"/>
                <w:sz w:val="20"/>
                <w:szCs w:val="20"/>
              </w:rPr>
              <w:t>March 16, 2022</w:t>
            </w:r>
          </w:p>
        </w:tc>
      </w:tr>
      <w:tr w:rsidR="00000000" w14:paraId="7950FFE0" w14:textId="77777777">
        <w:trPr>
          <w:divId w:val="1252549398"/>
        </w:trPr>
        <w:tc>
          <w:tcPr>
            <w:tcW w:w="0" w:type="auto"/>
            <w:gridSpan w:val="3"/>
            <w:tcBorders>
              <w:top w:val="single" w:sz="8" w:space="0" w:color="000000"/>
            </w:tcBorders>
            <w:tcMar>
              <w:top w:w="30" w:type="dxa"/>
              <w:left w:w="20" w:type="dxa"/>
              <w:bottom w:w="30" w:type="dxa"/>
              <w:right w:w="20" w:type="dxa"/>
            </w:tcMar>
            <w:vAlign w:val="bottom"/>
            <w:hideMark/>
          </w:tcPr>
          <w:p w14:paraId="4AC9BA6C" w14:textId="77777777" w:rsidR="00000000" w:rsidRDefault="000C49AD">
            <w:pPr>
              <w:spacing w:after="100"/>
              <w:rPr>
                <w:rFonts w:eastAsia="Times New Roman"/>
              </w:rPr>
            </w:pPr>
            <w:r>
              <w:rPr>
                <w:rFonts w:eastAsia="Times New Roman"/>
                <w:color w:val="000000"/>
                <w:sz w:val="20"/>
                <w:szCs w:val="20"/>
              </w:rPr>
              <w:t>Thomas S. McHugh</w:t>
            </w:r>
          </w:p>
        </w:tc>
        <w:tc>
          <w:tcPr>
            <w:tcW w:w="0" w:type="auto"/>
            <w:gridSpan w:val="3"/>
            <w:tcMar>
              <w:top w:w="30" w:type="dxa"/>
              <w:left w:w="20" w:type="dxa"/>
              <w:bottom w:w="30" w:type="dxa"/>
              <w:right w:w="20" w:type="dxa"/>
            </w:tcMar>
            <w:vAlign w:val="bottom"/>
            <w:hideMark/>
          </w:tcPr>
          <w:p w14:paraId="380198FA"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0567D32"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010DC0DB"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7AC554C" w14:textId="77777777" w:rsidR="00000000" w:rsidRDefault="000C49AD">
            <w:pPr>
              <w:spacing w:after="100"/>
              <w:rPr>
                <w:rFonts w:eastAsia="Times New Roman"/>
              </w:rPr>
            </w:pPr>
            <w:r>
              <w:rPr>
                <w:rFonts w:eastAsia="Times New Roman"/>
                <w:color w:val="000000"/>
                <w:sz w:val="20"/>
                <w:szCs w:val="20"/>
              </w:rPr>
              <w:t> </w:t>
            </w:r>
          </w:p>
        </w:tc>
      </w:tr>
      <w:tr w:rsidR="00000000" w14:paraId="26CD9C3A" w14:textId="77777777">
        <w:trPr>
          <w:divId w:val="1252549398"/>
        </w:trPr>
        <w:tc>
          <w:tcPr>
            <w:tcW w:w="0" w:type="auto"/>
            <w:gridSpan w:val="3"/>
            <w:tcMar>
              <w:top w:w="30" w:type="dxa"/>
              <w:left w:w="20" w:type="dxa"/>
              <w:bottom w:w="30" w:type="dxa"/>
              <w:right w:w="20" w:type="dxa"/>
            </w:tcMar>
            <w:vAlign w:val="bottom"/>
            <w:hideMark/>
          </w:tcPr>
          <w:p w14:paraId="337533B7"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24DD4F7"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EEFC744"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FBC7D1A"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D1842F5" w14:textId="77777777" w:rsidR="00000000" w:rsidRDefault="000C49AD">
            <w:pPr>
              <w:spacing w:after="100"/>
              <w:rPr>
                <w:rFonts w:eastAsia="Times New Roman"/>
              </w:rPr>
            </w:pPr>
            <w:r>
              <w:rPr>
                <w:rFonts w:eastAsia="Times New Roman"/>
                <w:color w:val="000000"/>
                <w:sz w:val="20"/>
                <w:szCs w:val="20"/>
              </w:rPr>
              <w:t> </w:t>
            </w:r>
          </w:p>
        </w:tc>
      </w:tr>
      <w:tr w:rsidR="00000000" w14:paraId="0C217E15" w14:textId="77777777">
        <w:trPr>
          <w:divId w:val="1252549398"/>
        </w:trPr>
        <w:tc>
          <w:tcPr>
            <w:tcW w:w="0" w:type="auto"/>
            <w:gridSpan w:val="3"/>
            <w:tcMar>
              <w:top w:w="30" w:type="dxa"/>
              <w:left w:w="20" w:type="dxa"/>
              <w:bottom w:w="30" w:type="dxa"/>
              <w:right w:w="20" w:type="dxa"/>
            </w:tcMar>
            <w:vAlign w:val="bottom"/>
            <w:hideMark/>
          </w:tcPr>
          <w:p w14:paraId="38EF3436" w14:textId="77777777" w:rsidR="00000000" w:rsidRDefault="000C49AD">
            <w:pPr>
              <w:spacing w:after="100"/>
              <w:rPr>
                <w:rFonts w:eastAsia="Times New Roman"/>
              </w:rPr>
            </w:pPr>
            <w:r>
              <w:rPr>
                <w:rFonts w:eastAsia="Times New Roman"/>
                <w:color w:val="000000"/>
                <w:sz w:val="20"/>
                <w:szCs w:val="20"/>
              </w:rPr>
              <w:t>/s/ Geoffrey M. Glass</w:t>
            </w:r>
          </w:p>
        </w:tc>
        <w:tc>
          <w:tcPr>
            <w:tcW w:w="0" w:type="auto"/>
            <w:gridSpan w:val="3"/>
            <w:tcMar>
              <w:top w:w="30" w:type="dxa"/>
              <w:left w:w="20" w:type="dxa"/>
              <w:bottom w:w="30" w:type="dxa"/>
              <w:right w:w="20" w:type="dxa"/>
            </w:tcMar>
            <w:vAlign w:val="bottom"/>
            <w:hideMark/>
          </w:tcPr>
          <w:p w14:paraId="4BB2DEF9"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820CAC1" w14:textId="77777777" w:rsidR="00000000" w:rsidRDefault="000C49AD">
            <w:pPr>
              <w:spacing w:after="100"/>
              <w:rPr>
                <w:rFonts w:eastAsia="Times New Roman"/>
              </w:rPr>
            </w:pPr>
            <w:r>
              <w:rPr>
                <w:rFonts w:eastAsia="Times New Roman"/>
                <w:color w:val="000000"/>
                <w:sz w:val="20"/>
                <w:szCs w:val="20"/>
              </w:rPr>
              <w:t>Non-Executive Chairman of the Board and Director</w:t>
            </w:r>
          </w:p>
        </w:tc>
        <w:tc>
          <w:tcPr>
            <w:tcW w:w="0" w:type="auto"/>
            <w:gridSpan w:val="3"/>
            <w:tcMar>
              <w:top w:w="30" w:type="dxa"/>
              <w:left w:w="20" w:type="dxa"/>
              <w:bottom w:w="30" w:type="dxa"/>
              <w:right w:w="20" w:type="dxa"/>
            </w:tcMar>
            <w:vAlign w:val="bottom"/>
            <w:hideMark/>
          </w:tcPr>
          <w:p w14:paraId="0D0F0EDB"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5B998A4" w14:textId="77777777" w:rsidR="00000000" w:rsidRDefault="000C49AD">
            <w:pPr>
              <w:spacing w:after="100"/>
              <w:rPr>
                <w:rFonts w:eastAsia="Times New Roman"/>
              </w:rPr>
            </w:pPr>
            <w:r>
              <w:rPr>
                <w:rFonts w:eastAsia="Times New Roman"/>
                <w:color w:val="000000"/>
                <w:sz w:val="20"/>
                <w:szCs w:val="20"/>
              </w:rPr>
              <w:t>March 16, 2022</w:t>
            </w:r>
          </w:p>
        </w:tc>
      </w:tr>
      <w:tr w:rsidR="00000000" w14:paraId="7C91CE58" w14:textId="77777777">
        <w:trPr>
          <w:divId w:val="1252549398"/>
        </w:trPr>
        <w:tc>
          <w:tcPr>
            <w:tcW w:w="0" w:type="auto"/>
            <w:gridSpan w:val="3"/>
            <w:tcBorders>
              <w:top w:val="single" w:sz="8" w:space="0" w:color="000000"/>
            </w:tcBorders>
            <w:tcMar>
              <w:top w:w="30" w:type="dxa"/>
              <w:left w:w="20" w:type="dxa"/>
              <w:bottom w:w="30" w:type="dxa"/>
              <w:right w:w="20" w:type="dxa"/>
            </w:tcMar>
            <w:vAlign w:val="bottom"/>
            <w:hideMark/>
          </w:tcPr>
          <w:p w14:paraId="7BEEAF70" w14:textId="77777777" w:rsidR="00000000" w:rsidRDefault="000C49AD">
            <w:pPr>
              <w:spacing w:after="100"/>
              <w:rPr>
                <w:rFonts w:eastAsia="Times New Roman"/>
              </w:rPr>
            </w:pPr>
            <w:r>
              <w:rPr>
                <w:rFonts w:eastAsia="Times New Roman"/>
                <w:color w:val="000000"/>
                <w:sz w:val="20"/>
                <w:szCs w:val="20"/>
              </w:rPr>
              <w:t>Geoffrey M. Glass</w:t>
            </w:r>
          </w:p>
        </w:tc>
        <w:tc>
          <w:tcPr>
            <w:tcW w:w="0" w:type="auto"/>
            <w:gridSpan w:val="3"/>
            <w:tcMar>
              <w:top w:w="30" w:type="dxa"/>
              <w:left w:w="20" w:type="dxa"/>
              <w:bottom w:w="30" w:type="dxa"/>
              <w:right w:w="20" w:type="dxa"/>
            </w:tcMar>
            <w:vAlign w:val="bottom"/>
            <w:hideMark/>
          </w:tcPr>
          <w:p w14:paraId="0ECD444A"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73C1943C" w14:textId="77777777" w:rsidR="00000000" w:rsidRDefault="000C49AD">
            <w:pPr>
              <w:spacing w:after="100"/>
              <w:rPr>
                <w:rFonts w:eastAsia="Times New Roman"/>
              </w:rPr>
            </w:pPr>
          </w:p>
        </w:tc>
        <w:tc>
          <w:tcPr>
            <w:tcW w:w="0" w:type="auto"/>
            <w:gridSpan w:val="3"/>
            <w:tcMar>
              <w:top w:w="30" w:type="dxa"/>
              <w:left w:w="20" w:type="dxa"/>
              <w:bottom w:w="30" w:type="dxa"/>
              <w:right w:w="20" w:type="dxa"/>
            </w:tcMar>
            <w:vAlign w:val="bottom"/>
            <w:hideMark/>
          </w:tcPr>
          <w:p w14:paraId="6460BB54"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DFF7754" w14:textId="77777777" w:rsidR="00000000" w:rsidRDefault="000C49AD">
            <w:pPr>
              <w:spacing w:after="100"/>
              <w:rPr>
                <w:rFonts w:eastAsia="Times New Roman"/>
              </w:rPr>
            </w:pPr>
            <w:r>
              <w:rPr>
                <w:rFonts w:eastAsia="Times New Roman"/>
                <w:color w:val="000000"/>
                <w:sz w:val="20"/>
                <w:szCs w:val="20"/>
              </w:rPr>
              <w:t> </w:t>
            </w:r>
          </w:p>
        </w:tc>
      </w:tr>
      <w:tr w:rsidR="00000000" w14:paraId="30342C7B" w14:textId="77777777">
        <w:trPr>
          <w:divId w:val="1252549398"/>
        </w:trPr>
        <w:tc>
          <w:tcPr>
            <w:tcW w:w="0" w:type="auto"/>
            <w:gridSpan w:val="3"/>
            <w:tcMar>
              <w:top w:w="30" w:type="dxa"/>
              <w:left w:w="20" w:type="dxa"/>
              <w:bottom w:w="30" w:type="dxa"/>
              <w:right w:w="20" w:type="dxa"/>
            </w:tcMar>
            <w:vAlign w:val="bottom"/>
            <w:hideMark/>
          </w:tcPr>
          <w:p w14:paraId="00A5F77D"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A143113"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3ABAEB8"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C5AC826"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1BD24A8" w14:textId="77777777" w:rsidR="00000000" w:rsidRDefault="000C49AD">
            <w:pPr>
              <w:spacing w:after="100"/>
              <w:rPr>
                <w:rFonts w:eastAsia="Times New Roman"/>
              </w:rPr>
            </w:pPr>
            <w:r>
              <w:rPr>
                <w:rFonts w:eastAsia="Times New Roman"/>
                <w:color w:val="000000"/>
                <w:sz w:val="20"/>
                <w:szCs w:val="20"/>
              </w:rPr>
              <w:t> </w:t>
            </w:r>
          </w:p>
        </w:tc>
      </w:tr>
      <w:tr w:rsidR="00000000" w14:paraId="5CA63C52" w14:textId="77777777">
        <w:trPr>
          <w:divId w:val="1252549398"/>
        </w:trPr>
        <w:tc>
          <w:tcPr>
            <w:tcW w:w="0" w:type="auto"/>
            <w:gridSpan w:val="3"/>
            <w:tcMar>
              <w:top w:w="30" w:type="dxa"/>
              <w:left w:w="20" w:type="dxa"/>
              <w:bottom w:w="30" w:type="dxa"/>
              <w:right w:w="20" w:type="dxa"/>
            </w:tcMar>
            <w:vAlign w:val="bottom"/>
            <w:hideMark/>
          </w:tcPr>
          <w:p w14:paraId="5C9B304A" w14:textId="77777777" w:rsidR="00000000" w:rsidRDefault="000C49AD">
            <w:pPr>
              <w:spacing w:after="100"/>
              <w:rPr>
                <w:rFonts w:eastAsia="Times New Roman"/>
              </w:rPr>
            </w:pPr>
            <w:r>
              <w:rPr>
                <w:rFonts w:eastAsia="Times New Roman"/>
                <w:color w:val="000000"/>
                <w:sz w:val="20"/>
                <w:szCs w:val="20"/>
              </w:rPr>
              <w:t>/s/ Dr. Eric J. Ende</w:t>
            </w:r>
          </w:p>
        </w:tc>
        <w:tc>
          <w:tcPr>
            <w:tcW w:w="0" w:type="auto"/>
            <w:gridSpan w:val="3"/>
            <w:tcMar>
              <w:top w:w="30" w:type="dxa"/>
              <w:left w:w="20" w:type="dxa"/>
              <w:bottom w:w="30" w:type="dxa"/>
              <w:right w:w="20" w:type="dxa"/>
            </w:tcMar>
            <w:vAlign w:val="bottom"/>
            <w:hideMark/>
          </w:tcPr>
          <w:p w14:paraId="48987D45"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D0A999C" w14:textId="77777777" w:rsidR="00000000" w:rsidRDefault="000C49AD">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3AB3AB79"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9C60478" w14:textId="77777777" w:rsidR="00000000" w:rsidRDefault="000C49AD">
            <w:pPr>
              <w:spacing w:after="100"/>
              <w:rPr>
                <w:rFonts w:eastAsia="Times New Roman"/>
              </w:rPr>
            </w:pPr>
            <w:r>
              <w:rPr>
                <w:rFonts w:eastAsia="Times New Roman"/>
                <w:color w:val="000000"/>
                <w:sz w:val="20"/>
                <w:szCs w:val="20"/>
              </w:rPr>
              <w:t>March 16, 2022</w:t>
            </w:r>
          </w:p>
        </w:tc>
      </w:tr>
      <w:tr w:rsidR="00000000" w14:paraId="40151380" w14:textId="77777777">
        <w:trPr>
          <w:divId w:val="1252549398"/>
        </w:trPr>
        <w:tc>
          <w:tcPr>
            <w:tcW w:w="0" w:type="auto"/>
            <w:gridSpan w:val="3"/>
            <w:tcBorders>
              <w:top w:val="single" w:sz="8" w:space="0" w:color="000000"/>
            </w:tcBorders>
            <w:tcMar>
              <w:top w:w="30" w:type="dxa"/>
              <w:left w:w="20" w:type="dxa"/>
              <w:bottom w:w="30" w:type="dxa"/>
              <w:right w:w="20" w:type="dxa"/>
            </w:tcMar>
            <w:vAlign w:val="bottom"/>
            <w:hideMark/>
          </w:tcPr>
          <w:p w14:paraId="7064EFA0" w14:textId="77777777" w:rsidR="00000000" w:rsidRDefault="000C49AD">
            <w:pPr>
              <w:spacing w:after="100"/>
              <w:rPr>
                <w:rFonts w:eastAsia="Times New Roman"/>
              </w:rPr>
            </w:pPr>
            <w:r>
              <w:rPr>
                <w:rFonts w:eastAsia="Times New Roman"/>
                <w:color w:val="000000"/>
                <w:sz w:val="20"/>
                <w:szCs w:val="20"/>
              </w:rPr>
              <w:t>Dr. Eric J. Ende</w:t>
            </w:r>
          </w:p>
        </w:tc>
        <w:tc>
          <w:tcPr>
            <w:tcW w:w="0" w:type="auto"/>
            <w:gridSpan w:val="3"/>
            <w:tcMar>
              <w:top w:w="30" w:type="dxa"/>
              <w:left w:w="20" w:type="dxa"/>
              <w:bottom w:w="30" w:type="dxa"/>
              <w:right w:w="20" w:type="dxa"/>
            </w:tcMar>
            <w:vAlign w:val="bottom"/>
            <w:hideMark/>
          </w:tcPr>
          <w:p w14:paraId="6B49C528"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81D8F70"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114718F"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8556BCB" w14:textId="77777777" w:rsidR="00000000" w:rsidRDefault="000C49AD">
            <w:pPr>
              <w:spacing w:after="100"/>
              <w:rPr>
                <w:rFonts w:eastAsia="Times New Roman"/>
              </w:rPr>
            </w:pPr>
            <w:r>
              <w:rPr>
                <w:rFonts w:eastAsia="Times New Roman"/>
                <w:color w:val="000000"/>
                <w:sz w:val="20"/>
                <w:szCs w:val="20"/>
              </w:rPr>
              <w:t> </w:t>
            </w:r>
          </w:p>
        </w:tc>
      </w:tr>
      <w:tr w:rsidR="00000000" w14:paraId="071057D5" w14:textId="77777777">
        <w:trPr>
          <w:divId w:val="1252549398"/>
        </w:trPr>
        <w:tc>
          <w:tcPr>
            <w:tcW w:w="0" w:type="auto"/>
            <w:gridSpan w:val="3"/>
            <w:tcMar>
              <w:top w:w="30" w:type="dxa"/>
              <w:left w:w="20" w:type="dxa"/>
              <w:bottom w:w="30" w:type="dxa"/>
              <w:right w:w="20" w:type="dxa"/>
            </w:tcMar>
            <w:vAlign w:val="bottom"/>
            <w:hideMark/>
          </w:tcPr>
          <w:p w14:paraId="0399FDA8"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5A4B593"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AD6B44C"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9CFB706"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0AD6534" w14:textId="77777777" w:rsidR="00000000" w:rsidRDefault="000C49AD">
            <w:pPr>
              <w:spacing w:after="100"/>
              <w:rPr>
                <w:rFonts w:eastAsia="Times New Roman"/>
              </w:rPr>
            </w:pPr>
            <w:r>
              <w:rPr>
                <w:rFonts w:eastAsia="Times New Roman"/>
                <w:color w:val="000000"/>
                <w:sz w:val="20"/>
                <w:szCs w:val="20"/>
              </w:rPr>
              <w:t> </w:t>
            </w:r>
          </w:p>
        </w:tc>
      </w:tr>
      <w:tr w:rsidR="00000000" w14:paraId="267F5BD5" w14:textId="77777777">
        <w:trPr>
          <w:divId w:val="1252549398"/>
        </w:trPr>
        <w:tc>
          <w:tcPr>
            <w:tcW w:w="0" w:type="auto"/>
            <w:gridSpan w:val="3"/>
            <w:tcMar>
              <w:top w:w="30" w:type="dxa"/>
              <w:left w:w="20" w:type="dxa"/>
              <w:bottom w:w="30" w:type="dxa"/>
              <w:right w:w="20" w:type="dxa"/>
            </w:tcMar>
            <w:vAlign w:val="bottom"/>
            <w:hideMark/>
          </w:tcPr>
          <w:p w14:paraId="190634FD" w14:textId="77777777" w:rsidR="00000000" w:rsidRDefault="000C49AD">
            <w:pPr>
              <w:spacing w:after="100"/>
              <w:rPr>
                <w:rFonts w:eastAsia="Times New Roman"/>
              </w:rPr>
            </w:pPr>
            <w:r>
              <w:rPr>
                <w:rFonts w:eastAsia="Times New Roman"/>
                <w:color w:val="000000"/>
                <w:sz w:val="20"/>
                <w:szCs w:val="20"/>
              </w:rPr>
              <w:t>/s/ </w:t>
            </w:r>
            <w:r>
              <w:rPr>
                <w:rFonts w:eastAsia="Times New Roman"/>
                <w:color w:val="000000"/>
                <w:sz w:val="20"/>
                <w:szCs w:val="20"/>
              </w:rPr>
              <w:t>Mark A. McCamish, MD, Ph.D.</w:t>
            </w:r>
          </w:p>
        </w:tc>
        <w:tc>
          <w:tcPr>
            <w:tcW w:w="0" w:type="auto"/>
            <w:gridSpan w:val="3"/>
            <w:tcMar>
              <w:top w:w="30" w:type="dxa"/>
              <w:left w:w="20" w:type="dxa"/>
              <w:bottom w:w="30" w:type="dxa"/>
              <w:right w:w="20" w:type="dxa"/>
            </w:tcMar>
            <w:vAlign w:val="bottom"/>
            <w:hideMark/>
          </w:tcPr>
          <w:p w14:paraId="1E2B80A4"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5F2C5EF" w14:textId="77777777" w:rsidR="00000000" w:rsidRDefault="000C49AD">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4DA017B2"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1B9F882" w14:textId="77777777" w:rsidR="00000000" w:rsidRDefault="000C49AD">
            <w:pPr>
              <w:spacing w:after="100"/>
              <w:rPr>
                <w:rFonts w:eastAsia="Times New Roman"/>
              </w:rPr>
            </w:pPr>
            <w:r>
              <w:rPr>
                <w:rFonts w:eastAsia="Times New Roman"/>
                <w:color w:val="000000"/>
                <w:sz w:val="20"/>
                <w:szCs w:val="20"/>
              </w:rPr>
              <w:t>March 16, 2022</w:t>
            </w:r>
          </w:p>
        </w:tc>
      </w:tr>
      <w:tr w:rsidR="00000000" w14:paraId="1B5F2B96" w14:textId="77777777">
        <w:trPr>
          <w:divId w:val="1252549398"/>
        </w:trPr>
        <w:tc>
          <w:tcPr>
            <w:tcW w:w="0" w:type="auto"/>
            <w:gridSpan w:val="3"/>
            <w:tcBorders>
              <w:top w:val="single" w:sz="8" w:space="0" w:color="000000"/>
            </w:tcBorders>
            <w:tcMar>
              <w:top w:w="30" w:type="dxa"/>
              <w:left w:w="20" w:type="dxa"/>
              <w:bottom w:w="30" w:type="dxa"/>
              <w:right w:w="20" w:type="dxa"/>
            </w:tcMar>
            <w:vAlign w:val="bottom"/>
            <w:hideMark/>
          </w:tcPr>
          <w:p w14:paraId="7EF2D497" w14:textId="77777777" w:rsidR="00000000" w:rsidRDefault="000C49AD">
            <w:pPr>
              <w:spacing w:after="100"/>
              <w:rPr>
                <w:rFonts w:eastAsia="Times New Roman"/>
              </w:rPr>
            </w:pPr>
            <w:r>
              <w:rPr>
                <w:rFonts w:eastAsia="Times New Roman"/>
                <w:color w:val="000000"/>
                <w:sz w:val="20"/>
                <w:szCs w:val="20"/>
              </w:rPr>
              <w:t>Mark A. McCamish, MD, Ph.D.</w:t>
            </w:r>
          </w:p>
        </w:tc>
        <w:tc>
          <w:tcPr>
            <w:tcW w:w="0" w:type="auto"/>
            <w:gridSpan w:val="3"/>
            <w:tcMar>
              <w:top w:w="30" w:type="dxa"/>
              <w:left w:w="20" w:type="dxa"/>
              <w:bottom w:w="30" w:type="dxa"/>
              <w:right w:w="20" w:type="dxa"/>
            </w:tcMar>
            <w:vAlign w:val="bottom"/>
            <w:hideMark/>
          </w:tcPr>
          <w:p w14:paraId="44D2995E"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E52965F"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15F9195"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A60B726" w14:textId="77777777" w:rsidR="00000000" w:rsidRDefault="000C49AD">
            <w:pPr>
              <w:spacing w:after="100"/>
              <w:rPr>
                <w:rFonts w:eastAsia="Times New Roman"/>
              </w:rPr>
            </w:pPr>
            <w:r>
              <w:rPr>
                <w:rFonts w:eastAsia="Times New Roman"/>
                <w:color w:val="000000"/>
                <w:sz w:val="20"/>
                <w:szCs w:val="20"/>
              </w:rPr>
              <w:t> </w:t>
            </w:r>
          </w:p>
        </w:tc>
      </w:tr>
      <w:tr w:rsidR="00000000" w14:paraId="042FCA83" w14:textId="77777777">
        <w:trPr>
          <w:divId w:val="1252549398"/>
          <w:trHeight w:val="240"/>
        </w:trPr>
        <w:tc>
          <w:tcPr>
            <w:tcW w:w="0" w:type="auto"/>
            <w:gridSpan w:val="3"/>
            <w:tcMar>
              <w:top w:w="0" w:type="dxa"/>
              <w:left w:w="20" w:type="dxa"/>
              <w:bottom w:w="0" w:type="dxa"/>
              <w:right w:w="20" w:type="dxa"/>
            </w:tcMar>
            <w:vAlign w:val="center"/>
            <w:hideMark/>
          </w:tcPr>
          <w:p w14:paraId="2D17D9DB" w14:textId="77777777" w:rsidR="00000000" w:rsidRDefault="000C49AD">
            <w:pPr>
              <w:spacing w:after="100"/>
              <w:rPr>
                <w:rFonts w:eastAsia="Times New Roman"/>
              </w:rPr>
            </w:pPr>
          </w:p>
        </w:tc>
        <w:tc>
          <w:tcPr>
            <w:tcW w:w="0" w:type="auto"/>
            <w:gridSpan w:val="3"/>
            <w:tcMar>
              <w:top w:w="0" w:type="dxa"/>
              <w:left w:w="20" w:type="dxa"/>
              <w:bottom w:w="0" w:type="dxa"/>
              <w:right w:w="20" w:type="dxa"/>
            </w:tcMar>
            <w:vAlign w:val="center"/>
            <w:hideMark/>
          </w:tcPr>
          <w:p w14:paraId="070D8186"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C2EB8CA"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73DF53"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4B20A2" w14:textId="77777777" w:rsidR="00000000" w:rsidRDefault="000C49AD">
            <w:pPr>
              <w:spacing w:after="100"/>
              <w:rPr>
                <w:rFonts w:eastAsia="Times New Roman"/>
                <w:sz w:val="20"/>
                <w:szCs w:val="20"/>
              </w:rPr>
            </w:pPr>
          </w:p>
        </w:tc>
      </w:tr>
      <w:tr w:rsidR="00000000" w14:paraId="049FFDC5" w14:textId="77777777">
        <w:trPr>
          <w:divId w:val="1252549398"/>
        </w:trPr>
        <w:tc>
          <w:tcPr>
            <w:tcW w:w="0" w:type="auto"/>
            <w:gridSpan w:val="3"/>
            <w:tcMar>
              <w:top w:w="30" w:type="dxa"/>
              <w:left w:w="20" w:type="dxa"/>
              <w:bottom w:w="30" w:type="dxa"/>
              <w:right w:w="20" w:type="dxa"/>
            </w:tcMar>
            <w:vAlign w:val="bottom"/>
            <w:hideMark/>
          </w:tcPr>
          <w:p w14:paraId="3878A708" w14:textId="77777777" w:rsidR="00000000" w:rsidRDefault="000C49AD">
            <w:pPr>
              <w:spacing w:after="100"/>
              <w:rPr>
                <w:rFonts w:eastAsia="Times New Roman"/>
              </w:rPr>
            </w:pPr>
            <w:r>
              <w:rPr>
                <w:rFonts w:eastAsia="Times New Roman"/>
                <w:color w:val="000000"/>
                <w:sz w:val="20"/>
                <w:szCs w:val="20"/>
              </w:rPr>
              <w:t>/s/ Linda S. Palczuk</w:t>
            </w:r>
          </w:p>
        </w:tc>
        <w:tc>
          <w:tcPr>
            <w:tcW w:w="0" w:type="auto"/>
            <w:gridSpan w:val="3"/>
            <w:tcMar>
              <w:top w:w="30" w:type="dxa"/>
              <w:left w:w="20" w:type="dxa"/>
              <w:bottom w:w="30" w:type="dxa"/>
              <w:right w:w="20" w:type="dxa"/>
            </w:tcMar>
            <w:vAlign w:val="bottom"/>
            <w:hideMark/>
          </w:tcPr>
          <w:p w14:paraId="07ACB487"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79651A0" w14:textId="77777777" w:rsidR="00000000" w:rsidRDefault="000C49AD">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2CC60B8B"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4B5919D" w14:textId="77777777" w:rsidR="00000000" w:rsidRDefault="000C49AD">
            <w:pPr>
              <w:spacing w:after="100"/>
              <w:rPr>
                <w:rFonts w:eastAsia="Times New Roman"/>
              </w:rPr>
            </w:pPr>
            <w:r>
              <w:rPr>
                <w:rFonts w:eastAsia="Times New Roman"/>
                <w:color w:val="000000"/>
                <w:sz w:val="20"/>
                <w:szCs w:val="20"/>
              </w:rPr>
              <w:t>March 16, 2022</w:t>
            </w:r>
          </w:p>
        </w:tc>
      </w:tr>
      <w:tr w:rsidR="00000000" w14:paraId="01AD01EB" w14:textId="77777777">
        <w:trPr>
          <w:divId w:val="1252549398"/>
        </w:trPr>
        <w:tc>
          <w:tcPr>
            <w:tcW w:w="0" w:type="auto"/>
            <w:gridSpan w:val="3"/>
            <w:tcBorders>
              <w:top w:val="single" w:sz="8" w:space="0" w:color="000000"/>
            </w:tcBorders>
            <w:tcMar>
              <w:top w:w="30" w:type="dxa"/>
              <w:left w:w="20" w:type="dxa"/>
              <w:bottom w:w="30" w:type="dxa"/>
              <w:right w:w="20" w:type="dxa"/>
            </w:tcMar>
            <w:vAlign w:val="bottom"/>
            <w:hideMark/>
          </w:tcPr>
          <w:p w14:paraId="08D717DB" w14:textId="77777777" w:rsidR="00000000" w:rsidRDefault="000C49AD">
            <w:pPr>
              <w:spacing w:after="100"/>
              <w:rPr>
                <w:rFonts w:eastAsia="Times New Roman"/>
              </w:rPr>
            </w:pPr>
            <w:r>
              <w:rPr>
                <w:rFonts w:eastAsia="Times New Roman"/>
                <w:color w:val="000000"/>
                <w:sz w:val="20"/>
                <w:szCs w:val="20"/>
              </w:rPr>
              <w:t>Linda S. Palczuk</w:t>
            </w:r>
          </w:p>
        </w:tc>
        <w:tc>
          <w:tcPr>
            <w:tcW w:w="0" w:type="auto"/>
            <w:gridSpan w:val="3"/>
            <w:tcMar>
              <w:top w:w="30" w:type="dxa"/>
              <w:left w:w="20" w:type="dxa"/>
              <w:bottom w:w="30" w:type="dxa"/>
              <w:right w:w="20" w:type="dxa"/>
            </w:tcMar>
            <w:vAlign w:val="bottom"/>
            <w:hideMark/>
          </w:tcPr>
          <w:p w14:paraId="3EBAE342"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2AD2562"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77FE23D"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0171C7F" w14:textId="77777777" w:rsidR="00000000" w:rsidRDefault="000C49AD">
            <w:pPr>
              <w:spacing w:after="100"/>
              <w:rPr>
                <w:rFonts w:eastAsia="Times New Roman"/>
              </w:rPr>
            </w:pPr>
            <w:r>
              <w:rPr>
                <w:rFonts w:eastAsia="Times New Roman"/>
                <w:color w:val="000000"/>
                <w:sz w:val="20"/>
                <w:szCs w:val="20"/>
              </w:rPr>
              <w:t> </w:t>
            </w:r>
          </w:p>
        </w:tc>
      </w:tr>
      <w:tr w:rsidR="00000000" w14:paraId="786DDB0A" w14:textId="77777777">
        <w:trPr>
          <w:divId w:val="1252549398"/>
          <w:trHeight w:val="240"/>
        </w:trPr>
        <w:tc>
          <w:tcPr>
            <w:tcW w:w="0" w:type="auto"/>
            <w:gridSpan w:val="3"/>
            <w:tcMar>
              <w:top w:w="0" w:type="dxa"/>
              <w:left w:w="20" w:type="dxa"/>
              <w:bottom w:w="0" w:type="dxa"/>
              <w:right w:w="20" w:type="dxa"/>
            </w:tcMar>
            <w:vAlign w:val="center"/>
            <w:hideMark/>
          </w:tcPr>
          <w:p w14:paraId="652F3650" w14:textId="77777777" w:rsidR="00000000" w:rsidRDefault="000C49AD">
            <w:pPr>
              <w:spacing w:after="100"/>
              <w:rPr>
                <w:rFonts w:eastAsia="Times New Roman"/>
              </w:rPr>
            </w:pPr>
          </w:p>
        </w:tc>
        <w:tc>
          <w:tcPr>
            <w:tcW w:w="0" w:type="auto"/>
            <w:gridSpan w:val="3"/>
            <w:tcMar>
              <w:top w:w="0" w:type="dxa"/>
              <w:left w:w="20" w:type="dxa"/>
              <w:bottom w:w="0" w:type="dxa"/>
              <w:right w:w="20" w:type="dxa"/>
            </w:tcMar>
            <w:vAlign w:val="center"/>
            <w:hideMark/>
          </w:tcPr>
          <w:p w14:paraId="5F437FC4"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B8977D7"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3C753B1" w14:textId="77777777" w:rsidR="00000000" w:rsidRDefault="000C49AD">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0E265F3" w14:textId="77777777" w:rsidR="00000000" w:rsidRDefault="000C49AD">
            <w:pPr>
              <w:spacing w:after="100"/>
              <w:rPr>
                <w:rFonts w:eastAsia="Times New Roman"/>
                <w:sz w:val="20"/>
                <w:szCs w:val="20"/>
              </w:rPr>
            </w:pPr>
          </w:p>
        </w:tc>
      </w:tr>
      <w:tr w:rsidR="00000000" w14:paraId="435AD12A" w14:textId="77777777">
        <w:trPr>
          <w:divId w:val="1252549398"/>
        </w:trPr>
        <w:tc>
          <w:tcPr>
            <w:tcW w:w="0" w:type="auto"/>
            <w:gridSpan w:val="3"/>
            <w:tcMar>
              <w:top w:w="30" w:type="dxa"/>
              <w:left w:w="20" w:type="dxa"/>
              <w:bottom w:w="30" w:type="dxa"/>
              <w:right w:w="20" w:type="dxa"/>
            </w:tcMar>
            <w:vAlign w:val="bottom"/>
            <w:hideMark/>
          </w:tcPr>
          <w:p w14:paraId="2978FE94" w14:textId="77777777" w:rsidR="00000000" w:rsidRDefault="000C49AD">
            <w:pPr>
              <w:spacing w:after="100"/>
              <w:rPr>
                <w:rFonts w:eastAsia="Times New Roman"/>
              </w:rPr>
            </w:pPr>
            <w:r>
              <w:rPr>
                <w:rFonts w:eastAsia="Times New Roman"/>
                <w:color w:val="000000"/>
                <w:sz w:val="20"/>
                <w:szCs w:val="20"/>
              </w:rPr>
              <w:t>/s/ </w:t>
            </w:r>
            <w:r>
              <w:rPr>
                <w:rFonts w:eastAsia="Times New Roman"/>
                <w:color w:val="000000"/>
                <w:sz w:val="20"/>
                <w:szCs w:val="20"/>
              </w:rPr>
              <w:t>Peter J. Thornton</w:t>
            </w:r>
          </w:p>
        </w:tc>
        <w:tc>
          <w:tcPr>
            <w:tcW w:w="0" w:type="auto"/>
            <w:gridSpan w:val="3"/>
            <w:tcMar>
              <w:top w:w="30" w:type="dxa"/>
              <w:left w:w="20" w:type="dxa"/>
              <w:bottom w:w="30" w:type="dxa"/>
              <w:right w:w="20" w:type="dxa"/>
            </w:tcMar>
            <w:vAlign w:val="bottom"/>
            <w:hideMark/>
          </w:tcPr>
          <w:p w14:paraId="21CB35A1"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BD52E5E" w14:textId="77777777" w:rsidR="00000000" w:rsidRDefault="000C49AD">
            <w:pPr>
              <w:spacing w:after="100"/>
              <w:rPr>
                <w:rFonts w:eastAsia="Times New Roman"/>
              </w:rPr>
            </w:pPr>
            <w:r>
              <w:rPr>
                <w:rFonts w:eastAsia="Times New Roman"/>
                <w:color w:val="000000"/>
                <w:sz w:val="20"/>
                <w:szCs w:val="20"/>
              </w:rPr>
              <w:t>Director</w:t>
            </w:r>
          </w:p>
        </w:tc>
        <w:tc>
          <w:tcPr>
            <w:tcW w:w="0" w:type="auto"/>
            <w:gridSpan w:val="3"/>
            <w:tcMar>
              <w:top w:w="30" w:type="dxa"/>
              <w:left w:w="20" w:type="dxa"/>
              <w:bottom w:w="30" w:type="dxa"/>
              <w:right w:w="20" w:type="dxa"/>
            </w:tcMar>
            <w:vAlign w:val="bottom"/>
            <w:hideMark/>
          </w:tcPr>
          <w:p w14:paraId="0C608D90"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F2396BD" w14:textId="77777777" w:rsidR="00000000" w:rsidRDefault="000C49AD">
            <w:pPr>
              <w:spacing w:after="100"/>
              <w:rPr>
                <w:rFonts w:eastAsia="Times New Roman"/>
              </w:rPr>
            </w:pPr>
            <w:r>
              <w:rPr>
                <w:rFonts w:eastAsia="Times New Roman"/>
                <w:color w:val="000000"/>
                <w:sz w:val="20"/>
                <w:szCs w:val="20"/>
              </w:rPr>
              <w:t>March 16, 2022</w:t>
            </w:r>
          </w:p>
        </w:tc>
      </w:tr>
      <w:tr w:rsidR="00000000" w14:paraId="5CEF415A" w14:textId="77777777">
        <w:trPr>
          <w:divId w:val="1252549398"/>
        </w:trPr>
        <w:tc>
          <w:tcPr>
            <w:tcW w:w="0" w:type="auto"/>
            <w:gridSpan w:val="3"/>
            <w:tcBorders>
              <w:top w:val="single" w:sz="8" w:space="0" w:color="000000"/>
            </w:tcBorders>
            <w:tcMar>
              <w:top w:w="30" w:type="dxa"/>
              <w:left w:w="20" w:type="dxa"/>
              <w:bottom w:w="30" w:type="dxa"/>
              <w:right w:w="20" w:type="dxa"/>
            </w:tcMar>
            <w:vAlign w:val="bottom"/>
            <w:hideMark/>
          </w:tcPr>
          <w:p w14:paraId="0E16FF85" w14:textId="77777777" w:rsidR="00000000" w:rsidRDefault="000C49AD">
            <w:pPr>
              <w:spacing w:after="100"/>
              <w:jc w:val="both"/>
              <w:rPr>
                <w:rFonts w:eastAsia="Times New Roman"/>
              </w:rPr>
            </w:pPr>
            <w:r>
              <w:rPr>
                <w:rFonts w:eastAsia="Times New Roman"/>
                <w:color w:val="000000"/>
                <w:sz w:val="20"/>
                <w:szCs w:val="20"/>
              </w:rPr>
              <w:t>Peter J. Thornton</w:t>
            </w:r>
          </w:p>
        </w:tc>
        <w:tc>
          <w:tcPr>
            <w:tcW w:w="0" w:type="auto"/>
            <w:gridSpan w:val="3"/>
            <w:tcMar>
              <w:top w:w="30" w:type="dxa"/>
              <w:left w:w="20" w:type="dxa"/>
              <w:bottom w:w="30" w:type="dxa"/>
              <w:right w:w="20" w:type="dxa"/>
            </w:tcMar>
            <w:vAlign w:val="bottom"/>
            <w:hideMark/>
          </w:tcPr>
          <w:p w14:paraId="23553AD4"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7BEA29F"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7716BCE" w14:textId="77777777" w:rsidR="00000000" w:rsidRDefault="000C49AD">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5418099" w14:textId="77777777" w:rsidR="00000000" w:rsidRDefault="000C49AD">
            <w:pPr>
              <w:spacing w:after="100"/>
              <w:rPr>
                <w:rFonts w:eastAsia="Times New Roman"/>
              </w:rPr>
            </w:pPr>
            <w:r>
              <w:rPr>
                <w:rFonts w:eastAsia="Times New Roman"/>
                <w:color w:val="000000"/>
                <w:sz w:val="20"/>
                <w:szCs w:val="20"/>
              </w:rPr>
              <w:t> </w:t>
            </w:r>
          </w:p>
        </w:tc>
      </w:tr>
    </w:tbl>
    <w:p w14:paraId="61AAF661" w14:textId="77777777" w:rsidR="000C49AD" w:rsidRDefault="000C49AD">
      <w:pPr>
        <w:jc w:val="center"/>
        <w:divId w:val="1925607056"/>
        <w:rPr>
          <w:rFonts w:eastAsia="Times New Roman"/>
        </w:rPr>
      </w:pPr>
      <w:r>
        <w:rPr>
          <w:rFonts w:eastAsia="Times New Roman"/>
          <w:color w:val="000000"/>
          <w:sz w:val="20"/>
          <w:szCs w:val="20"/>
        </w:rPr>
        <w:t>-116-</w:t>
      </w:r>
    </w:p>
    <w:sectPr w:rsidR="000C49A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C49AD"/>
    <w:rsid w:val="000C49AD"/>
  </w:rsids>
  <m:mathPr>
    <m:mathFont m:val="Cambria Math"/>
    <m:brkBin m:val="before"/>
    <m:brkBinSub m:val="--"/>
    <m:smallFrac m:val="0"/>
    <m:dispDef/>
    <m:lMargin m:val="0"/>
    <m:rMargin m:val="0"/>
    <m:defJc m:val="centerGroup"/>
    <m:wrapIndent m:val="1440"/>
    <m:intLim m:val="subSup"/>
    <m:naryLim m:val="undOvr"/>
  </m:mathPr>
  <w:attachedSchema w:val="http://fasb.org/srt/2021-01-31"/>
  <w:attachedSchema w:val="http://www.xbrl.org/2003/instance"/>
  <w:attachedSchema w:val="http://www.xbrl.org/2009/utr"/>
  <w:attachedSchema w:val="http://xbrl.sec.gov/sic/2021"/>
  <w:attachedSchema w:val="http://www.xbrl.org/inlineXBRL/transformation/2020-02-12"/>
  <w:attachedSchema w:val="http://xbrl.sec.gov/dei/2021q4"/>
  <w:attachedSchema w:val="http://xbrl.sec.gov/country/2021"/>
  <w:attachedSchema w:val="http://www.xbrl.org/2013/inlineXBRL"/>
  <w:attachedSchema w:val="http://www.xbrl.org/2003/iso4217"/>
  <w:attachedSchema w:val="http://www.avadel.com/20211231"/>
  <w:attachedSchema w:val="http://www.w3.org/1999/xlink"/>
  <w:attachedSchema w:val="http://xbrl.org/2006/xbrldi"/>
  <w:attachedSchema w:val="http://www.xbrl.org/2003/linkbase"/>
  <w:attachedSchema w:val="http://fasb.org/us-gaap/2021-01-31"/>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F736C"/>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17">
      <w:marLeft w:val="0"/>
      <w:marRight w:val="0"/>
      <w:marTop w:val="0"/>
      <w:marBottom w:val="0"/>
      <w:divBdr>
        <w:top w:val="none" w:sz="0" w:space="0" w:color="auto"/>
        <w:left w:val="none" w:sz="0" w:space="0" w:color="auto"/>
        <w:bottom w:val="none" w:sz="0" w:space="0" w:color="auto"/>
        <w:right w:val="none" w:sz="0" w:space="0" w:color="auto"/>
      </w:divBdr>
    </w:div>
    <w:div w:id="276324">
      <w:marLeft w:val="0"/>
      <w:marRight w:val="0"/>
      <w:marTop w:val="0"/>
      <w:marBottom w:val="0"/>
      <w:divBdr>
        <w:top w:val="none" w:sz="0" w:space="0" w:color="auto"/>
        <w:left w:val="none" w:sz="0" w:space="0" w:color="auto"/>
        <w:bottom w:val="none" w:sz="0" w:space="0" w:color="auto"/>
        <w:right w:val="none" w:sz="0" w:space="0" w:color="auto"/>
      </w:divBdr>
      <w:divsChild>
        <w:div w:id="387606178">
          <w:marLeft w:val="0"/>
          <w:marRight w:val="0"/>
          <w:marTop w:val="0"/>
          <w:marBottom w:val="0"/>
          <w:divBdr>
            <w:top w:val="none" w:sz="0" w:space="0" w:color="auto"/>
            <w:left w:val="none" w:sz="0" w:space="0" w:color="auto"/>
            <w:bottom w:val="none" w:sz="0" w:space="0" w:color="auto"/>
            <w:right w:val="none" w:sz="0" w:space="0" w:color="auto"/>
          </w:divBdr>
        </w:div>
      </w:divsChild>
    </w:div>
    <w:div w:id="664292">
      <w:marLeft w:val="0"/>
      <w:marRight w:val="0"/>
      <w:marTop w:val="0"/>
      <w:marBottom w:val="0"/>
      <w:divBdr>
        <w:top w:val="none" w:sz="0" w:space="0" w:color="auto"/>
        <w:left w:val="none" w:sz="0" w:space="0" w:color="auto"/>
        <w:bottom w:val="none" w:sz="0" w:space="0" w:color="auto"/>
        <w:right w:val="none" w:sz="0" w:space="0" w:color="auto"/>
      </w:divBdr>
    </w:div>
    <w:div w:id="3097911">
      <w:marLeft w:val="0"/>
      <w:marRight w:val="0"/>
      <w:marTop w:val="0"/>
      <w:marBottom w:val="0"/>
      <w:divBdr>
        <w:top w:val="none" w:sz="0" w:space="0" w:color="auto"/>
        <w:left w:val="none" w:sz="0" w:space="0" w:color="auto"/>
        <w:bottom w:val="none" w:sz="0" w:space="0" w:color="auto"/>
        <w:right w:val="none" w:sz="0" w:space="0" w:color="auto"/>
      </w:divBdr>
    </w:div>
    <w:div w:id="7561461">
      <w:marLeft w:val="0"/>
      <w:marRight w:val="0"/>
      <w:marTop w:val="0"/>
      <w:marBottom w:val="0"/>
      <w:divBdr>
        <w:top w:val="none" w:sz="0" w:space="0" w:color="auto"/>
        <w:left w:val="none" w:sz="0" w:space="0" w:color="auto"/>
        <w:bottom w:val="none" w:sz="0" w:space="0" w:color="auto"/>
        <w:right w:val="none" w:sz="0" w:space="0" w:color="auto"/>
      </w:divBdr>
    </w:div>
    <w:div w:id="8216373">
      <w:marLeft w:val="0"/>
      <w:marRight w:val="0"/>
      <w:marTop w:val="0"/>
      <w:marBottom w:val="0"/>
      <w:divBdr>
        <w:top w:val="none" w:sz="0" w:space="0" w:color="auto"/>
        <w:left w:val="none" w:sz="0" w:space="0" w:color="auto"/>
        <w:bottom w:val="none" w:sz="0" w:space="0" w:color="auto"/>
        <w:right w:val="none" w:sz="0" w:space="0" w:color="auto"/>
      </w:divBdr>
      <w:divsChild>
        <w:div w:id="2010323323">
          <w:marLeft w:val="0"/>
          <w:marRight w:val="0"/>
          <w:marTop w:val="0"/>
          <w:marBottom w:val="0"/>
          <w:divBdr>
            <w:top w:val="none" w:sz="0" w:space="0" w:color="auto"/>
            <w:left w:val="none" w:sz="0" w:space="0" w:color="auto"/>
            <w:bottom w:val="none" w:sz="0" w:space="0" w:color="auto"/>
            <w:right w:val="none" w:sz="0" w:space="0" w:color="auto"/>
          </w:divBdr>
        </w:div>
      </w:divsChild>
    </w:div>
    <w:div w:id="12658326">
      <w:marLeft w:val="0"/>
      <w:marRight w:val="0"/>
      <w:marTop w:val="0"/>
      <w:marBottom w:val="0"/>
      <w:divBdr>
        <w:top w:val="none" w:sz="0" w:space="0" w:color="auto"/>
        <w:left w:val="none" w:sz="0" w:space="0" w:color="auto"/>
        <w:bottom w:val="none" w:sz="0" w:space="0" w:color="auto"/>
        <w:right w:val="none" w:sz="0" w:space="0" w:color="auto"/>
      </w:divBdr>
      <w:divsChild>
        <w:div w:id="1948151412">
          <w:marLeft w:val="0"/>
          <w:marRight w:val="0"/>
          <w:marTop w:val="0"/>
          <w:marBottom w:val="0"/>
          <w:divBdr>
            <w:top w:val="none" w:sz="0" w:space="0" w:color="auto"/>
            <w:left w:val="none" w:sz="0" w:space="0" w:color="auto"/>
            <w:bottom w:val="none" w:sz="0" w:space="0" w:color="auto"/>
            <w:right w:val="none" w:sz="0" w:space="0" w:color="auto"/>
          </w:divBdr>
        </w:div>
      </w:divsChild>
    </w:div>
    <w:div w:id="13963643">
      <w:marLeft w:val="0"/>
      <w:marRight w:val="0"/>
      <w:marTop w:val="0"/>
      <w:marBottom w:val="0"/>
      <w:divBdr>
        <w:top w:val="none" w:sz="0" w:space="0" w:color="auto"/>
        <w:left w:val="none" w:sz="0" w:space="0" w:color="auto"/>
        <w:bottom w:val="none" w:sz="0" w:space="0" w:color="auto"/>
        <w:right w:val="none" w:sz="0" w:space="0" w:color="auto"/>
      </w:divBdr>
      <w:divsChild>
        <w:div w:id="1505392722">
          <w:marLeft w:val="0"/>
          <w:marRight w:val="0"/>
          <w:marTop w:val="0"/>
          <w:marBottom w:val="0"/>
          <w:divBdr>
            <w:top w:val="none" w:sz="0" w:space="0" w:color="auto"/>
            <w:left w:val="none" w:sz="0" w:space="0" w:color="auto"/>
            <w:bottom w:val="none" w:sz="0" w:space="0" w:color="auto"/>
            <w:right w:val="none" w:sz="0" w:space="0" w:color="auto"/>
          </w:divBdr>
        </w:div>
      </w:divsChild>
    </w:div>
    <w:div w:id="18091236">
      <w:marLeft w:val="0"/>
      <w:marRight w:val="0"/>
      <w:marTop w:val="0"/>
      <w:marBottom w:val="0"/>
      <w:divBdr>
        <w:top w:val="none" w:sz="0" w:space="0" w:color="auto"/>
        <w:left w:val="none" w:sz="0" w:space="0" w:color="auto"/>
        <w:bottom w:val="none" w:sz="0" w:space="0" w:color="auto"/>
        <w:right w:val="none" w:sz="0" w:space="0" w:color="auto"/>
      </w:divBdr>
    </w:div>
    <w:div w:id="18241808">
      <w:marLeft w:val="0"/>
      <w:marRight w:val="0"/>
      <w:marTop w:val="0"/>
      <w:marBottom w:val="0"/>
      <w:divBdr>
        <w:top w:val="none" w:sz="0" w:space="0" w:color="auto"/>
        <w:left w:val="none" w:sz="0" w:space="0" w:color="auto"/>
        <w:bottom w:val="none" w:sz="0" w:space="0" w:color="auto"/>
        <w:right w:val="none" w:sz="0" w:space="0" w:color="auto"/>
      </w:divBdr>
      <w:divsChild>
        <w:div w:id="1810978575">
          <w:marLeft w:val="0"/>
          <w:marRight w:val="0"/>
          <w:marTop w:val="0"/>
          <w:marBottom w:val="0"/>
          <w:divBdr>
            <w:top w:val="none" w:sz="0" w:space="0" w:color="auto"/>
            <w:left w:val="none" w:sz="0" w:space="0" w:color="auto"/>
            <w:bottom w:val="none" w:sz="0" w:space="0" w:color="auto"/>
            <w:right w:val="none" w:sz="0" w:space="0" w:color="auto"/>
          </w:divBdr>
        </w:div>
      </w:divsChild>
    </w:div>
    <w:div w:id="18748267">
      <w:marLeft w:val="0"/>
      <w:marRight w:val="0"/>
      <w:marTop w:val="0"/>
      <w:marBottom w:val="0"/>
      <w:divBdr>
        <w:top w:val="none" w:sz="0" w:space="0" w:color="auto"/>
        <w:left w:val="none" w:sz="0" w:space="0" w:color="auto"/>
        <w:bottom w:val="none" w:sz="0" w:space="0" w:color="auto"/>
        <w:right w:val="none" w:sz="0" w:space="0" w:color="auto"/>
      </w:divBdr>
      <w:divsChild>
        <w:div w:id="73553426">
          <w:marLeft w:val="0"/>
          <w:marRight w:val="0"/>
          <w:marTop w:val="0"/>
          <w:marBottom w:val="0"/>
          <w:divBdr>
            <w:top w:val="none" w:sz="0" w:space="0" w:color="auto"/>
            <w:left w:val="none" w:sz="0" w:space="0" w:color="auto"/>
            <w:bottom w:val="none" w:sz="0" w:space="0" w:color="auto"/>
            <w:right w:val="none" w:sz="0" w:space="0" w:color="auto"/>
          </w:divBdr>
        </w:div>
      </w:divsChild>
    </w:div>
    <w:div w:id="20861760">
      <w:marLeft w:val="0"/>
      <w:marRight w:val="0"/>
      <w:marTop w:val="0"/>
      <w:marBottom w:val="0"/>
      <w:divBdr>
        <w:top w:val="none" w:sz="0" w:space="0" w:color="auto"/>
        <w:left w:val="none" w:sz="0" w:space="0" w:color="auto"/>
        <w:bottom w:val="none" w:sz="0" w:space="0" w:color="auto"/>
        <w:right w:val="none" w:sz="0" w:space="0" w:color="auto"/>
      </w:divBdr>
    </w:div>
    <w:div w:id="24254628">
      <w:marLeft w:val="0"/>
      <w:marRight w:val="0"/>
      <w:marTop w:val="0"/>
      <w:marBottom w:val="180"/>
      <w:divBdr>
        <w:top w:val="none" w:sz="0" w:space="0" w:color="auto"/>
        <w:left w:val="none" w:sz="0" w:space="0" w:color="auto"/>
        <w:bottom w:val="none" w:sz="0" w:space="0" w:color="auto"/>
        <w:right w:val="none" w:sz="0" w:space="0" w:color="auto"/>
      </w:divBdr>
    </w:div>
    <w:div w:id="31657391">
      <w:marLeft w:val="0"/>
      <w:marRight w:val="0"/>
      <w:marTop w:val="0"/>
      <w:marBottom w:val="0"/>
      <w:divBdr>
        <w:top w:val="none" w:sz="0" w:space="0" w:color="auto"/>
        <w:left w:val="none" w:sz="0" w:space="0" w:color="auto"/>
        <w:bottom w:val="none" w:sz="0" w:space="0" w:color="auto"/>
        <w:right w:val="none" w:sz="0" w:space="0" w:color="auto"/>
      </w:divBdr>
      <w:divsChild>
        <w:div w:id="843207699">
          <w:marLeft w:val="0"/>
          <w:marRight w:val="0"/>
          <w:marTop w:val="0"/>
          <w:marBottom w:val="0"/>
          <w:divBdr>
            <w:top w:val="none" w:sz="0" w:space="0" w:color="auto"/>
            <w:left w:val="none" w:sz="0" w:space="0" w:color="auto"/>
            <w:bottom w:val="none" w:sz="0" w:space="0" w:color="auto"/>
            <w:right w:val="none" w:sz="0" w:space="0" w:color="auto"/>
          </w:divBdr>
        </w:div>
      </w:divsChild>
    </w:div>
    <w:div w:id="43868451">
      <w:marLeft w:val="0"/>
      <w:marRight w:val="0"/>
      <w:marTop w:val="0"/>
      <w:marBottom w:val="0"/>
      <w:divBdr>
        <w:top w:val="none" w:sz="0" w:space="0" w:color="auto"/>
        <w:left w:val="none" w:sz="0" w:space="0" w:color="auto"/>
        <w:bottom w:val="none" w:sz="0" w:space="0" w:color="auto"/>
        <w:right w:val="none" w:sz="0" w:space="0" w:color="auto"/>
      </w:divBdr>
    </w:div>
    <w:div w:id="53890277">
      <w:marLeft w:val="0"/>
      <w:marRight w:val="0"/>
      <w:marTop w:val="0"/>
      <w:marBottom w:val="0"/>
      <w:divBdr>
        <w:top w:val="none" w:sz="0" w:space="0" w:color="auto"/>
        <w:left w:val="none" w:sz="0" w:space="0" w:color="auto"/>
        <w:bottom w:val="none" w:sz="0" w:space="0" w:color="auto"/>
        <w:right w:val="none" w:sz="0" w:space="0" w:color="auto"/>
      </w:divBdr>
    </w:div>
    <w:div w:id="54203307">
      <w:marLeft w:val="0"/>
      <w:marRight w:val="0"/>
      <w:marTop w:val="0"/>
      <w:marBottom w:val="0"/>
      <w:divBdr>
        <w:top w:val="none" w:sz="0" w:space="0" w:color="auto"/>
        <w:left w:val="none" w:sz="0" w:space="0" w:color="auto"/>
        <w:bottom w:val="none" w:sz="0" w:space="0" w:color="auto"/>
        <w:right w:val="none" w:sz="0" w:space="0" w:color="auto"/>
      </w:divBdr>
      <w:divsChild>
        <w:div w:id="1037582697">
          <w:marLeft w:val="0"/>
          <w:marRight w:val="0"/>
          <w:marTop w:val="0"/>
          <w:marBottom w:val="0"/>
          <w:divBdr>
            <w:top w:val="none" w:sz="0" w:space="0" w:color="auto"/>
            <w:left w:val="none" w:sz="0" w:space="0" w:color="auto"/>
            <w:bottom w:val="none" w:sz="0" w:space="0" w:color="auto"/>
            <w:right w:val="none" w:sz="0" w:space="0" w:color="auto"/>
          </w:divBdr>
        </w:div>
      </w:divsChild>
    </w:div>
    <w:div w:id="56324942">
      <w:marLeft w:val="0"/>
      <w:marRight w:val="0"/>
      <w:marTop w:val="0"/>
      <w:marBottom w:val="0"/>
      <w:divBdr>
        <w:top w:val="none" w:sz="0" w:space="0" w:color="auto"/>
        <w:left w:val="none" w:sz="0" w:space="0" w:color="auto"/>
        <w:bottom w:val="none" w:sz="0" w:space="0" w:color="auto"/>
        <w:right w:val="none" w:sz="0" w:space="0" w:color="auto"/>
      </w:divBdr>
      <w:divsChild>
        <w:div w:id="884215669">
          <w:marLeft w:val="0"/>
          <w:marRight w:val="0"/>
          <w:marTop w:val="0"/>
          <w:marBottom w:val="0"/>
          <w:divBdr>
            <w:top w:val="none" w:sz="0" w:space="0" w:color="auto"/>
            <w:left w:val="none" w:sz="0" w:space="0" w:color="auto"/>
            <w:bottom w:val="none" w:sz="0" w:space="0" w:color="auto"/>
            <w:right w:val="none" w:sz="0" w:space="0" w:color="auto"/>
          </w:divBdr>
        </w:div>
      </w:divsChild>
    </w:div>
    <w:div w:id="65423536">
      <w:marLeft w:val="0"/>
      <w:marRight w:val="0"/>
      <w:marTop w:val="0"/>
      <w:marBottom w:val="0"/>
      <w:divBdr>
        <w:top w:val="none" w:sz="0" w:space="0" w:color="auto"/>
        <w:left w:val="none" w:sz="0" w:space="0" w:color="auto"/>
        <w:bottom w:val="none" w:sz="0" w:space="0" w:color="auto"/>
        <w:right w:val="none" w:sz="0" w:space="0" w:color="auto"/>
      </w:divBdr>
    </w:div>
    <w:div w:id="67464467">
      <w:marLeft w:val="0"/>
      <w:marRight w:val="0"/>
      <w:marTop w:val="0"/>
      <w:marBottom w:val="0"/>
      <w:divBdr>
        <w:top w:val="none" w:sz="0" w:space="0" w:color="auto"/>
        <w:left w:val="none" w:sz="0" w:space="0" w:color="auto"/>
        <w:bottom w:val="none" w:sz="0" w:space="0" w:color="auto"/>
        <w:right w:val="none" w:sz="0" w:space="0" w:color="auto"/>
      </w:divBdr>
      <w:divsChild>
        <w:div w:id="1251500582">
          <w:marLeft w:val="0"/>
          <w:marRight w:val="0"/>
          <w:marTop w:val="0"/>
          <w:marBottom w:val="0"/>
          <w:divBdr>
            <w:top w:val="none" w:sz="0" w:space="0" w:color="auto"/>
            <w:left w:val="none" w:sz="0" w:space="0" w:color="auto"/>
            <w:bottom w:val="none" w:sz="0" w:space="0" w:color="auto"/>
            <w:right w:val="none" w:sz="0" w:space="0" w:color="auto"/>
          </w:divBdr>
        </w:div>
      </w:divsChild>
    </w:div>
    <w:div w:id="74058030">
      <w:marLeft w:val="0"/>
      <w:marRight w:val="0"/>
      <w:marTop w:val="0"/>
      <w:marBottom w:val="180"/>
      <w:divBdr>
        <w:top w:val="none" w:sz="0" w:space="0" w:color="auto"/>
        <w:left w:val="none" w:sz="0" w:space="0" w:color="auto"/>
        <w:bottom w:val="none" w:sz="0" w:space="0" w:color="auto"/>
        <w:right w:val="none" w:sz="0" w:space="0" w:color="auto"/>
      </w:divBdr>
    </w:div>
    <w:div w:id="76218655">
      <w:marLeft w:val="0"/>
      <w:marRight w:val="0"/>
      <w:marTop w:val="0"/>
      <w:marBottom w:val="0"/>
      <w:divBdr>
        <w:top w:val="none" w:sz="0" w:space="0" w:color="auto"/>
        <w:left w:val="none" w:sz="0" w:space="0" w:color="auto"/>
        <w:bottom w:val="none" w:sz="0" w:space="0" w:color="auto"/>
        <w:right w:val="none" w:sz="0" w:space="0" w:color="auto"/>
      </w:divBdr>
    </w:div>
    <w:div w:id="89398772">
      <w:marLeft w:val="0"/>
      <w:marRight w:val="0"/>
      <w:marTop w:val="0"/>
      <w:marBottom w:val="60"/>
      <w:divBdr>
        <w:top w:val="none" w:sz="0" w:space="0" w:color="auto"/>
        <w:left w:val="none" w:sz="0" w:space="0" w:color="auto"/>
        <w:bottom w:val="none" w:sz="0" w:space="0" w:color="auto"/>
        <w:right w:val="none" w:sz="0" w:space="0" w:color="auto"/>
      </w:divBdr>
    </w:div>
    <w:div w:id="90244239">
      <w:marLeft w:val="0"/>
      <w:marRight w:val="0"/>
      <w:marTop w:val="0"/>
      <w:marBottom w:val="0"/>
      <w:divBdr>
        <w:top w:val="none" w:sz="0" w:space="0" w:color="auto"/>
        <w:left w:val="none" w:sz="0" w:space="0" w:color="auto"/>
        <w:bottom w:val="none" w:sz="0" w:space="0" w:color="auto"/>
        <w:right w:val="none" w:sz="0" w:space="0" w:color="auto"/>
      </w:divBdr>
    </w:div>
    <w:div w:id="93285441">
      <w:marLeft w:val="0"/>
      <w:marRight w:val="0"/>
      <w:marTop w:val="0"/>
      <w:marBottom w:val="0"/>
      <w:divBdr>
        <w:top w:val="none" w:sz="0" w:space="0" w:color="auto"/>
        <w:left w:val="none" w:sz="0" w:space="0" w:color="auto"/>
        <w:bottom w:val="none" w:sz="0" w:space="0" w:color="auto"/>
        <w:right w:val="none" w:sz="0" w:space="0" w:color="auto"/>
      </w:divBdr>
    </w:div>
    <w:div w:id="98571324">
      <w:marLeft w:val="0"/>
      <w:marRight w:val="0"/>
      <w:marTop w:val="0"/>
      <w:marBottom w:val="0"/>
      <w:divBdr>
        <w:top w:val="none" w:sz="0" w:space="0" w:color="auto"/>
        <w:left w:val="none" w:sz="0" w:space="0" w:color="auto"/>
        <w:bottom w:val="none" w:sz="0" w:space="0" w:color="auto"/>
        <w:right w:val="none" w:sz="0" w:space="0" w:color="auto"/>
      </w:divBdr>
    </w:div>
    <w:div w:id="98836676">
      <w:marLeft w:val="0"/>
      <w:marRight w:val="0"/>
      <w:marTop w:val="0"/>
      <w:marBottom w:val="0"/>
      <w:divBdr>
        <w:top w:val="none" w:sz="0" w:space="0" w:color="auto"/>
        <w:left w:val="none" w:sz="0" w:space="0" w:color="auto"/>
        <w:bottom w:val="none" w:sz="0" w:space="0" w:color="auto"/>
        <w:right w:val="none" w:sz="0" w:space="0" w:color="auto"/>
      </w:divBdr>
      <w:divsChild>
        <w:div w:id="681470430">
          <w:marLeft w:val="0"/>
          <w:marRight w:val="0"/>
          <w:marTop w:val="0"/>
          <w:marBottom w:val="0"/>
          <w:divBdr>
            <w:top w:val="none" w:sz="0" w:space="0" w:color="auto"/>
            <w:left w:val="none" w:sz="0" w:space="0" w:color="auto"/>
            <w:bottom w:val="none" w:sz="0" w:space="0" w:color="auto"/>
            <w:right w:val="none" w:sz="0" w:space="0" w:color="auto"/>
          </w:divBdr>
        </w:div>
      </w:divsChild>
    </w:div>
    <w:div w:id="102043219">
      <w:marLeft w:val="0"/>
      <w:marRight w:val="0"/>
      <w:marTop w:val="240"/>
      <w:marBottom w:val="0"/>
      <w:divBdr>
        <w:top w:val="none" w:sz="0" w:space="0" w:color="auto"/>
        <w:left w:val="none" w:sz="0" w:space="0" w:color="auto"/>
        <w:bottom w:val="none" w:sz="0" w:space="0" w:color="auto"/>
        <w:right w:val="none" w:sz="0" w:space="0" w:color="auto"/>
      </w:divBdr>
    </w:div>
    <w:div w:id="108818718">
      <w:marLeft w:val="0"/>
      <w:marRight w:val="0"/>
      <w:marTop w:val="0"/>
      <w:marBottom w:val="0"/>
      <w:divBdr>
        <w:top w:val="none" w:sz="0" w:space="0" w:color="auto"/>
        <w:left w:val="none" w:sz="0" w:space="0" w:color="auto"/>
        <w:bottom w:val="none" w:sz="0" w:space="0" w:color="auto"/>
        <w:right w:val="none" w:sz="0" w:space="0" w:color="auto"/>
      </w:divBdr>
    </w:div>
    <w:div w:id="110905654">
      <w:marLeft w:val="0"/>
      <w:marRight w:val="0"/>
      <w:marTop w:val="0"/>
      <w:marBottom w:val="120"/>
      <w:divBdr>
        <w:top w:val="none" w:sz="0" w:space="0" w:color="auto"/>
        <w:left w:val="none" w:sz="0" w:space="0" w:color="auto"/>
        <w:bottom w:val="none" w:sz="0" w:space="0" w:color="auto"/>
        <w:right w:val="none" w:sz="0" w:space="0" w:color="auto"/>
      </w:divBdr>
    </w:div>
    <w:div w:id="111438343">
      <w:marLeft w:val="0"/>
      <w:marRight w:val="0"/>
      <w:marTop w:val="0"/>
      <w:marBottom w:val="0"/>
      <w:divBdr>
        <w:top w:val="none" w:sz="0" w:space="0" w:color="auto"/>
        <w:left w:val="none" w:sz="0" w:space="0" w:color="auto"/>
        <w:bottom w:val="none" w:sz="0" w:space="0" w:color="auto"/>
        <w:right w:val="none" w:sz="0" w:space="0" w:color="auto"/>
      </w:divBdr>
    </w:div>
    <w:div w:id="112408272">
      <w:marLeft w:val="0"/>
      <w:marRight w:val="0"/>
      <w:marTop w:val="0"/>
      <w:marBottom w:val="0"/>
      <w:divBdr>
        <w:top w:val="none" w:sz="0" w:space="0" w:color="auto"/>
        <w:left w:val="none" w:sz="0" w:space="0" w:color="auto"/>
        <w:bottom w:val="none" w:sz="0" w:space="0" w:color="auto"/>
        <w:right w:val="none" w:sz="0" w:space="0" w:color="auto"/>
      </w:divBdr>
      <w:divsChild>
        <w:div w:id="1664697606">
          <w:marLeft w:val="0"/>
          <w:marRight w:val="0"/>
          <w:marTop w:val="0"/>
          <w:marBottom w:val="0"/>
          <w:divBdr>
            <w:top w:val="none" w:sz="0" w:space="0" w:color="auto"/>
            <w:left w:val="none" w:sz="0" w:space="0" w:color="auto"/>
            <w:bottom w:val="none" w:sz="0" w:space="0" w:color="auto"/>
            <w:right w:val="none" w:sz="0" w:space="0" w:color="auto"/>
          </w:divBdr>
        </w:div>
      </w:divsChild>
    </w:div>
    <w:div w:id="112867440">
      <w:marLeft w:val="0"/>
      <w:marRight w:val="0"/>
      <w:marTop w:val="0"/>
      <w:marBottom w:val="0"/>
      <w:divBdr>
        <w:top w:val="none" w:sz="0" w:space="0" w:color="auto"/>
        <w:left w:val="none" w:sz="0" w:space="0" w:color="auto"/>
        <w:bottom w:val="none" w:sz="0" w:space="0" w:color="auto"/>
        <w:right w:val="none" w:sz="0" w:space="0" w:color="auto"/>
      </w:divBdr>
    </w:div>
    <w:div w:id="116031062">
      <w:marLeft w:val="0"/>
      <w:marRight w:val="0"/>
      <w:marTop w:val="0"/>
      <w:marBottom w:val="0"/>
      <w:divBdr>
        <w:top w:val="none" w:sz="0" w:space="0" w:color="auto"/>
        <w:left w:val="none" w:sz="0" w:space="0" w:color="auto"/>
        <w:bottom w:val="none" w:sz="0" w:space="0" w:color="auto"/>
        <w:right w:val="none" w:sz="0" w:space="0" w:color="auto"/>
      </w:divBdr>
    </w:div>
    <w:div w:id="121385149">
      <w:marLeft w:val="0"/>
      <w:marRight w:val="0"/>
      <w:marTop w:val="0"/>
      <w:marBottom w:val="0"/>
      <w:divBdr>
        <w:top w:val="none" w:sz="0" w:space="0" w:color="auto"/>
        <w:left w:val="none" w:sz="0" w:space="0" w:color="auto"/>
        <w:bottom w:val="none" w:sz="0" w:space="0" w:color="auto"/>
        <w:right w:val="none" w:sz="0" w:space="0" w:color="auto"/>
      </w:divBdr>
      <w:divsChild>
        <w:div w:id="1364550466">
          <w:marLeft w:val="0"/>
          <w:marRight w:val="0"/>
          <w:marTop w:val="0"/>
          <w:marBottom w:val="0"/>
          <w:divBdr>
            <w:top w:val="none" w:sz="0" w:space="0" w:color="auto"/>
            <w:left w:val="none" w:sz="0" w:space="0" w:color="auto"/>
            <w:bottom w:val="none" w:sz="0" w:space="0" w:color="auto"/>
            <w:right w:val="none" w:sz="0" w:space="0" w:color="auto"/>
          </w:divBdr>
        </w:div>
      </w:divsChild>
    </w:div>
    <w:div w:id="129447713">
      <w:marLeft w:val="0"/>
      <w:marRight w:val="0"/>
      <w:marTop w:val="0"/>
      <w:marBottom w:val="0"/>
      <w:divBdr>
        <w:top w:val="none" w:sz="0" w:space="0" w:color="auto"/>
        <w:left w:val="none" w:sz="0" w:space="0" w:color="auto"/>
        <w:bottom w:val="none" w:sz="0" w:space="0" w:color="auto"/>
        <w:right w:val="none" w:sz="0" w:space="0" w:color="auto"/>
      </w:divBdr>
      <w:divsChild>
        <w:div w:id="1789200238">
          <w:marLeft w:val="0"/>
          <w:marRight w:val="0"/>
          <w:marTop w:val="0"/>
          <w:marBottom w:val="0"/>
          <w:divBdr>
            <w:top w:val="none" w:sz="0" w:space="0" w:color="auto"/>
            <w:left w:val="none" w:sz="0" w:space="0" w:color="auto"/>
            <w:bottom w:val="none" w:sz="0" w:space="0" w:color="auto"/>
            <w:right w:val="none" w:sz="0" w:space="0" w:color="auto"/>
          </w:divBdr>
        </w:div>
      </w:divsChild>
    </w:div>
    <w:div w:id="130102743">
      <w:marLeft w:val="0"/>
      <w:marRight w:val="0"/>
      <w:marTop w:val="0"/>
      <w:marBottom w:val="0"/>
      <w:divBdr>
        <w:top w:val="none" w:sz="0" w:space="0" w:color="auto"/>
        <w:left w:val="none" w:sz="0" w:space="0" w:color="auto"/>
        <w:bottom w:val="none" w:sz="0" w:space="0" w:color="auto"/>
        <w:right w:val="none" w:sz="0" w:space="0" w:color="auto"/>
      </w:divBdr>
      <w:divsChild>
        <w:div w:id="1921939448">
          <w:marLeft w:val="0"/>
          <w:marRight w:val="0"/>
          <w:marTop w:val="0"/>
          <w:marBottom w:val="0"/>
          <w:divBdr>
            <w:top w:val="none" w:sz="0" w:space="0" w:color="auto"/>
            <w:left w:val="none" w:sz="0" w:space="0" w:color="auto"/>
            <w:bottom w:val="none" w:sz="0" w:space="0" w:color="auto"/>
            <w:right w:val="none" w:sz="0" w:space="0" w:color="auto"/>
          </w:divBdr>
        </w:div>
      </w:divsChild>
    </w:div>
    <w:div w:id="132142718">
      <w:marLeft w:val="0"/>
      <w:marRight w:val="0"/>
      <w:marTop w:val="0"/>
      <w:marBottom w:val="0"/>
      <w:divBdr>
        <w:top w:val="none" w:sz="0" w:space="0" w:color="auto"/>
        <w:left w:val="none" w:sz="0" w:space="0" w:color="auto"/>
        <w:bottom w:val="none" w:sz="0" w:space="0" w:color="auto"/>
        <w:right w:val="none" w:sz="0" w:space="0" w:color="auto"/>
      </w:divBdr>
      <w:divsChild>
        <w:div w:id="543829599">
          <w:marLeft w:val="0"/>
          <w:marRight w:val="0"/>
          <w:marTop w:val="0"/>
          <w:marBottom w:val="0"/>
          <w:divBdr>
            <w:top w:val="none" w:sz="0" w:space="0" w:color="auto"/>
            <w:left w:val="none" w:sz="0" w:space="0" w:color="auto"/>
            <w:bottom w:val="none" w:sz="0" w:space="0" w:color="auto"/>
            <w:right w:val="none" w:sz="0" w:space="0" w:color="auto"/>
          </w:divBdr>
        </w:div>
      </w:divsChild>
    </w:div>
    <w:div w:id="135412219">
      <w:marLeft w:val="0"/>
      <w:marRight w:val="0"/>
      <w:marTop w:val="0"/>
      <w:marBottom w:val="180"/>
      <w:divBdr>
        <w:top w:val="none" w:sz="0" w:space="0" w:color="auto"/>
        <w:left w:val="none" w:sz="0" w:space="0" w:color="auto"/>
        <w:bottom w:val="none" w:sz="0" w:space="0" w:color="auto"/>
        <w:right w:val="none" w:sz="0" w:space="0" w:color="auto"/>
      </w:divBdr>
    </w:div>
    <w:div w:id="141847696">
      <w:marLeft w:val="0"/>
      <w:marRight w:val="0"/>
      <w:marTop w:val="0"/>
      <w:marBottom w:val="0"/>
      <w:divBdr>
        <w:top w:val="none" w:sz="0" w:space="0" w:color="auto"/>
        <w:left w:val="none" w:sz="0" w:space="0" w:color="auto"/>
        <w:bottom w:val="none" w:sz="0" w:space="0" w:color="auto"/>
        <w:right w:val="none" w:sz="0" w:space="0" w:color="auto"/>
      </w:divBdr>
      <w:divsChild>
        <w:div w:id="73359090">
          <w:marLeft w:val="0"/>
          <w:marRight w:val="0"/>
          <w:marTop w:val="0"/>
          <w:marBottom w:val="0"/>
          <w:divBdr>
            <w:top w:val="none" w:sz="0" w:space="0" w:color="auto"/>
            <w:left w:val="none" w:sz="0" w:space="0" w:color="auto"/>
            <w:bottom w:val="none" w:sz="0" w:space="0" w:color="auto"/>
            <w:right w:val="none" w:sz="0" w:space="0" w:color="auto"/>
          </w:divBdr>
        </w:div>
      </w:divsChild>
    </w:div>
    <w:div w:id="147483944">
      <w:marLeft w:val="0"/>
      <w:marRight w:val="0"/>
      <w:marTop w:val="0"/>
      <w:marBottom w:val="0"/>
      <w:divBdr>
        <w:top w:val="none" w:sz="0" w:space="0" w:color="auto"/>
        <w:left w:val="none" w:sz="0" w:space="0" w:color="auto"/>
        <w:bottom w:val="none" w:sz="0" w:space="0" w:color="auto"/>
        <w:right w:val="none" w:sz="0" w:space="0" w:color="auto"/>
      </w:divBdr>
    </w:div>
    <w:div w:id="149029827">
      <w:marLeft w:val="0"/>
      <w:marRight w:val="0"/>
      <w:marTop w:val="0"/>
      <w:marBottom w:val="0"/>
      <w:divBdr>
        <w:top w:val="none" w:sz="0" w:space="0" w:color="auto"/>
        <w:left w:val="none" w:sz="0" w:space="0" w:color="auto"/>
        <w:bottom w:val="none" w:sz="0" w:space="0" w:color="auto"/>
        <w:right w:val="none" w:sz="0" w:space="0" w:color="auto"/>
      </w:divBdr>
    </w:div>
    <w:div w:id="151603265">
      <w:marLeft w:val="0"/>
      <w:marRight w:val="0"/>
      <w:marTop w:val="0"/>
      <w:marBottom w:val="280"/>
      <w:divBdr>
        <w:top w:val="none" w:sz="0" w:space="0" w:color="auto"/>
        <w:left w:val="none" w:sz="0" w:space="0" w:color="auto"/>
        <w:bottom w:val="none" w:sz="0" w:space="0" w:color="auto"/>
        <w:right w:val="none" w:sz="0" w:space="0" w:color="auto"/>
      </w:divBdr>
    </w:div>
    <w:div w:id="157383433">
      <w:marLeft w:val="0"/>
      <w:marRight w:val="0"/>
      <w:marTop w:val="0"/>
      <w:marBottom w:val="180"/>
      <w:divBdr>
        <w:top w:val="none" w:sz="0" w:space="0" w:color="auto"/>
        <w:left w:val="none" w:sz="0" w:space="0" w:color="auto"/>
        <w:bottom w:val="none" w:sz="0" w:space="0" w:color="auto"/>
        <w:right w:val="none" w:sz="0" w:space="0" w:color="auto"/>
      </w:divBdr>
    </w:div>
    <w:div w:id="157625306">
      <w:marLeft w:val="0"/>
      <w:marRight w:val="0"/>
      <w:marTop w:val="0"/>
      <w:marBottom w:val="240"/>
      <w:divBdr>
        <w:top w:val="none" w:sz="0" w:space="0" w:color="auto"/>
        <w:left w:val="none" w:sz="0" w:space="0" w:color="auto"/>
        <w:bottom w:val="none" w:sz="0" w:space="0" w:color="auto"/>
        <w:right w:val="none" w:sz="0" w:space="0" w:color="auto"/>
      </w:divBdr>
    </w:div>
    <w:div w:id="161822476">
      <w:marLeft w:val="0"/>
      <w:marRight w:val="0"/>
      <w:marTop w:val="0"/>
      <w:marBottom w:val="0"/>
      <w:divBdr>
        <w:top w:val="none" w:sz="0" w:space="0" w:color="auto"/>
        <w:left w:val="none" w:sz="0" w:space="0" w:color="auto"/>
        <w:bottom w:val="none" w:sz="0" w:space="0" w:color="auto"/>
        <w:right w:val="none" w:sz="0" w:space="0" w:color="auto"/>
      </w:divBdr>
    </w:div>
    <w:div w:id="171192108">
      <w:marLeft w:val="0"/>
      <w:marRight w:val="0"/>
      <w:marTop w:val="0"/>
      <w:marBottom w:val="0"/>
      <w:divBdr>
        <w:top w:val="none" w:sz="0" w:space="0" w:color="auto"/>
        <w:left w:val="none" w:sz="0" w:space="0" w:color="auto"/>
        <w:bottom w:val="none" w:sz="0" w:space="0" w:color="auto"/>
        <w:right w:val="none" w:sz="0" w:space="0" w:color="auto"/>
      </w:divBdr>
      <w:divsChild>
        <w:div w:id="1817214234">
          <w:marLeft w:val="0"/>
          <w:marRight w:val="0"/>
          <w:marTop w:val="0"/>
          <w:marBottom w:val="0"/>
          <w:divBdr>
            <w:top w:val="none" w:sz="0" w:space="0" w:color="auto"/>
            <w:left w:val="none" w:sz="0" w:space="0" w:color="auto"/>
            <w:bottom w:val="none" w:sz="0" w:space="0" w:color="auto"/>
            <w:right w:val="none" w:sz="0" w:space="0" w:color="auto"/>
          </w:divBdr>
        </w:div>
      </w:divsChild>
    </w:div>
    <w:div w:id="175509814">
      <w:marLeft w:val="0"/>
      <w:marRight w:val="0"/>
      <w:marTop w:val="0"/>
      <w:marBottom w:val="0"/>
      <w:divBdr>
        <w:top w:val="none" w:sz="0" w:space="0" w:color="auto"/>
        <w:left w:val="none" w:sz="0" w:space="0" w:color="auto"/>
        <w:bottom w:val="none" w:sz="0" w:space="0" w:color="auto"/>
        <w:right w:val="none" w:sz="0" w:space="0" w:color="auto"/>
      </w:divBdr>
      <w:divsChild>
        <w:div w:id="355931902">
          <w:marLeft w:val="0"/>
          <w:marRight w:val="0"/>
          <w:marTop w:val="0"/>
          <w:marBottom w:val="0"/>
          <w:divBdr>
            <w:top w:val="none" w:sz="0" w:space="0" w:color="auto"/>
            <w:left w:val="none" w:sz="0" w:space="0" w:color="auto"/>
            <w:bottom w:val="none" w:sz="0" w:space="0" w:color="auto"/>
            <w:right w:val="none" w:sz="0" w:space="0" w:color="auto"/>
          </w:divBdr>
        </w:div>
      </w:divsChild>
    </w:div>
    <w:div w:id="185599117">
      <w:marLeft w:val="0"/>
      <w:marRight w:val="0"/>
      <w:marTop w:val="0"/>
      <w:marBottom w:val="240"/>
      <w:divBdr>
        <w:top w:val="none" w:sz="0" w:space="0" w:color="auto"/>
        <w:left w:val="none" w:sz="0" w:space="0" w:color="auto"/>
        <w:bottom w:val="none" w:sz="0" w:space="0" w:color="auto"/>
        <w:right w:val="none" w:sz="0" w:space="0" w:color="auto"/>
      </w:divBdr>
    </w:div>
    <w:div w:id="189269935">
      <w:marLeft w:val="0"/>
      <w:marRight w:val="0"/>
      <w:marTop w:val="0"/>
      <w:marBottom w:val="180"/>
      <w:divBdr>
        <w:top w:val="none" w:sz="0" w:space="0" w:color="auto"/>
        <w:left w:val="none" w:sz="0" w:space="0" w:color="auto"/>
        <w:bottom w:val="none" w:sz="0" w:space="0" w:color="auto"/>
        <w:right w:val="none" w:sz="0" w:space="0" w:color="auto"/>
      </w:divBdr>
    </w:div>
    <w:div w:id="190187066">
      <w:marLeft w:val="0"/>
      <w:marRight w:val="0"/>
      <w:marTop w:val="0"/>
      <w:marBottom w:val="0"/>
      <w:divBdr>
        <w:top w:val="none" w:sz="0" w:space="0" w:color="auto"/>
        <w:left w:val="none" w:sz="0" w:space="0" w:color="auto"/>
        <w:bottom w:val="none" w:sz="0" w:space="0" w:color="auto"/>
        <w:right w:val="none" w:sz="0" w:space="0" w:color="auto"/>
      </w:divBdr>
      <w:divsChild>
        <w:div w:id="76679949">
          <w:marLeft w:val="0"/>
          <w:marRight w:val="0"/>
          <w:marTop w:val="0"/>
          <w:marBottom w:val="0"/>
          <w:divBdr>
            <w:top w:val="none" w:sz="0" w:space="0" w:color="auto"/>
            <w:left w:val="none" w:sz="0" w:space="0" w:color="auto"/>
            <w:bottom w:val="none" w:sz="0" w:space="0" w:color="auto"/>
            <w:right w:val="none" w:sz="0" w:space="0" w:color="auto"/>
          </w:divBdr>
        </w:div>
      </w:divsChild>
    </w:div>
    <w:div w:id="191579660">
      <w:marLeft w:val="0"/>
      <w:marRight w:val="0"/>
      <w:marTop w:val="0"/>
      <w:marBottom w:val="0"/>
      <w:divBdr>
        <w:top w:val="none" w:sz="0" w:space="0" w:color="auto"/>
        <w:left w:val="none" w:sz="0" w:space="0" w:color="auto"/>
        <w:bottom w:val="none" w:sz="0" w:space="0" w:color="auto"/>
        <w:right w:val="none" w:sz="0" w:space="0" w:color="auto"/>
      </w:divBdr>
    </w:div>
    <w:div w:id="192503940">
      <w:marLeft w:val="0"/>
      <w:marRight w:val="0"/>
      <w:marTop w:val="0"/>
      <w:marBottom w:val="0"/>
      <w:divBdr>
        <w:top w:val="none" w:sz="0" w:space="0" w:color="auto"/>
        <w:left w:val="none" w:sz="0" w:space="0" w:color="auto"/>
        <w:bottom w:val="none" w:sz="0" w:space="0" w:color="auto"/>
        <w:right w:val="none" w:sz="0" w:space="0" w:color="auto"/>
      </w:divBdr>
      <w:divsChild>
        <w:div w:id="984314628">
          <w:marLeft w:val="0"/>
          <w:marRight w:val="0"/>
          <w:marTop w:val="0"/>
          <w:marBottom w:val="0"/>
          <w:divBdr>
            <w:top w:val="none" w:sz="0" w:space="0" w:color="auto"/>
            <w:left w:val="none" w:sz="0" w:space="0" w:color="auto"/>
            <w:bottom w:val="none" w:sz="0" w:space="0" w:color="auto"/>
            <w:right w:val="none" w:sz="0" w:space="0" w:color="auto"/>
          </w:divBdr>
        </w:div>
      </w:divsChild>
    </w:div>
    <w:div w:id="193730763">
      <w:marLeft w:val="0"/>
      <w:marRight w:val="0"/>
      <w:marTop w:val="0"/>
      <w:marBottom w:val="0"/>
      <w:divBdr>
        <w:top w:val="none" w:sz="0" w:space="0" w:color="auto"/>
        <w:left w:val="none" w:sz="0" w:space="0" w:color="auto"/>
        <w:bottom w:val="none" w:sz="0" w:space="0" w:color="auto"/>
        <w:right w:val="none" w:sz="0" w:space="0" w:color="auto"/>
      </w:divBdr>
      <w:divsChild>
        <w:div w:id="886718942">
          <w:marLeft w:val="0"/>
          <w:marRight w:val="0"/>
          <w:marTop w:val="0"/>
          <w:marBottom w:val="0"/>
          <w:divBdr>
            <w:top w:val="none" w:sz="0" w:space="0" w:color="auto"/>
            <w:left w:val="none" w:sz="0" w:space="0" w:color="auto"/>
            <w:bottom w:val="none" w:sz="0" w:space="0" w:color="auto"/>
            <w:right w:val="none" w:sz="0" w:space="0" w:color="auto"/>
          </w:divBdr>
        </w:div>
      </w:divsChild>
    </w:div>
    <w:div w:id="193886650">
      <w:marLeft w:val="0"/>
      <w:marRight w:val="0"/>
      <w:marTop w:val="0"/>
      <w:marBottom w:val="0"/>
      <w:divBdr>
        <w:top w:val="none" w:sz="0" w:space="0" w:color="auto"/>
        <w:left w:val="none" w:sz="0" w:space="0" w:color="auto"/>
        <w:bottom w:val="none" w:sz="0" w:space="0" w:color="auto"/>
        <w:right w:val="none" w:sz="0" w:space="0" w:color="auto"/>
      </w:divBdr>
    </w:div>
    <w:div w:id="193924640">
      <w:marLeft w:val="0"/>
      <w:marRight w:val="0"/>
      <w:marTop w:val="0"/>
      <w:marBottom w:val="0"/>
      <w:divBdr>
        <w:top w:val="none" w:sz="0" w:space="0" w:color="auto"/>
        <w:left w:val="none" w:sz="0" w:space="0" w:color="auto"/>
        <w:bottom w:val="none" w:sz="0" w:space="0" w:color="auto"/>
        <w:right w:val="none" w:sz="0" w:space="0" w:color="auto"/>
      </w:divBdr>
      <w:divsChild>
        <w:div w:id="514149158">
          <w:marLeft w:val="0"/>
          <w:marRight w:val="0"/>
          <w:marTop w:val="0"/>
          <w:marBottom w:val="0"/>
          <w:divBdr>
            <w:top w:val="none" w:sz="0" w:space="0" w:color="auto"/>
            <w:left w:val="none" w:sz="0" w:space="0" w:color="auto"/>
            <w:bottom w:val="none" w:sz="0" w:space="0" w:color="auto"/>
            <w:right w:val="none" w:sz="0" w:space="0" w:color="auto"/>
          </w:divBdr>
        </w:div>
      </w:divsChild>
    </w:div>
    <w:div w:id="194006493">
      <w:marLeft w:val="0"/>
      <w:marRight w:val="0"/>
      <w:marTop w:val="0"/>
      <w:marBottom w:val="0"/>
      <w:divBdr>
        <w:top w:val="none" w:sz="0" w:space="0" w:color="auto"/>
        <w:left w:val="none" w:sz="0" w:space="0" w:color="auto"/>
        <w:bottom w:val="none" w:sz="0" w:space="0" w:color="auto"/>
        <w:right w:val="none" w:sz="0" w:space="0" w:color="auto"/>
      </w:divBdr>
    </w:div>
    <w:div w:id="197938336">
      <w:marLeft w:val="0"/>
      <w:marRight w:val="0"/>
      <w:marTop w:val="0"/>
      <w:marBottom w:val="0"/>
      <w:divBdr>
        <w:top w:val="none" w:sz="0" w:space="0" w:color="auto"/>
        <w:left w:val="none" w:sz="0" w:space="0" w:color="auto"/>
        <w:bottom w:val="none" w:sz="0" w:space="0" w:color="auto"/>
        <w:right w:val="none" w:sz="0" w:space="0" w:color="auto"/>
      </w:divBdr>
      <w:divsChild>
        <w:div w:id="769014114">
          <w:marLeft w:val="0"/>
          <w:marRight w:val="0"/>
          <w:marTop w:val="0"/>
          <w:marBottom w:val="0"/>
          <w:divBdr>
            <w:top w:val="none" w:sz="0" w:space="0" w:color="auto"/>
            <w:left w:val="none" w:sz="0" w:space="0" w:color="auto"/>
            <w:bottom w:val="none" w:sz="0" w:space="0" w:color="auto"/>
            <w:right w:val="none" w:sz="0" w:space="0" w:color="auto"/>
          </w:divBdr>
        </w:div>
      </w:divsChild>
    </w:div>
    <w:div w:id="201523687">
      <w:marLeft w:val="0"/>
      <w:marRight w:val="0"/>
      <w:marTop w:val="0"/>
      <w:marBottom w:val="0"/>
      <w:divBdr>
        <w:top w:val="none" w:sz="0" w:space="0" w:color="auto"/>
        <w:left w:val="none" w:sz="0" w:space="0" w:color="auto"/>
        <w:bottom w:val="none" w:sz="0" w:space="0" w:color="auto"/>
        <w:right w:val="none" w:sz="0" w:space="0" w:color="auto"/>
      </w:divBdr>
      <w:divsChild>
        <w:div w:id="1740709190">
          <w:marLeft w:val="0"/>
          <w:marRight w:val="0"/>
          <w:marTop w:val="0"/>
          <w:marBottom w:val="0"/>
          <w:divBdr>
            <w:top w:val="none" w:sz="0" w:space="0" w:color="auto"/>
            <w:left w:val="none" w:sz="0" w:space="0" w:color="auto"/>
            <w:bottom w:val="none" w:sz="0" w:space="0" w:color="auto"/>
            <w:right w:val="none" w:sz="0" w:space="0" w:color="auto"/>
          </w:divBdr>
        </w:div>
      </w:divsChild>
    </w:div>
    <w:div w:id="201985403">
      <w:marLeft w:val="0"/>
      <w:marRight w:val="0"/>
      <w:marTop w:val="0"/>
      <w:marBottom w:val="180"/>
      <w:divBdr>
        <w:top w:val="none" w:sz="0" w:space="0" w:color="auto"/>
        <w:left w:val="none" w:sz="0" w:space="0" w:color="auto"/>
        <w:bottom w:val="none" w:sz="0" w:space="0" w:color="auto"/>
        <w:right w:val="none" w:sz="0" w:space="0" w:color="auto"/>
      </w:divBdr>
    </w:div>
    <w:div w:id="205917507">
      <w:marLeft w:val="0"/>
      <w:marRight w:val="0"/>
      <w:marTop w:val="0"/>
      <w:marBottom w:val="0"/>
      <w:divBdr>
        <w:top w:val="none" w:sz="0" w:space="0" w:color="auto"/>
        <w:left w:val="none" w:sz="0" w:space="0" w:color="auto"/>
        <w:bottom w:val="none" w:sz="0" w:space="0" w:color="auto"/>
        <w:right w:val="none" w:sz="0" w:space="0" w:color="auto"/>
      </w:divBdr>
      <w:divsChild>
        <w:div w:id="1651786140">
          <w:marLeft w:val="0"/>
          <w:marRight w:val="0"/>
          <w:marTop w:val="0"/>
          <w:marBottom w:val="0"/>
          <w:divBdr>
            <w:top w:val="none" w:sz="0" w:space="0" w:color="auto"/>
            <w:left w:val="none" w:sz="0" w:space="0" w:color="auto"/>
            <w:bottom w:val="none" w:sz="0" w:space="0" w:color="auto"/>
            <w:right w:val="none" w:sz="0" w:space="0" w:color="auto"/>
          </w:divBdr>
        </w:div>
      </w:divsChild>
    </w:div>
    <w:div w:id="206338895">
      <w:marLeft w:val="0"/>
      <w:marRight w:val="0"/>
      <w:marTop w:val="0"/>
      <w:marBottom w:val="180"/>
      <w:divBdr>
        <w:top w:val="none" w:sz="0" w:space="0" w:color="auto"/>
        <w:left w:val="none" w:sz="0" w:space="0" w:color="auto"/>
        <w:bottom w:val="none" w:sz="0" w:space="0" w:color="auto"/>
        <w:right w:val="none" w:sz="0" w:space="0" w:color="auto"/>
      </w:divBdr>
    </w:div>
    <w:div w:id="208763188">
      <w:marLeft w:val="0"/>
      <w:marRight w:val="0"/>
      <w:marTop w:val="0"/>
      <w:marBottom w:val="0"/>
      <w:divBdr>
        <w:top w:val="none" w:sz="0" w:space="0" w:color="auto"/>
        <w:left w:val="none" w:sz="0" w:space="0" w:color="auto"/>
        <w:bottom w:val="none" w:sz="0" w:space="0" w:color="auto"/>
        <w:right w:val="none" w:sz="0" w:space="0" w:color="auto"/>
      </w:divBdr>
    </w:div>
    <w:div w:id="208806593">
      <w:marLeft w:val="0"/>
      <w:marRight w:val="0"/>
      <w:marTop w:val="0"/>
      <w:marBottom w:val="0"/>
      <w:divBdr>
        <w:top w:val="none" w:sz="0" w:space="0" w:color="auto"/>
        <w:left w:val="none" w:sz="0" w:space="0" w:color="auto"/>
        <w:bottom w:val="none" w:sz="0" w:space="0" w:color="auto"/>
        <w:right w:val="none" w:sz="0" w:space="0" w:color="auto"/>
      </w:divBdr>
    </w:div>
    <w:div w:id="215973799">
      <w:marLeft w:val="0"/>
      <w:marRight w:val="0"/>
      <w:marTop w:val="0"/>
      <w:marBottom w:val="0"/>
      <w:divBdr>
        <w:top w:val="none" w:sz="0" w:space="0" w:color="auto"/>
        <w:left w:val="none" w:sz="0" w:space="0" w:color="auto"/>
        <w:bottom w:val="none" w:sz="0" w:space="0" w:color="auto"/>
        <w:right w:val="none" w:sz="0" w:space="0" w:color="auto"/>
      </w:divBdr>
    </w:div>
    <w:div w:id="219248567">
      <w:marLeft w:val="0"/>
      <w:marRight w:val="0"/>
      <w:marTop w:val="0"/>
      <w:marBottom w:val="0"/>
      <w:divBdr>
        <w:top w:val="none" w:sz="0" w:space="0" w:color="auto"/>
        <w:left w:val="none" w:sz="0" w:space="0" w:color="auto"/>
        <w:bottom w:val="none" w:sz="0" w:space="0" w:color="auto"/>
        <w:right w:val="none" w:sz="0" w:space="0" w:color="auto"/>
      </w:divBdr>
      <w:divsChild>
        <w:div w:id="1820608174">
          <w:marLeft w:val="0"/>
          <w:marRight w:val="0"/>
          <w:marTop w:val="0"/>
          <w:marBottom w:val="0"/>
          <w:divBdr>
            <w:top w:val="none" w:sz="0" w:space="0" w:color="auto"/>
            <w:left w:val="none" w:sz="0" w:space="0" w:color="auto"/>
            <w:bottom w:val="none" w:sz="0" w:space="0" w:color="auto"/>
            <w:right w:val="none" w:sz="0" w:space="0" w:color="auto"/>
          </w:divBdr>
        </w:div>
      </w:divsChild>
    </w:div>
    <w:div w:id="219561222">
      <w:marLeft w:val="0"/>
      <w:marRight w:val="0"/>
      <w:marTop w:val="0"/>
      <w:marBottom w:val="0"/>
      <w:divBdr>
        <w:top w:val="none" w:sz="0" w:space="0" w:color="auto"/>
        <w:left w:val="none" w:sz="0" w:space="0" w:color="auto"/>
        <w:bottom w:val="none" w:sz="0" w:space="0" w:color="auto"/>
        <w:right w:val="none" w:sz="0" w:space="0" w:color="auto"/>
      </w:divBdr>
      <w:divsChild>
        <w:div w:id="1195538554">
          <w:marLeft w:val="0"/>
          <w:marRight w:val="0"/>
          <w:marTop w:val="0"/>
          <w:marBottom w:val="0"/>
          <w:divBdr>
            <w:top w:val="none" w:sz="0" w:space="0" w:color="auto"/>
            <w:left w:val="none" w:sz="0" w:space="0" w:color="auto"/>
            <w:bottom w:val="none" w:sz="0" w:space="0" w:color="auto"/>
            <w:right w:val="none" w:sz="0" w:space="0" w:color="auto"/>
          </w:divBdr>
        </w:div>
      </w:divsChild>
    </w:div>
    <w:div w:id="220601942">
      <w:marLeft w:val="0"/>
      <w:marRight w:val="0"/>
      <w:marTop w:val="0"/>
      <w:marBottom w:val="180"/>
      <w:divBdr>
        <w:top w:val="none" w:sz="0" w:space="0" w:color="auto"/>
        <w:left w:val="none" w:sz="0" w:space="0" w:color="auto"/>
        <w:bottom w:val="none" w:sz="0" w:space="0" w:color="auto"/>
        <w:right w:val="none" w:sz="0" w:space="0" w:color="auto"/>
      </w:divBdr>
    </w:div>
    <w:div w:id="221141132">
      <w:marLeft w:val="0"/>
      <w:marRight w:val="0"/>
      <w:marTop w:val="0"/>
      <w:marBottom w:val="0"/>
      <w:divBdr>
        <w:top w:val="none" w:sz="0" w:space="0" w:color="auto"/>
        <w:left w:val="none" w:sz="0" w:space="0" w:color="auto"/>
        <w:bottom w:val="none" w:sz="0" w:space="0" w:color="auto"/>
        <w:right w:val="none" w:sz="0" w:space="0" w:color="auto"/>
      </w:divBdr>
    </w:div>
    <w:div w:id="221983140">
      <w:marLeft w:val="0"/>
      <w:marRight w:val="0"/>
      <w:marTop w:val="0"/>
      <w:marBottom w:val="0"/>
      <w:divBdr>
        <w:top w:val="none" w:sz="0" w:space="0" w:color="auto"/>
        <w:left w:val="none" w:sz="0" w:space="0" w:color="auto"/>
        <w:bottom w:val="none" w:sz="0" w:space="0" w:color="auto"/>
        <w:right w:val="none" w:sz="0" w:space="0" w:color="auto"/>
      </w:divBdr>
      <w:divsChild>
        <w:div w:id="1186401481">
          <w:marLeft w:val="0"/>
          <w:marRight w:val="0"/>
          <w:marTop w:val="0"/>
          <w:marBottom w:val="0"/>
          <w:divBdr>
            <w:top w:val="none" w:sz="0" w:space="0" w:color="auto"/>
            <w:left w:val="none" w:sz="0" w:space="0" w:color="auto"/>
            <w:bottom w:val="none" w:sz="0" w:space="0" w:color="auto"/>
            <w:right w:val="none" w:sz="0" w:space="0" w:color="auto"/>
          </w:divBdr>
        </w:div>
      </w:divsChild>
    </w:div>
    <w:div w:id="226763052">
      <w:marLeft w:val="0"/>
      <w:marRight w:val="0"/>
      <w:marTop w:val="0"/>
      <w:marBottom w:val="0"/>
      <w:divBdr>
        <w:top w:val="none" w:sz="0" w:space="0" w:color="auto"/>
        <w:left w:val="none" w:sz="0" w:space="0" w:color="auto"/>
        <w:bottom w:val="none" w:sz="0" w:space="0" w:color="auto"/>
        <w:right w:val="none" w:sz="0" w:space="0" w:color="auto"/>
      </w:divBdr>
    </w:div>
    <w:div w:id="250547119">
      <w:marLeft w:val="0"/>
      <w:marRight w:val="0"/>
      <w:marTop w:val="0"/>
      <w:marBottom w:val="0"/>
      <w:divBdr>
        <w:top w:val="none" w:sz="0" w:space="0" w:color="auto"/>
        <w:left w:val="none" w:sz="0" w:space="0" w:color="auto"/>
        <w:bottom w:val="none" w:sz="0" w:space="0" w:color="auto"/>
        <w:right w:val="none" w:sz="0" w:space="0" w:color="auto"/>
      </w:divBdr>
      <w:divsChild>
        <w:div w:id="1361012924">
          <w:marLeft w:val="0"/>
          <w:marRight w:val="0"/>
          <w:marTop w:val="0"/>
          <w:marBottom w:val="0"/>
          <w:divBdr>
            <w:top w:val="none" w:sz="0" w:space="0" w:color="auto"/>
            <w:left w:val="none" w:sz="0" w:space="0" w:color="auto"/>
            <w:bottom w:val="none" w:sz="0" w:space="0" w:color="auto"/>
            <w:right w:val="none" w:sz="0" w:space="0" w:color="auto"/>
          </w:divBdr>
        </w:div>
      </w:divsChild>
    </w:div>
    <w:div w:id="254242139">
      <w:marLeft w:val="0"/>
      <w:marRight w:val="0"/>
      <w:marTop w:val="0"/>
      <w:marBottom w:val="240"/>
      <w:divBdr>
        <w:top w:val="none" w:sz="0" w:space="0" w:color="auto"/>
        <w:left w:val="none" w:sz="0" w:space="0" w:color="auto"/>
        <w:bottom w:val="none" w:sz="0" w:space="0" w:color="auto"/>
        <w:right w:val="none" w:sz="0" w:space="0" w:color="auto"/>
      </w:divBdr>
    </w:div>
    <w:div w:id="256594236">
      <w:marLeft w:val="0"/>
      <w:marRight w:val="0"/>
      <w:marTop w:val="0"/>
      <w:marBottom w:val="0"/>
      <w:divBdr>
        <w:top w:val="none" w:sz="0" w:space="0" w:color="auto"/>
        <w:left w:val="none" w:sz="0" w:space="0" w:color="auto"/>
        <w:bottom w:val="none" w:sz="0" w:space="0" w:color="auto"/>
        <w:right w:val="none" w:sz="0" w:space="0" w:color="auto"/>
      </w:divBdr>
    </w:div>
    <w:div w:id="257761088">
      <w:marLeft w:val="0"/>
      <w:marRight w:val="0"/>
      <w:marTop w:val="0"/>
      <w:marBottom w:val="0"/>
      <w:divBdr>
        <w:top w:val="none" w:sz="0" w:space="0" w:color="auto"/>
        <w:left w:val="none" w:sz="0" w:space="0" w:color="auto"/>
        <w:bottom w:val="none" w:sz="0" w:space="0" w:color="auto"/>
        <w:right w:val="none" w:sz="0" w:space="0" w:color="auto"/>
      </w:divBdr>
      <w:divsChild>
        <w:div w:id="1247348890">
          <w:marLeft w:val="0"/>
          <w:marRight w:val="0"/>
          <w:marTop w:val="0"/>
          <w:marBottom w:val="0"/>
          <w:divBdr>
            <w:top w:val="none" w:sz="0" w:space="0" w:color="auto"/>
            <w:left w:val="none" w:sz="0" w:space="0" w:color="auto"/>
            <w:bottom w:val="none" w:sz="0" w:space="0" w:color="auto"/>
            <w:right w:val="none" w:sz="0" w:space="0" w:color="auto"/>
          </w:divBdr>
        </w:div>
      </w:divsChild>
    </w:div>
    <w:div w:id="262109764">
      <w:marLeft w:val="0"/>
      <w:marRight w:val="0"/>
      <w:marTop w:val="0"/>
      <w:marBottom w:val="240"/>
      <w:divBdr>
        <w:top w:val="none" w:sz="0" w:space="0" w:color="auto"/>
        <w:left w:val="none" w:sz="0" w:space="0" w:color="auto"/>
        <w:bottom w:val="none" w:sz="0" w:space="0" w:color="auto"/>
        <w:right w:val="none" w:sz="0" w:space="0" w:color="auto"/>
      </w:divBdr>
    </w:div>
    <w:div w:id="262229779">
      <w:marLeft w:val="0"/>
      <w:marRight w:val="0"/>
      <w:marTop w:val="0"/>
      <w:marBottom w:val="180"/>
      <w:divBdr>
        <w:top w:val="none" w:sz="0" w:space="0" w:color="auto"/>
        <w:left w:val="none" w:sz="0" w:space="0" w:color="auto"/>
        <w:bottom w:val="none" w:sz="0" w:space="0" w:color="auto"/>
        <w:right w:val="none" w:sz="0" w:space="0" w:color="auto"/>
      </w:divBdr>
    </w:div>
    <w:div w:id="265357553">
      <w:marLeft w:val="0"/>
      <w:marRight w:val="0"/>
      <w:marTop w:val="0"/>
      <w:marBottom w:val="0"/>
      <w:divBdr>
        <w:top w:val="none" w:sz="0" w:space="0" w:color="auto"/>
        <w:left w:val="none" w:sz="0" w:space="0" w:color="auto"/>
        <w:bottom w:val="none" w:sz="0" w:space="0" w:color="auto"/>
        <w:right w:val="none" w:sz="0" w:space="0" w:color="auto"/>
      </w:divBdr>
      <w:divsChild>
        <w:div w:id="1296258017">
          <w:marLeft w:val="0"/>
          <w:marRight w:val="0"/>
          <w:marTop w:val="0"/>
          <w:marBottom w:val="0"/>
          <w:divBdr>
            <w:top w:val="none" w:sz="0" w:space="0" w:color="auto"/>
            <w:left w:val="none" w:sz="0" w:space="0" w:color="auto"/>
            <w:bottom w:val="none" w:sz="0" w:space="0" w:color="auto"/>
            <w:right w:val="none" w:sz="0" w:space="0" w:color="auto"/>
          </w:divBdr>
        </w:div>
      </w:divsChild>
    </w:div>
    <w:div w:id="265386898">
      <w:marLeft w:val="0"/>
      <w:marRight w:val="0"/>
      <w:marTop w:val="0"/>
      <w:marBottom w:val="240"/>
      <w:divBdr>
        <w:top w:val="none" w:sz="0" w:space="0" w:color="auto"/>
        <w:left w:val="none" w:sz="0" w:space="0" w:color="auto"/>
        <w:bottom w:val="none" w:sz="0" w:space="0" w:color="auto"/>
        <w:right w:val="none" w:sz="0" w:space="0" w:color="auto"/>
      </w:divBdr>
    </w:div>
    <w:div w:id="267200273">
      <w:marLeft w:val="0"/>
      <w:marRight w:val="0"/>
      <w:marTop w:val="0"/>
      <w:marBottom w:val="0"/>
      <w:divBdr>
        <w:top w:val="none" w:sz="0" w:space="0" w:color="auto"/>
        <w:left w:val="none" w:sz="0" w:space="0" w:color="auto"/>
        <w:bottom w:val="none" w:sz="0" w:space="0" w:color="auto"/>
        <w:right w:val="none" w:sz="0" w:space="0" w:color="auto"/>
      </w:divBdr>
      <w:divsChild>
        <w:div w:id="479004419">
          <w:marLeft w:val="0"/>
          <w:marRight w:val="0"/>
          <w:marTop w:val="0"/>
          <w:marBottom w:val="0"/>
          <w:divBdr>
            <w:top w:val="none" w:sz="0" w:space="0" w:color="auto"/>
            <w:left w:val="none" w:sz="0" w:space="0" w:color="auto"/>
            <w:bottom w:val="none" w:sz="0" w:space="0" w:color="auto"/>
            <w:right w:val="none" w:sz="0" w:space="0" w:color="auto"/>
          </w:divBdr>
        </w:div>
      </w:divsChild>
    </w:div>
    <w:div w:id="271860484">
      <w:marLeft w:val="0"/>
      <w:marRight w:val="0"/>
      <w:marTop w:val="0"/>
      <w:marBottom w:val="0"/>
      <w:divBdr>
        <w:top w:val="none" w:sz="0" w:space="0" w:color="auto"/>
        <w:left w:val="none" w:sz="0" w:space="0" w:color="auto"/>
        <w:bottom w:val="none" w:sz="0" w:space="0" w:color="auto"/>
        <w:right w:val="none" w:sz="0" w:space="0" w:color="auto"/>
      </w:divBdr>
      <w:divsChild>
        <w:div w:id="525143031">
          <w:marLeft w:val="0"/>
          <w:marRight w:val="0"/>
          <w:marTop w:val="0"/>
          <w:marBottom w:val="0"/>
          <w:divBdr>
            <w:top w:val="none" w:sz="0" w:space="0" w:color="auto"/>
            <w:left w:val="none" w:sz="0" w:space="0" w:color="auto"/>
            <w:bottom w:val="none" w:sz="0" w:space="0" w:color="auto"/>
            <w:right w:val="none" w:sz="0" w:space="0" w:color="auto"/>
          </w:divBdr>
        </w:div>
      </w:divsChild>
    </w:div>
    <w:div w:id="277378383">
      <w:marLeft w:val="0"/>
      <w:marRight w:val="0"/>
      <w:marTop w:val="0"/>
      <w:marBottom w:val="0"/>
      <w:divBdr>
        <w:top w:val="none" w:sz="0" w:space="0" w:color="auto"/>
        <w:left w:val="none" w:sz="0" w:space="0" w:color="auto"/>
        <w:bottom w:val="none" w:sz="0" w:space="0" w:color="auto"/>
        <w:right w:val="none" w:sz="0" w:space="0" w:color="auto"/>
      </w:divBdr>
    </w:div>
    <w:div w:id="279412305">
      <w:marLeft w:val="0"/>
      <w:marRight w:val="0"/>
      <w:marTop w:val="0"/>
      <w:marBottom w:val="0"/>
      <w:divBdr>
        <w:top w:val="none" w:sz="0" w:space="0" w:color="auto"/>
        <w:left w:val="none" w:sz="0" w:space="0" w:color="auto"/>
        <w:bottom w:val="none" w:sz="0" w:space="0" w:color="auto"/>
        <w:right w:val="none" w:sz="0" w:space="0" w:color="auto"/>
      </w:divBdr>
      <w:divsChild>
        <w:div w:id="921646878">
          <w:marLeft w:val="0"/>
          <w:marRight w:val="0"/>
          <w:marTop w:val="0"/>
          <w:marBottom w:val="0"/>
          <w:divBdr>
            <w:top w:val="none" w:sz="0" w:space="0" w:color="auto"/>
            <w:left w:val="none" w:sz="0" w:space="0" w:color="auto"/>
            <w:bottom w:val="none" w:sz="0" w:space="0" w:color="auto"/>
            <w:right w:val="none" w:sz="0" w:space="0" w:color="auto"/>
          </w:divBdr>
        </w:div>
      </w:divsChild>
    </w:div>
    <w:div w:id="288123057">
      <w:marLeft w:val="0"/>
      <w:marRight w:val="0"/>
      <w:marTop w:val="0"/>
      <w:marBottom w:val="0"/>
      <w:divBdr>
        <w:top w:val="none" w:sz="0" w:space="0" w:color="auto"/>
        <w:left w:val="none" w:sz="0" w:space="0" w:color="auto"/>
        <w:bottom w:val="none" w:sz="0" w:space="0" w:color="auto"/>
        <w:right w:val="none" w:sz="0" w:space="0" w:color="auto"/>
      </w:divBdr>
      <w:divsChild>
        <w:div w:id="2117167832">
          <w:marLeft w:val="0"/>
          <w:marRight w:val="0"/>
          <w:marTop w:val="0"/>
          <w:marBottom w:val="0"/>
          <w:divBdr>
            <w:top w:val="none" w:sz="0" w:space="0" w:color="auto"/>
            <w:left w:val="none" w:sz="0" w:space="0" w:color="auto"/>
            <w:bottom w:val="none" w:sz="0" w:space="0" w:color="auto"/>
            <w:right w:val="none" w:sz="0" w:space="0" w:color="auto"/>
          </w:divBdr>
        </w:div>
      </w:divsChild>
    </w:div>
    <w:div w:id="288896975">
      <w:marLeft w:val="0"/>
      <w:marRight w:val="0"/>
      <w:marTop w:val="0"/>
      <w:marBottom w:val="0"/>
      <w:divBdr>
        <w:top w:val="none" w:sz="0" w:space="0" w:color="auto"/>
        <w:left w:val="none" w:sz="0" w:space="0" w:color="auto"/>
        <w:bottom w:val="none" w:sz="0" w:space="0" w:color="auto"/>
        <w:right w:val="none" w:sz="0" w:space="0" w:color="auto"/>
      </w:divBdr>
    </w:div>
    <w:div w:id="289283691">
      <w:marLeft w:val="0"/>
      <w:marRight w:val="0"/>
      <w:marTop w:val="0"/>
      <w:marBottom w:val="0"/>
      <w:divBdr>
        <w:top w:val="none" w:sz="0" w:space="0" w:color="auto"/>
        <w:left w:val="none" w:sz="0" w:space="0" w:color="auto"/>
        <w:bottom w:val="none" w:sz="0" w:space="0" w:color="auto"/>
        <w:right w:val="none" w:sz="0" w:space="0" w:color="auto"/>
      </w:divBdr>
    </w:div>
    <w:div w:id="294726503">
      <w:marLeft w:val="0"/>
      <w:marRight w:val="0"/>
      <w:marTop w:val="0"/>
      <w:marBottom w:val="180"/>
      <w:divBdr>
        <w:top w:val="none" w:sz="0" w:space="0" w:color="auto"/>
        <w:left w:val="none" w:sz="0" w:space="0" w:color="auto"/>
        <w:bottom w:val="none" w:sz="0" w:space="0" w:color="auto"/>
        <w:right w:val="none" w:sz="0" w:space="0" w:color="auto"/>
      </w:divBdr>
    </w:div>
    <w:div w:id="295837534">
      <w:marLeft w:val="0"/>
      <w:marRight w:val="0"/>
      <w:marTop w:val="0"/>
      <w:marBottom w:val="0"/>
      <w:divBdr>
        <w:top w:val="none" w:sz="0" w:space="0" w:color="auto"/>
        <w:left w:val="none" w:sz="0" w:space="0" w:color="auto"/>
        <w:bottom w:val="none" w:sz="0" w:space="0" w:color="auto"/>
        <w:right w:val="none" w:sz="0" w:space="0" w:color="auto"/>
      </w:divBdr>
      <w:divsChild>
        <w:div w:id="2102751617">
          <w:marLeft w:val="0"/>
          <w:marRight w:val="0"/>
          <w:marTop w:val="0"/>
          <w:marBottom w:val="0"/>
          <w:divBdr>
            <w:top w:val="none" w:sz="0" w:space="0" w:color="auto"/>
            <w:left w:val="none" w:sz="0" w:space="0" w:color="auto"/>
            <w:bottom w:val="none" w:sz="0" w:space="0" w:color="auto"/>
            <w:right w:val="none" w:sz="0" w:space="0" w:color="auto"/>
          </w:divBdr>
        </w:div>
      </w:divsChild>
    </w:div>
    <w:div w:id="304048667">
      <w:marLeft w:val="0"/>
      <w:marRight w:val="0"/>
      <w:marTop w:val="0"/>
      <w:marBottom w:val="80"/>
      <w:divBdr>
        <w:top w:val="none" w:sz="0" w:space="0" w:color="auto"/>
        <w:left w:val="none" w:sz="0" w:space="0" w:color="auto"/>
        <w:bottom w:val="none" w:sz="0" w:space="0" w:color="auto"/>
        <w:right w:val="none" w:sz="0" w:space="0" w:color="auto"/>
      </w:divBdr>
      <w:divsChild>
        <w:div w:id="729038888">
          <w:marLeft w:val="0"/>
          <w:marRight w:val="0"/>
          <w:marTop w:val="0"/>
          <w:marBottom w:val="0"/>
          <w:divBdr>
            <w:top w:val="none" w:sz="0" w:space="0" w:color="auto"/>
            <w:left w:val="none" w:sz="0" w:space="0" w:color="auto"/>
            <w:bottom w:val="none" w:sz="0" w:space="0" w:color="auto"/>
            <w:right w:val="none" w:sz="0" w:space="0" w:color="auto"/>
          </w:divBdr>
        </w:div>
      </w:divsChild>
    </w:div>
    <w:div w:id="304090380">
      <w:marLeft w:val="0"/>
      <w:marRight w:val="0"/>
      <w:marTop w:val="0"/>
      <w:marBottom w:val="0"/>
      <w:divBdr>
        <w:top w:val="none" w:sz="0" w:space="0" w:color="auto"/>
        <w:left w:val="none" w:sz="0" w:space="0" w:color="auto"/>
        <w:bottom w:val="none" w:sz="0" w:space="0" w:color="auto"/>
        <w:right w:val="none" w:sz="0" w:space="0" w:color="auto"/>
      </w:divBdr>
      <w:divsChild>
        <w:div w:id="738021422">
          <w:marLeft w:val="0"/>
          <w:marRight w:val="0"/>
          <w:marTop w:val="0"/>
          <w:marBottom w:val="0"/>
          <w:divBdr>
            <w:top w:val="none" w:sz="0" w:space="0" w:color="auto"/>
            <w:left w:val="none" w:sz="0" w:space="0" w:color="auto"/>
            <w:bottom w:val="none" w:sz="0" w:space="0" w:color="auto"/>
            <w:right w:val="none" w:sz="0" w:space="0" w:color="auto"/>
          </w:divBdr>
        </w:div>
      </w:divsChild>
    </w:div>
    <w:div w:id="304969809">
      <w:marLeft w:val="0"/>
      <w:marRight w:val="0"/>
      <w:marTop w:val="0"/>
      <w:marBottom w:val="0"/>
      <w:divBdr>
        <w:top w:val="none" w:sz="0" w:space="0" w:color="auto"/>
        <w:left w:val="none" w:sz="0" w:space="0" w:color="auto"/>
        <w:bottom w:val="none" w:sz="0" w:space="0" w:color="auto"/>
        <w:right w:val="none" w:sz="0" w:space="0" w:color="auto"/>
      </w:divBdr>
    </w:div>
    <w:div w:id="305205311">
      <w:marLeft w:val="0"/>
      <w:marRight w:val="0"/>
      <w:marTop w:val="0"/>
      <w:marBottom w:val="0"/>
      <w:divBdr>
        <w:top w:val="none" w:sz="0" w:space="0" w:color="auto"/>
        <w:left w:val="none" w:sz="0" w:space="0" w:color="auto"/>
        <w:bottom w:val="none" w:sz="0" w:space="0" w:color="auto"/>
        <w:right w:val="none" w:sz="0" w:space="0" w:color="auto"/>
      </w:divBdr>
      <w:divsChild>
        <w:div w:id="246231995">
          <w:marLeft w:val="0"/>
          <w:marRight w:val="0"/>
          <w:marTop w:val="0"/>
          <w:marBottom w:val="0"/>
          <w:divBdr>
            <w:top w:val="none" w:sz="0" w:space="0" w:color="auto"/>
            <w:left w:val="none" w:sz="0" w:space="0" w:color="auto"/>
            <w:bottom w:val="none" w:sz="0" w:space="0" w:color="auto"/>
            <w:right w:val="none" w:sz="0" w:space="0" w:color="auto"/>
          </w:divBdr>
        </w:div>
      </w:divsChild>
    </w:div>
    <w:div w:id="313997319">
      <w:marLeft w:val="0"/>
      <w:marRight w:val="0"/>
      <w:marTop w:val="100"/>
      <w:marBottom w:val="0"/>
      <w:divBdr>
        <w:top w:val="none" w:sz="0" w:space="0" w:color="auto"/>
        <w:left w:val="none" w:sz="0" w:space="0" w:color="auto"/>
        <w:bottom w:val="none" w:sz="0" w:space="0" w:color="auto"/>
        <w:right w:val="none" w:sz="0" w:space="0" w:color="auto"/>
      </w:divBdr>
      <w:divsChild>
        <w:div w:id="1339767684">
          <w:marLeft w:val="0"/>
          <w:marRight w:val="0"/>
          <w:marTop w:val="0"/>
          <w:marBottom w:val="0"/>
          <w:divBdr>
            <w:top w:val="none" w:sz="0" w:space="0" w:color="auto"/>
            <w:left w:val="none" w:sz="0" w:space="0" w:color="auto"/>
            <w:bottom w:val="none" w:sz="0" w:space="0" w:color="auto"/>
            <w:right w:val="none" w:sz="0" w:space="0" w:color="auto"/>
          </w:divBdr>
        </w:div>
        <w:div w:id="1588030094">
          <w:marLeft w:val="0"/>
          <w:marRight w:val="0"/>
          <w:marTop w:val="0"/>
          <w:marBottom w:val="0"/>
          <w:divBdr>
            <w:top w:val="none" w:sz="0" w:space="0" w:color="auto"/>
            <w:left w:val="none" w:sz="0" w:space="0" w:color="auto"/>
            <w:bottom w:val="none" w:sz="0" w:space="0" w:color="auto"/>
            <w:right w:val="none" w:sz="0" w:space="0" w:color="auto"/>
          </w:divBdr>
        </w:div>
      </w:divsChild>
    </w:div>
    <w:div w:id="315494227">
      <w:marLeft w:val="0"/>
      <w:marRight w:val="0"/>
      <w:marTop w:val="0"/>
      <w:marBottom w:val="0"/>
      <w:divBdr>
        <w:top w:val="none" w:sz="0" w:space="0" w:color="auto"/>
        <w:left w:val="none" w:sz="0" w:space="0" w:color="auto"/>
        <w:bottom w:val="none" w:sz="0" w:space="0" w:color="auto"/>
        <w:right w:val="none" w:sz="0" w:space="0" w:color="auto"/>
      </w:divBdr>
    </w:div>
    <w:div w:id="320740315">
      <w:marLeft w:val="0"/>
      <w:marRight w:val="0"/>
      <w:marTop w:val="0"/>
      <w:marBottom w:val="0"/>
      <w:divBdr>
        <w:top w:val="none" w:sz="0" w:space="0" w:color="auto"/>
        <w:left w:val="none" w:sz="0" w:space="0" w:color="auto"/>
        <w:bottom w:val="none" w:sz="0" w:space="0" w:color="auto"/>
        <w:right w:val="none" w:sz="0" w:space="0" w:color="auto"/>
      </w:divBdr>
    </w:div>
    <w:div w:id="321813417">
      <w:marLeft w:val="0"/>
      <w:marRight w:val="0"/>
      <w:marTop w:val="0"/>
      <w:marBottom w:val="0"/>
      <w:divBdr>
        <w:top w:val="none" w:sz="0" w:space="0" w:color="auto"/>
        <w:left w:val="none" w:sz="0" w:space="0" w:color="auto"/>
        <w:bottom w:val="none" w:sz="0" w:space="0" w:color="auto"/>
        <w:right w:val="none" w:sz="0" w:space="0" w:color="auto"/>
      </w:divBdr>
      <w:divsChild>
        <w:div w:id="726807266">
          <w:marLeft w:val="0"/>
          <w:marRight w:val="0"/>
          <w:marTop w:val="0"/>
          <w:marBottom w:val="0"/>
          <w:divBdr>
            <w:top w:val="none" w:sz="0" w:space="0" w:color="auto"/>
            <w:left w:val="none" w:sz="0" w:space="0" w:color="auto"/>
            <w:bottom w:val="none" w:sz="0" w:space="0" w:color="auto"/>
            <w:right w:val="none" w:sz="0" w:space="0" w:color="auto"/>
          </w:divBdr>
        </w:div>
      </w:divsChild>
    </w:div>
    <w:div w:id="323437780">
      <w:marLeft w:val="0"/>
      <w:marRight w:val="0"/>
      <w:marTop w:val="0"/>
      <w:marBottom w:val="180"/>
      <w:divBdr>
        <w:top w:val="none" w:sz="0" w:space="0" w:color="auto"/>
        <w:left w:val="none" w:sz="0" w:space="0" w:color="auto"/>
        <w:bottom w:val="none" w:sz="0" w:space="0" w:color="auto"/>
        <w:right w:val="none" w:sz="0" w:space="0" w:color="auto"/>
      </w:divBdr>
    </w:div>
    <w:div w:id="327683450">
      <w:marLeft w:val="0"/>
      <w:marRight w:val="0"/>
      <w:marTop w:val="0"/>
      <w:marBottom w:val="0"/>
      <w:divBdr>
        <w:top w:val="none" w:sz="0" w:space="0" w:color="auto"/>
        <w:left w:val="none" w:sz="0" w:space="0" w:color="auto"/>
        <w:bottom w:val="none" w:sz="0" w:space="0" w:color="auto"/>
        <w:right w:val="none" w:sz="0" w:space="0" w:color="auto"/>
      </w:divBdr>
    </w:div>
    <w:div w:id="334111985">
      <w:marLeft w:val="0"/>
      <w:marRight w:val="0"/>
      <w:marTop w:val="0"/>
      <w:marBottom w:val="180"/>
      <w:divBdr>
        <w:top w:val="none" w:sz="0" w:space="0" w:color="auto"/>
        <w:left w:val="none" w:sz="0" w:space="0" w:color="auto"/>
        <w:bottom w:val="none" w:sz="0" w:space="0" w:color="auto"/>
        <w:right w:val="none" w:sz="0" w:space="0" w:color="auto"/>
      </w:divBdr>
    </w:div>
    <w:div w:id="341862575">
      <w:marLeft w:val="0"/>
      <w:marRight w:val="0"/>
      <w:marTop w:val="0"/>
      <w:marBottom w:val="0"/>
      <w:divBdr>
        <w:top w:val="none" w:sz="0" w:space="0" w:color="auto"/>
        <w:left w:val="none" w:sz="0" w:space="0" w:color="auto"/>
        <w:bottom w:val="none" w:sz="0" w:space="0" w:color="auto"/>
        <w:right w:val="none" w:sz="0" w:space="0" w:color="auto"/>
      </w:divBdr>
      <w:divsChild>
        <w:div w:id="1060641651">
          <w:marLeft w:val="0"/>
          <w:marRight w:val="0"/>
          <w:marTop w:val="0"/>
          <w:marBottom w:val="0"/>
          <w:divBdr>
            <w:top w:val="none" w:sz="0" w:space="0" w:color="auto"/>
            <w:left w:val="none" w:sz="0" w:space="0" w:color="auto"/>
            <w:bottom w:val="none" w:sz="0" w:space="0" w:color="auto"/>
            <w:right w:val="none" w:sz="0" w:space="0" w:color="auto"/>
          </w:divBdr>
        </w:div>
      </w:divsChild>
    </w:div>
    <w:div w:id="346634967">
      <w:marLeft w:val="0"/>
      <w:marRight w:val="0"/>
      <w:marTop w:val="0"/>
      <w:marBottom w:val="0"/>
      <w:divBdr>
        <w:top w:val="none" w:sz="0" w:space="0" w:color="auto"/>
        <w:left w:val="none" w:sz="0" w:space="0" w:color="auto"/>
        <w:bottom w:val="none" w:sz="0" w:space="0" w:color="auto"/>
        <w:right w:val="none" w:sz="0" w:space="0" w:color="auto"/>
      </w:divBdr>
      <w:divsChild>
        <w:div w:id="34090501">
          <w:marLeft w:val="0"/>
          <w:marRight w:val="0"/>
          <w:marTop w:val="0"/>
          <w:marBottom w:val="0"/>
          <w:divBdr>
            <w:top w:val="none" w:sz="0" w:space="0" w:color="auto"/>
            <w:left w:val="none" w:sz="0" w:space="0" w:color="auto"/>
            <w:bottom w:val="none" w:sz="0" w:space="0" w:color="auto"/>
            <w:right w:val="none" w:sz="0" w:space="0" w:color="auto"/>
          </w:divBdr>
        </w:div>
      </w:divsChild>
    </w:div>
    <w:div w:id="348064327">
      <w:marLeft w:val="0"/>
      <w:marRight w:val="0"/>
      <w:marTop w:val="0"/>
      <w:marBottom w:val="0"/>
      <w:divBdr>
        <w:top w:val="none" w:sz="0" w:space="0" w:color="auto"/>
        <w:left w:val="none" w:sz="0" w:space="0" w:color="auto"/>
        <w:bottom w:val="none" w:sz="0" w:space="0" w:color="auto"/>
        <w:right w:val="none" w:sz="0" w:space="0" w:color="auto"/>
      </w:divBdr>
    </w:div>
    <w:div w:id="348410666">
      <w:marLeft w:val="0"/>
      <w:marRight w:val="0"/>
      <w:marTop w:val="100"/>
      <w:marBottom w:val="0"/>
      <w:divBdr>
        <w:top w:val="none" w:sz="0" w:space="0" w:color="auto"/>
        <w:left w:val="none" w:sz="0" w:space="0" w:color="auto"/>
        <w:bottom w:val="none" w:sz="0" w:space="0" w:color="auto"/>
        <w:right w:val="none" w:sz="0" w:space="0" w:color="auto"/>
      </w:divBdr>
      <w:divsChild>
        <w:div w:id="503056105">
          <w:marLeft w:val="0"/>
          <w:marRight w:val="0"/>
          <w:marTop w:val="0"/>
          <w:marBottom w:val="0"/>
          <w:divBdr>
            <w:top w:val="none" w:sz="0" w:space="0" w:color="auto"/>
            <w:left w:val="none" w:sz="0" w:space="0" w:color="auto"/>
            <w:bottom w:val="none" w:sz="0" w:space="0" w:color="auto"/>
            <w:right w:val="none" w:sz="0" w:space="0" w:color="auto"/>
          </w:divBdr>
        </w:div>
        <w:div w:id="490755321">
          <w:marLeft w:val="0"/>
          <w:marRight w:val="0"/>
          <w:marTop w:val="0"/>
          <w:marBottom w:val="0"/>
          <w:divBdr>
            <w:top w:val="none" w:sz="0" w:space="0" w:color="auto"/>
            <w:left w:val="none" w:sz="0" w:space="0" w:color="auto"/>
            <w:bottom w:val="none" w:sz="0" w:space="0" w:color="auto"/>
            <w:right w:val="none" w:sz="0" w:space="0" w:color="auto"/>
          </w:divBdr>
        </w:div>
      </w:divsChild>
    </w:div>
    <w:div w:id="349261842">
      <w:marLeft w:val="0"/>
      <w:marRight w:val="0"/>
      <w:marTop w:val="0"/>
      <w:marBottom w:val="180"/>
      <w:divBdr>
        <w:top w:val="none" w:sz="0" w:space="0" w:color="auto"/>
        <w:left w:val="none" w:sz="0" w:space="0" w:color="auto"/>
        <w:bottom w:val="none" w:sz="0" w:space="0" w:color="auto"/>
        <w:right w:val="none" w:sz="0" w:space="0" w:color="auto"/>
      </w:divBdr>
    </w:div>
    <w:div w:id="354622843">
      <w:marLeft w:val="0"/>
      <w:marRight w:val="0"/>
      <w:marTop w:val="0"/>
      <w:marBottom w:val="0"/>
      <w:divBdr>
        <w:top w:val="none" w:sz="0" w:space="0" w:color="auto"/>
        <w:left w:val="none" w:sz="0" w:space="0" w:color="auto"/>
        <w:bottom w:val="none" w:sz="0" w:space="0" w:color="auto"/>
        <w:right w:val="none" w:sz="0" w:space="0" w:color="auto"/>
      </w:divBdr>
    </w:div>
    <w:div w:id="357779659">
      <w:marLeft w:val="0"/>
      <w:marRight w:val="0"/>
      <w:marTop w:val="0"/>
      <w:marBottom w:val="180"/>
      <w:divBdr>
        <w:top w:val="none" w:sz="0" w:space="0" w:color="auto"/>
        <w:left w:val="none" w:sz="0" w:space="0" w:color="auto"/>
        <w:bottom w:val="none" w:sz="0" w:space="0" w:color="auto"/>
        <w:right w:val="none" w:sz="0" w:space="0" w:color="auto"/>
      </w:divBdr>
    </w:div>
    <w:div w:id="360401739">
      <w:marLeft w:val="0"/>
      <w:marRight w:val="0"/>
      <w:marTop w:val="0"/>
      <w:marBottom w:val="0"/>
      <w:divBdr>
        <w:top w:val="none" w:sz="0" w:space="0" w:color="auto"/>
        <w:left w:val="none" w:sz="0" w:space="0" w:color="auto"/>
        <w:bottom w:val="none" w:sz="0" w:space="0" w:color="auto"/>
        <w:right w:val="none" w:sz="0" w:space="0" w:color="auto"/>
      </w:divBdr>
      <w:divsChild>
        <w:div w:id="1398356256">
          <w:marLeft w:val="0"/>
          <w:marRight w:val="0"/>
          <w:marTop w:val="0"/>
          <w:marBottom w:val="0"/>
          <w:divBdr>
            <w:top w:val="none" w:sz="0" w:space="0" w:color="auto"/>
            <w:left w:val="none" w:sz="0" w:space="0" w:color="auto"/>
            <w:bottom w:val="none" w:sz="0" w:space="0" w:color="auto"/>
            <w:right w:val="none" w:sz="0" w:space="0" w:color="auto"/>
          </w:divBdr>
        </w:div>
      </w:divsChild>
    </w:div>
    <w:div w:id="362826886">
      <w:marLeft w:val="0"/>
      <w:marRight w:val="0"/>
      <w:marTop w:val="0"/>
      <w:marBottom w:val="0"/>
      <w:divBdr>
        <w:top w:val="none" w:sz="0" w:space="0" w:color="auto"/>
        <w:left w:val="none" w:sz="0" w:space="0" w:color="auto"/>
        <w:bottom w:val="none" w:sz="0" w:space="0" w:color="auto"/>
        <w:right w:val="none" w:sz="0" w:space="0" w:color="auto"/>
      </w:divBdr>
    </w:div>
    <w:div w:id="373313994">
      <w:marLeft w:val="0"/>
      <w:marRight w:val="0"/>
      <w:marTop w:val="0"/>
      <w:marBottom w:val="0"/>
      <w:divBdr>
        <w:top w:val="none" w:sz="0" w:space="0" w:color="auto"/>
        <w:left w:val="none" w:sz="0" w:space="0" w:color="auto"/>
        <w:bottom w:val="none" w:sz="0" w:space="0" w:color="auto"/>
        <w:right w:val="none" w:sz="0" w:space="0" w:color="auto"/>
      </w:divBdr>
      <w:divsChild>
        <w:div w:id="1462768515">
          <w:marLeft w:val="0"/>
          <w:marRight w:val="0"/>
          <w:marTop w:val="0"/>
          <w:marBottom w:val="0"/>
          <w:divBdr>
            <w:top w:val="none" w:sz="0" w:space="0" w:color="auto"/>
            <w:left w:val="none" w:sz="0" w:space="0" w:color="auto"/>
            <w:bottom w:val="none" w:sz="0" w:space="0" w:color="auto"/>
            <w:right w:val="none" w:sz="0" w:space="0" w:color="auto"/>
          </w:divBdr>
        </w:div>
      </w:divsChild>
    </w:div>
    <w:div w:id="375742481">
      <w:marLeft w:val="0"/>
      <w:marRight w:val="0"/>
      <w:marTop w:val="0"/>
      <w:marBottom w:val="280"/>
      <w:divBdr>
        <w:top w:val="none" w:sz="0" w:space="0" w:color="auto"/>
        <w:left w:val="none" w:sz="0" w:space="0" w:color="auto"/>
        <w:bottom w:val="none" w:sz="0" w:space="0" w:color="auto"/>
        <w:right w:val="none" w:sz="0" w:space="0" w:color="auto"/>
      </w:divBdr>
    </w:div>
    <w:div w:id="379943049">
      <w:marLeft w:val="0"/>
      <w:marRight w:val="0"/>
      <w:marTop w:val="0"/>
      <w:marBottom w:val="0"/>
      <w:divBdr>
        <w:top w:val="none" w:sz="0" w:space="0" w:color="auto"/>
        <w:left w:val="none" w:sz="0" w:space="0" w:color="auto"/>
        <w:bottom w:val="none" w:sz="0" w:space="0" w:color="auto"/>
        <w:right w:val="none" w:sz="0" w:space="0" w:color="auto"/>
      </w:divBdr>
      <w:divsChild>
        <w:div w:id="919024844">
          <w:marLeft w:val="0"/>
          <w:marRight w:val="0"/>
          <w:marTop w:val="0"/>
          <w:marBottom w:val="0"/>
          <w:divBdr>
            <w:top w:val="none" w:sz="0" w:space="0" w:color="auto"/>
            <w:left w:val="none" w:sz="0" w:space="0" w:color="auto"/>
            <w:bottom w:val="none" w:sz="0" w:space="0" w:color="auto"/>
            <w:right w:val="none" w:sz="0" w:space="0" w:color="auto"/>
          </w:divBdr>
        </w:div>
      </w:divsChild>
    </w:div>
    <w:div w:id="388189241">
      <w:marLeft w:val="0"/>
      <w:marRight w:val="0"/>
      <w:marTop w:val="0"/>
      <w:marBottom w:val="180"/>
      <w:divBdr>
        <w:top w:val="none" w:sz="0" w:space="0" w:color="auto"/>
        <w:left w:val="none" w:sz="0" w:space="0" w:color="auto"/>
        <w:bottom w:val="none" w:sz="0" w:space="0" w:color="auto"/>
        <w:right w:val="none" w:sz="0" w:space="0" w:color="auto"/>
      </w:divBdr>
    </w:div>
    <w:div w:id="391195558">
      <w:marLeft w:val="0"/>
      <w:marRight w:val="0"/>
      <w:marTop w:val="0"/>
      <w:marBottom w:val="0"/>
      <w:divBdr>
        <w:top w:val="none" w:sz="0" w:space="0" w:color="auto"/>
        <w:left w:val="none" w:sz="0" w:space="0" w:color="auto"/>
        <w:bottom w:val="none" w:sz="0" w:space="0" w:color="auto"/>
        <w:right w:val="none" w:sz="0" w:space="0" w:color="auto"/>
      </w:divBdr>
      <w:divsChild>
        <w:div w:id="1391534800">
          <w:marLeft w:val="0"/>
          <w:marRight w:val="0"/>
          <w:marTop w:val="0"/>
          <w:marBottom w:val="0"/>
          <w:divBdr>
            <w:top w:val="none" w:sz="0" w:space="0" w:color="auto"/>
            <w:left w:val="none" w:sz="0" w:space="0" w:color="auto"/>
            <w:bottom w:val="none" w:sz="0" w:space="0" w:color="auto"/>
            <w:right w:val="none" w:sz="0" w:space="0" w:color="auto"/>
          </w:divBdr>
        </w:div>
      </w:divsChild>
    </w:div>
    <w:div w:id="392780485">
      <w:marLeft w:val="0"/>
      <w:marRight w:val="0"/>
      <w:marTop w:val="0"/>
      <w:marBottom w:val="0"/>
      <w:divBdr>
        <w:top w:val="none" w:sz="0" w:space="0" w:color="auto"/>
        <w:left w:val="none" w:sz="0" w:space="0" w:color="auto"/>
        <w:bottom w:val="none" w:sz="0" w:space="0" w:color="auto"/>
        <w:right w:val="none" w:sz="0" w:space="0" w:color="auto"/>
      </w:divBdr>
      <w:divsChild>
        <w:div w:id="1270237483">
          <w:marLeft w:val="0"/>
          <w:marRight w:val="0"/>
          <w:marTop w:val="0"/>
          <w:marBottom w:val="0"/>
          <w:divBdr>
            <w:top w:val="none" w:sz="0" w:space="0" w:color="auto"/>
            <w:left w:val="none" w:sz="0" w:space="0" w:color="auto"/>
            <w:bottom w:val="none" w:sz="0" w:space="0" w:color="auto"/>
            <w:right w:val="none" w:sz="0" w:space="0" w:color="auto"/>
          </w:divBdr>
        </w:div>
      </w:divsChild>
    </w:div>
    <w:div w:id="396826459">
      <w:marLeft w:val="0"/>
      <w:marRight w:val="0"/>
      <w:marTop w:val="0"/>
      <w:marBottom w:val="0"/>
      <w:divBdr>
        <w:top w:val="none" w:sz="0" w:space="0" w:color="auto"/>
        <w:left w:val="none" w:sz="0" w:space="0" w:color="auto"/>
        <w:bottom w:val="none" w:sz="0" w:space="0" w:color="auto"/>
        <w:right w:val="none" w:sz="0" w:space="0" w:color="auto"/>
      </w:divBdr>
      <w:divsChild>
        <w:div w:id="167523038">
          <w:marLeft w:val="0"/>
          <w:marRight w:val="0"/>
          <w:marTop w:val="0"/>
          <w:marBottom w:val="0"/>
          <w:divBdr>
            <w:top w:val="none" w:sz="0" w:space="0" w:color="auto"/>
            <w:left w:val="none" w:sz="0" w:space="0" w:color="auto"/>
            <w:bottom w:val="none" w:sz="0" w:space="0" w:color="auto"/>
            <w:right w:val="none" w:sz="0" w:space="0" w:color="auto"/>
          </w:divBdr>
        </w:div>
      </w:divsChild>
    </w:div>
    <w:div w:id="406345173">
      <w:marLeft w:val="0"/>
      <w:marRight w:val="0"/>
      <w:marTop w:val="0"/>
      <w:marBottom w:val="0"/>
      <w:divBdr>
        <w:top w:val="none" w:sz="0" w:space="0" w:color="auto"/>
        <w:left w:val="none" w:sz="0" w:space="0" w:color="auto"/>
        <w:bottom w:val="none" w:sz="0" w:space="0" w:color="auto"/>
        <w:right w:val="none" w:sz="0" w:space="0" w:color="auto"/>
      </w:divBdr>
    </w:div>
    <w:div w:id="409813467">
      <w:marLeft w:val="0"/>
      <w:marRight w:val="0"/>
      <w:marTop w:val="0"/>
      <w:marBottom w:val="180"/>
      <w:divBdr>
        <w:top w:val="none" w:sz="0" w:space="0" w:color="auto"/>
        <w:left w:val="none" w:sz="0" w:space="0" w:color="auto"/>
        <w:bottom w:val="none" w:sz="0" w:space="0" w:color="auto"/>
        <w:right w:val="none" w:sz="0" w:space="0" w:color="auto"/>
      </w:divBdr>
    </w:div>
    <w:div w:id="411508860">
      <w:marLeft w:val="0"/>
      <w:marRight w:val="0"/>
      <w:marTop w:val="0"/>
      <w:marBottom w:val="0"/>
      <w:divBdr>
        <w:top w:val="none" w:sz="0" w:space="0" w:color="auto"/>
        <w:left w:val="none" w:sz="0" w:space="0" w:color="auto"/>
        <w:bottom w:val="none" w:sz="0" w:space="0" w:color="auto"/>
        <w:right w:val="none" w:sz="0" w:space="0" w:color="auto"/>
      </w:divBdr>
    </w:div>
    <w:div w:id="411852078">
      <w:marLeft w:val="0"/>
      <w:marRight w:val="0"/>
      <w:marTop w:val="0"/>
      <w:marBottom w:val="280"/>
      <w:divBdr>
        <w:top w:val="none" w:sz="0" w:space="0" w:color="auto"/>
        <w:left w:val="none" w:sz="0" w:space="0" w:color="auto"/>
        <w:bottom w:val="none" w:sz="0" w:space="0" w:color="auto"/>
        <w:right w:val="none" w:sz="0" w:space="0" w:color="auto"/>
      </w:divBdr>
    </w:div>
    <w:div w:id="412747643">
      <w:marLeft w:val="0"/>
      <w:marRight w:val="0"/>
      <w:marTop w:val="0"/>
      <w:marBottom w:val="0"/>
      <w:divBdr>
        <w:top w:val="none" w:sz="0" w:space="0" w:color="auto"/>
        <w:left w:val="none" w:sz="0" w:space="0" w:color="auto"/>
        <w:bottom w:val="none" w:sz="0" w:space="0" w:color="auto"/>
        <w:right w:val="none" w:sz="0" w:space="0" w:color="auto"/>
      </w:divBdr>
      <w:divsChild>
        <w:div w:id="987830307">
          <w:marLeft w:val="0"/>
          <w:marRight w:val="0"/>
          <w:marTop w:val="0"/>
          <w:marBottom w:val="0"/>
          <w:divBdr>
            <w:top w:val="none" w:sz="0" w:space="0" w:color="auto"/>
            <w:left w:val="none" w:sz="0" w:space="0" w:color="auto"/>
            <w:bottom w:val="none" w:sz="0" w:space="0" w:color="auto"/>
            <w:right w:val="none" w:sz="0" w:space="0" w:color="auto"/>
          </w:divBdr>
        </w:div>
      </w:divsChild>
    </w:div>
    <w:div w:id="418604759">
      <w:marLeft w:val="0"/>
      <w:marRight w:val="0"/>
      <w:marTop w:val="0"/>
      <w:marBottom w:val="0"/>
      <w:divBdr>
        <w:top w:val="none" w:sz="0" w:space="0" w:color="auto"/>
        <w:left w:val="none" w:sz="0" w:space="0" w:color="auto"/>
        <w:bottom w:val="none" w:sz="0" w:space="0" w:color="auto"/>
        <w:right w:val="none" w:sz="0" w:space="0" w:color="auto"/>
      </w:divBdr>
    </w:div>
    <w:div w:id="421485921">
      <w:marLeft w:val="0"/>
      <w:marRight w:val="0"/>
      <w:marTop w:val="0"/>
      <w:marBottom w:val="0"/>
      <w:divBdr>
        <w:top w:val="none" w:sz="0" w:space="0" w:color="auto"/>
        <w:left w:val="none" w:sz="0" w:space="0" w:color="auto"/>
        <w:bottom w:val="none" w:sz="0" w:space="0" w:color="auto"/>
        <w:right w:val="none" w:sz="0" w:space="0" w:color="auto"/>
      </w:divBdr>
    </w:div>
    <w:div w:id="422336117">
      <w:marLeft w:val="0"/>
      <w:marRight w:val="0"/>
      <w:marTop w:val="0"/>
      <w:marBottom w:val="180"/>
      <w:divBdr>
        <w:top w:val="none" w:sz="0" w:space="0" w:color="auto"/>
        <w:left w:val="none" w:sz="0" w:space="0" w:color="auto"/>
        <w:bottom w:val="none" w:sz="0" w:space="0" w:color="auto"/>
        <w:right w:val="none" w:sz="0" w:space="0" w:color="auto"/>
      </w:divBdr>
    </w:div>
    <w:div w:id="423455443">
      <w:marLeft w:val="0"/>
      <w:marRight w:val="0"/>
      <w:marTop w:val="180"/>
      <w:marBottom w:val="180"/>
      <w:divBdr>
        <w:top w:val="none" w:sz="0" w:space="0" w:color="auto"/>
        <w:left w:val="none" w:sz="0" w:space="0" w:color="auto"/>
        <w:bottom w:val="none" w:sz="0" w:space="0" w:color="auto"/>
        <w:right w:val="none" w:sz="0" w:space="0" w:color="auto"/>
      </w:divBdr>
    </w:div>
    <w:div w:id="424031529">
      <w:marLeft w:val="0"/>
      <w:marRight w:val="0"/>
      <w:marTop w:val="0"/>
      <w:marBottom w:val="0"/>
      <w:divBdr>
        <w:top w:val="none" w:sz="0" w:space="0" w:color="auto"/>
        <w:left w:val="none" w:sz="0" w:space="0" w:color="auto"/>
        <w:bottom w:val="none" w:sz="0" w:space="0" w:color="auto"/>
        <w:right w:val="none" w:sz="0" w:space="0" w:color="auto"/>
      </w:divBdr>
      <w:divsChild>
        <w:div w:id="506138412">
          <w:marLeft w:val="0"/>
          <w:marRight w:val="0"/>
          <w:marTop w:val="0"/>
          <w:marBottom w:val="0"/>
          <w:divBdr>
            <w:top w:val="none" w:sz="0" w:space="0" w:color="auto"/>
            <w:left w:val="none" w:sz="0" w:space="0" w:color="auto"/>
            <w:bottom w:val="none" w:sz="0" w:space="0" w:color="auto"/>
            <w:right w:val="none" w:sz="0" w:space="0" w:color="auto"/>
          </w:divBdr>
        </w:div>
      </w:divsChild>
    </w:div>
    <w:div w:id="428041436">
      <w:marLeft w:val="0"/>
      <w:marRight w:val="0"/>
      <w:marTop w:val="0"/>
      <w:marBottom w:val="0"/>
      <w:divBdr>
        <w:top w:val="none" w:sz="0" w:space="0" w:color="auto"/>
        <w:left w:val="none" w:sz="0" w:space="0" w:color="auto"/>
        <w:bottom w:val="none" w:sz="0" w:space="0" w:color="auto"/>
        <w:right w:val="none" w:sz="0" w:space="0" w:color="auto"/>
      </w:divBdr>
      <w:divsChild>
        <w:div w:id="1506439967">
          <w:marLeft w:val="0"/>
          <w:marRight w:val="0"/>
          <w:marTop w:val="0"/>
          <w:marBottom w:val="0"/>
          <w:divBdr>
            <w:top w:val="none" w:sz="0" w:space="0" w:color="auto"/>
            <w:left w:val="none" w:sz="0" w:space="0" w:color="auto"/>
            <w:bottom w:val="none" w:sz="0" w:space="0" w:color="auto"/>
            <w:right w:val="none" w:sz="0" w:space="0" w:color="auto"/>
          </w:divBdr>
        </w:div>
      </w:divsChild>
    </w:div>
    <w:div w:id="429475397">
      <w:marLeft w:val="0"/>
      <w:marRight w:val="0"/>
      <w:marTop w:val="0"/>
      <w:marBottom w:val="0"/>
      <w:divBdr>
        <w:top w:val="none" w:sz="0" w:space="0" w:color="auto"/>
        <w:left w:val="none" w:sz="0" w:space="0" w:color="auto"/>
        <w:bottom w:val="none" w:sz="0" w:space="0" w:color="auto"/>
        <w:right w:val="none" w:sz="0" w:space="0" w:color="auto"/>
      </w:divBdr>
    </w:div>
    <w:div w:id="429546522">
      <w:marLeft w:val="0"/>
      <w:marRight w:val="0"/>
      <w:marTop w:val="0"/>
      <w:marBottom w:val="60"/>
      <w:divBdr>
        <w:top w:val="none" w:sz="0" w:space="0" w:color="auto"/>
        <w:left w:val="none" w:sz="0" w:space="0" w:color="auto"/>
        <w:bottom w:val="none" w:sz="0" w:space="0" w:color="auto"/>
        <w:right w:val="none" w:sz="0" w:space="0" w:color="auto"/>
      </w:divBdr>
    </w:div>
    <w:div w:id="431315889">
      <w:marLeft w:val="0"/>
      <w:marRight w:val="0"/>
      <w:marTop w:val="0"/>
      <w:marBottom w:val="0"/>
      <w:divBdr>
        <w:top w:val="none" w:sz="0" w:space="0" w:color="auto"/>
        <w:left w:val="none" w:sz="0" w:space="0" w:color="auto"/>
        <w:bottom w:val="none" w:sz="0" w:space="0" w:color="auto"/>
        <w:right w:val="none" w:sz="0" w:space="0" w:color="auto"/>
      </w:divBdr>
    </w:div>
    <w:div w:id="432045911">
      <w:marLeft w:val="0"/>
      <w:marRight w:val="0"/>
      <w:marTop w:val="0"/>
      <w:marBottom w:val="0"/>
      <w:divBdr>
        <w:top w:val="none" w:sz="0" w:space="0" w:color="auto"/>
        <w:left w:val="none" w:sz="0" w:space="0" w:color="auto"/>
        <w:bottom w:val="none" w:sz="0" w:space="0" w:color="auto"/>
        <w:right w:val="none" w:sz="0" w:space="0" w:color="auto"/>
      </w:divBdr>
    </w:div>
    <w:div w:id="442237716">
      <w:marLeft w:val="0"/>
      <w:marRight w:val="0"/>
      <w:marTop w:val="0"/>
      <w:marBottom w:val="0"/>
      <w:divBdr>
        <w:top w:val="none" w:sz="0" w:space="0" w:color="auto"/>
        <w:left w:val="none" w:sz="0" w:space="0" w:color="auto"/>
        <w:bottom w:val="none" w:sz="0" w:space="0" w:color="auto"/>
        <w:right w:val="none" w:sz="0" w:space="0" w:color="auto"/>
      </w:divBdr>
    </w:div>
    <w:div w:id="443425137">
      <w:marLeft w:val="0"/>
      <w:marRight w:val="0"/>
      <w:marTop w:val="0"/>
      <w:marBottom w:val="0"/>
      <w:divBdr>
        <w:top w:val="none" w:sz="0" w:space="0" w:color="auto"/>
        <w:left w:val="none" w:sz="0" w:space="0" w:color="auto"/>
        <w:bottom w:val="none" w:sz="0" w:space="0" w:color="auto"/>
        <w:right w:val="none" w:sz="0" w:space="0" w:color="auto"/>
      </w:divBdr>
      <w:divsChild>
        <w:div w:id="1743722865">
          <w:marLeft w:val="0"/>
          <w:marRight w:val="0"/>
          <w:marTop w:val="0"/>
          <w:marBottom w:val="0"/>
          <w:divBdr>
            <w:top w:val="none" w:sz="0" w:space="0" w:color="auto"/>
            <w:left w:val="none" w:sz="0" w:space="0" w:color="auto"/>
            <w:bottom w:val="none" w:sz="0" w:space="0" w:color="auto"/>
            <w:right w:val="none" w:sz="0" w:space="0" w:color="auto"/>
          </w:divBdr>
        </w:div>
      </w:divsChild>
    </w:div>
    <w:div w:id="444082850">
      <w:marLeft w:val="0"/>
      <w:marRight w:val="0"/>
      <w:marTop w:val="0"/>
      <w:marBottom w:val="0"/>
      <w:divBdr>
        <w:top w:val="none" w:sz="0" w:space="0" w:color="auto"/>
        <w:left w:val="none" w:sz="0" w:space="0" w:color="auto"/>
        <w:bottom w:val="none" w:sz="0" w:space="0" w:color="auto"/>
        <w:right w:val="none" w:sz="0" w:space="0" w:color="auto"/>
      </w:divBdr>
    </w:div>
    <w:div w:id="452985264">
      <w:marLeft w:val="0"/>
      <w:marRight w:val="0"/>
      <w:marTop w:val="0"/>
      <w:marBottom w:val="0"/>
      <w:divBdr>
        <w:top w:val="none" w:sz="0" w:space="0" w:color="auto"/>
        <w:left w:val="none" w:sz="0" w:space="0" w:color="auto"/>
        <w:bottom w:val="none" w:sz="0" w:space="0" w:color="auto"/>
        <w:right w:val="none" w:sz="0" w:space="0" w:color="auto"/>
      </w:divBdr>
      <w:divsChild>
        <w:div w:id="1540627542">
          <w:marLeft w:val="0"/>
          <w:marRight w:val="0"/>
          <w:marTop w:val="0"/>
          <w:marBottom w:val="0"/>
          <w:divBdr>
            <w:top w:val="none" w:sz="0" w:space="0" w:color="auto"/>
            <w:left w:val="none" w:sz="0" w:space="0" w:color="auto"/>
            <w:bottom w:val="none" w:sz="0" w:space="0" w:color="auto"/>
            <w:right w:val="none" w:sz="0" w:space="0" w:color="auto"/>
          </w:divBdr>
        </w:div>
      </w:divsChild>
    </w:div>
    <w:div w:id="459033053">
      <w:marLeft w:val="0"/>
      <w:marRight w:val="0"/>
      <w:marTop w:val="100"/>
      <w:marBottom w:val="0"/>
      <w:divBdr>
        <w:top w:val="none" w:sz="0" w:space="0" w:color="auto"/>
        <w:left w:val="none" w:sz="0" w:space="0" w:color="auto"/>
        <w:bottom w:val="none" w:sz="0" w:space="0" w:color="auto"/>
        <w:right w:val="none" w:sz="0" w:space="0" w:color="auto"/>
      </w:divBdr>
      <w:divsChild>
        <w:div w:id="339738911">
          <w:marLeft w:val="0"/>
          <w:marRight w:val="0"/>
          <w:marTop w:val="0"/>
          <w:marBottom w:val="0"/>
          <w:divBdr>
            <w:top w:val="none" w:sz="0" w:space="0" w:color="auto"/>
            <w:left w:val="none" w:sz="0" w:space="0" w:color="auto"/>
            <w:bottom w:val="none" w:sz="0" w:space="0" w:color="auto"/>
            <w:right w:val="none" w:sz="0" w:space="0" w:color="auto"/>
          </w:divBdr>
        </w:div>
      </w:divsChild>
    </w:div>
    <w:div w:id="470365398">
      <w:marLeft w:val="0"/>
      <w:marRight w:val="0"/>
      <w:marTop w:val="0"/>
      <w:marBottom w:val="0"/>
      <w:divBdr>
        <w:top w:val="none" w:sz="0" w:space="0" w:color="auto"/>
        <w:left w:val="none" w:sz="0" w:space="0" w:color="auto"/>
        <w:bottom w:val="none" w:sz="0" w:space="0" w:color="auto"/>
        <w:right w:val="none" w:sz="0" w:space="0" w:color="auto"/>
      </w:divBdr>
    </w:div>
    <w:div w:id="475728569">
      <w:marLeft w:val="0"/>
      <w:marRight w:val="0"/>
      <w:marTop w:val="0"/>
      <w:marBottom w:val="0"/>
      <w:divBdr>
        <w:top w:val="none" w:sz="0" w:space="0" w:color="auto"/>
        <w:left w:val="none" w:sz="0" w:space="0" w:color="auto"/>
        <w:bottom w:val="none" w:sz="0" w:space="0" w:color="auto"/>
        <w:right w:val="none" w:sz="0" w:space="0" w:color="auto"/>
      </w:divBdr>
      <w:divsChild>
        <w:div w:id="228079507">
          <w:marLeft w:val="0"/>
          <w:marRight w:val="0"/>
          <w:marTop w:val="0"/>
          <w:marBottom w:val="0"/>
          <w:divBdr>
            <w:top w:val="none" w:sz="0" w:space="0" w:color="auto"/>
            <w:left w:val="none" w:sz="0" w:space="0" w:color="auto"/>
            <w:bottom w:val="none" w:sz="0" w:space="0" w:color="auto"/>
            <w:right w:val="none" w:sz="0" w:space="0" w:color="auto"/>
          </w:divBdr>
        </w:div>
      </w:divsChild>
    </w:div>
    <w:div w:id="476849390">
      <w:marLeft w:val="0"/>
      <w:marRight w:val="0"/>
      <w:marTop w:val="100"/>
      <w:marBottom w:val="0"/>
      <w:divBdr>
        <w:top w:val="none" w:sz="0" w:space="0" w:color="auto"/>
        <w:left w:val="none" w:sz="0" w:space="0" w:color="auto"/>
        <w:bottom w:val="none" w:sz="0" w:space="0" w:color="auto"/>
        <w:right w:val="none" w:sz="0" w:space="0" w:color="auto"/>
      </w:divBdr>
      <w:divsChild>
        <w:div w:id="934675443">
          <w:marLeft w:val="0"/>
          <w:marRight w:val="0"/>
          <w:marTop w:val="0"/>
          <w:marBottom w:val="0"/>
          <w:divBdr>
            <w:top w:val="none" w:sz="0" w:space="0" w:color="auto"/>
            <w:left w:val="none" w:sz="0" w:space="0" w:color="auto"/>
            <w:bottom w:val="none" w:sz="0" w:space="0" w:color="auto"/>
            <w:right w:val="none" w:sz="0" w:space="0" w:color="auto"/>
          </w:divBdr>
        </w:div>
        <w:div w:id="297761167">
          <w:marLeft w:val="0"/>
          <w:marRight w:val="0"/>
          <w:marTop w:val="0"/>
          <w:marBottom w:val="0"/>
          <w:divBdr>
            <w:top w:val="none" w:sz="0" w:space="0" w:color="auto"/>
            <w:left w:val="none" w:sz="0" w:space="0" w:color="auto"/>
            <w:bottom w:val="none" w:sz="0" w:space="0" w:color="auto"/>
            <w:right w:val="none" w:sz="0" w:space="0" w:color="auto"/>
          </w:divBdr>
        </w:div>
      </w:divsChild>
    </w:div>
    <w:div w:id="484277172">
      <w:marLeft w:val="0"/>
      <w:marRight w:val="0"/>
      <w:marTop w:val="0"/>
      <w:marBottom w:val="0"/>
      <w:divBdr>
        <w:top w:val="none" w:sz="0" w:space="0" w:color="auto"/>
        <w:left w:val="none" w:sz="0" w:space="0" w:color="auto"/>
        <w:bottom w:val="none" w:sz="0" w:space="0" w:color="auto"/>
        <w:right w:val="none" w:sz="0" w:space="0" w:color="auto"/>
      </w:divBdr>
      <w:divsChild>
        <w:div w:id="57365310">
          <w:marLeft w:val="0"/>
          <w:marRight w:val="0"/>
          <w:marTop w:val="0"/>
          <w:marBottom w:val="0"/>
          <w:divBdr>
            <w:top w:val="none" w:sz="0" w:space="0" w:color="auto"/>
            <w:left w:val="none" w:sz="0" w:space="0" w:color="auto"/>
            <w:bottom w:val="none" w:sz="0" w:space="0" w:color="auto"/>
            <w:right w:val="none" w:sz="0" w:space="0" w:color="auto"/>
          </w:divBdr>
        </w:div>
      </w:divsChild>
    </w:div>
    <w:div w:id="491533488">
      <w:marLeft w:val="0"/>
      <w:marRight w:val="0"/>
      <w:marTop w:val="0"/>
      <w:marBottom w:val="180"/>
      <w:divBdr>
        <w:top w:val="none" w:sz="0" w:space="0" w:color="auto"/>
        <w:left w:val="none" w:sz="0" w:space="0" w:color="auto"/>
        <w:bottom w:val="none" w:sz="0" w:space="0" w:color="auto"/>
        <w:right w:val="none" w:sz="0" w:space="0" w:color="auto"/>
      </w:divBdr>
    </w:div>
    <w:div w:id="493649065">
      <w:marLeft w:val="0"/>
      <w:marRight w:val="0"/>
      <w:marTop w:val="0"/>
      <w:marBottom w:val="0"/>
      <w:divBdr>
        <w:top w:val="none" w:sz="0" w:space="0" w:color="auto"/>
        <w:left w:val="none" w:sz="0" w:space="0" w:color="auto"/>
        <w:bottom w:val="none" w:sz="0" w:space="0" w:color="auto"/>
        <w:right w:val="none" w:sz="0" w:space="0" w:color="auto"/>
      </w:divBdr>
    </w:div>
    <w:div w:id="499152481">
      <w:marLeft w:val="0"/>
      <w:marRight w:val="0"/>
      <w:marTop w:val="0"/>
      <w:marBottom w:val="180"/>
      <w:divBdr>
        <w:top w:val="none" w:sz="0" w:space="0" w:color="auto"/>
        <w:left w:val="none" w:sz="0" w:space="0" w:color="auto"/>
        <w:bottom w:val="none" w:sz="0" w:space="0" w:color="auto"/>
        <w:right w:val="none" w:sz="0" w:space="0" w:color="auto"/>
      </w:divBdr>
    </w:div>
    <w:div w:id="501579581">
      <w:marLeft w:val="0"/>
      <w:marRight w:val="0"/>
      <w:marTop w:val="0"/>
      <w:marBottom w:val="280"/>
      <w:divBdr>
        <w:top w:val="none" w:sz="0" w:space="0" w:color="auto"/>
        <w:left w:val="none" w:sz="0" w:space="0" w:color="auto"/>
        <w:bottom w:val="none" w:sz="0" w:space="0" w:color="auto"/>
        <w:right w:val="none" w:sz="0" w:space="0" w:color="auto"/>
      </w:divBdr>
    </w:div>
    <w:div w:id="505480268">
      <w:marLeft w:val="0"/>
      <w:marRight w:val="0"/>
      <w:marTop w:val="0"/>
      <w:marBottom w:val="0"/>
      <w:divBdr>
        <w:top w:val="none" w:sz="0" w:space="0" w:color="auto"/>
        <w:left w:val="none" w:sz="0" w:space="0" w:color="auto"/>
        <w:bottom w:val="none" w:sz="0" w:space="0" w:color="auto"/>
        <w:right w:val="none" w:sz="0" w:space="0" w:color="auto"/>
      </w:divBdr>
    </w:div>
    <w:div w:id="506018220">
      <w:marLeft w:val="0"/>
      <w:marRight w:val="0"/>
      <w:marTop w:val="0"/>
      <w:marBottom w:val="0"/>
      <w:divBdr>
        <w:top w:val="none" w:sz="0" w:space="0" w:color="auto"/>
        <w:left w:val="none" w:sz="0" w:space="0" w:color="auto"/>
        <w:bottom w:val="none" w:sz="0" w:space="0" w:color="auto"/>
        <w:right w:val="none" w:sz="0" w:space="0" w:color="auto"/>
      </w:divBdr>
    </w:div>
    <w:div w:id="516582633">
      <w:marLeft w:val="0"/>
      <w:marRight w:val="0"/>
      <w:marTop w:val="0"/>
      <w:marBottom w:val="0"/>
      <w:divBdr>
        <w:top w:val="none" w:sz="0" w:space="0" w:color="auto"/>
        <w:left w:val="none" w:sz="0" w:space="0" w:color="auto"/>
        <w:bottom w:val="none" w:sz="0" w:space="0" w:color="auto"/>
        <w:right w:val="none" w:sz="0" w:space="0" w:color="auto"/>
      </w:divBdr>
      <w:divsChild>
        <w:div w:id="1048333281">
          <w:marLeft w:val="0"/>
          <w:marRight w:val="0"/>
          <w:marTop w:val="0"/>
          <w:marBottom w:val="0"/>
          <w:divBdr>
            <w:top w:val="none" w:sz="0" w:space="0" w:color="auto"/>
            <w:left w:val="none" w:sz="0" w:space="0" w:color="auto"/>
            <w:bottom w:val="none" w:sz="0" w:space="0" w:color="auto"/>
            <w:right w:val="none" w:sz="0" w:space="0" w:color="auto"/>
          </w:divBdr>
        </w:div>
      </w:divsChild>
    </w:div>
    <w:div w:id="521820129">
      <w:marLeft w:val="0"/>
      <w:marRight w:val="0"/>
      <w:marTop w:val="0"/>
      <w:marBottom w:val="0"/>
      <w:divBdr>
        <w:top w:val="none" w:sz="0" w:space="0" w:color="auto"/>
        <w:left w:val="none" w:sz="0" w:space="0" w:color="auto"/>
        <w:bottom w:val="none" w:sz="0" w:space="0" w:color="auto"/>
        <w:right w:val="none" w:sz="0" w:space="0" w:color="auto"/>
      </w:divBdr>
      <w:divsChild>
        <w:div w:id="295646219">
          <w:marLeft w:val="0"/>
          <w:marRight w:val="0"/>
          <w:marTop w:val="0"/>
          <w:marBottom w:val="0"/>
          <w:divBdr>
            <w:top w:val="none" w:sz="0" w:space="0" w:color="auto"/>
            <w:left w:val="none" w:sz="0" w:space="0" w:color="auto"/>
            <w:bottom w:val="none" w:sz="0" w:space="0" w:color="auto"/>
            <w:right w:val="none" w:sz="0" w:space="0" w:color="auto"/>
          </w:divBdr>
        </w:div>
      </w:divsChild>
    </w:div>
    <w:div w:id="524245861">
      <w:marLeft w:val="0"/>
      <w:marRight w:val="0"/>
      <w:marTop w:val="0"/>
      <w:marBottom w:val="180"/>
      <w:divBdr>
        <w:top w:val="none" w:sz="0" w:space="0" w:color="auto"/>
        <w:left w:val="none" w:sz="0" w:space="0" w:color="auto"/>
        <w:bottom w:val="none" w:sz="0" w:space="0" w:color="auto"/>
        <w:right w:val="none" w:sz="0" w:space="0" w:color="auto"/>
      </w:divBdr>
    </w:div>
    <w:div w:id="525799209">
      <w:marLeft w:val="0"/>
      <w:marRight w:val="0"/>
      <w:marTop w:val="0"/>
      <w:marBottom w:val="0"/>
      <w:divBdr>
        <w:top w:val="none" w:sz="0" w:space="0" w:color="auto"/>
        <w:left w:val="none" w:sz="0" w:space="0" w:color="auto"/>
        <w:bottom w:val="none" w:sz="0" w:space="0" w:color="auto"/>
        <w:right w:val="none" w:sz="0" w:space="0" w:color="auto"/>
      </w:divBdr>
    </w:div>
    <w:div w:id="526790794">
      <w:marLeft w:val="0"/>
      <w:marRight w:val="0"/>
      <w:marTop w:val="0"/>
      <w:marBottom w:val="0"/>
      <w:divBdr>
        <w:top w:val="none" w:sz="0" w:space="0" w:color="auto"/>
        <w:left w:val="none" w:sz="0" w:space="0" w:color="auto"/>
        <w:bottom w:val="none" w:sz="0" w:space="0" w:color="auto"/>
        <w:right w:val="none" w:sz="0" w:space="0" w:color="auto"/>
      </w:divBdr>
    </w:div>
    <w:div w:id="530458790">
      <w:marLeft w:val="0"/>
      <w:marRight w:val="0"/>
      <w:marTop w:val="0"/>
      <w:marBottom w:val="0"/>
      <w:divBdr>
        <w:top w:val="none" w:sz="0" w:space="0" w:color="auto"/>
        <w:left w:val="none" w:sz="0" w:space="0" w:color="auto"/>
        <w:bottom w:val="none" w:sz="0" w:space="0" w:color="auto"/>
        <w:right w:val="none" w:sz="0" w:space="0" w:color="auto"/>
      </w:divBdr>
      <w:divsChild>
        <w:div w:id="1412384260">
          <w:marLeft w:val="0"/>
          <w:marRight w:val="0"/>
          <w:marTop w:val="0"/>
          <w:marBottom w:val="0"/>
          <w:divBdr>
            <w:top w:val="none" w:sz="0" w:space="0" w:color="auto"/>
            <w:left w:val="none" w:sz="0" w:space="0" w:color="auto"/>
            <w:bottom w:val="none" w:sz="0" w:space="0" w:color="auto"/>
            <w:right w:val="none" w:sz="0" w:space="0" w:color="auto"/>
          </w:divBdr>
        </w:div>
      </w:divsChild>
    </w:div>
    <w:div w:id="530651468">
      <w:marLeft w:val="0"/>
      <w:marRight w:val="0"/>
      <w:marTop w:val="0"/>
      <w:marBottom w:val="0"/>
      <w:divBdr>
        <w:top w:val="none" w:sz="0" w:space="0" w:color="auto"/>
        <w:left w:val="none" w:sz="0" w:space="0" w:color="auto"/>
        <w:bottom w:val="none" w:sz="0" w:space="0" w:color="auto"/>
        <w:right w:val="none" w:sz="0" w:space="0" w:color="auto"/>
      </w:divBdr>
    </w:div>
    <w:div w:id="538081672">
      <w:marLeft w:val="0"/>
      <w:marRight w:val="0"/>
      <w:marTop w:val="0"/>
      <w:marBottom w:val="0"/>
      <w:divBdr>
        <w:top w:val="none" w:sz="0" w:space="0" w:color="auto"/>
        <w:left w:val="none" w:sz="0" w:space="0" w:color="auto"/>
        <w:bottom w:val="none" w:sz="0" w:space="0" w:color="auto"/>
        <w:right w:val="none" w:sz="0" w:space="0" w:color="auto"/>
      </w:divBdr>
    </w:div>
    <w:div w:id="539123412">
      <w:marLeft w:val="0"/>
      <w:marRight w:val="0"/>
      <w:marTop w:val="0"/>
      <w:marBottom w:val="0"/>
      <w:divBdr>
        <w:top w:val="none" w:sz="0" w:space="0" w:color="auto"/>
        <w:left w:val="none" w:sz="0" w:space="0" w:color="auto"/>
        <w:bottom w:val="none" w:sz="0" w:space="0" w:color="auto"/>
        <w:right w:val="none" w:sz="0" w:space="0" w:color="auto"/>
      </w:divBdr>
      <w:divsChild>
        <w:div w:id="1611863219">
          <w:marLeft w:val="0"/>
          <w:marRight w:val="0"/>
          <w:marTop w:val="0"/>
          <w:marBottom w:val="0"/>
          <w:divBdr>
            <w:top w:val="none" w:sz="0" w:space="0" w:color="auto"/>
            <w:left w:val="none" w:sz="0" w:space="0" w:color="auto"/>
            <w:bottom w:val="none" w:sz="0" w:space="0" w:color="auto"/>
            <w:right w:val="none" w:sz="0" w:space="0" w:color="auto"/>
          </w:divBdr>
        </w:div>
      </w:divsChild>
    </w:div>
    <w:div w:id="540558925">
      <w:marLeft w:val="0"/>
      <w:marRight w:val="0"/>
      <w:marTop w:val="0"/>
      <w:marBottom w:val="0"/>
      <w:divBdr>
        <w:top w:val="none" w:sz="0" w:space="0" w:color="auto"/>
        <w:left w:val="none" w:sz="0" w:space="0" w:color="auto"/>
        <w:bottom w:val="none" w:sz="0" w:space="0" w:color="auto"/>
        <w:right w:val="none" w:sz="0" w:space="0" w:color="auto"/>
      </w:divBdr>
    </w:div>
    <w:div w:id="551120375">
      <w:marLeft w:val="0"/>
      <w:marRight w:val="0"/>
      <w:marTop w:val="0"/>
      <w:marBottom w:val="0"/>
      <w:divBdr>
        <w:top w:val="none" w:sz="0" w:space="0" w:color="auto"/>
        <w:left w:val="none" w:sz="0" w:space="0" w:color="auto"/>
        <w:bottom w:val="none" w:sz="0" w:space="0" w:color="auto"/>
        <w:right w:val="none" w:sz="0" w:space="0" w:color="auto"/>
      </w:divBdr>
    </w:div>
    <w:div w:id="557936055">
      <w:marLeft w:val="0"/>
      <w:marRight w:val="0"/>
      <w:marTop w:val="0"/>
      <w:marBottom w:val="80"/>
      <w:divBdr>
        <w:top w:val="none" w:sz="0" w:space="0" w:color="auto"/>
        <w:left w:val="none" w:sz="0" w:space="0" w:color="auto"/>
        <w:bottom w:val="none" w:sz="0" w:space="0" w:color="auto"/>
        <w:right w:val="none" w:sz="0" w:space="0" w:color="auto"/>
      </w:divBdr>
    </w:div>
    <w:div w:id="561865406">
      <w:marLeft w:val="0"/>
      <w:marRight w:val="0"/>
      <w:marTop w:val="0"/>
      <w:marBottom w:val="0"/>
      <w:divBdr>
        <w:top w:val="none" w:sz="0" w:space="0" w:color="auto"/>
        <w:left w:val="none" w:sz="0" w:space="0" w:color="auto"/>
        <w:bottom w:val="none" w:sz="0" w:space="0" w:color="auto"/>
        <w:right w:val="none" w:sz="0" w:space="0" w:color="auto"/>
      </w:divBdr>
    </w:div>
    <w:div w:id="562328502">
      <w:marLeft w:val="0"/>
      <w:marRight w:val="0"/>
      <w:marTop w:val="0"/>
      <w:marBottom w:val="280"/>
      <w:divBdr>
        <w:top w:val="none" w:sz="0" w:space="0" w:color="auto"/>
        <w:left w:val="none" w:sz="0" w:space="0" w:color="auto"/>
        <w:bottom w:val="none" w:sz="0" w:space="0" w:color="auto"/>
        <w:right w:val="none" w:sz="0" w:space="0" w:color="auto"/>
      </w:divBdr>
    </w:div>
    <w:div w:id="562832526">
      <w:marLeft w:val="0"/>
      <w:marRight w:val="0"/>
      <w:marTop w:val="0"/>
      <w:marBottom w:val="0"/>
      <w:divBdr>
        <w:top w:val="none" w:sz="0" w:space="0" w:color="auto"/>
        <w:left w:val="none" w:sz="0" w:space="0" w:color="auto"/>
        <w:bottom w:val="none" w:sz="0" w:space="0" w:color="auto"/>
        <w:right w:val="none" w:sz="0" w:space="0" w:color="auto"/>
      </w:divBdr>
    </w:div>
    <w:div w:id="563762330">
      <w:marLeft w:val="0"/>
      <w:marRight w:val="0"/>
      <w:marTop w:val="0"/>
      <w:marBottom w:val="180"/>
      <w:divBdr>
        <w:top w:val="none" w:sz="0" w:space="0" w:color="auto"/>
        <w:left w:val="none" w:sz="0" w:space="0" w:color="auto"/>
        <w:bottom w:val="none" w:sz="0" w:space="0" w:color="auto"/>
        <w:right w:val="none" w:sz="0" w:space="0" w:color="auto"/>
      </w:divBdr>
    </w:div>
    <w:div w:id="567769010">
      <w:marLeft w:val="0"/>
      <w:marRight w:val="0"/>
      <w:marTop w:val="0"/>
      <w:marBottom w:val="0"/>
      <w:divBdr>
        <w:top w:val="none" w:sz="0" w:space="0" w:color="auto"/>
        <w:left w:val="none" w:sz="0" w:space="0" w:color="auto"/>
        <w:bottom w:val="none" w:sz="0" w:space="0" w:color="auto"/>
        <w:right w:val="none" w:sz="0" w:space="0" w:color="auto"/>
      </w:divBdr>
    </w:div>
    <w:div w:id="568228895">
      <w:marLeft w:val="0"/>
      <w:marRight w:val="0"/>
      <w:marTop w:val="0"/>
      <w:marBottom w:val="0"/>
      <w:divBdr>
        <w:top w:val="none" w:sz="0" w:space="0" w:color="auto"/>
        <w:left w:val="none" w:sz="0" w:space="0" w:color="auto"/>
        <w:bottom w:val="none" w:sz="0" w:space="0" w:color="auto"/>
        <w:right w:val="none" w:sz="0" w:space="0" w:color="auto"/>
      </w:divBdr>
    </w:div>
    <w:div w:id="568464509">
      <w:marLeft w:val="0"/>
      <w:marRight w:val="0"/>
      <w:marTop w:val="0"/>
      <w:marBottom w:val="0"/>
      <w:divBdr>
        <w:top w:val="none" w:sz="0" w:space="0" w:color="auto"/>
        <w:left w:val="none" w:sz="0" w:space="0" w:color="auto"/>
        <w:bottom w:val="none" w:sz="0" w:space="0" w:color="auto"/>
        <w:right w:val="none" w:sz="0" w:space="0" w:color="auto"/>
      </w:divBdr>
      <w:divsChild>
        <w:div w:id="1972128634">
          <w:marLeft w:val="0"/>
          <w:marRight w:val="0"/>
          <w:marTop w:val="0"/>
          <w:marBottom w:val="0"/>
          <w:divBdr>
            <w:top w:val="none" w:sz="0" w:space="0" w:color="auto"/>
            <w:left w:val="none" w:sz="0" w:space="0" w:color="auto"/>
            <w:bottom w:val="none" w:sz="0" w:space="0" w:color="auto"/>
            <w:right w:val="none" w:sz="0" w:space="0" w:color="auto"/>
          </w:divBdr>
        </w:div>
      </w:divsChild>
    </w:div>
    <w:div w:id="575936087">
      <w:marLeft w:val="0"/>
      <w:marRight w:val="0"/>
      <w:marTop w:val="0"/>
      <w:marBottom w:val="180"/>
      <w:divBdr>
        <w:top w:val="none" w:sz="0" w:space="0" w:color="auto"/>
        <w:left w:val="none" w:sz="0" w:space="0" w:color="auto"/>
        <w:bottom w:val="none" w:sz="0" w:space="0" w:color="auto"/>
        <w:right w:val="none" w:sz="0" w:space="0" w:color="auto"/>
      </w:divBdr>
    </w:div>
    <w:div w:id="576208533">
      <w:marLeft w:val="0"/>
      <w:marRight w:val="0"/>
      <w:marTop w:val="0"/>
      <w:marBottom w:val="120"/>
      <w:divBdr>
        <w:top w:val="none" w:sz="0" w:space="0" w:color="auto"/>
        <w:left w:val="none" w:sz="0" w:space="0" w:color="auto"/>
        <w:bottom w:val="none" w:sz="0" w:space="0" w:color="auto"/>
        <w:right w:val="none" w:sz="0" w:space="0" w:color="auto"/>
      </w:divBdr>
    </w:div>
    <w:div w:id="577516906">
      <w:marLeft w:val="0"/>
      <w:marRight w:val="0"/>
      <w:marTop w:val="0"/>
      <w:marBottom w:val="0"/>
      <w:divBdr>
        <w:top w:val="none" w:sz="0" w:space="0" w:color="auto"/>
        <w:left w:val="none" w:sz="0" w:space="0" w:color="auto"/>
        <w:bottom w:val="none" w:sz="0" w:space="0" w:color="auto"/>
        <w:right w:val="none" w:sz="0" w:space="0" w:color="auto"/>
      </w:divBdr>
      <w:divsChild>
        <w:div w:id="209221234">
          <w:marLeft w:val="0"/>
          <w:marRight w:val="0"/>
          <w:marTop w:val="0"/>
          <w:marBottom w:val="0"/>
          <w:divBdr>
            <w:top w:val="none" w:sz="0" w:space="0" w:color="auto"/>
            <w:left w:val="none" w:sz="0" w:space="0" w:color="auto"/>
            <w:bottom w:val="none" w:sz="0" w:space="0" w:color="auto"/>
            <w:right w:val="none" w:sz="0" w:space="0" w:color="auto"/>
          </w:divBdr>
        </w:div>
      </w:divsChild>
    </w:div>
    <w:div w:id="577859193">
      <w:marLeft w:val="0"/>
      <w:marRight w:val="0"/>
      <w:marTop w:val="0"/>
      <w:marBottom w:val="280"/>
      <w:divBdr>
        <w:top w:val="none" w:sz="0" w:space="0" w:color="auto"/>
        <w:left w:val="none" w:sz="0" w:space="0" w:color="auto"/>
        <w:bottom w:val="none" w:sz="0" w:space="0" w:color="auto"/>
        <w:right w:val="none" w:sz="0" w:space="0" w:color="auto"/>
      </w:divBdr>
    </w:div>
    <w:div w:id="581063418">
      <w:marLeft w:val="0"/>
      <w:marRight w:val="0"/>
      <w:marTop w:val="240"/>
      <w:marBottom w:val="100"/>
      <w:divBdr>
        <w:top w:val="none" w:sz="0" w:space="0" w:color="auto"/>
        <w:left w:val="none" w:sz="0" w:space="0" w:color="auto"/>
        <w:bottom w:val="none" w:sz="0" w:space="0" w:color="auto"/>
        <w:right w:val="none" w:sz="0" w:space="0" w:color="auto"/>
      </w:divBdr>
    </w:div>
    <w:div w:id="581447370">
      <w:marLeft w:val="0"/>
      <w:marRight w:val="0"/>
      <w:marTop w:val="0"/>
      <w:marBottom w:val="0"/>
      <w:divBdr>
        <w:top w:val="none" w:sz="0" w:space="0" w:color="auto"/>
        <w:left w:val="none" w:sz="0" w:space="0" w:color="auto"/>
        <w:bottom w:val="none" w:sz="0" w:space="0" w:color="auto"/>
        <w:right w:val="none" w:sz="0" w:space="0" w:color="auto"/>
      </w:divBdr>
      <w:divsChild>
        <w:div w:id="735906177">
          <w:marLeft w:val="0"/>
          <w:marRight w:val="0"/>
          <w:marTop w:val="0"/>
          <w:marBottom w:val="0"/>
          <w:divBdr>
            <w:top w:val="none" w:sz="0" w:space="0" w:color="auto"/>
            <w:left w:val="none" w:sz="0" w:space="0" w:color="auto"/>
            <w:bottom w:val="none" w:sz="0" w:space="0" w:color="auto"/>
            <w:right w:val="none" w:sz="0" w:space="0" w:color="auto"/>
          </w:divBdr>
        </w:div>
      </w:divsChild>
    </w:div>
    <w:div w:id="587423802">
      <w:marLeft w:val="0"/>
      <w:marRight w:val="0"/>
      <w:marTop w:val="0"/>
      <w:marBottom w:val="0"/>
      <w:divBdr>
        <w:top w:val="none" w:sz="0" w:space="0" w:color="auto"/>
        <w:left w:val="none" w:sz="0" w:space="0" w:color="auto"/>
        <w:bottom w:val="none" w:sz="0" w:space="0" w:color="auto"/>
        <w:right w:val="none" w:sz="0" w:space="0" w:color="auto"/>
      </w:divBdr>
    </w:div>
    <w:div w:id="589195376">
      <w:marLeft w:val="0"/>
      <w:marRight w:val="0"/>
      <w:marTop w:val="0"/>
      <w:marBottom w:val="0"/>
      <w:divBdr>
        <w:top w:val="none" w:sz="0" w:space="0" w:color="auto"/>
        <w:left w:val="none" w:sz="0" w:space="0" w:color="auto"/>
        <w:bottom w:val="none" w:sz="0" w:space="0" w:color="auto"/>
        <w:right w:val="none" w:sz="0" w:space="0" w:color="auto"/>
      </w:divBdr>
    </w:div>
    <w:div w:id="595212320">
      <w:marLeft w:val="0"/>
      <w:marRight w:val="0"/>
      <w:marTop w:val="0"/>
      <w:marBottom w:val="0"/>
      <w:divBdr>
        <w:top w:val="none" w:sz="0" w:space="0" w:color="auto"/>
        <w:left w:val="none" w:sz="0" w:space="0" w:color="auto"/>
        <w:bottom w:val="none" w:sz="0" w:space="0" w:color="auto"/>
        <w:right w:val="none" w:sz="0" w:space="0" w:color="auto"/>
      </w:divBdr>
      <w:divsChild>
        <w:div w:id="1278952413">
          <w:marLeft w:val="0"/>
          <w:marRight w:val="0"/>
          <w:marTop w:val="0"/>
          <w:marBottom w:val="0"/>
          <w:divBdr>
            <w:top w:val="none" w:sz="0" w:space="0" w:color="auto"/>
            <w:left w:val="none" w:sz="0" w:space="0" w:color="auto"/>
            <w:bottom w:val="none" w:sz="0" w:space="0" w:color="auto"/>
            <w:right w:val="none" w:sz="0" w:space="0" w:color="auto"/>
          </w:divBdr>
        </w:div>
      </w:divsChild>
    </w:div>
    <w:div w:id="598880148">
      <w:marLeft w:val="0"/>
      <w:marRight w:val="0"/>
      <w:marTop w:val="0"/>
      <w:marBottom w:val="0"/>
      <w:divBdr>
        <w:top w:val="none" w:sz="0" w:space="0" w:color="auto"/>
        <w:left w:val="none" w:sz="0" w:space="0" w:color="auto"/>
        <w:bottom w:val="none" w:sz="0" w:space="0" w:color="auto"/>
        <w:right w:val="none" w:sz="0" w:space="0" w:color="auto"/>
      </w:divBdr>
    </w:div>
    <w:div w:id="600258069">
      <w:marLeft w:val="0"/>
      <w:marRight w:val="0"/>
      <w:marTop w:val="0"/>
      <w:marBottom w:val="0"/>
      <w:divBdr>
        <w:top w:val="none" w:sz="0" w:space="0" w:color="auto"/>
        <w:left w:val="none" w:sz="0" w:space="0" w:color="auto"/>
        <w:bottom w:val="none" w:sz="0" w:space="0" w:color="auto"/>
        <w:right w:val="none" w:sz="0" w:space="0" w:color="auto"/>
      </w:divBdr>
      <w:divsChild>
        <w:div w:id="1178352755">
          <w:marLeft w:val="0"/>
          <w:marRight w:val="0"/>
          <w:marTop w:val="0"/>
          <w:marBottom w:val="0"/>
          <w:divBdr>
            <w:top w:val="none" w:sz="0" w:space="0" w:color="auto"/>
            <w:left w:val="none" w:sz="0" w:space="0" w:color="auto"/>
            <w:bottom w:val="none" w:sz="0" w:space="0" w:color="auto"/>
            <w:right w:val="none" w:sz="0" w:space="0" w:color="auto"/>
          </w:divBdr>
        </w:div>
      </w:divsChild>
    </w:div>
    <w:div w:id="604464119">
      <w:marLeft w:val="0"/>
      <w:marRight w:val="0"/>
      <w:marTop w:val="0"/>
      <w:marBottom w:val="0"/>
      <w:divBdr>
        <w:top w:val="none" w:sz="0" w:space="0" w:color="auto"/>
        <w:left w:val="none" w:sz="0" w:space="0" w:color="auto"/>
        <w:bottom w:val="none" w:sz="0" w:space="0" w:color="auto"/>
        <w:right w:val="none" w:sz="0" w:space="0" w:color="auto"/>
      </w:divBdr>
    </w:div>
    <w:div w:id="604925439">
      <w:marLeft w:val="0"/>
      <w:marRight w:val="0"/>
      <w:marTop w:val="0"/>
      <w:marBottom w:val="180"/>
      <w:divBdr>
        <w:top w:val="none" w:sz="0" w:space="0" w:color="auto"/>
        <w:left w:val="none" w:sz="0" w:space="0" w:color="auto"/>
        <w:bottom w:val="none" w:sz="0" w:space="0" w:color="auto"/>
        <w:right w:val="none" w:sz="0" w:space="0" w:color="auto"/>
      </w:divBdr>
    </w:div>
    <w:div w:id="612782935">
      <w:marLeft w:val="0"/>
      <w:marRight w:val="0"/>
      <w:marTop w:val="0"/>
      <w:marBottom w:val="0"/>
      <w:divBdr>
        <w:top w:val="none" w:sz="0" w:space="0" w:color="auto"/>
        <w:left w:val="none" w:sz="0" w:space="0" w:color="auto"/>
        <w:bottom w:val="none" w:sz="0" w:space="0" w:color="auto"/>
        <w:right w:val="none" w:sz="0" w:space="0" w:color="auto"/>
      </w:divBdr>
    </w:div>
    <w:div w:id="614093053">
      <w:marLeft w:val="0"/>
      <w:marRight w:val="0"/>
      <w:marTop w:val="0"/>
      <w:marBottom w:val="180"/>
      <w:divBdr>
        <w:top w:val="none" w:sz="0" w:space="0" w:color="auto"/>
        <w:left w:val="none" w:sz="0" w:space="0" w:color="auto"/>
        <w:bottom w:val="none" w:sz="0" w:space="0" w:color="auto"/>
        <w:right w:val="none" w:sz="0" w:space="0" w:color="auto"/>
      </w:divBdr>
    </w:div>
    <w:div w:id="620722480">
      <w:marLeft w:val="0"/>
      <w:marRight w:val="0"/>
      <w:marTop w:val="0"/>
      <w:marBottom w:val="0"/>
      <w:divBdr>
        <w:top w:val="none" w:sz="0" w:space="0" w:color="auto"/>
        <w:left w:val="none" w:sz="0" w:space="0" w:color="auto"/>
        <w:bottom w:val="none" w:sz="0" w:space="0" w:color="auto"/>
        <w:right w:val="none" w:sz="0" w:space="0" w:color="auto"/>
      </w:divBdr>
    </w:div>
    <w:div w:id="621762686">
      <w:marLeft w:val="0"/>
      <w:marRight w:val="0"/>
      <w:marTop w:val="0"/>
      <w:marBottom w:val="180"/>
      <w:divBdr>
        <w:top w:val="none" w:sz="0" w:space="0" w:color="auto"/>
        <w:left w:val="none" w:sz="0" w:space="0" w:color="auto"/>
        <w:bottom w:val="none" w:sz="0" w:space="0" w:color="auto"/>
        <w:right w:val="none" w:sz="0" w:space="0" w:color="auto"/>
      </w:divBdr>
    </w:div>
    <w:div w:id="625813406">
      <w:marLeft w:val="0"/>
      <w:marRight w:val="0"/>
      <w:marTop w:val="0"/>
      <w:marBottom w:val="0"/>
      <w:divBdr>
        <w:top w:val="none" w:sz="0" w:space="0" w:color="auto"/>
        <w:left w:val="none" w:sz="0" w:space="0" w:color="auto"/>
        <w:bottom w:val="none" w:sz="0" w:space="0" w:color="auto"/>
        <w:right w:val="none" w:sz="0" w:space="0" w:color="auto"/>
      </w:divBdr>
    </w:div>
    <w:div w:id="626005444">
      <w:marLeft w:val="0"/>
      <w:marRight w:val="0"/>
      <w:marTop w:val="0"/>
      <w:marBottom w:val="0"/>
      <w:divBdr>
        <w:top w:val="none" w:sz="0" w:space="0" w:color="auto"/>
        <w:left w:val="none" w:sz="0" w:space="0" w:color="auto"/>
        <w:bottom w:val="none" w:sz="0" w:space="0" w:color="auto"/>
        <w:right w:val="none" w:sz="0" w:space="0" w:color="auto"/>
      </w:divBdr>
      <w:divsChild>
        <w:div w:id="485782774">
          <w:marLeft w:val="0"/>
          <w:marRight w:val="0"/>
          <w:marTop w:val="0"/>
          <w:marBottom w:val="0"/>
          <w:divBdr>
            <w:top w:val="none" w:sz="0" w:space="0" w:color="auto"/>
            <w:left w:val="none" w:sz="0" w:space="0" w:color="auto"/>
            <w:bottom w:val="none" w:sz="0" w:space="0" w:color="auto"/>
            <w:right w:val="none" w:sz="0" w:space="0" w:color="auto"/>
          </w:divBdr>
        </w:div>
      </w:divsChild>
    </w:div>
    <w:div w:id="630281856">
      <w:marLeft w:val="0"/>
      <w:marRight w:val="0"/>
      <w:marTop w:val="0"/>
      <w:marBottom w:val="180"/>
      <w:divBdr>
        <w:top w:val="none" w:sz="0" w:space="0" w:color="auto"/>
        <w:left w:val="none" w:sz="0" w:space="0" w:color="auto"/>
        <w:bottom w:val="none" w:sz="0" w:space="0" w:color="auto"/>
        <w:right w:val="none" w:sz="0" w:space="0" w:color="auto"/>
      </w:divBdr>
    </w:div>
    <w:div w:id="634916083">
      <w:marLeft w:val="0"/>
      <w:marRight w:val="0"/>
      <w:marTop w:val="0"/>
      <w:marBottom w:val="0"/>
      <w:divBdr>
        <w:top w:val="none" w:sz="0" w:space="0" w:color="auto"/>
        <w:left w:val="none" w:sz="0" w:space="0" w:color="auto"/>
        <w:bottom w:val="none" w:sz="0" w:space="0" w:color="auto"/>
        <w:right w:val="none" w:sz="0" w:space="0" w:color="auto"/>
      </w:divBdr>
    </w:div>
    <w:div w:id="638992842">
      <w:marLeft w:val="0"/>
      <w:marRight w:val="0"/>
      <w:marTop w:val="0"/>
      <w:marBottom w:val="180"/>
      <w:divBdr>
        <w:top w:val="none" w:sz="0" w:space="0" w:color="auto"/>
        <w:left w:val="none" w:sz="0" w:space="0" w:color="auto"/>
        <w:bottom w:val="none" w:sz="0" w:space="0" w:color="auto"/>
        <w:right w:val="none" w:sz="0" w:space="0" w:color="auto"/>
      </w:divBdr>
    </w:div>
    <w:div w:id="641228571">
      <w:marLeft w:val="0"/>
      <w:marRight w:val="0"/>
      <w:marTop w:val="0"/>
      <w:marBottom w:val="0"/>
      <w:divBdr>
        <w:top w:val="none" w:sz="0" w:space="0" w:color="auto"/>
        <w:left w:val="none" w:sz="0" w:space="0" w:color="auto"/>
        <w:bottom w:val="none" w:sz="0" w:space="0" w:color="auto"/>
        <w:right w:val="none" w:sz="0" w:space="0" w:color="auto"/>
      </w:divBdr>
    </w:div>
    <w:div w:id="642540603">
      <w:marLeft w:val="0"/>
      <w:marRight w:val="0"/>
      <w:marTop w:val="0"/>
      <w:marBottom w:val="0"/>
      <w:divBdr>
        <w:top w:val="none" w:sz="0" w:space="0" w:color="auto"/>
        <w:left w:val="none" w:sz="0" w:space="0" w:color="auto"/>
        <w:bottom w:val="none" w:sz="0" w:space="0" w:color="auto"/>
        <w:right w:val="none" w:sz="0" w:space="0" w:color="auto"/>
      </w:divBdr>
      <w:divsChild>
        <w:div w:id="1783186124">
          <w:marLeft w:val="0"/>
          <w:marRight w:val="0"/>
          <w:marTop w:val="0"/>
          <w:marBottom w:val="0"/>
          <w:divBdr>
            <w:top w:val="none" w:sz="0" w:space="0" w:color="auto"/>
            <w:left w:val="none" w:sz="0" w:space="0" w:color="auto"/>
            <w:bottom w:val="none" w:sz="0" w:space="0" w:color="auto"/>
            <w:right w:val="none" w:sz="0" w:space="0" w:color="auto"/>
          </w:divBdr>
        </w:div>
      </w:divsChild>
    </w:div>
    <w:div w:id="644772596">
      <w:marLeft w:val="0"/>
      <w:marRight w:val="0"/>
      <w:marTop w:val="0"/>
      <w:marBottom w:val="180"/>
      <w:divBdr>
        <w:top w:val="none" w:sz="0" w:space="0" w:color="auto"/>
        <w:left w:val="none" w:sz="0" w:space="0" w:color="auto"/>
        <w:bottom w:val="none" w:sz="0" w:space="0" w:color="auto"/>
        <w:right w:val="none" w:sz="0" w:space="0" w:color="auto"/>
      </w:divBdr>
    </w:div>
    <w:div w:id="647855962">
      <w:marLeft w:val="0"/>
      <w:marRight w:val="0"/>
      <w:marTop w:val="0"/>
      <w:marBottom w:val="0"/>
      <w:divBdr>
        <w:top w:val="none" w:sz="0" w:space="0" w:color="auto"/>
        <w:left w:val="none" w:sz="0" w:space="0" w:color="auto"/>
        <w:bottom w:val="none" w:sz="0" w:space="0" w:color="auto"/>
        <w:right w:val="none" w:sz="0" w:space="0" w:color="auto"/>
      </w:divBdr>
    </w:div>
    <w:div w:id="648284756">
      <w:marLeft w:val="0"/>
      <w:marRight w:val="0"/>
      <w:marTop w:val="0"/>
      <w:marBottom w:val="0"/>
      <w:divBdr>
        <w:top w:val="none" w:sz="0" w:space="0" w:color="auto"/>
        <w:left w:val="none" w:sz="0" w:space="0" w:color="auto"/>
        <w:bottom w:val="none" w:sz="0" w:space="0" w:color="auto"/>
        <w:right w:val="none" w:sz="0" w:space="0" w:color="auto"/>
      </w:divBdr>
      <w:divsChild>
        <w:div w:id="51002480">
          <w:marLeft w:val="0"/>
          <w:marRight w:val="0"/>
          <w:marTop w:val="0"/>
          <w:marBottom w:val="0"/>
          <w:divBdr>
            <w:top w:val="none" w:sz="0" w:space="0" w:color="auto"/>
            <w:left w:val="none" w:sz="0" w:space="0" w:color="auto"/>
            <w:bottom w:val="none" w:sz="0" w:space="0" w:color="auto"/>
            <w:right w:val="none" w:sz="0" w:space="0" w:color="auto"/>
          </w:divBdr>
        </w:div>
      </w:divsChild>
    </w:div>
    <w:div w:id="649024148">
      <w:marLeft w:val="0"/>
      <w:marRight w:val="0"/>
      <w:marTop w:val="0"/>
      <w:marBottom w:val="0"/>
      <w:divBdr>
        <w:top w:val="none" w:sz="0" w:space="0" w:color="auto"/>
        <w:left w:val="none" w:sz="0" w:space="0" w:color="auto"/>
        <w:bottom w:val="none" w:sz="0" w:space="0" w:color="auto"/>
        <w:right w:val="none" w:sz="0" w:space="0" w:color="auto"/>
      </w:divBdr>
    </w:div>
    <w:div w:id="652485832">
      <w:marLeft w:val="0"/>
      <w:marRight w:val="0"/>
      <w:marTop w:val="0"/>
      <w:marBottom w:val="280"/>
      <w:divBdr>
        <w:top w:val="none" w:sz="0" w:space="0" w:color="auto"/>
        <w:left w:val="none" w:sz="0" w:space="0" w:color="auto"/>
        <w:bottom w:val="none" w:sz="0" w:space="0" w:color="auto"/>
        <w:right w:val="none" w:sz="0" w:space="0" w:color="auto"/>
      </w:divBdr>
    </w:div>
    <w:div w:id="653334244">
      <w:marLeft w:val="0"/>
      <w:marRight w:val="0"/>
      <w:marTop w:val="0"/>
      <w:marBottom w:val="0"/>
      <w:divBdr>
        <w:top w:val="none" w:sz="0" w:space="0" w:color="auto"/>
        <w:left w:val="none" w:sz="0" w:space="0" w:color="auto"/>
        <w:bottom w:val="none" w:sz="0" w:space="0" w:color="auto"/>
        <w:right w:val="none" w:sz="0" w:space="0" w:color="auto"/>
      </w:divBdr>
      <w:divsChild>
        <w:div w:id="802238388">
          <w:marLeft w:val="0"/>
          <w:marRight w:val="0"/>
          <w:marTop w:val="0"/>
          <w:marBottom w:val="0"/>
          <w:divBdr>
            <w:top w:val="none" w:sz="0" w:space="0" w:color="auto"/>
            <w:left w:val="none" w:sz="0" w:space="0" w:color="auto"/>
            <w:bottom w:val="none" w:sz="0" w:space="0" w:color="auto"/>
            <w:right w:val="none" w:sz="0" w:space="0" w:color="auto"/>
          </w:divBdr>
        </w:div>
      </w:divsChild>
    </w:div>
    <w:div w:id="655307241">
      <w:marLeft w:val="0"/>
      <w:marRight w:val="0"/>
      <w:marTop w:val="0"/>
      <w:marBottom w:val="0"/>
      <w:divBdr>
        <w:top w:val="none" w:sz="0" w:space="0" w:color="auto"/>
        <w:left w:val="none" w:sz="0" w:space="0" w:color="auto"/>
        <w:bottom w:val="none" w:sz="0" w:space="0" w:color="auto"/>
        <w:right w:val="none" w:sz="0" w:space="0" w:color="auto"/>
      </w:divBdr>
      <w:divsChild>
        <w:div w:id="820853742">
          <w:marLeft w:val="0"/>
          <w:marRight w:val="0"/>
          <w:marTop w:val="0"/>
          <w:marBottom w:val="0"/>
          <w:divBdr>
            <w:top w:val="none" w:sz="0" w:space="0" w:color="auto"/>
            <w:left w:val="none" w:sz="0" w:space="0" w:color="auto"/>
            <w:bottom w:val="none" w:sz="0" w:space="0" w:color="auto"/>
            <w:right w:val="none" w:sz="0" w:space="0" w:color="auto"/>
          </w:divBdr>
        </w:div>
      </w:divsChild>
    </w:div>
    <w:div w:id="660694288">
      <w:marLeft w:val="0"/>
      <w:marRight w:val="0"/>
      <w:marTop w:val="0"/>
      <w:marBottom w:val="180"/>
      <w:divBdr>
        <w:top w:val="none" w:sz="0" w:space="0" w:color="auto"/>
        <w:left w:val="none" w:sz="0" w:space="0" w:color="auto"/>
        <w:bottom w:val="none" w:sz="0" w:space="0" w:color="auto"/>
        <w:right w:val="none" w:sz="0" w:space="0" w:color="auto"/>
      </w:divBdr>
    </w:div>
    <w:div w:id="662783997">
      <w:marLeft w:val="0"/>
      <w:marRight w:val="0"/>
      <w:marTop w:val="0"/>
      <w:marBottom w:val="0"/>
      <w:divBdr>
        <w:top w:val="none" w:sz="0" w:space="0" w:color="auto"/>
        <w:left w:val="none" w:sz="0" w:space="0" w:color="auto"/>
        <w:bottom w:val="none" w:sz="0" w:space="0" w:color="auto"/>
        <w:right w:val="none" w:sz="0" w:space="0" w:color="auto"/>
      </w:divBdr>
      <w:divsChild>
        <w:div w:id="510536308">
          <w:marLeft w:val="0"/>
          <w:marRight w:val="0"/>
          <w:marTop w:val="0"/>
          <w:marBottom w:val="0"/>
          <w:divBdr>
            <w:top w:val="none" w:sz="0" w:space="0" w:color="auto"/>
            <w:left w:val="none" w:sz="0" w:space="0" w:color="auto"/>
            <w:bottom w:val="none" w:sz="0" w:space="0" w:color="auto"/>
            <w:right w:val="none" w:sz="0" w:space="0" w:color="auto"/>
          </w:divBdr>
        </w:div>
      </w:divsChild>
    </w:div>
    <w:div w:id="665597864">
      <w:marLeft w:val="0"/>
      <w:marRight w:val="0"/>
      <w:marTop w:val="0"/>
      <w:marBottom w:val="0"/>
      <w:divBdr>
        <w:top w:val="none" w:sz="0" w:space="0" w:color="auto"/>
        <w:left w:val="none" w:sz="0" w:space="0" w:color="auto"/>
        <w:bottom w:val="none" w:sz="0" w:space="0" w:color="auto"/>
        <w:right w:val="none" w:sz="0" w:space="0" w:color="auto"/>
      </w:divBdr>
      <w:divsChild>
        <w:div w:id="164513498">
          <w:marLeft w:val="0"/>
          <w:marRight w:val="0"/>
          <w:marTop w:val="0"/>
          <w:marBottom w:val="0"/>
          <w:divBdr>
            <w:top w:val="none" w:sz="0" w:space="0" w:color="auto"/>
            <w:left w:val="none" w:sz="0" w:space="0" w:color="auto"/>
            <w:bottom w:val="none" w:sz="0" w:space="0" w:color="auto"/>
            <w:right w:val="none" w:sz="0" w:space="0" w:color="auto"/>
          </w:divBdr>
        </w:div>
      </w:divsChild>
    </w:div>
    <w:div w:id="668289065">
      <w:marLeft w:val="0"/>
      <w:marRight w:val="0"/>
      <w:marTop w:val="0"/>
      <w:marBottom w:val="0"/>
      <w:divBdr>
        <w:top w:val="none" w:sz="0" w:space="0" w:color="auto"/>
        <w:left w:val="none" w:sz="0" w:space="0" w:color="auto"/>
        <w:bottom w:val="none" w:sz="0" w:space="0" w:color="auto"/>
        <w:right w:val="none" w:sz="0" w:space="0" w:color="auto"/>
      </w:divBdr>
    </w:div>
    <w:div w:id="668561107">
      <w:marLeft w:val="0"/>
      <w:marRight w:val="0"/>
      <w:marTop w:val="0"/>
      <w:marBottom w:val="0"/>
      <w:divBdr>
        <w:top w:val="none" w:sz="0" w:space="0" w:color="auto"/>
        <w:left w:val="none" w:sz="0" w:space="0" w:color="auto"/>
        <w:bottom w:val="none" w:sz="0" w:space="0" w:color="auto"/>
        <w:right w:val="none" w:sz="0" w:space="0" w:color="auto"/>
      </w:divBdr>
      <w:divsChild>
        <w:div w:id="108356693">
          <w:marLeft w:val="0"/>
          <w:marRight w:val="0"/>
          <w:marTop w:val="0"/>
          <w:marBottom w:val="0"/>
          <w:divBdr>
            <w:top w:val="none" w:sz="0" w:space="0" w:color="auto"/>
            <w:left w:val="none" w:sz="0" w:space="0" w:color="auto"/>
            <w:bottom w:val="none" w:sz="0" w:space="0" w:color="auto"/>
            <w:right w:val="none" w:sz="0" w:space="0" w:color="auto"/>
          </w:divBdr>
        </w:div>
      </w:divsChild>
    </w:div>
    <w:div w:id="673653622">
      <w:marLeft w:val="0"/>
      <w:marRight w:val="0"/>
      <w:marTop w:val="0"/>
      <w:marBottom w:val="0"/>
      <w:divBdr>
        <w:top w:val="none" w:sz="0" w:space="0" w:color="auto"/>
        <w:left w:val="none" w:sz="0" w:space="0" w:color="auto"/>
        <w:bottom w:val="none" w:sz="0" w:space="0" w:color="auto"/>
        <w:right w:val="none" w:sz="0" w:space="0" w:color="auto"/>
      </w:divBdr>
    </w:div>
    <w:div w:id="673849378">
      <w:marLeft w:val="0"/>
      <w:marRight w:val="0"/>
      <w:marTop w:val="0"/>
      <w:marBottom w:val="0"/>
      <w:divBdr>
        <w:top w:val="none" w:sz="0" w:space="0" w:color="auto"/>
        <w:left w:val="none" w:sz="0" w:space="0" w:color="auto"/>
        <w:bottom w:val="none" w:sz="0" w:space="0" w:color="auto"/>
        <w:right w:val="none" w:sz="0" w:space="0" w:color="auto"/>
      </w:divBdr>
    </w:div>
    <w:div w:id="676420354">
      <w:marLeft w:val="0"/>
      <w:marRight w:val="0"/>
      <w:marTop w:val="0"/>
      <w:marBottom w:val="0"/>
      <w:divBdr>
        <w:top w:val="none" w:sz="0" w:space="0" w:color="auto"/>
        <w:left w:val="none" w:sz="0" w:space="0" w:color="auto"/>
        <w:bottom w:val="none" w:sz="0" w:space="0" w:color="auto"/>
        <w:right w:val="none" w:sz="0" w:space="0" w:color="auto"/>
      </w:divBdr>
      <w:divsChild>
        <w:div w:id="204023825">
          <w:marLeft w:val="0"/>
          <w:marRight w:val="0"/>
          <w:marTop w:val="0"/>
          <w:marBottom w:val="0"/>
          <w:divBdr>
            <w:top w:val="none" w:sz="0" w:space="0" w:color="auto"/>
            <w:left w:val="none" w:sz="0" w:space="0" w:color="auto"/>
            <w:bottom w:val="none" w:sz="0" w:space="0" w:color="auto"/>
            <w:right w:val="none" w:sz="0" w:space="0" w:color="auto"/>
          </w:divBdr>
        </w:div>
      </w:divsChild>
    </w:div>
    <w:div w:id="682436515">
      <w:marLeft w:val="0"/>
      <w:marRight w:val="0"/>
      <w:marTop w:val="0"/>
      <w:marBottom w:val="180"/>
      <w:divBdr>
        <w:top w:val="none" w:sz="0" w:space="0" w:color="auto"/>
        <w:left w:val="none" w:sz="0" w:space="0" w:color="auto"/>
        <w:bottom w:val="none" w:sz="0" w:space="0" w:color="auto"/>
        <w:right w:val="none" w:sz="0" w:space="0" w:color="auto"/>
      </w:divBdr>
    </w:div>
    <w:div w:id="686057214">
      <w:marLeft w:val="0"/>
      <w:marRight w:val="0"/>
      <w:marTop w:val="0"/>
      <w:marBottom w:val="0"/>
      <w:divBdr>
        <w:top w:val="none" w:sz="0" w:space="0" w:color="auto"/>
        <w:left w:val="none" w:sz="0" w:space="0" w:color="auto"/>
        <w:bottom w:val="none" w:sz="0" w:space="0" w:color="auto"/>
        <w:right w:val="none" w:sz="0" w:space="0" w:color="auto"/>
      </w:divBdr>
    </w:div>
    <w:div w:id="686178653">
      <w:marLeft w:val="0"/>
      <w:marRight w:val="0"/>
      <w:marTop w:val="0"/>
      <w:marBottom w:val="0"/>
      <w:divBdr>
        <w:top w:val="none" w:sz="0" w:space="0" w:color="auto"/>
        <w:left w:val="none" w:sz="0" w:space="0" w:color="auto"/>
        <w:bottom w:val="none" w:sz="0" w:space="0" w:color="auto"/>
        <w:right w:val="none" w:sz="0" w:space="0" w:color="auto"/>
      </w:divBdr>
    </w:div>
    <w:div w:id="686252458">
      <w:marLeft w:val="0"/>
      <w:marRight w:val="0"/>
      <w:marTop w:val="0"/>
      <w:marBottom w:val="80"/>
      <w:divBdr>
        <w:top w:val="none" w:sz="0" w:space="0" w:color="auto"/>
        <w:left w:val="none" w:sz="0" w:space="0" w:color="auto"/>
        <w:bottom w:val="none" w:sz="0" w:space="0" w:color="auto"/>
        <w:right w:val="none" w:sz="0" w:space="0" w:color="auto"/>
      </w:divBdr>
    </w:div>
    <w:div w:id="687953596">
      <w:marLeft w:val="0"/>
      <w:marRight w:val="0"/>
      <w:marTop w:val="0"/>
      <w:marBottom w:val="80"/>
      <w:divBdr>
        <w:top w:val="none" w:sz="0" w:space="0" w:color="auto"/>
        <w:left w:val="none" w:sz="0" w:space="0" w:color="auto"/>
        <w:bottom w:val="none" w:sz="0" w:space="0" w:color="auto"/>
        <w:right w:val="none" w:sz="0" w:space="0" w:color="auto"/>
      </w:divBdr>
    </w:div>
    <w:div w:id="689254962">
      <w:marLeft w:val="0"/>
      <w:marRight w:val="0"/>
      <w:marTop w:val="0"/>
      <w:marBottom w:val="180"/>
      <w:divBdr>
        <w:top w:val="none" w:sz="0" w:space="0" w:color="auto"/>
        <w:left w:val="none" w:sz="0" w:space="0" w:color="auto"/>
        <w:bottom w:val="none" w:sz="0" w:space="0" w:color="auto"/>
        <w:right w:val="none" w:sz="0" w:space="0" w:color="auto"/>
      </w:divBdr>
    </w:div>
    <w:div w:id="707991094">
      <w:marLeft w:val="0"/>
      <w:marRight w:val="0"/>
      <w:marTop w:val="0"/>
      <w:marBottom w:val="0"/>
      <w:divBdr>
        <w:top w:val="none" w:sz="0" w:space="0" w:color="auto"/>
        <w:left w:val="none" w:sz="0" w:space="0" w:color="auto"/>
        <w:bottom w:val="none" w:sz="0" w:space="0" w:color="auto"/>
        <w:right w:val="none" w:sz="0" w:space="0" w:color="auto"/>
      </w:divBdr>
      <w:divsChild>
        <w:div w:id="939293589">
          <w:marLeft w:val="0"/>
          <w:marRight w:val="0"/>
          <w:marTop w:val="0"/>
          <w:marBottom w:val="0"/>
          <w:divBdr>
            <w:top w:val="none" w:sz="0" w:space="0" w:color="auto"/>
            <w:left w:val="none" w:sz="0" w:space="0" w:color="auto"/>
            <w:bottom w:val="none" w:sz="0" w:space="0" w:color="auto"/>
            <w:right w:val="none" w:sz="0" w:space="0" w:color="auto"/>
          </w:divBdr>
        </w:div>
      </w:divsChild>
    </w:div>
    <w:div w:id="708336419">
      <w:marLeft w:val="0"/>
      <w:marRight w:val="0"/>
      <w:marTop w:val="0"/>
      <w:marBottom w:val="0"/>
      <w:divBdr>
        <w:top w:val="none" w:sz="0" w:space="0" w:color="auto"/>
        <w:left w:val="none" w:sz="0" w:space="0" w:color="auto"/>
        <w:bottom w:val="none" w:sz="0" w:space="0" w:color="auto"/>
        <w:right w:val="none" w:sz="0" w:space="0" w:color="auto"/>
      </w:divBdr>
      <w:divsChild>
        <w:div w:id="1507591530">
          <w:marLeft w:val="0"/>
          <w:marRight w:val="0"/>
          <w:marTop w:val="0"/>
          <w:marBottom w:val="0"/>
          <w:divBdr>
            <w:top w:val="none" w:sz="0" w:space="0" w:color="auto"/>
            <w:left w:val="none" w:sz="0" w:space="0" w:color="auto"/>
            <w:bottom w:val="none" w:sz="0" w:space="0" w:color="auto"/>
            <w:right w:val="none" w:sz="0" w:space="0" w:color="auto"/>
          </w:divBdr>
        </w:div>
      </w:divsChild>
    </w:div>
    <w:div w:id="711619060">
      <w:marLeft w:val="0"/>
      <w:marRight w:val="0"/>
      <w:marTop w:val="0"/>
      <w:marBottom w:val="0"/>
      <w:divBdr>
        <w:top w:val="none" w:sz="0" w:space="0" w:color="auto"/>
        <w:left w:val="none" w:sz="0" w:space="0" w:color="auto"/>
        <w:bottom w:val="none" w:sz="0" w:space="0" w:color="auto"/>
        <w:right w:val="none" w:sz="0" w:space="0" w:color="auto"/>
      </w:divBdr>
      <w:divsChild>
        <w:div w:id="1802184164">
          <w:marLeft w:val="0"/>
          <w:marRight w:val="0"/>
          <w:marTop w:val="0"/>
          <w:marBottom w:val="0"/>
          <w:divBdr>
            <w:top w:val="none" w:sz="0" w:space="0" w:color="auto"/>
            <w:left w:val="none" w:sz="0" w:space="0" w:color="auto"/>
            <w:bottom w:val="none" w:sz="0" w:space="0" w:color="auto"/>
            <w:right w:val="none" w:sz="0" w:space="0" w:color="auto"/>
          </w:divBdr>
        </w:div>
      </w:divsChild>
    </w:div>
    <w:div w:id="716048700">
      <w:marLeft w:val="0"/>
      <w:marRight w:val="0"/>
      <w:marTop w:val="0"/>
      <w:marBottom w:val="0"/>
      <w:divBdr>
        <w:top w:val="none" w:sz="0" w:space="0" w:color="auto"/>
        <w:left w:val="none" w:sz="0" w:space="0" w:color="auto"/>
        <w:bottom w:val="none" w:sz="0" w:space="0" w:color="auto"/>
        <w:right w:val="none" w:sz="0" w:space="0" w:color="auto"/>
      </w:divBdr>
    </w:div>
    <w:div w:id="716586984">
      <w:marLeft w:val="0"/>
      <w:marRight w:val="0"/>
      <w:marTop w:val="0"/>
      <w:marBottom w:val="0"/>
      <w:divBdr>
        <w:top w:val="none" w:sz="0" w:space="0" w:color="auto"/>
        <w:left w:val="none" w:sz="0" w:space="0" w:color="auto"/>
        <w:bottom w:val="none" w:sz="0" w:space="0" w:color="auto"/>
        <w:right w:val="none" w:sz="0" w:space="0" w:color="auto"/>
      </w:divBdr>
    </w:div>
    <w:div w:id="732970789">
      <w:marLeft w:val="0"/>
      <w:marRight w:val="0"/>
      <w:marTop w:val="0"/>
      <w:marBottom w:val="0"/>
      <w:divBdr>
        <w:top w:val="none" w:sz="0" w:space="0" w:color="auto"/>
        <w:left w:val="none" w:sz="0" w:space="0" w:color="auto"/>
        <w:bottom w:val="none" w:sz="0" w:space="0" w:color="auto"/>
        <w:right w:val="none" w:sz="0" w:space="0" w:color="auto"/>
      </w:divBdr>
      <w:divsChild>
        <w:div w:id="1437096544">
          <w:marLeft w:val="0"/>
          <w:marRight w:val="0"/>
          <w:marTop w:val="0"/>
          <w:marBottom w:val="0"/>
          <w:divBdr>
            <w:top w:val="none" w:sz="0" w:space="0" w:color="auto"/>
            <w:left w:val="none" w:sz="0" w:space="0" w:color="auto"/>
            <w:bottom w:val="none" w:sz="0" w:space="0" w:color="auto"/>
            <w:right w:val="none" w:sz="0" w:space="0" w:color="auto"/>
          </w:divBdr>
        </w:div>
      </w:divsChild>
    </w:div>
    <w:div w:id="736905338">
      <w:marLeft w:val="0"/>
      <w:marRight w:val="0"/>
      <w:marTop w:val="0"/>
      <w:marBottom w:val="0"/>
      <w:divBdr>
        <w:top w:val="none" w:sz="0" w:space="0" w:color="auto"/>
        <w:left w:val="none" w:sz="0" w:space="0" w:color="auto"/>
        <w:bottom w:val="none" w:sz="0" w:space="0" w:color="auto"/>
        <w:right w:val="none" w:sz="0" w:space="0" w:color="auto"/>
      </w:divBdr>
    </w:div>
    <w:div w:id="737746550">
      <w:marLeft w:val="0"/>
      <w:marRight w:val="0"/>
      <w:marTop w:val="0"/>
      <w:marBottom w:val="0"/>
      <w:divBdr>
        <w:top w:val="none" w:sz="0" w:space="0" w:color="auto"/>
        <w:left w:val="none" w:sz="0" w:space="0" w:color="auto"/>
        <w:bottom w:val="none" w:sz="0" w:space="0" w:color="auto"/>
        <w:right w:val="none" w:sz="0" w:space="0" w:color="auto"/>
      </w:divBdr>
      <w:divsChild>
        <w:div w:id="290134029">
          <w:marLeft w:val="0"/>
          <w:marRight w:val="0"/>
          <w:marTop w:val="0"/>
          <w:marBottom w:val="0"/>
          <w:divBdr>
            <w:top w:val="none" w:sz="0" w:space="0" w:color="auto"/>
            <w:left w:val="none" w:sz="0" w:space="0" w:color="auto"/>
            <w:bottom w:val="none" w:sz="0" w:space="0" w:color="auto"/>
            <w:right w:val="none" w:sz="0" w:space="0" w:color="auto"/>
          </w:divBdr>
        </w:div>
      </w:divsChild>
    </w:div>
    <w:div w:id="738988830">
      <w:marLeft w:val="0"/>
      <w:marRight w:val="0"/>
      <w:marTop w:val="0"/>
      <w:marBottom w:val="180"/>
      <w:divBdr>
        <w:top w:val="none" w:sz="0" w:space="0" w:color="auto"/>
        <w:left w:val="none" w:sz="0" w:space="0" w:color="auto"/>
        <w:bottom w:val="none" w:sz="0" w:space="0" w:color="auto"/>
        <w:right w:val="none" w:sz="0" w:space="0" w:color="auto"/>
      </w:divBdr>
    </w:div>
    <w:div w:id="742608574">
      <w:marLeft w:val="0"/>
      <w:marRight w:val="0"/>
      <w:marTop w:val="0"/>
      <w:marBottom w:val="0"/>
      <w:divBdr>
        <w:top w:val="none" w:sz="0" w:space="0" w:color="auto"/>
        <w:left w:val="none" w:sz="0" w:space="0" w:color="auto"/>
        <w:bottom w:val="none" w:sz="0" w:space="0" w:color="auto"/>
        <w:right w:val="none" w:sz="0" w:space="0" w:color="auto"/>
      </w:divBdr>
      <w:divsChild>
        <w:div w:id="780685188">
          <w:marLeft w:val="0"/>
          <w:marRight w:val="0"/>
          <w:marTop w:val="0"/>
          <w:marBottom w:val="0"/>
          <w:divBdr>
            <w:top w:val="none" w:sz="0" w:space="0" w:color="auto"/>
            <w:left w:val="none" w:sz="0" w:space="0" w:color="auto"/>
            <w:bottom w:val="none" w:sz="0" w:space="0" w:color="auto"/>
            <w:right w:val="none" w:sz="0" w:space="0" w:color="auto"/>
          </w:divBdr>
        </w:div>
      </w:divsChild>
    </w:div>
    <w:div w:id="751512650">
      <w:marLeft w:val="0"/>
      <w:marRight w:val="0"/>
      <w:marTop w:val="0"/>
      <w:marBottom w:val="0"/>
      <w:divBdr>
        <w:top w:val="none" w:sz="0" w:space="0" w:color="auto"/>
        <w:left w:val="none" w:sz="0" w:space="0" w:color="auto"/>
        <w:bottom w:val="none" w:sz="0" w:space="0" w:color="auto"/>
        <w:right w:val="none" w:sz="0" w:space="0" w:color="auto"/>
      </w:divBdr>
    </w:div>
    <w:div w:id="758674593">
      <w:marLeft w:val="0"/>
      <w:marRight w:val="0"/>
      <w:marTop w:val="0"/>
      <w:marBottom w:val="180"/>
      <w:divBdr>
        <w:top w:val="none" w:sz="0" w:space="0" w:color="auto"/>
        <w:left w:val="none" w:sz="0" w:space="0" w:color="auto"/>
        <w:bottom w:val="none" w:sz="0" w:space="0" w:color="auto"/>
        <w:right w:val="none" w:sz="0" w:space="0" w:color="auto"/>
      </w:divBdr>
    </w:div>
    <w:div w:id="761686680">
      <w:marLeft w:val="0"/>
      <w:marRight w:val="0"/>
      <w:marTop w:val="0"/>
      <w:marBottom w:val="0"/>
      <w:divBdr>
        <w:top w:val="none" w:sz="0" w:space="0" w:color="auto"/>
        <w:left w:val="none" w:sz="0" w:space="0" w:color="auto"/>
        <w:bottom w:val="none" w:sz="0" w:space="0" w:color="auto"/>
        <w:right w:val="none" w:sz="0" w:space="0" w:color="auto"/>
      </w:divBdr>
      <w:divsChild>
        <w:div w:id="890070278">
          <w:marLeft w:val="0"/>
          <w:marRight w:val="0"/>
          <w:marTop w:val="0"/>
          <w:marBottom w:val="0"/>
          <w:divBdr>
            <w:top w:val="none" w:sz="0" w:space="0" w:color="auto"/>
            <w:left w:val="none" w:sz="0" w:space="0" w:color="auto"/>
            <w:bottom w:val="none" w:sz="0" w:space="0" w:color="auto"/>
            <w:right w:val="none" w:sz="0" w:space="0" w:color="auto"/>
          </w:divBdr>
        </w:div>
      </w:divsChild>
    </w:div>
    <w:div w:id="765536700">
      <w:marLeft w:val="0"/>
      <w:marRight w:val="0"/>
      <w:marTop w:val="0"/>
      <w:marBottom w:val="0"/>
      <w:divBdr>
        <w:top w:val="none" w:sz="0" w:space="0" w:color="auto"/>
        <w:left w:val="none" w:sz="0" w:space="0" w:color="auto"/>
        <w:bottom w:val="none" w:sz="0" w:space="0" w:color="auto"/>
        <w:right w:val="none" w:sz="0" w:space="0" w:color="auto"/>
      </w:divBdr>
      <w:divsChild>
        <w:div w:id="773521663">
          <w:marLeft w:val="0"/>
          <w:marRight w:val="0"/>
          <w:marTop w:val="0"/>
          <w:marBottom w:val="0"/>
          <w:divBdr>
            <w:top w:val="none" w:sz="0" w:space="0" w:color="auto"/>
            <w:left w:val="none" w:sz="0" w:space="0" w:color="auto"/>
            <w:bottom w:val="none" w:sz="0" w:space="0" w:color="auto"/>
            <w:right w:val="none" w:sz="0" w:space="0" w:color="auto"/>
          </w:divBdr>
        </w:div>
      </w:divsChild>
    </w:div>
    <w:div w:id="771318993">
      <w:marLeft w:val="0"/>
      <w:marRight w:val="0"/>
      <w:marTop w:val="0"/>
      <w:marBottom w:val="0"/>
      <w:divBdr>
        <w:top w:val="none" w:sz="0" w:space="0" w:color="auto"/>
        <w:left w:val="none" w:sz="0" w:space="0" w:color="auto"/>
        <w:bottom w:val="none" w:sz="0" w:space="0" w:color="auto"/>
        <w:right w:val="none" w:sz="0" w:space="0" w:color="auto"/>
      </w:divBdr>
      <w:divsChild>
        <w:div w:id="2047100344">
          <w:marLeft w:val="0"/>
          <w:marRight w:val="0"/>
          <w:marTop w:val="0"/>
          <w:marBottom w:val="0"/>
          <w:divBdr>
            <w:top w:val="none" w:sz="0" w:space="0" w:color="auto"/>
            <w:left w:val="none" w:sz="0" w:space="0" w:color="auto"/>
            <w:bottom w:val="none" w:sz="0" w:space="0" w:color="auto"/>
            <w:right w:val="none" w:sz="0" w:space="0" w:color="auto"/>
          </w:divBdr>
        </w:div>
      </w:divsChild>
    </w:div>
    <w:div w:id="772896415">
      <w:marLeft w:val="0"/>
      <w:marRight w:val="0"/>
      <w:marTop w:val="0"/>
      <w:marBottom w:val="180"/>
      <w:divBdr>
        <w:top w:val="none" w:sz="0" w:space="0" w:color="auto"/>
        <w:left w:val="none" w:sz="0" w:space="0" w:color="auto"/>
        <w:bottom w:val="none" w:sz="0" w:space="0" w:color="auto"/>
        <w:right w:val="none" w:sz="0" w:space="0" w:color="auto"/>
      </w:divBdr>
    </w:div>
    <w:div w:id="773788743">
      <w:marLeft w:val="0"/>
      <w:marRight w:val="0"/>
      <w:marTop w:val="0"/>
      <w:marBottom w:val="0"/>
      <w:divBdr>
        <w:top w:val="none" w:sz="0" w:space="0" w:color="auto"/>
        <w:left w:val="none" w:sz="0" w:space="0" w:color="auto"/>
        <w:bottom w:val="none" w:sz="0" w:space="0" w:color="auto"/>
        <w:right w:val="none" w:sz="0" w:space="0" w:color="auto"/>
      </w:divBdr>
    </w:div>
    <w:div w:id="774978630">
      <w:marLeft w:val="0"/>
      <w:marRight w:val="0"/>
      <w:marTop w:val="0"/>
      <w:marBottom w:val="0"/>
      <w:divBdr>
        <w:top w:val="none" w:sz="0" w:space="0" w:color="auto"/>
        <w:left w:val="none" w:sz="0" w:space="0" w:color="auto"/>
        <w:bottom w:val="none" w:sz="0" w:space="0" w:color="auto"/>
        <w:right w:val="none" w:sz="0" w:space="0" w:color="auto"/>
      </w:divBdr>
    </w:div>
    <w:div w:id="776632516">
      <w:marLeft w:val="0"/>
      <w:marRight w:val="0"/>
      <w:marTop w:val="0"/>
      <w:marBottom w:val="180"/>
      <w:divBdr>
        <w:top w:val="none" w:sz="0" w:space="0" w:color="auto"/>
        <w:left w:val="none" w:sz="0" w:space="0" w:color="auto"/>
        <w:bottom w:val="none" w:sz="0" w:space="0" w:color="auto"/>
        <w:right w:val="none" w:sz="0" w:space="0" w:color="auto"/>
      </w:divBdr>
    </w:div>
    <w:div w:id="779495803">
      <w:marLeft w:val="0"/>
      <w:marRight w:val="0"/>
      <w:marTop w:val="0"/>
      <w:marBottom w:val="0"/>
      <w:divBdr>
        <w:top w:val="none" w:sz="0" w:space="0" w:color="auto"/>
        <w:left w:val="none" w:sz="0" w:space="0" w:color="auto"/>
        <w:bottom w:val="none" w:sz="0" w:space="0" w:color="auto"/>
        <w:right w:val="none" w:sz="0" w:space="0" w:color="auto"/>
      </w:divBdr>
      <w:divsChild>
        <w:div w:id="93016948">
          <w:marLeft w:val="0"/>
          <w:marRight w:val="0"/>
          <w:marTop w:val="0"/>
          <w:marBottom w:val="0"/>
          <w:divBdr>
            <w:top w:val="none" w:sz="0" w:space="0" w:color="auto"/>
            <w:left w:val="none" w:sz="0" w:space="0" w:color="auto"/>
            <w:bottom w:val="none" w:sz="0" w:space="0" w:color="auto"/>
            <w:right w:val="none" w:sz="0" w:space="0" w:color="auto"/>
          </w:divBdr>
        </w:div>
      </w:divsChild>
    </w:div>
    <w:div w:id="779841113">
      <w:marLeft w:val="0"/>
      <w:marRight w:val="0"/>
      <w:marTop w:val="0"/>
      <w:marBottom w:val="0"/>
      <w:divBdr>
        <w:top w:val="none" w:sz="0" w:space="0" w:color="auto"/>
        <w:left w:val="none" w:sz="0" w:space="0" w:color="auto"/>
        <w:bottom w:val="none" w:sz="0" w:space="0" w:color="auto"/>
        <w:right w:val="none" w:sz="0" w:space="0" w:color="auto"/>
      </w:divBdr>
    </w:div>
    <w:div w:id="780959581">
      <w:marLeft w:val="0"/>
      <w:marRight w:val="0"/>
      <w:marTop w:val="0"/>
      <w:marBottom w:val="0"/>
      <w:divBdr>
        <w:top w:val="none" w:sz="0" w:space="0" w:color="auto"/>
        <w:left w:val="none" w:sz="0" w:space="0" w:color="auto"/>
        <w:bottom w:val="none" w:sz="0" w:space="0" w:color="auto"/>
        <w:right w:val="none" w:sz="0" w:space="0" w:color="auto"/>
      </w:divBdr>
      <w:divsChild>
        <w:div w:id="420031282">
          <w:marLeft w:val="0"/>
          <w:marRight w:val="0"/>
          <w:marTop w:val="0"/>
          <w:marBottom w:val="0"/>
          <w:divBdr>
            <w:top w:val="none" w:sz="0" w:space="0" w:color="auto"/>
            <w:left w:val="none" w:sz="0" w:space="0" w:color="auto"/>
            <w:bottom w:val="none" w:sz="0" w:space="0" w:color="auto"/>
            <w:right w:val="none" w:sz="0" w:space="0" w:color="auto"/>
          </w:divBdr>
        </w:div>
      </w:divsChild>
    </w:div>
    <w:div w:id="782769066">
      <w:marLeft w:val="0"/>
      <w:marRight w:val="0"/>
      <w:marTop w:val="0"/>
      <w:marBottom w:val="180"/>
      <w:divBdr>
        <w:top w:val="none" w:sz="0" w:space="0" w:color="auto"/>
        <w:left w:val="none" w:sz="0" w:space="0" w:color="auto"/>
        <w:bottom w:val="none" w:sz="0" w:space="0" w:color="auto"/>
        <w:right w:val="none" w:sz="0" w:space="0" w:color="auto"/>
      </w:divBdr>
    </w:div>
    <w:div w:id="784034935">
      <w:marLeft w:val="0"/>
      <w:marRight w:val="0"/>
      <w:marTop w:val="0"/>
      <w:marBottom w:val="80"/>
      <w:divBdr>
        <w:top w:val="none" w:sz="0" w:space="0" w:color="auto"/>
        <w:left w:val="none" w:sz="0" w:space="0" w:color="auto"/>
        <w:bottom w:val="none" w:sz="0" w:space="0" w:color="auto"/>
        <w:right w:val="none" w:sz="0" w:space="0" w:color="auto"/>
      </w:divBdr>
    </w:div>
    <w:div w:id="786392999">
      <w:marLeft w:val="0"/>
      <w:marRight w:val="0"/>
      <w:marTop w:val="0"/>
      <w:marBottom w:val="0"/>
      <w:divBdr>
        <w:top w:val="none" w:sz="0" w:space="0" w:color="auto"/>
        <w:left w:val="none" w:sz="0" w:space="0" w:color="auto"/>
        <w:bottom w:val="none" w:sz="0" w:space="0" w:color="auto"/>
        <w:right w:val="none" w:sz="0" w:space="0" w:color="auto"/>
      </w:divBdr>
    </w:div>
    <w:div w:id="797190625">
      <w:marLeft w:val="0"/>
      <w:marRight w:val="0"/>
      <w:marTop w:val="0"/>
      <w:marBottom w:val="0"/>
      <w:divBdr>
        <w:top w:val="none" w:sz="0" w:space="0" w:color="auto"/>
        <w:left w:val="none" w:sz="0" w:space="0" w:color="auto"/>
        <w:bottom w:val="none" w:sz="0" w:space="0" w:color="auto"/>
        <w:right w:val="none" w:sz="0" w:space="0" w:color="auto"/>
      </w:divBdr>
    </w:div>
    <w:div w:id="797263026">
      <w:marLeft w:val="0"/>
      <w:marRight w:val="0"/>
      <w:marTop w:val="0"/>
      <w:marBottom w:val="280"/>
      <w:divBdr>
        <w:top w:val="none" w:sz="0" w:space="0" w:color="auto"/>
        <w:left w:val="none" w:sz="0" w:space="0" w:color="auto"/>
        <w:bottom w:val="none" w:sz="0" w:space="0" w:color="auto"/>
        <w:right w:val="none" w:sz="0" w:space="0" w:color="auto"/>
      </w:divBdr>
    </w:div>
    <w:div w:id="797529122">
      <w:marLeft w:val="0"/>
      <w:marRight w:val="0"/>
      <w:marTop w:val="0"/>
      <w:marBottom w:val="0"/>
      <w:divBdr>
        <w:top w:val="none" w:sz="0" w:space="0" w:color="auto"/>
        <w:left w:val="none" w:sz="0" w:space="0" w:color="auto"/>
        <w:bottom w:val="none" w:sz="0" w:space="0" w:color="auto"/>
        <w:right w:val="none" w:sz="0" w:space="0" w:color="auto"/>
      </w:divBdr>
      <w:divsChild>
        <w:div w:id="19480225">
          <w:marLeft w:val="0"/>
          <w:marRight w:val="0"/>
          <w:marTop w:val="0"/>
          <w:marBottom w:val="0"/>
          <w:divBdr>
            <w:top w:val="none" w:sz="0" w:space="0" w:color="auto"/>
            <w:left w:val="none" w:sz="0" w:space="0" w:color="auto"/>
            <w:bottom w:val="none" w:sz="0" w:space="0" w:color="auto"/>
            <w:right w:val="none" w:sz="0" w:space="0" w:color="auto"/>
          </w:divBdr>
        </w:div>
      </w:divsChild>
    </w:div>
    <w:div w:id="800461932">
      <w:marLeft w:val="0"/>
      <w:marRight w:val="0"/>
      <w:marTop w:val="0"/>
      <w:marBottom w:val="0"/>
      <w:divBdr>
        <w:top w:val="none" w:sz="0" w:space="0" w:color="auto"/>
        <w:left w:val="none" w:sz="0" w:space="0" w:color="auto"/>
        <w:bottom w:val="none" w:sz="0" w:space="0" w:color="auto"/>
        <w:right w:val="none" w:sz="0" w:space="0" w:color="auto"/>
      </w:divBdr>
    </w:div>
    <w:div w:id="804008270">
      <w:marLeft w:val="0"/>
      <w:marRight w:val="0"/>
      <w:marTop w:val="0"/>
      <w:marBottom w:val="0"/>
      <w:divBdr>
        <w:top w:val="none" w:sz="0" w:space="0" w:color="auto"/>
        <w:left w:val="none" w:sz="0" w:space="0" w:color="auto"/>
        <w:bottom w:val="none" w:sz="0" w:space="0" w:color="auto"/>
        <w:right w:val="none" w:sz="0" w:space="0" w:color="auto"/>
      </w:divBdr>
      <w:divsChild>
        <w:div w:id="1582444765">
          <w:marLeft w:val="0"/>
          <w:marRight w:val="0"/>
          <w:marTop w:val="0"/>
          <w:marBottom w:val="0"/>
          <w:divBdr>
            <w:top w:val="none" w:sz="0" w:space="0" w:color="auto"/>
            <w:left w:val="none" w:sz="0" w:space="0" w:color="auto"/>
            <w:bottom w:val="none" w:sz="0" w:space="0" w:color="auto"/>
            <w:right w:val="none" w:sz="0" w:space="0" w:color="auto"/>
          </w:divBdr>
        </w:div>
      </w:divsChild>
    </w:div>
    <w:div w:id="809708152">
      <w:marLeft w:val="0"/>
      <w:marRight w:val="0"/>
      <w:marTop w:val="0"/>
      <w:marBottom w:val="240"/>
      <w:divBdr>
        <w:top w:val="none" w:sz="0" w:space="0" w:color="auto"/>
        <w:left w:val="none" w:sz="0" w:space="0" w:color="auto"/>
        <w:bottom w:val="none" w:sz="0" w:space="0" w:color="auto"/>
        <w:right w:val="none" w:sz="0" w:space="0" w:color="auto"/>
      </w:divBdr>
    </w:div>
    <w:div w:id="812137654">
      <w:marLeft w:val="0"/>
      <w:marRight w:val="0"/>
      <w:marTop w:val="0"/>
      <w:marBottom w:val="0"/>
      <w:divBdr>
        <w:top w:val="none" w:sz="0" w:space="0" w:color="auto"/>
        <w:left w:val="none" w:sz="0" w:space="0" w:color="auto"/>
        <w:bottom w:val="none" w:sz="0" w:space="0" w:color="auto"/>
        <w:right w:val="none" w:sz="0" w:space="0" w:color="auto"/>
      </w:divBdr>
      <w:divsChild>
        <w:div w:id="200047612">
          <w:marLeft w:val="0"/>
          <w:marRight w:val="0"/>
          <w:marTop w:val="0"/>
          <w:marBottom w:val="0"/>
          <w:divBdr>
            <w:top w:val="none" w:sz="0" w:space="0" w:color="auto"/>
            <w:left w:val="none" w:sz="0" w:space="0" w:color="auto"/>
            <w:bottom w:val="none" w:sz="0" w:space="0" w:color="auto"/>
            <w:right w:val="none" w:sz="0" w:space="0" w:color="auto"/>
          </w:divBdr>
        </w:div>
      </w:divsChild>
    </w:div>
    <w:div w:id="822504393">
      <w:marLeft w:val="0"/>
      <w:marRight w:val="0"/>
      <w:marTop w:val="0"/>
      <w:marBottom w:val="0"/>
      <w:divBdr>
        <w:top w:val="none" w:sz="0" w:space="0" w:color="auto"/>
        <w:left w:val="none" w:sz="0" w:space="0" w:color="auto"/>
        <w:bottom w:val="none" w:sz="0" w:space="0" w:color="auto"/>
        <w:right w:val="none" w:sz="0" w:space="0" w:color="auto"/>
      </w:divBdr>
      <w:divsChild>
        <w:div w:id="1533495616">
          <w:marLeft w:val="0"/>
          <w:marRight w:val="0"/>
          <w:marTop w:val="0"/>
          <w:marBottom w:val="0"/>
          <w:divBdr>
            <w:top w:val="none" w:sz="0" w:space="0" w:color="auto"/>
            <w:left w:val="none" w:sz="0" w:space="0" w:color="auto"/>
            <w:bottom w:val="none" w:sz="0" w:space="0" w:color="auto"/>
            <w:right w:val="none" w:sz="0" w:space="0" w:color="auto"/>
          </w:divBdr>
        </w:div>
      </w:divsChild>
    </w:div>
    <w:div w:id="824854465">
      <w:marLeft w:val="0"/>
      <w:marRight w:val="0"/>
      <w:marTop w:val="0"/>
      <w:marBottom w:val="0"/>
      <w:divBdr>
        <w:top w:val="none" w:sz="0" w:space="0" w:color="auto"/>
        <w:left w:val="none" w:sz="0" w:space="0" w:color="auto"/>
        <w:bottom w:val="none" w:sz="0" w:space="0" w:color="auto"/>
        <w:right w:val="none" w:sz="0" w:space="0" w:color="auto"/>
      </w:divBdr>
      <w:divsChild>
        <w:div w:id="370151940">
          <w:marLeft w:val="0"/>
          <w:marRight w:val="0"/>
          <w:marTop w:val="0"/>
          <w:marBottom w:val="0"/>
          <w:divBdr>
            <w:top w:val="none" w:sz="0" w:space="0" w:color="auto"/>
            <w:left w:val="none" w:sz="0" w:space="0" w:color="auto"/>
            <w:bottom w:val="none" w:sz="0" w:space="0" w:color="auto"/>
            <w:right w:val="none" w:sz="0" w:space="0" w:color="auto"/>
          </w:divBdr>
        </w:div>
      </w:divsChild>
    </w:div>
    <w:div w:id="829905203">
      <w:marLeft w:val="0"/>
      <w:marRight w:val="0"/>
      <w:marTop w:val="0"/>
      <w:marBottom w:val="0"/>
      <w:divBdr>
        <w:top w:val="none" w:sz="0" w:space="0" w:color="auto"/>
        <w:left w:val="none" w:sz="0" w:space="0" w:color="auto"/>
        <w:bottom w:val="none" w:sz="0" w:space="0" w:color="auto"/>
        <w:right w:val="none" w:sz="0" w:space="0" w:color="auto"/>
      </w:divBdr>
      <w:divsChild>
        <w:div w:id="1431513826">
          <w:marLeft w:val="0"/>
          <w:marRight w:val="0"/>
          <w:marTop w:val="0"/>
          <w:marBottom w:val="0"/>
          <w:divBdr>
            <w:top w:val="none" w:sz="0" w:space="0" w:color="auto"/>
            <w:left w:val="none" w:sz="0" w:space="0" w:color="auto"/>
            <w:bottom w:val="none" w:sz="0" w:space="0" w:color="auto"/>
            <w:right w:val="none" w:sz="0" w:space="0" w:color="auto"/>
          </w:divBdr>
        </w:div>
      </w:divsChild>
    </w:div>
    <w:div w:id="831406684">
      <w:marLeft w:val="0"/>
      <w:marRight w:val="0"/>
      <w:marTop w:val="0"/>
      <w:marBottom w:val="0"/>
      <w:divBdr>
        <w:top w:val="none" w:sz="0" w:space="0" w:color="auto"/>
        <w:left w:val="none" w:sz="0" w:space="0" w:color="auto"/>
        <w:bottom w:val="none" w:sz="0" w:space="0" w:color="auto"/>
        <w:right w:val="none" w:sz="0" w:space="0" w:color="auto"/>
      </w:divBdr>
    </w:div>
    <w:div w:id="831749819">
      <w:marLeft w:val="0"/>
      <w:marRight w:val="0"/>
      <w:marTop w:val="0"/>
      <w:marBottom w:val="0"/>
      <w:divBdr>
        <w:top w:val="none" w:sz="0" w:space="0" w:color="auto"/>
        <w:left w:val="none" w:sz="0" w:space="0" w:color="auto"/>
        <w:bottom w:val="none" w:sz="0" w:space="0" w:color="auto"/>
        <w:right w:val="none" w:sz="0" w:space="0" w:color="auto"/>
      </w:divBdr>
    </w:div>
    <w:div w:id="832723228">
      <w:marLeft w:val="0"/>
      <w:marRight w:val="0"/>
      <w:marTop w:val="0"/>
      <w:marBottom w:val="0"/>
      <w:divBdr>
        <w:top w:val="none" w:sz="0" w:space="0" w:color="auto"/>
        <w:left w:val="none" w:sz="0" w:space="0" w:color="auto"/>
        <w:bottom w:val="none" w:sz="0" w:space="0" w:color="auto"/>
        <w:right w:val="none" w:sz="0" w:space="0" w:color="auto"/>
      </w:divBdr>
    </w:div>
    <w:div w:id="833763102">
      <w:marLeft w:val="0"/>
      <w:marRight w:val="0"/>
      <w:marTop w:val="0"/>
      <w:marBottom w:val="0"/>
      <w:divBdr>
        <w:top w:val="none" w:sz="0" w:space="0" w:color="auto"/>
        <w:left w:val="none" w:sz="0" w:space="0" w:color="auto"/>
        <w:bottom w:val="none" w:sz="0" w:space="0" w:color="auto"/>
        <w:right w:val="none" w:sz="0" w:space="0" w:color="auto"/>
      </w:divBdr>
      <w:divsChild>
        <w:div w:id="485128168">
          <w:marLeft w:val="0"/>
          <w:marRight w:val="0"/>
          <w:marTop w:val="0"/>
          <w:marBottom w:val="0"/>
          <w:divBdr>
            <w:top w:val="none" w:sz="0" w:space="0" w:color="auto"/>
            <w:left w:val="none" w:sz="0" w:space="0" w:color="auto"/>
            <w:bottom w:val="none" w:sz="0" w:space="0" w:color="auto"/>
            <w:right w:val="none" w:sz="0" w:space="0" w:color="auto"/>
          </w:divBdr>
        </w:div>
      </w:divsChild>
    </w:div>
    <w:div w:id="842234538">
      <w:marLeft w:val="0"/>
      <w:marRight w:val="0"/>
      <w:marTop w:val="0"/>
      <w:marBottom w:val="0"/>
      <w:divBdr>
        <w:top w:val="none" w:sz="0" w:space="0" w:color="auto"/>
        <w:left w:val="none" w:sz="0" w:space="0" w:color="auto"/>
        <w:bottom w:val="none" w:sz="0" w:space="0" w:color="auto"/>
        <w:right w:val="none" w:sz="0" w:space="0" w:color="auto"/>
      </w:divBdr>
    </w:div>
    <w:div w:id="842937605">
      <w:marLeft w:val="0"/>
      <w:marRight w:val="0"/>
      <w:marTop w:val="0"/>
      <w:marBottom w:val="0"/>
      <w:divBdr>
        <w:top w:val="none" w:sz="0" w:space="0" w:color="auto"/>
        <w:left w:val="none" w:sz="0" w:space="0" w:color="auto"/>
        <w:bottom w:val="none" w:sz="0" w:space="0" w:color="auto"/>
        <w:right w:val="none" w:sz="0" w:space="0" w:color="auto"/>
      </w:divBdr>
    </w:div>
    <w:div w:id="851460099">
      <w:marLeft w:val="0"/>
      <w:marRight w:val="0"/>
      <w:marTop w:val="0"/>
      <w:marBottom w:val="0"/>
      <w:divBdr>
        <w:top w:val="none" w:sz="0" w:space="0" w:color="auto"/>
        <w:left w:val="none" w:sz="0" w:space="0" w:color="auto"/>
        <w:bottom w:val="none" w:sz="0" w:space="0" w:color="auto"/>
        <w:right w:val="none" w:sz="0" w:space="0" w:color="auto"/>
      </w:divBdr>
      <w:divsChild>
        <w:div w:id="1653833208">
          <w:marLeft w:val="0"/>
          <w:marRight w:val="0"/>
          <w:marTop w:val="0"/>
          <w:marBottom w:val="0"/>
          <w:divBdr>
            <w:top w:val="none" w:sz="0" w:space="0" w:color="auto"/>
            <w:left w:val="none" w:sz="0" w:space="0" w:color="auto"/>
            <w:bottom w:val="none" w:sz="0" w:space="0" w:color="auto"/>
            <w:right w:val="none" w:sz="0" w:space="0" w:color="auto"/>
          </w:divBdr>
        </w:div>
      </w:divsChild>
    </w:div>
    <w:div w:id="853610308">
      <w:marLeft w:val="0"/>
      <w:marRight w:val="0"/>
      <w:marTop w:val="100"/>
      <w:marBottom w:val="300"/>
      <w:divBdr>
        <w:top w:val="none" w:sz="0" w:space="0" w:color="auto"/>
        <w:left w:val="none" w:sz="0" w:space="0" w:color="auto"/>
        <w:bottom w:val="none" w:sz="0" w:space="0" w:color="auto"/>
        <w:right w:val="none" w:sz="0" w:space="0" w:color="auto"/>
      </w:divBdr>
    </w:div>
    <w:div w:id="859856815">
      <w:marLeft w:val="0"/>
      <w:marRight w:val="0"/>
      <w:marTop w:val="100"/>
      <w:marBottom w:val="0"/>
      <w:divBdr>
        <w:top w:val="none" w:sz="0" w:space="0" w:color="auto"/>
        <w:left w:val="none" w:sz="0" w:space="0" w:color="auto"/>
        <w:bottom w:val="none" w:sz="0" w:space="0" w:color="auto"/>
        <w:right w:val="none" w:sz="0" w:space="0" w:color="auto"/>
      </w:divBdr>
      <w:divsChild>
        <w:div w:id="149638914">
          <w:marLeft w:val="0"/>
          <w:marRight w:val="0"/>
          <w:marTop w:val="0"/>
          <w:marBottom w:val="0"/>
          <w:divBdr>
            <w:top w:val="none" w:sz="0" w:space="0" w:color="auto"/>
            <w:left w:val="none" w:sz="0" w:space="0" w:color="auto"/>
            <w:bottom w:val="none" w:sz="0" w:space="0" w:color="auto"/>
            <w:right w:val="none" w:sz="0" w:space="0" w:color="auto"/>
          </w:divBdr>
        </w:div>
      </w:divsChild>
    </w:div>
    <w:div w:id="859971069">
      <w:marLeft w:val="0"/>
      <w:marRight w:val="0"/>
      <w:marTop w:val="0"/>
      <w:marBottom w:val="0"/>
      <w:divBdr>
        <w:top w:val="none" w:sz="0" w:space="0" w:color="auto"/>
        <w:left w:val="none" w:sz="0" w:space="0" w:color="auto"/>
        <w:bottom w:val="none" w:sz="0" w:space="0" w:color="auto"/>
        <w:right w:val="none" w:sz="0" w:space="0" w:color="auto"/>
      </w:divBdr>
    </w:div>
    <w:div w:id="860900085">
      <w:marLeft w:val="0"/>
      <w:marRight w:val="0"/>
      <w:marTop w:val="0"/>
      <w:marBottom w:val="0"/>
      <w:divBdr>
        <w:top w:val="none" w:sz="0" w:space="0" w:color="auto"/>
        <w:left w:val="none" w:sz="0" w:space="0" w:color="auto"/>
        <w:bottom w:val="none" w:sz="0" w:space="0" w:color="auto"/>
        <w:right w:val="none" w:sz="0" w:space="0" w:color="auto"/>
      </w:divBdr>
      <w:divsChild>
        <w:div w:id="1459033945">
          <w:marLeft w:val="0"/>
          <w:marRight w:val="0"/>
          <w:marTop w:val="0"/>
          <w:marBottom w:val="0"/>
          <w:divBdr>
            <w:top w:val="none" w:sz="0" w:space="0" w:color="auto"/>
            <w:left w:val="none" w:sz="0" w:space="0" w:color="auto"/>
            <w:bottom w:val="none" w:sz="0" w:space="0" w:color="auto"/>
            <w:right w:val="none" w:sz="0" w:space="0" w:color="auto"/>
          </w:divBdr>
        </w:div>
      </w:divsChild>
    </w:div>
    <w:div w:id="864555970">
      <w:marLeft w:val="0"/>
      <w:marRight w:val="0"/>
      <w:marTop w:val="0"/>
      <w:marBottom w:val="180"/>
      <w:divBdr>
        <w:top w:val="none" w:sz="0" w:space="0" w:color="auto"/>
        <w:left w:val="none" w:sz="0" w:space="0" w:color="auto"/>
        <w:bottom w:val="none" w:sz="0" w:space="0" w:color="auto"/>
        <w:right w:val="none" w:sz="0" w:space="0" w:color="auto"/>
      </w:divBdr>
    </w:div>
    <w:div w:id="865093973">
      <w:marLeft w:val="0"/>
      <w:marRight w:val="0"/>
      <w:marTop w:val="0"/>
      <w:marBottom w:val="0"/>
      <w:divBdr>
        <w:top w:val="none" w:sz="0" w:space="0" w:color="auto"/>
        <w:left w:val="none" w:sz="0" w:space="0" w:color="auto"/>
        <w:bottom w:val="none" w:sz="0" w:space="0" w:color="auto"/>
        <w:right w:val="none" w:sz="0" w:space="0" w:color="auto"/>
      </w:divBdr>
    </w:div>
    <w:div w:id="865868263">
      <w:marLeft w:val="0"/>
      <w:marRight w:val="0"/>
      <w:marTop w:val="0"/>
      <w:marBottom w:val="0"/>
      <w:divBdr>
        <w:top w:val="none" w:sz="0" w:space="0" w:color="auto"/>
        <w:left w:val="none" w:sz="0" w:space="0" w:color="auto"/>
        <w:bottom w:val="none" w:sz="0" w:space="0" w:color="auto"/>
        <w:right w:val="none" w:sz="0" w:space="0" w:color="auto"/>
      </w:divBdr>
    </w:div>
    <w:div w:id="869759756">
      <w:marLeft w:val="0"/>
      <w:marRight w:val="0"/>
      <w:marTop w:val="0"/>
      <w:marBottom w:val="0"/>
      <w:divBdr>
        <w:top w:val="none" w:sz="0" w:space="0" w:color="auto"/>
        <w:left w:val="none" w:sz="0" w:space="0" w:color="auto"/>
        <w:bottom w:val="none" w:sz="0" w:space="0" w:color="auto"/>
        <w:right w:val="none" w:sz="0" w:space="0" w:color="auto"/>
      </w:divBdr>
    </w:div>
    <w:div w:id="874730838">
      <w:marLeft w:val="0"/>
      <w:marRight w:val="0"/>
      <w:marTop w:val="100"/>
      <w:marBottom w:val="100"/>
      <w:divBdr>
        <w:top w:val="none" w:sz="0" w:space="0" w:color="auto"/>
        <w:left w:val="none" w:sz="0" w:space="0" w:color="auto"/>
        <w:bottom w:val="none" w:sz="0" w:space="0" w:color="auto"/>
        <w:right w:val="none" w:sz="0" w:space="0" w:color="auto"/>
      </w:divBdr>
    </w:div>
    <w:div w:id="883521393">
      <w:marLeft w:val="0"/>
      <w:marRight w:val="0"/>
      <w:marTop w:val="0"/>
      <w:marBottom w:val="0"/>
      <w:divBdr>
        <w:top w:val="none" w:sz="0" w:space="0" w:color="auto"/>
        <w:left w:val="none" w:sz="0" w:space="0" w:color="auto"/>
        <w:bottom w:val="none" w:sz="0" w:space="0" w:color="auto"/>
        <w:right w:val="none" w:sz="0" w:space="0" w:color="auto"/>
      </w:divBdr>
    </w:div>
    <w:div w:id="887109609">
      <w:marLeft w:val="0"/>
      <w:marRight w:val="0"/>
      <w:marTop w:val="0"/>
      <w:marBottom w:val="0"/>
      <w:divBdr>
        <w:top w:val="none" w:sz="0" w:space="0" w:color="auto"/>
        <w:left w:val="none" w:sz="0" w:space="0" w:color="auto"/>
        <w:bottom w:val="none" w:sz="0" w:space="0" w:color="auto"/>
        <w:right w:val="none" w:sz="0" w:space="0" w:color="auto"/>
      </w:divBdr>
      <w:divsChild>
        <w:div w:id="1961762893">
          <w:marLeft w:val="0"/>
          <w:marRight w:val="0"/>
          <w:marTop w:val="0"/>
          <w:marBottom w:val="0"/>
          <w:divBdr>
            <w:top w:val="none" w:sz="0" w:space="0" w:color="auto"/>
            <w:left w:val="none" w:sz="0" w:space="0" w:color="auto"/>
            <w:bottom w:val="none" w:sz="0" w:space="0" w:color="auto"/>
            <w:right w:val="none" w:sz="0" w:space="0" w:color="auto"/>
          </w:divBdr>
        </w:div>
      </w:divsChild>
    </w:div>
    <w:div w:id="887956326">
      <w:marLeft w:val="0"/>
      <w:marRight w:val="0"/>
      <w:marTop w:val="0"/>
      <w:marBottom w:val="0"/>
      <w:divBdr>
        <w:top w:val="none" w:sz="0" w:space="0" w:color="auto"/>
        <w:left w:val="none" w:sz="0" w:space="0" w:color="auto"/>
        <w:bottom w:val="none" w:sz="0" w:space="0" w:color="auto"/>
        <w:right w:val="none" w:sz="0" w:space="0" w:color="auto"/>
      </w:divBdr>
    </w:div>
    <w:div w:id="891774043">
      <w:marLeft w:val="0"/>
      <w:marRight w:val="0"/>
      <w:marTop w:val="0"/>
      <w:marBottom w:val="180"/>
      <w:divBdr>
        <w:top w:val="none" w:sz="0" w:space="0" w:color="auto"/>
        <w:left w:val="none" w:sz="0" w:space="0" w:color="auto"/>
        <w:bottom w:val="none" w:sz="0" w:space="0" w:color="auto"/>
        <w:right w:val="none" w:sz="0" w:space="0" w:color="auto"/>
      </w:divBdr>
    </w:div>
    <w:div w:id="891964197">
      <w:marLeft w:val="0"/>
      <w:marRight w:val="0"/>
      <w:marTop w:val="0"/>
      <w:marBottom w:val="0"/>
      <w:divBdr>
        <w:top w:val="none" w:sz="0" w:space="0" w:color="auto"/>
        <w:left w:val="none" w:sz="0" w:space="0" w:color="auto"/>
        <w:bottom w:val="none" w:sz="0" w:space="0" w:color="auto"/>
        <w:right w:val="none" w:sz="0" w:space="0" w:color="auto"/>
      </w:divBdr>
    </w:div>
    <w:div w:id="895891424">
      <w:marLeft w:val="0"/>
      <w:marRight w:val="0"/>
      <w:marTop w:val="0"/>
      <w:marBottom w:val="0"/>
      <w:divBdr>
        <w:top w:val="none" w:sz="0" w:space="0" w:color="auto"/>
        <w:left w:val="none" w:sz="0" w:space="0" w:color="auto"/>
        <w:bottom w:val="none" w:sz="0" w:space="0" w:color="auto"/>
        <w:right w:val="none" w:sz="0" w:space="0" w:color="auto"/>
      </w:divBdr>
    </w:div>
    <w:div w:id="905919871">
      <w:marLeft w:val="0"/>
      <w:marRight w:val="0"/>
      <w:marTop w:val="0"/>
      <w:marBottom w:val="0"/>
      <w:divBdr>
        <w:top w:val="none" w:sz="0" w:space="0" w:color="auto"/>
        <w:left w:val="none" w:sz="0" w:space="0" w:color="auto"/>
        <w:bottom w:val="none" w:sz="0" w:space="0" w:color="auto"/>
        <w:right w:val="none" w:sz="0" w:space="0" w:color="auto"/>
      </w:divBdr>
      <w:divsChild>
        <w:div w:id="1136222760">
          <w:marLeft w:val="0"/>
          <w:marRight w:val="0"/>
          <w:marTop w:val="0"/>
          <w:marBottom w:val="0"/>
          <w:divBdr>
            <w:top w:val="none" w:sz="0" w:space="0" w:color="auto"/>
            <w:left w:val="none" w:sz="0" w:space="0" w:color="auto"/>
            <w:bottom w:val="none" w:sz="0" w:space="0" w:color="auto"/>
            <w:right w:val="none" w:sz="0" w:space="0" w:color="auto"/>
          </w:divBdr>
        </w:div>
      </w:divsChild>
    </w:div>
    <w:div w:id="908275127">
      <w:marLeft w:val="0"/>
      <w:marRight w:val="0"/>
      <w:marTop w:val="0"/>
      <w:marBottom w:val="0"/>
      <w:divBdr>
        <w:top w:val="none" w:sz="0" w:space="0" w:color="auto"/>
        <w:left w:val="none" w:sz="0" w:space="0" w:color="auto"/>
        <w:bottom w:val="none" w:sz="0" w:space="0" w:color="auto"/>
        <w:right w:val="none" w:sz="0" w:space="0" w:color="auto"/>
      </w:divBdr>
      <w:divsChild>
        <w:div w:id="1309436640">
          <w:marLeft w:val="0"/>
          <w:marRight w:val="0"/>
          <w:marTop w:val="0"/>
          <w:marBottom w:val="0"/>
          <w:divBdr>
            <w:top w:val="none" w:sz="0" w:space="0" w:color="auto"/>
            <w:left w:val="none" w:sz="0" w:space="0" w:color="auto"/>
            <w:bottom w:val="none" w:sz="0" w:space="0" w:color="auto"/>
            <w:right w:val="none" w:sz="0" w:space="0" w:color="auto"/>
          </w:divBdr>
        </w:div>
      </w:divsChild>
    </w:div>
    <w:div w:id="910313922">
      <w:marLeft w:val="0"/>
      <w:marRight w:val="0"/>
      <w:marTop w:val="0"/>
      <w:marBottom w:val="180"/>
      <w:divBdr>
        <w:top w:val="none" w:sz="0" w:space="0" w:color="auto"/>
        <w:left w:val="none" w:sz="0" w:space="0" w:color="auto"/>
        <w:bottom w:val="none" w:sz="0" w:space="0" w:color="auto"/>
        <w:right w:val="none" w:sz="0" w:space="0" w:color="auto"/>
      </w:divBdr>
    </w:div>
    <w:div w:id="913315086">
      <w:marLeft w:val="0"/>
      <w:marRight w:val="0"/>
      <w:marTop w:val="0"/>
      <w:marBottom w:val="180"/>
      <w:divBdr>
        <w:top w:val="none" w:sz="0" w:space="0" w:color="auto"/>
        <w:left w:val="none" w:sz="0" w:space="0" w:color="auto"/>
        <w:bottom w:val="none" w:sz="0" w:space="0" w:color="auto"/>
        <w:right w:val="none" w:sz="0" w:space="0" w:color="auto"/>
      </w:divBdr>
    </w:div>
    <w:div w:id="921529330">
      <w:marLeft w:val="0"/>
      <w:marRight w:val="0"/>
      <w:marTop w:val="0"/>
      <w:marBottom w:val="0"/>
      <w:divBdr>
        <w:top w:val="none" w:sz="0" w:space="0" w:color="auto"/>
        <w:left w:val="none" w:sz="0" w:space="0" w:color="auto"/>
        <w:bottom w:val="none" w:sz="0" w:space="0" w:color="auto"/>
        <w:right w:val="none" w:sz="0" w:space="0" w:color="auto"/>
      </w:divBdr>
    </w:div>
    <w:div w:id="921917588">
      <w:marLeft w:val="0"/>
      <w:marRight w:val="0"/>
      <w:marTop w:val="0"/>
      <w:marBottom w:val="0"/>
      <w:divBdr>
        <w:top w:val="none" w:sz="0" w:space="0" w:color="auto"/>
        <w:left w:val="none" w:sz="0" w:space="0" w:color="auto"/>
        <w:bottom w:val="none" w:sz="0" w:space="0" w:color="auto"/>
        <w:right w:val="none" w:sz="0" w:space="0" w:color="auto"/>
      </w:divBdr>
    </w:div>
    <w:div w:id="922185253">
      <w:marLeft w:val="0"/>
      <w:marRight w:val="0"/>
      <w:marTop w:val="0"/>
      <w:marBottom w:val="0"/>
      <w:divBdr>
        <w:top w:val="none" w:sz="0" w:space="0" w:color="auto"/>
        <w:left w:val="none" w:sz="0" w:space="0" w:color="auto"/>
        <w:bottom w:val="none" w:sz="0" w:space="0" w:color="auto"/>
        <w:right w:val="none" w:sz="0" w:space="0" w:color="auto"/>
      </w:divBdr>
    </w:div>
    <w:div w:id="925963172">
      <w:marLeft w:val="0"/>
      <w:marRight w:val="0"/>
      <w:marTop w:val="0"/>
      <w:marBottom w:val="240"/>
      <w:divBdr>
        <w:top w:val="none" w:sz="0" w:space="0" w:color="auto"/>
        <w:left w:val="none" w:sz="0" w:space="0" w:color="auto"/>
        <w:bottom w:val="none" w:sz="0" w:space="0" w:color="auto"/>
        <w:right w:val="none" w:sz="0" w:space="0" w:color="auto"/>
      </w:divBdr>
    </w:div>
    <w:div w:id="928007519">
      <w:marLeft w:val="0"/>
      <w:marRight w:val="0"/>
      <w:marTop w:val="0"/>
      <w:marBottom w:val="0"/>
      <w:divBdr>
        <w:top w:val="none" w:sz="0" w:space="0" w:color="auto"/>
        <w:left w:val="none" w:sz="0" w:space="0" w:color="auto"/>
        <w:bottom w:val="none" w:sz="0" w:space="0" w:color="auto"/>
        <w:right w:val="none" w:sz="0" w:space="0" w:color="auto"/>
      </w:divBdr>
    </w:div>
    <w:div w:id="933898417">
      <w:marLeft w:val="0"/>
      <w:marRight w:val="0"/>
      <w:marTop w:val="0"/>
      <w:marBottom w:val="0"/>
      <w:divBdr>
        <w:top w:val="none" w:sz="0" w:space="0" w:color="auto"/>
        <w:left w:val="none" w:sz="0" w:space="0" w:color="auto"/>
        <w:bottom w:val="none" w:sz="0" w:space="0" w:color="auto"/>
        <w:right w:val="none" w:sz="0" w:space="0" w:color="auto"/>
      </w:divBdr>
    </w:div>
    <w:div w:id="937636040">
      <w:marLeft w:val="0"/>
      <w:marRight w:val="0"/>
      <w:marTop w:val="0"/>
      <w:marBottom w:val="80"/>
      <w:divBdr>
        <w:top w:val="none" w:sz="0" w:space="0" w:color="auto"/>
        <w:left w:val="none" w:sz="0" w:space="0" w:color="auto"/>
        <w:bottom w:val="none" w:sz="0" w:space="0" w:color="auto"/>
        <w:right w:val="none" w:sz="0" w:space="0" w:color="auto"/>
      </w:divBdr>
    </w:div>
    <w:div w:id="938755610">
      <w:marLeft w:val="0"/>
      <w:marRight w:val="0"/>
      <w:marTop w:val="0"/>
      <w:marBottom w:val="0"/>
      <w:divBdr>
        <w:top w:val="none" w:sz="0" w:space="0" w:color="auto"/>
        <w:left w:val="none" w:sz="0" w:space="0" w:color="auto"/>
        <w:bottom w:val="none" w:sz="0" w:space="0" w:color="auto"/>
        <w:right w:val="none" w:sz="0" w:space="0" w:color="auto"/>
      </w:divBdr>
      <w:divsChild>
        <w:div w:id="2125539993">
          <w:marLeft w:val="0"/>
          <w:marRight w:val="0"/>
          <w:marTop w:val="0"/>
          <w:marBottom w:val="0"/>
          <w:divBdr>
            <w:top w:val="none" w:sz="0" w:space="0" w:color="auto"/>
            <w:left w:val="none" w:sz="0" w:space="0" w:color="auto"/>
            <w:bottom w:val="none" w:sz="0" w:space="0" w:color="auto"/>
            <w:right w:val="none" w:sz="0" w:space="0" w:color="auto"/>
          </w:divBdr>
        </w:div>
      </w:divsChild>
    </w:div>
    <w:div w:id="939021976">
      <w:marLeft w:val="0"/>
      <w:marRight w:val="0"/>
      <w:marTop w:val="0"/>
      <w:marBottom w:val="0"/>
      <w:divBdr>
        <w:top w:val="none" w:sz="0" w:space="0" w:color="auto"/>
        <w:left w:val="none" w:sz="0" w:space="0" w:color="auto"/>
        <w:bottom w:val="none" w:sz="0" w:space="0" w:color="auto"/>
        <w:right w:val="none" w:sz="0" w:space="0" w:color="auto"/>
      </w:divBdr>
      <w:divsChild>
        <w:div w:id="1925607056">
          <w:marLeft w:val="0"/>
          <w:marRight w:val="0"/>
          <w:marTop w:val="0"/>
          <w:marBottom w:val="0"/>
          <w:divBdr>
            <w:top w:val="none" w:sz="0" w:space="0" w:color="auto"/>
            <w:left w:val="none" w:sz="0" w:space="0" w:color="auto"/>
            <w:bottom w:val="none" w:sz="0" w:space="0" w:color="auto"/>
            <w:right w:val="none" w:sz="0" w:space="0" w:color="auto"/>
          </w:divBdr>
        </w:div>
      </w:divsChild>
    </w:div>
    <w:div w:id="939683965">
      <w:marLeft w:val="0"/>
      <w:marRight w:val="0"/>
      <w:marTop w:val="100"/>
      <w:marBottom w:val="0"/>
      <w:divBdr>
        <w:top w:val="none" w:sz="0" w:space="0" w:color="auto"/>
        <w:left w:val="none" w:sz="0" w:space="0" w:color="auto"/>
        <w:bottom w:val="none" w:sz="0" w:space="0" w:color="auto"/>
        <w:right w:val="none" w:sz="0" w:space="0" w:color="auto"/>
      </w:divBdr>
    </w:div>
    <w:div w:id="941843138">
      <w:marLeft w:val="0"/>
      <w:marRight w:val="0"/>
      <w:marTop w:val="0"/>
      <w:marBottom w:val="0"/>
      <w:divBdr>
        <w:top w:val="none" w:sz="0" w:space="0" w:color="auto"/>
        <w:left w:val="none" w:sz="0" w:space="0" w:color="auto"/>
        <w:bottom w:val="none" w:sz="0" w:space="0" w:color="auto"/>
        <w:right w:val="none" w:sz="0" w:space="0" w:color="auto"/>
      </w:divBdr>
      <w:divsChild>
        <w:div w:id="1163358007">
          <w:marLeft w:val="0"/>
          <w:marRight w:val="0"/>
          <w:marTop w:val="0"/>
          <w:marBottom w:val="0"/>
          <w:divBdr>
            <w:top w:val="none" w:sz="0" w:space="0" w:color="auto"/>
            <w:left w:val="none" w:sz="0" w:space="0" w:color="auto"/>
            <w:bottom w:val="none" w:sz="0" w:space="0" w:color="auto"/>
            <w:right w:val="none" w:sz="0" w:space="0" w:color="auto"/>
          </w:divBdr>
        </w:div>
      </w:divsChild>
    </w:div>
    <w:div w:id="943194382">
      <w:marLeft w:val="0"/>
      <w:marRight w:val="0"/>
      <w:marTop w:val="0"/>
      <w:marBottom w:val="0"/>
      <w:divBdr>
        <w:top w:val="none" w:sz="0" w:space="0" w:color="auto"/>
        <w:left w:val="none" w:sz="0" w:space="0" w:color="auto"/>
        <w:bottom w:val="none" w:sz="0" w:space="0" w:color="auto"/>
        <w:right w:val="none" w:sz="0" w:space="0" w:color="auto"/>
      </w:divBdr>
      <w:divsChild>
        <w:div w:id="1147160449">
          <w:marLeft w:val="0"/>
          <w:marRight w:val="0"/>
          <w:marTop w:val="0"/>
          <w:marBottom w:val="0"/>
          <w:divBdr>
            <w:top w:val="none" w:sz="0" w:space="0" w:color="auto"/>
            <w:left w:val="none" w:sz="0" w:space="0" w:color="auto"/>
            <w:bottom w:val="none" w:sz="0" w:space="0" w:color="auto"/>
            <w:right w:val="none" w:sz="0" w:space="0" w:color="auto"/>
          </w:divBdr>
        </w:div>
      </w:divsChild>
    </w:div>
    <w:div w:id="952513271">
      <w:marLeft w:val="0"/>
      <w:marRight w:val="0"/>
      <w:marTop w:val="0"/>
      <w:marBottom w:val="0"/>
      <w:divBdr>
        <w:top w:val="none" w:sz="0" w:space="0" w:color="auto"/>
        <w:left w:val="none" w:sz="0" w:space="0" w:color="auto"/>
        <w:bottom w:val="none" w:sz="0" w:space="0" w:color="auto"/>
        <w:right w:val="none" w:sz="0" w:space="0" w:color="auto"/>
      </w:divBdr>
      <w:divsChild>
        <w:div w:id="1845898611">
          <w:marLeft w:val="0"/>
          <w:marRight w:val="0"/>
          <w:marTop w:val="0"/>
          <w:marBottom w:val="0"/>
          <w:divBdr>
            <w:top w:val="none" w:sz="0" w:space="0" w:color="auto"/>
            <w:left w:val="none" w:sz="0" w:space="0" w:color="auto"/>
            <w:bottom w:val="none" w:sz="0" w:space="0" w:color="auto"/>
            <w:right w:val="none" w:sz="0" w:space="0" w:color="auto"/>
          </w:divBdr>
        </w:div>
      </w:divsChild>
    </w:div>
    <w:div w:id="955597395">
      <w:marLeft w:val="0"/>
      <w:marRight w:val="0"/>
      <w:marTop w:val="0"/>
      <w:marBottom w:val="0"/>
      <w:divBdr>
        <w:top w:val="none" w:sz="0" w:space="0" w:color="auto"/>
        <w:left w:val="none" w:sz="0" w:space="0" w:color="auto"/>
        <w:bottom w:val="none" w:sz="0" w:space="0" w:color="auto"/>
        <w:right w:val="none" w:sz="0" w:space="0" w:color="auto"/>
      </w:divBdr>
    </w:div>
    <w:div w:id="957182731">
      <w:marLeft w:val="0"/>
      <w:marRight w:val="0"/>
      <w:marTop w:val="0"/>
      <w:marBottom w:val="180"/>
      <w:divBdr>
        <w:top w:val="none" w:sz="0" w:space="0" w:color="auto"/>
        <w:left w:val="none" w:sz="0" w:space="0" w:color="auto"/>
        <w:bottom w:val="none" w:sz="0" w:space="0" w:color="auto"/>
        <w:right w:val="none" w:sz="0" w:space="0" w:color="auto"/>
      </w:divBdr>
    </w:div>
    <w:div w:id="958876750">
      <w:marLeft w:val="0"/>
      <w:marRight w:val="0"/>
      <w:marTop w:val="0"/>
      <w:marBottom w:val="240"/>
      <w:divBdr>
        <w:top w:val="none" w:sz="0" w:space="0" w:color="auto"/>
        <w:left w:val="none" w:sz="0" w:space="0" w:color="auto"/>
        <w:bottom w:val="none" w:sz="0" w:space="0" w:color="auto"/>
        <w:right w:val="none" w:sz="0" w:space="0" w:color="auto"/>
      </w:divBdr>
    </w:div>
    <w:div w:id="960766597">
      <w:marLeft w:val="0"/>
      <w:marRight w:val="0"/>
      <w:marTop w:val="0"/>
      <w:marBottom w:val="0"/>
      <w:divBdr>
        <w:top w:val="none" w:sz="0" w:space="0" w:color="auto"/>
        <w:left w:val="none" w:sz="0" w:space="0" w:color="auto"/>
        <w:bottom w:val="none" w:sz="0" w:space="0" w:color="auto"/>
        <w:right w:val="none" w:sz="0" w:space="0" w:color="auto"/>
      </w:divBdr>
    </w:div>
    <w:div w:id="969474580">
      <w:marLeft w:val="0"/>
      <w:marRight w:val="0"/>
      <w:marTop w:val="0"/>
      <w:marBottom w:val="0"/>
      <w:divBdr>
        <w:top w:val="none" w:sz="0" w:space="0" w:color="auto"/>
        <w:left w:val="none" w:sz="0" w:space="0" w:color="auto"/>
        <w:bottom w:val="none" w:sz="0" w:space="0" w:color="auto"/>
        <w:right w:val="none" w:sz="0" w:space="0" w:color="auto"/>
      </w:divBdr>
    </w:div>
    <w:div w:id="969552890">
      <w:marLeft w:val="0"/>
      <w:marRight w:val="0"/>
      <w:marTop w:val="0"/>
      <w:marBottom w:val="0"/>
      <w:divBdr>
        <w:top w:val="none" w:sz="0" w:space="0" w:color="auto"/>
        <w:left w:val="none" w:sz="0" w:space="0" w:color="auto"/>
        <w:bottom w:val="none" w:sz="0" w:space="0" w:color="auto"/>
        <w:right w:val="none" w:sz="0" w:space="0" w:color="auto"/>
      </w:divBdr>
    </w:div>
    <w:div w:id="971178142">
      <w:marLeft w:val="0"/>
      <w:marRight w:val="0"/>
      <w:marTop w:val="0"/>
      <w:marBottom w:val="0"/>
      <w:divBdr>
        <w:top w:val="none" w:sz="0" w:space="0" w:color="auto"/>
        <w:left w:val="none" w:sz="0" w:space="0" w:color="auto"/>
        <w:bottom w:val="none" w:sz="0" w:space="0" w:color="auto"/>
        <w:right w:val="none" w:sz="0" w:space="0" w:color="auto"/>
      </w:divBdr>
    </w:div>
    <w:div w:id="977077871">
      <w:marLeft w:val="0"/>
      <w:marRight w:val="0"/>
      <w:marTop w:val="0"/>
      <w:marBottom w:val="0"/>
      <w:divBdr>
        <w:top w:val="none" w:sz="0" w:space="0" w:color="auto"/>
        <w:left w:val="none" w:sz="0" w:space="0" w:color="auto"/>
        <w:bottom w:val="none" w:sz="0" w:space="0" w:color="auto"/>
        <w:right w:val="none" w:sz="0" w:space="0" w:color="auto"/>
      </w:divBdr>
      <w:divsChild>
        <w:div w:id="1678463570">
          <w:marLeft w:val="0"/>
          <w:marRight w:val="0"/>
          <w:marTop w:val="0"/>
          <w:marBottom w:val="0"/>
          <w:divBdr>
            <w:top w:val="none" w:sz="0" w:space="0" w:color="auto"/>
            <w:left w:val="none" w:sz="0" w:space="0" w:color="auto"/>
            <w:bottom w:val="none" w:sz="0" w:space="0" w:color="auto"/>
            <w:right w:val="none" w:sz="0" w:space="0" w:color="auto"/>
          </w:divBdr>
        </w:div>
      </w:divsChild>
    </w:div>
    <w:div w:id="977340455">
      <w:marLeft w:val="0"/>
      <w:marRight w:val="0"/>
      <w:marTop w:val="0"/>
      <w:marBottom w:val="0"/>
      <w:divBdr>
        <w:top w:val="none" w:sz="0" w:space="0" w:color="auto"/>
        <w:left w:val="none" w:sz="0" w:space="0" w:color="auto"/>
        <w:bottom w:val="none" w:sz="0" w:space="0" w:color="auto"/>
        <w:right w:val="none" w:sz="0" w:space="0" w:color="auto"/>
      </w:divBdr>
      <w:divsChild>
        <w:div w:id="643583286">
          <w:marLeft w:val="0"/>
          <w:marRight w:val="0"/>
          <w:marTop w:val="0"/>
          <w:marBottom w:val="0"/>
          <w:divBdr>
            <w:top w:val="none" w:sz="0" w:space="0" w:color="auto"/>
            <w:left w:val="none" w:sz="0" w:space="0" w:color="auto"/>
            <w:bottom w:val="none" w:sz="0" w:space="0" w:color="auto"/>
            <w:right w:val="none" w:sz="0" w:space="0" w:color="auto"/>
          </w:divBdr>
        </w:div>
      </w:divsChild>
    </w:div>
    <w:div w:id="979381740">
      <w:marLeft w:val="0"/>
      <w:marRight w:val="0"/>
      <w:marTop w:val="0"/>
      <w:marBottom w:val="180"/>
      <w:divBdr>
        <w:top w:val="none" w:sz="0" w:space="0" w:color="auto"/>
        <w:left w:val="none" w:sz="0" w:space="0" w:color="auto"/>
        <w:bottom w:val="none" w:sz="0" w:space="0" w:color="auto"/>
        <w:right w:val="none" w:sz="0" w:space="0" w:color="auto"/>
      </w:divBdr>
    </w:div>
    <w:div w:id="988167899">
      <w:marLeft w:val="0"/>
      <w:marRight w:val="0"/>
      <w:marTop w:val="0"/>
      <w:marBottom w:val="0"/>
      <w:divBdr>
        <w:top w:val="none" w:sz="0" w:space="0" w:color="auto"/>
        <w:left w:val="none" w:sz="0" w:space="0" w:color="auto"/>
        <w:bottom w:val="none" w:sz="0" w:space="0" w:color="auto"/>
        <w:right w:val="none" w:sz="0" w:space="0" w:color="auto"/>
      </w:divBdr>
    </w:div>
    <w:div w:id="990334626">
      <w:marLeft w:val="0"/>
      <w:marRight w:val="0"/>
      <w:marTop w:val="0"/>
      <w:marBottom w:val="0"/>
      <w:divBdr>
        <w:top w:val="none" w:sz="0" w:space="0" w:color="auto"/>
        <w:left w:val="none" w:sz="0" w:space="0" w:color="auto"/>
        <w:bottom w:val="none" w:sz="0" w:space="0" w:color="auto"/>
        <w:right w:val="none" w:sz="0" w:space="0" w:color="auto"/>
      </w:divBdr>
      <w:divsChild>
        <w:div w:id="1040475321">
          <w:marLeft w:val="0"/>
          <w:marRight w:val="0"/>
          <w:marTop w:val="0"/>
          <w:marBottom w:val="0"/>
          <w:divBdr>
            <w:top w:val="none" w:sz="0" w:space="0" w:color="auto"/>
            <w:left w:val="none" w:sz="0" w:space="0" w:color="auto"/>
            <w:bottom w:val="none" w:sz="0" w:space="0" w:color="auto"/>
            <w:right w:val="none" w:sz="0" w:space="0" w:color="auto"/>
          </w:divBdr>
        </w:div>
      </w:divsChild>
    </w:div>
    <w:div w:id="994145830">
      <w:marLeft w:val="0"/>
      <w:marRight w:val="0"/>
      <w:marTop w:val="0"/>
      <w:marBottom w:val="0"/>
      <w:divBdr>
        <w:top w:val="none" w:sz="0" w:space="0" w:color="auto"/>
        <w:left w:val="none" w:sz="0" w:space="0" w:color="auto"/>
        <w:bottom w:val="none" w:sz="0" w:space="0" w:color="auto"/>
        <w:right w:val="none" w:sz="0" w:space="0" w:color="auto"/>
      </w:divBdr>
      <w:divsChild>
        <w:div w:id="341863690">
          <w:marLeft w:val="0"/>
          <w:marRight w:val="0"/>
          <w:marTop w:val="0"/>
          <w:marBottom w:val="0"/>
          <w:divBdr>
            <w:top w:val="none" w:sz="0" w:space="0" w:color="auto"/>
            <w:left w:val="none" w:sz="0" w:space="0" w:color="auto"/>
            <w:bottom w:val="none" w:sz="0" w:space="0" w:color="auto"/>
            <w:right w:val="none" w:sz="0" w:space="0" w:color="auto"/>
          </w:divBdr>
        </w:div>
      </w:divsChild>
    </w:div>
    <w:div w:id="996110750">
      <w:marLeft w:val="0"/>
      <w:marRight w:val="0"/>
      <w:marTop w:val="0"/>
      <w:marBottom w:val="280"/>
      <w:divBdr>
        <w:top w:val="none" w:sz="0" w:space="0" w:color="auto"/>
        <w:left w:val="none" w:sz="0" w:space="0" w:color="auto"/>
        <w:bottom w:val="none" w:sz="0" w:space="0" w:color="auto"/>
        <w:right w:val="none" w:sz="0" w:space="0" w:color="auto"/>
      </w:divBdr>
    </w:div>
    <w:div w:id="996500262">
      <w:marLeft w:val="0"/>
      <w:marRight w:val="0"/>
      <w:marTop w:val="0"/>
      <w:marBottom w:val="0"/>
      <w:divBdr>
        <w:top w:val="none" w:sz="0" w:space="0" w:color="auto"/>
        <w:left w:val="none" w:sz="0" w:space="0" w:color="auto"/>
        <w:bottom w:val="none" w:sz="0" w:space="0" w:color="auto"/>
        <w:right w:val="none" w:sz="0" w:space="0" w:color="auto"/>
      </w:divBdr>
      <w:divsChild>
        <w:div w:id="11958225">
          <w:marLeft w:val="0"/>
          <w:marRight w:val="0"/>
          <w:marTop w:val="0"/>
          <w:marBottom w:val="0"/>
          <w:divBdr>
            <w:top w:val="none" w:sz="0" w:space="0" w:color="auto"/>
            <w:left w:val="none" w:sz="0" w:space="0" w:color="auto"/>
            <w:bottom w:val="none" w:sz="0" w:space="0" w:color="auto"/>
            <w:right w:val="none" w:sz="0" w:space="0" w:color="auto"/>
          </w:divBdr>
        </w:div>
      </w:divsChild>
    </w:div>
    <w:div w:id="996686095">
      <w:marLeft w:val="0"/>
      <w:marRight w:val="0"/>
      <w:marTop w:val="0"/>
      <w:marBottom w:val="0"/>
      <w:divBdr>
        <w:top w:val="none" w:sz="0" w:space="0" w:color="auto"/>
        <w:left w:val="none" w:sz="0" w:space="0" w:color="auto"/>
        <w:bottom w:val="none" w:sz="0" w:space="0" w:color="auto"/>
        <w:right w:val="none" w:sz="0" w:space="0" w:color="auto"/>
      </w:divBdr>
      <w:divsChild>
        <w:div w:id="1876844949">
          <w:marLeft w:val="0"/>
          <w:marRight w:val="0"/>
          <w:marTop w:val="0"/>
          <w:marBottom w:val="0"/>
          <w:divBdr>
            <w:top w:val="none" w:sz="0" w:space="0" w:color="auto"/>
            <w:left w:val="none" w:sz="0" w:space="0" w:color="auto"/>
            <w:bottom w:val="none" w:sz="0" w:space="0" w:color="auto"/>
            <w:right w:val="none" w:sz="0" w:space="0" w:color="auto"/>
          </w:divBdr>
        </w:div>
      </w:divsChild>
    </w:div>
    <w:div w:id="1000084363">
      <w:marLeft w:val="0"/>
      <w:marRight w:val="0"/>
      <w:marTop w:val="100"/>
      <w:marBottom w:val="0"/>
      <w:divBdr>
        <w:top w:val="none" w:sz="0" w:space="0" w:color="auto"/>
        <w:left w:val="none" w:sz="0" w:space="0" w:color="auto"/>
        <w:bottom w:val="none" w:sz="0" w:space="0" w:color="auto"/>
        <w:right w:val="none" w:sz="0" w:space="0" w:color="auto"/>
      </w:divBdr>
    </w:div>
    <w:div w:id="1000160342">
      <w:marLeft w:val="0"/>
      <w:marRight w:val="0"/>
      <w:marTop w:val="0"/>
      <w:marBottom w:val="180"/>
      <w:divBdr>
        <w:top w:val="none" w:sz="0" w:space="0" w:color="auto"/>
        <w:left w:val="none" w:sz="0" w:space="0" w:color="auto"/>
        <w:bottom w:val="none" w:sz="0" w:space="0" w:color="auto"/>
        <w:right w:val="none" w:sz="0" w:space="0" w:color="auto"/>
      </w:divBdr>
    </w:div>
    <w:div w:id="1000696306">
      <w:marLeft w:val="0"/>
      <w:marRight w:val="0"/>
      <w:marTop w:val="0"/>
      <w:marBottom w:val="180"/>
      <w:divBdr>
        <w:top w:val="none" w:sz="0" w:space="0" w:color="auto"/>
        <w:left w:val="none" w:sz="0" w:space="0" w:color="auto"/>
        <w:bottom w:val="none" w:sz="0" w:space="0" w:color="auto"/>
        <w:right w:val="none" w:sz="0" w:space="0" w:color="auto"/>
      </w:divBdr>
    </w:div>
    <w:div w:id="1001195945">
      <w:marLeft w:val="0"/>
      <w:marRight w:val="0"/>
      <w:marTop w:val="0"/>
      <w:marBottom w:val="0"/>
      <w:divBdr>
        <w:top w:val="none" w:sz="0" w:space="0" w:color="auto"/>
        <w:left w:val="none" w:sz="0" w:space="0" w:color="auto"/>
        <w:bottom w:val="none" w:sz="0" w:space="0" w:color="auto"/>
        <w:right w:val="none" w:sz="0" w:space="0" w:color="auto"/>
      </w:divBdr>
      <w:divsChild>
        <w:div w:id="2057124816">
          <w:marLeft w:val="0"/>
          <w:marRight w:val="0"/>
          <w:marTop w:val="0"/>
          <w:marBottom w:val="0"/>
          <w:divBdr>
            <w:top w:val="none" w:sz="0" w:space="0" w:color="auto"/>
            <w:left w:val="none" w:sz="0" w:space="0" w:color="auto"/>
            <w:bottom w:val="none" w:sz="0" w:space="0" w:color="auto"/>
            <w:right w:val="none" w:sz="0" w:space="0" w:color="auto"/>
          </w:divBdr>
        </w:div>
      </w:divsChild>
    </w:div>
    <w:div w:id="1001422246">
      <w:marLeft w:val="0"/>
      <w:marRight w:val="0"/>
      <w:marTop w:val="0"/>
      <w:marBottom w:val="0"/>
      <w:divBdr>
        <w:top w:val="none" w:sz="0" w:space="0" w:color="auto"/>
        <w:left w:val="none" w:sz="0" w:space="0" w:color="auto"/>
        <w:bottom w:val="none" w:sz="0" w:space="0" w:color="auto"/>
        <w:right w:val="none" w:sz="0" w:space="0" w:color="auto"/>
      </w:divBdr>
    </w:div>
    <w:div w:id="1002320164">
      <w:marLeft w:val="0"/>
      <w:marRight w:val="0"/>
      <w:marTop w:val="0"/>
      <w:marBottom w:val="0"/>
      <w:divBdr>
        <w:top w:val="none" w:sz="0" w:space="0" w:color="auto"/>
        <w:left w:val="none" w:sz="0" w:space="0" w:color="auto"/>
        <w:bottom w:val="none" w:sz="0" w:space="0" w:color="auto"/>
        <w:right w:val="none" w:sz="0" w:space="0" w:color="auto"/>
      </w:divBdr>
    </w:div>
    <w:div w:id="1002515186">
      <w:marLeft w:val="0"/>
      <w:marRight w:val="0"/>
      <w:marTop w:val="0"/>
      <w:marBottom w:val="0"/>
      <w:divBdr>
        <w:top w:val="none" w:sz="0" w:space="0" w:color="auto"/>
        <w:left w:val="none" w:sz="0" w:space="0" w:color="auto"/>
        <w:bottom w:val="none" w:sz="0" w:space="0" w:color="auto"/>
        <w:right w:val="none" w:sz="0" w:space="0" w:color="auto"/>
      </w:divBdr>
    </w:div>
    <w:div w:id="1004361670">
      <w:marLeft w:val="0"/>
      <w:marRight w:val="0"/>
      <w:marTop w:val="0"/>
      <w:marBottom w:val="0"/>
      <w:divBdr>
        <w:top w:val="none" w:sz="0" w:space="0" w:color="auto"/>
        <w:left w:val="none" w:sz="0" w:space="0" w:color="auto"/>
        <w:bottom w:val="none" w:sz="0" w:space="0" w:color="auto"/>
        <w:right w:val="none" w:sz="0" w:space="0" w:color="auto"/>
      </w:divBdr>
      <w:divsChild>
        <w:div w:id="1852257919">
          <w:marLeft w:val="0"/>
          <w:marRight w:val="0"/>
          <w:marTop w:val="0"/>
          <w:marBottom w:val="0"/>
          <w:divBdr>
            <w:top w:val="none" w:sz="0" w:space="0" w:color="auto"/>
            <w:left w:val="none" w:sz="0" w:space="0" w:color="auto"/>
            <w:bottom w:val="none" w:sz="0" w:space="0" w:color="auto"/>
            <w:right w:val="none" w:sz="0" w:space="0" w:color="auto"/>
          </w:divBdr>
        </w:div>
      </w:divsChild>
    </w:div>
    <w:div w:id="1017582720">
      <w:marLeft w:val="0"/>
      <w:marRight w:val="0"/>
      <w:marTop w:val="0"/>
      <w:marBottom w:val="180"/>
      <w:divBdr>
        <w:top w:val="none" w:sz="0" w:space="0" w:color="auto"/>
        <w:left w:val="none" w:sz="0" w:space="0" w:color="auto"/>
        <w:bottom w:val="none" w:sz="0" w:space="0" w:color="auto"/>
        <w:right w:val="none" w:sz="0" w:space="0" w:color="auto"/>
      </w:divBdr>
    </w:div>
    <w:div w:id="1020200351">
      <w:marLeft w:val="0"/>
      <w:marRight w:val="0"/>
      <w:marTop w:val="0"/>
      <w:marBottom w:val="0"/>
      <w:divBdr>
        <w:top w:val="none" w:sz="0" w:space="0" w:color="auto"/>
        <w:left w:val="none" w:sz="0" w:space="0" w:color="auto"/>
        <w:bottom w:val="none" w:sz="0" w:space="0" w:color="auto"/>
        <w:right w:val="none" w:sz="0" w:space="0" w:color="auto"/>
      </w:divBdr>
    </w:div>
    <w:div w:id="1022825609">
      <w:marLeft w:val="0"/>
      <w:marRight w:val="0"/>
      <w:marTop w:val="0"/>
      <w:marBottom w:val="0"/>
      <w:divBdr>
        <w:top w:val="none" w:sz="0" w:space="0" w:color="auto"/>
        <w:left w:val="none" w:sz="0" w:space="0" w:color="auto"/>
        <w:bottom w:val="none" w:sz="0" w:space="0" w:color="auto"/>
        <w:right w:val="none" w:sz="0" w:space="0" w:color="auto"/>
      </w:divBdr>
      <w:divsChild>
        <w:div w:id="1130900558">
          <w:marLeft w:val="0"/>
          <w:marRight w:val="0"/>
          <w:marTop w:val="0"/>
          <w:marBottom w:val="0"/>
          <w:divBdr>
            <w:top w:val="none" w:sz="0" w:space="0" w:color="auto"/>
            <w:left w:val="none" w:sz="0" w:space="0" w:color="auto"/>
            <w:bottom w:val="none" w:sz="0" w:space="0" w:color="auto"/>
            <w:right w:val="none" w:sz="0" w:space="0" w:color="auto"/>
          </w:divBdr>
        </w:div>
      </w:divsChild>
    </w:div>
    <w:div w:id="1023241055">
      <w:marLeft w:val="0"/>
      <w:marRight w:val="0"/>
      <w:marTop w:val="0"/>
      <w:marBottom w:val="0"/>
      <w:divBdr>
        <w:top w:val="none" w:sz="0" w:space="0" w:color="auto"/>
        <w:left w:val="none" w:sz="0" w:space="0" w:color="auto"/>
        <w:bottom w:val="none" w:sz="0" w:space="0" w:color="auto"/>
        <w:right w:val="none" w:sz="0" w:space="0" w:color="auto"/>
      </w:divBdr>
    </w:div>
    <w:div w:id="1023432383">
      <w:marLeft w:val="0"/>
      <w:marRight w:val="0"/>
      <w:marTop w:val="0"/>
      <w:marBottom w:val="120"/>
      <w:divBdr>
        <w:top w:val="none" w:sz="0" w:space="0" w:color="auto"/>
        <w:left w:val="none" w:sz="0" w:space="0" w:color="auto"/>
        <w:bottom w:val="none" w:sz="0" w:space="0" w:color="auto"/>
        <w:right w:val="none" w:sz="0" w:space="0" w:color="auto"/>
      </w:divBdr>
    </w:div>
    <w:div w:id="1025131210">
      <w:marLeft w:val="0"/>
      <w:marRight w:val="0"/>
      <w:marTop w:val="0"/>
      <w:marBottom w:val="120"/>
      <w:divBdr>
        <w:top w:val="none" w:sz="0" w:space="0" w:color="auto"/>
        <w:left w:val="none" w:sz="0" w:space="0" w:color="auto"/>
        <w:bottom w:val="none" w:sz="0" w:space="0" w:color="auto"/>
        <w:right w:val="none" w:sz="0" w:space="0" w:color="auto"/>
      </w:divBdr>
    </w:div>
    <w:div w:id="1033454940">
      <w:marLeft w:val="0"/>
      <w:marRight w:val="0"/>
      <w:marTop w:val="0"/>
      <w:marBottom w:val="180"/>
      <w:divBdr>
        <w:top w:val="none" w:sz="0" w:space="0" w:color="auto"/>
        <w:left w:val="none" w:sz="0" w:space="0" w:color="auto"/>
        <w:bottom w:val="none" w:sz="0" w:space="0" w:color="auto"/>
        <w:right w:val="none" w:sz="0" w:space="0" w:color="auto"/>
      </w:divBdr>
    </w:div>
    <w:div w:id="1033533282">
      <w:marLeft w:val="0"/>
      <w:marRight w:val="0"/>
      <w:marTop w:val="0"/>
      <w:marBottom w:val="180"/>
      <w:divBdr>
        <w:top w:val="none" w:sz="0" w:space="0" w:color="auto"/>
        <w:left w:val="none" w:sz="0" w:space="0" w:color="auto"/>
        <w:bottom w:val="none" w:sz="0" w:space="0" w:color="auto"/>
        <w:right w:val="none" w:sz="0" w:space="0" w:color="auto"/>
      </w:divBdr>
    </w:div>
    <w:div w:id="1035078903">
      <w:marLeft w:val="0"/>
      <w:marRight w:val="0"/>
      <w:marTop w:val="100"/>
      <w:marBottom w:val="0"/>
      <w:divBdr>
        <w:top w:val="none" w:sz="0" w:space="0" w:color="auto"/>
        <w:left w:val="none" w:sz="0" w:space="0" w:color="auto"/>
        <w:bottom w:val="none" w:sz="0" w:space="0" w:color="auto"/>
        <w:right w:val="none" w:sz="0" w:space="0" w:color="auto"/>
      </w:divBdr>
    </w:div>
    <w:div w:id="1036156366">
      <w:marLeft w:val="0"/>
      <w:marRight w:val="0"/>
      <w:marTop w:val="0"/>
      <w:marBottom w:val="0"/>
      <w:divBdr>
        <w:top w:val="none" w:sz="0" w:space="0" w:color="auto"/>
        <w:left w:val="none" w:sz="0" w:space="0" w:color="auto"/>
        <w:bottom w:val="none" w:sz="0" w:space="0" w:color="auto"/>
        <w:right w:val="none" w:sz="0" w:space="0" w:color="auto"/>
      </w:divBdr>
      <w:divsChild>
        <w:div w:id="444890663">
          <w:marLeft w:val="0"/>
          <w:marRight w:val="0"/>
          <w:marTop w:val="0"/>
          <w:marBottom w:val="0"/>
          <w:divBdr>
            <w:top w:val="none" w:sz="0" w:space="0" w:color="auto"/>
            <w:left w:val="none" w:sz="0" w:space="0" w:color="auto"/>
            <w:bottom w:val="none" w:sz="0" w:space="0" w:color="auto"/>
            <w:right w:val="none" w:sz="0" w:space="0" w:color="auto"/>
          </w:divBdr>
        </w:div>
      </w:divsChild>
    </w:div>
    <w:div w:id="1039210486">
      <w:marLeft w:val="0"/>
      <w:marRight w:val="0"/>
      <w:marTop w:val="0"/>
      <w:marBottom w:val="180"/>
      <w:divBdr>
        <w:top w:val="none" w:sz="0" w:space="0" w:color="auto"/>
        <w:left w:val="none" w:sz="0" w:space="0" w:color="auto"/>
        <w:bottom w:val="none" w:sz="0" w:space="0" w:color="auto"/>
        <w:right w:val="none" w:sz="0" w:space="0" w:color="auto"/>
      </w:divBdr>
    </w:div>
    <w:div w:id="1041324587">
      <w:marLeft w:val="0"/>
      <w:marRight w:val="0"/>
      <w:marTop w:val="0"/>
      <w:marBottom w:val="120"/>
      <w:divBdr>
        <w:top w:val="none" w:sz="0" w:space="0" w:color="auto"/>
        <w:left w:val="none" w:sz="0" w:space="0" w:color="auto"/>
        <w:bottom w:val="none" w:sz="0" w:space="0" w:color="auto"/>
        <w:right w:val="none" w:sz="0" w:space="0" w:color="auto"/>
      </w:divBdr>
    </w:div>
    <w:div w:id="1052850390">
      <w:marLeft w:val="0"/>
      <w:marRight w:val="0"/>
      <w:marTop w:val="0"/>
      <w:marBottom w:val="180"/>
      <w:divBdr>
        <w:top w:val="none" w:sz="0" w:space="0" w:color="auto"/>
        <w:left w:val="none" w:sz="0" w:space="0" w:color="auto"/>
        <w:bottom w:val="none" w:sz="0" w:space="0" w:color="auto"/>
        <w:right w:val="none" w:sz="0" w:space="0" w:color="auto"/>
      </w:divBdr>
    </w:div>
    <w:div w:id="1057363032">
      <w:marLeft w:val="0"/>
      <w:marRight w:val="0"/>
      <w:marTop w:val="0"/>
      <w:marBottom w:val="180"/>
      <w:divBdr>
        <w:top w:val="none" w:sz="0" w:space="0" w:color="auto"/>
        <w:left w:val="none" w:sz="0" w:space="0" w:color="auto"/>
        <w:bottom w:val="none" w:sz="0" w:space="0" w:color="auto"/>
        <w:right w:val="none" w:sz="0" w:space="0" w:color="auto"/>
      </w:divBdr>
    </w:div>
    <w:div w:id="1060208429">
      <w:marLeft w:val="0"/>
      <w:marRight w:val="0"/>
      <w:marTop w:val="0"/>
      <w:marBottom w:val="0"/>
      <w:divBdr>
        <w:top w:val="none" w:sz="0" w:space="0" w:color="auto"/>
        <w:left w:val="none" w:sz="0" w:space="0" w:color="auto"/>
        <w:bottom w:val="none" w:sz="0" w:space="0" w:color="auto"/>
        <w:right w:val="none" w:sz="0" w:space="0" w:color="auto"/>
      </w:divBdr>
      <w:divsChild>
        <w:div w:id="1114598683">
          <w:marLeft w:val="0"/>
          <w:marRight w:val="0"/>
          <w:marTop w:val="0"/>
          <w:marBottom w:val="0"/>
          <w:divBdr>
            <w:top w:val="none" w:sz="0" w:space="0" w:color="auto"/>
            <w:left w:val="none" w:sz="0" w:space="0" w:color="auto"/>
            <w:bottom w:val="none" w:sz="0" w:space="0" w:color="auto"/>
            <w:right w:val="none" w:sz="0" w:space="0" w:color="auto"/>
          </w:divBdr>
        </w:div>
      </w:divsChild>
    </w:div>
    <w:div w:id="1067729169">
      <w:marLeft w:val="0"/>
      <w:marRight w:val="0"/>
      <w:marTop w:val="0"/>
      <w:marBottom w:val="180"/>
      <w:divBdr>
        <w:top w:val="none" w:sz="0" w:space="0" w:color="auto"/>
        <w:left w:val="none" w:sz="0" w:space="0" w:color="auto"/>
        <w:bottom w:val="none" w:sz="0" w:space="0" w:color="auto"/>
        <w:right w:val="none" w:sz="0" w:space="0" w:color="auto"/>
      </w:divBdr>
    </w:div>
    <w:div w:id="1067873560">
      <w:marLeft w:val="0"/>
      <w:marRight w:val="0"/>
      <w:marTop w:val="0"/>
      <w:marBottom w:val="180"/>
      <w:divBdr>
        <w:top w:val="none" w:sz="0" w:space="0" w:color="auto"/>
        <w:left w:val="none" w:sz="0" w:space="0" w:color="auto"/>
        <w:bottom w:val="none" w:sz="0" w:space="0" w:color="auto"/>
        <w:right w:val="none" w:sz="0" w:space="0" w:color="auto"/>
      </w:divBdr>
    </w:div>
    <w:div w:id="1074007932">
      <w:marLeft w:val="0"/>
      <w:marRight w:val="0"/>
      <w:marTop w:val="0"/>
      <w:marBottom w:val="0"/>
      <w:divBdr>
        <w:top w:val="none" w:sz="0" w:space="0" w:color="auto"/>
        <w:left w:val="none" w:sz="0" w:space="0" w:color="auto"/>
        <w:bottom w:val="none" w:sz="0" w:space="0" w:color="auto"/>
        <w:right w:val="none" w:sz="0" w:space="0" w:color="auto"/>
      </w:divBdr>
      <w:divsChild>
        <w:div w:id="1395856263">
          <w:marLeft w:val="0"/>
          <w:marRight w:val="0"/>
          <w:marTop w:val="0"/>
          <w:marBottom w:val="0"/>
          <w:divBdr>
            <w:top w:val="none" w:sz="0" w:space="0" w:color="auto"/>
            <w:left w:val="none" w:sz="0" w:space="0" w:color="auto"/>
            <w:bottom w:val="none" w:sz="0" w:space="0" w:color="auto"/>
            <w:right w:val="none" w:sz="0" w:space="0" w:color="auto"/>
          </w:divBdr>
        </w:div>
      </w:divsChild>
    </w:div>
    <w:div w:id="1075664291">
      <w:marLeft w:val="0"/>
      <w:marRight w:val="0"/>
      <w:marTop w:val="0"/>
      <w:marBottom w:val="80"/>
      <w:divBdr>
        <w:top w:val="none" w:sz="0" w:space="0" w:color="auto"/>
        <w:left w:val="none" w:sz="0" w:space="0" w:color="auto"/>
        <w:bottom w:val="none" w:sz="0" w:space="0" w:color="auto"/>
        <w:right w:val="none" w:sz="0" w:space="0" w:color="auto"/>
      </w:divBdr>
      <w:divsChild>
        <w:div w:id="1668553147">
          <w:marLeft w:val="0"/>
          <w:marRight w:val="0"/>
          <w:marTop w:val="0"/>
          <w:marBottom w:val="0"/>
          <w:divBdr>
            <w:top w:val="none" w:sz="0" w:space="0" w:color="auto"/>
            <w:left w:val="none" w:sz="0" w:space="0" w:color="auto"/>
            <w:bottom w:val="none" w:sz="0" w:space="0" w:color="auto"/>
            <w:right w:val="none" w:sz="0" w:space="0" w:color="auto"/>
          </w:divBdr>
        </w:div>
      </w:divsChild>
    </w:div>
    <w:div w:id="1076441469">
      <w:marLeft w:val="0"/>
      <w:marRight w:val="0"/>
      <w:marTop w:val="0"/>
      <w:marBottom w:val="180"/>
      <w:divBdr>
        <w:top w:val="none" w:sz="0" w:space="0" w:color="auto"/>
        <w:left w:val="none" w:sz="0" w:space="0" w:color="auto"/>
        <w:bottom w:val="none" w:sz="0" w:space="0" w:color="auto"/>
        <w:right w:val="none" w:sz="0" w:space="0" w:color="auto"/>
      </w:divBdr>
    </w:div>
    <w:div w:id="1076441812">
      <w:marLeft w:val="0"/>
      <w:marRight w:val="0"/>
      <w:marTop w:val="0"/>
      <w:marBottom w:val="0"/>
      <w:divBdr>
        <w:top w:val="none" w:sz="0" w:space="0" w:color="auto"/>
        <w:left w:val="none" w:sz="0" w:space="0" w:color="auto"/>
        <w:bottom w:val="none" w:sz="0" w:space="0" w:color="auto"/>
        <w:right w:val="none" w:sz="0" w:space="0" w:color="auto"/>
      </w:divBdr>
    </w:div>
    <w:div w:id="1079642149">
      <w:marLeft w:val="0"/>
      <w:marRight w:val="0"/>
      <w:marTop w:val="0"/>
      <w:marBottom w:val="0"/>
      <w:divBdr>
        <w:top w:val="none" w:sz="0" w:space="0" w:color="auto"/>
        <w:left w:val="none" w:sz="0" w:space="0" w:color="auto"/>
        <w:bottom w:val="none" w:sz="0" w:space="0" w:color="auto"/>
        <w:right w:val="none" w:sz="0" w:space="0" w:color="auto"/>
      </w:divBdr>
    </w:div>
    <w:div w:id="1082096192">
      <w:marLeft w:val="0"/>
      <w:marRight w:val="0"/>
      <w:marTop w:val="0"/>
      <w:marBottom w:val="0"/>
      <w:divBdr>
        <w:top w:val="none" w:sz="0" w:space="0" w:color="auto"/>
        <w:left w:val="none" w:sz="0" w:space="0" w:color="auto"/>
        <w:bottom w:val="none" w:sz="0" w:space="0" w:color="auto"/>
        <w:right w:val="none" w:sz="0" w:space="0" w:color="auto"/>
      </w:divBdr>
    </w:div>
    <w:div w:id="1093429944">
      <w:marLeft w:val="0"/>
      <w:marRight w:val="0"/>
      <w:marTop w:val="0"/>
      <w:marBottom w:val="0"/>
      <w:divBdr>
        <w:top w:val="none" w:sz="0" w:space="0" w:color="auto"/>
        <w:left w:val="none" w:sz="0" w:space="0" w:color="auto"/>
        <w:bottom w:val="none" w:sz="0" w:space="0" w:color="auto"/>
        <w:right w:val="none" w:sz="0" w:space="0" w:color="auto"/>
      </w:divBdr>
      <w:divsChild>
        <w:div w:id="2065988138">
          <w:marLeft w:val="0"/>
          <w:marRight w:val="0"/>
          <w:marTop w:val="0"/>
          <w:marBottom w:val="0"/>
          <w:divBdr>
            <w:top w:val="none" w:sz="0" w:space="0" w:color="auto"/>
            <w:left w:val="none" w:sz="0" w:space="0" w:color="auto"/>
            <w:bottom w:val="none" w:sz="0" w:space="0" w:color="auto"/>
            <w:right w:val="none" w:sz="0" w:space="0" w:color="auto"/>
          </w:divBdr>
        </w:div>
      </w:divsChild>
    </w:div>
    <w:div w:id="1094862999">
      <w:marLeft w:val="0"/>
      <w:marRight w:val="0"/>
      <w:marTop w:val="0"/>
      <w:marBottom w:val="180"/>
      <w:divBdr>
        <w:top w:val="none" w:sz="0" w:space="0" w:color="auto"/>
        <w:left w:val="none" w:sz="0" w:space="0" w:color="auto"/>
        <w:bottom w:val="none" w:sz="0" w:space="0" w:color="auto"/>
        <w:right w:val="none" w:sz="0" w:space="0" w:color="auto"/>
      </w:divBdr>
    </w:div>
    <w:div w:id="1095438595">
      <w:marLeft w:val="0"/>
      <w:marRight w:val="0"/>
      <w:marTop w:val="0"/>
      <w:marBottom w:val="180"/>
      <w:divBdr>
        <w:top w:val="none" w:sz="0" w:space="0" w:color="auto"/>
        <w:left w:val="none" w:sz="0" w:space="0" w:color="auto"/>
        <w:bottom w:val="none" w:sz="0" w:space="0" w:color="auto"/>
        <w:right w:val="none" w:sz="0" w:space="0" w:color="auto"/>
      </w:divBdr>
    </w:div>
    <w:div w:id="1097871639">
      <w:marLeft w:val="0"/>
      <w:marRight w:val="0"/>
      <w:marTop w:val="0"/>
      <w:marBottom w:val="0"/>
      <w:divBdr>
        <w:top w:val="none" w:sz="0" w:space="0" w:color="auto"/>
        <w:left w:val="none" w:sz="0" w:space="0" w:color="auto"/>
        <w:bottom w:val="none" w:sz="0" w:space="0" w:color="auto"/>
        <w:right w:val="none" w:sz="0" w:space="0" w:color="auto"/>
      </w:divBdr>
      <w:divsChild>
        <w:div w:id="1340541517">
          <w:marLeft w:val="0"/>
          <w:marRight w:val="0"/>
          <w:marTop w:val="0"/>
          <w:marBottom w:val="0"/>
          <w:divBdr>
            <w:top w:val="none" w:sz="0" w:space="0" w:color="auto"/>
            <w:left w:val="none" w:sz="0" w:space="0" w:color="auto"/>
            <w:bottom w:val="none" w:sz="0" w:space="0" w:color="auto"/>
            <w:right w:val="none" w:sz="0" w:space="0" w:color="auto"/>
          </w:divBdr>
        </w:div>
      </w:divsChild>
    </w:div>
    <w:div w:id="1100880868">
      <w:marLeft w:val="0"/>
      <w:marRight w:val="0"/>
      <w:marTop w:val="0"/>
      <w:marBottom w:val="180"/>
      <w:divBdr>
        <w:top w:val="none" w:sz="0" w:space="0" w:color="auto"/>
        <w:left w:val="none" w:sz="0" w:space="0" w:color="auto"/>
        <w:bottom w:val="none" w:sz="0" w:space="0" w:color="auto"/>
        <w:right w:val="none" w:sz="0" w:space="0" w:color="auto"/>
      </w:divBdr>
    </w:div>
    <w:div w:id="1103570638">
      <w:marLeft w:val="0"/>
      <w:marRight w:val="0"/>
      <w:marTop w:val="0"/>
      <w:marBottom w:val="0"/>
      <w:divBdr>
        <w:top w:val="none" w:sz="0" w:space="0" w:color="auto"/>
        <w:left w:val="none" w:sz="0" w:space="0" w:color="auto"/>
        <w:bottom w:val="none" w:sz="0" w:space="0" w:color="auto"/>
        <w:right w:val="none" w:sz="0" w:space="0" w:color="auto"/>
      </w:divBdr>
    </w:div>
    <w:div w:id="1103888479">
      <w:marLeft w:val="0"/>
      <w:marRight w:val="0"/>
      <w:marTop w:val="0"/>
      <w:marBottom w:val="0"/>
      <w:divBdr>
        <w:top w:val="none" w:sz="0" w:space="0" w:color="auto"/>
        <w:left w:val="none" w:sz="0" w:space="0" w:color="auto"/>
        <w:bottom w:val="none" w:sz="0" w:space="0" w:color="auto"/>
        <w:right w:val="none" w:sz="0" w:space="0" w:color="auto"/>
      </w:divBdr>
    </w:div>
    <w:div w:id="1104571322">
      <w:marLeft w:val="0"/>
      <w:marRight w:val="0"/>
      <w:marTop w:val="240"/>
      <w:marBottom w:val="0"/>
      <w:divBdr>
        <w:top w:val="none" w:sz="0" w:space="0" w:color="auto"/>
        <w:left w:val="none" w:sz="0" w:space="0" w:color="auto"/>
        <w:bottom w:val="none" w:sz="0" w:space="0" w:color="auto"/>
        <w:right w:val="none" w:sz="0" w:space="0" w:color="auto"/>
      </w:divBdr>
    </w:div>
    <w:div w:id="1106342872">
      <w:marLeft w:val="0"/>
      <w:marRight w:val="0"/>
      <w:marTop w:val="0"/>
      <w:marBottom w:val="0"/>
      <w:divBdr>
        <w:top w:val="none" w:sz="0" w:space="0" w:color="auto"/>
        <w:left w:val="none" w:sz="0" w:space="0" w:color="auto"/>
        <w:bottom w:val="none" w:sz="0" w:space="0" w:color="auto"/>
        <w:right w:val="none" w:sz="0" w:space="0" w:color="auto"/>
      </w:divBdr>
    </w:div>
    <w:div w:id="1110390430">
      <w:marLeft w:val="0"/>
      <w:marRight w:val="0"/>
      <w:marTop w:val="0"/>
      <w:marBottom w:val="0"/>
      <w:divBdr>
        <w:top w:val="none" w:sz="0" w:space="0" w:color="auto"/>
        <w:left w:val="none" w:sz="0" w:space="0" w:color="auto"/>
        <w:bottom w:val="none" w:sz="0" w:space="0" w:color="auto"/>
        <w:right w:val="none" w:sz="0" w:space="0" w:color="auto"/>
      </w:divBdr>
      <w:divsChild>
        <w:div w:id="68038040">
          <w:marLeft w:val="0"/>
          <w:marRight w:val="0"/>
          <w:marTop w:val="0"/>
          <w:marBottom w:val="0"/>
          <w:divBdr>
            <w:top w:val="none" w:sz="0" w:space="0" w:color="auto"/>
            <w:left w:val="none" w:sz="0" w:space="0" w:color="auto"/>
            <w:bottom w:val="none" w:sz="0" w:space="0" w:color="auto"/>
            <w:right w:val="none" w:sz="0" w:space="0" w:color="auto"/>
          </w:divBdr>
        </w:div>
      </w:divsChild>
    </w:div>
    <w:div w:id="1111626375">
      <w:marLeft w:val="0"/>
      <w:marRight w:val="0"/>
      <w:marTop w:val="0"/>
      <w:marBottom w:val="0"/>
      <w:divBdr>
        <w:top w:val="none" w:sz="0" w:space="0" w:color="auto"/>
        <w:left w:val="none" w:sz="0" w:space="0" w:color="auto"/>
        <w:bottom w:val="none" w:sz="0" w:space="0" w:color="auto"/>
        <w:right w:val="none" w:sz="0" w:space="0" w:color="auto"/>
      </w:divBdr>
      <w:divsChild>
        <w:div w:id="1875733770">
          <w:marLeft w:val="0"/>
          <w:marRight w:val="0"/>
          <w:marTop w:val="0"/>
          <w:marBottom w:val="0"/>
          <w:divBdr>
            <w:top w:val="none" w:sz="0" w:space="0" w:color="auto"/>
            <w:left w:val="none" w:sz="0" w:space="0" w:color="auto"/>
            <w:bottom w:val="none" w:sz="0" w:space="0" w:color="auto"/>
            <w:right w:val="none" w:sz="0" w:space="0" w:color="auto"/>
          </w:divBdr>
        </w:div>
      </w:divsChild>
    </w:div>
    <w:div w:id="1115322338">
      <w:marLeft w:val="0"/>
      <w:marRight w:val="0"/>
      <w:marTop w:val="0"/>
      <w:marBottom w:val="0"/>
      <w:divBdr>
        <w:top w:val="none" w:sz="0" w:space="0" w:color="auto"/>
        <w:left w:val="none" w:sz="0" w:space="0" w:color="auto"/>
        <w:bottom w:val="none" w:sz="0" w:space="0" w:color="auto"/>
        <w:right w:val="none" w:sz="0" w:space="0" w:color="auto"/>
      </w:divBdr>
    </w:div>
    <w:div w:id="1121068510">
      <w:marLeft w:val="0"/>
      <w:marRight w:val="0"/>
      <w:marTop w:val="0"/>
      <w:marBottom w:val="0"/>
      <w:divBdr>
        <w:top w:val="none" w:sz="0" w:space="0" w:color="auto"/>
        <w:left w:val="none" w:sz="0" w:space="0" w:color="auto"/>
        <w:bottom w:val="none" w:sz="0" w:space="0" w:color="auto"/>
        <w:right w:val="none" w:sz="0" w:space="0" w:color="auto"/>
      </w:divBdr>
    </w:div>
    <w:div w:id="1123187504">
      <w:marLeft w:val="0"/>
      <w:marRight w:val="0"/>
      <w:marTop w:val="0"/>
      <w:marBottom w:val="0"/>
      <w:divBdr>
        <w:top w:val="none" w:sz="0" w:space="0" w:color="auto"/>
        <w:left w:val="none" w:sz="0" w:space="0" w:color="auto"/>
        <w:bottom w:val="none" w:sz="0" w:space="0" w:color="auto"/>
        <w:right w:val="none" w:sz="0" w:space="0" w:color="auto"/>
      </w:divBdr>
      <w:divsChild>
        <w:div w:id="1372801531">
          <w:marLeft w:val="0"/>
          <w:marRight w:val="0"/>
          <w:marTop w:val="0"/>
          <w:marBottom w:val="0"/>
          <w:divBdr>
            <w:top w:val="none" w:sz="0" w:space="0" w:color="auto"/>
            <w:left w:val="none" w:sz="0" w:space="0" w:color="auto"/>
            <w:bottom w:val="none" w:sz="0" w:space="0" w:color="auto"/>
            <w:right w:val="none" w:sz="0" w:space="0" w:color="auto"/>
          </w:divBdr>
        </w:div>
      </w:divsChild>
    </w:div>
    <w:div w:id="1124270368">
      <w:marLeft w:val="0"/>
      <w:marRight w:val="0"/>
      <w:marTop w:val="0"/>
      <w:marBottom w:val="0"/>
      <w:divBdr>
        <w:top w:val="none" w:sz="0" w:space="0" w:color="auto"/>
        <w:left w:val="none" w:sz="0" w:space="0" w:color="auto"/>
        <w:bottom w:val="none" w:sz="0" w:space="0" w:color="auto"/>
        <w:right w:val="none" w:sz="0" w:space="0" w:color="auto"/>
      </w:divBdr>
      <w:divsChild>
        <w:div w:id="946424305">
          <w:marLeft w:val="0"/>
          <w:marRight w:val="0"/>
          <w:marTop w:val="0"/>
          <w:marBottom w:val="0"/>
          <w:divBdr>
            <w:top w:val="none" w:sz="0" w:space="0" w:color="auto"/>
            <w:left w:val="none" w:sz="0" w:space="0" w:color="auto"/>
            <w:bottom w:val="none" w:sz="0" w:space="0" w:color="auto"/>
            <w:right w:val="none" w:sz="0" w:space="0" w:color="auto"/>
          </w:divBdr>
        </w:div>
      </w:divsChild>
    </w:div>
    <w:div w:id="1124466993">
      <w:marLeft w:val="0"/>
      <w:marRight w:val="0"/>
      <w:marTop w:val="0"/>
      <w:marBottom w:val="280"/>
      <w:divBdr>
        <w:top w:val="none" w:sz="0" w:space="0" w:color="auto"/>
        <w:left w:val="none" w:sz="0" w:space="0" w:color="auto"/>
        <w:bottom w:val="none" w:sz="0" w:space="0" w:color="auto"/>
        <w:right w:val="none" w:sz="0" w:space="0" w:color="auto"/>
      </w:divBdr>
    </w:div>
    <w:div w:id="1125082756">
      <w:marLeft w:val="0"/>
      <w:marRight w:val="0"/>
      <w:marTop w:val="0"/>
      <w:marBottom w:val="0"/>
      <w:divBdr>
        <w:top w:val="none" w:sz="0" w:space="0" w:color="auto"/>
        <w:left w:val="none" w:sz="0" w:space="0" w:color="auto"/>
        <w:bottom w:val="none" w:sz="0" w:space="0" w:color="auto"/>
        <w:right w:val="none" w:sz="0" w:space="0" w:color="auto"/>
      </w:divBdr>
      <w:divsChild>
        <w:div w:id="600726329">
          <w:marLeft w:val="0"/>
          <w:marRight w:val="0"/>
          <w:marTop w:val="0"/>
          <w:marBottom w:val="0"/>
          <w:divBdr>
            <w:top w:val="none" w:sz="0" w:space="0" w:color="auto"/>
            <w:left w:val="none" w:sz="0" w:space="0" w:color="auto"/>
            <w:bottom w:val="none" w:sz="0" w:space="0" w:color="auto"/>
            <w:right w:val="none" w:sz="0" w:space="0" w:color="auto"/>
          </w:divBdr>
        </w:div>
      </w:divsChild>
    </w:div>
    <w:div w:id="1126316571">
      <w:marLeft w:val="0"/>
      <w:marRight w:val="0"/>
      <w:marTop w:val="0"/>
      <w:marBottom w:val="0"/>
      <w:divBdr>
        <w:top w:val="none" w:sz="0" w:space="0" w:color="auto"/>
        <w:left w:val="none" w:sz="0" w:space="0" w:color="auto"/>
        <w:bottom w:val="none" w:sz="0" w:space="0" w:color="auto"/>
        <w:right w:val="none" w:sz="0" w:space="0" w:color="auto"/>
      </w:divBdr>
    </w:div>
    <w:div w:id="1134061350">
      <w:marLeft w:val="0"/>
      <w:marRight w:val="0"/>
      <w:marTop w:val="0"/>
      <w:marBottom w:val="0"/>
      <w:divBdr>
        <w:top w:val="none" w:sz="0" w:space="0" w:color="auto"/>
        <w:left w:val="none" w:sz="0" w:space="0" w:color="auto"/>
        <w:bottom w:val="none" w:sz="0" w:space="0" w:color="auto"/>
        <w:right w:val="none" w:sz="0" w:space="0" w:color="auto"/>
      </w:divBdr>
      <w:divsChild>
        <w:div w:id="1215123630">
          <w:marLeft w:val="0"/>
          <w:marRight w:val="0"/>
          <w:marTop w:val="0"/>
          <w:marBottom w:val="0"/>
          <w:divBdr>
            <w:top w:val="none" w:sz="0" w:space="0" w:color="auto"/>
            <w:left w:val="none" w:sz="0" w:space="0" w:color="auto"/>
            <w:bottom w:val="none" w:sz="0" w:space="0" w:color="auto"/>
            <w:right w:val="none" w:sz="0" w:space="0" w:color="auto"/>
          </w:divBdr>
        </w:div>
      </w:divsChild>
    </w:div>
    <w:div w:id="1146816367">
      <w:marLeft w:val="0"/>
      <w:marRight w:val="0"/>
      <w:marTop w:val="0"/>
      <w:marBottom w:val="180"/>
      <w:divBdr>
        <w:top w:val="none" w:sz="0" w:space="0" w:color="auto"/>
        <w:left w:val="none" w:sz="0" w:space="0" w:color="auto"/>
        <w:bottom w:val="none" w:sz="0" w:space="0" w:color="auto"/>
        <w:right w:val="none" w:sz="0" w:space="0" w:color="auto"/>
      </w:divBdr>
    </w:div>
    <w:div w:id="1147428852">
      <w:marLeft w:val="0"/>
      <w:marRight w:val="0"/>
      <w:marTop w:val="0"/>
      <w:marBottom w:val="0"/>
      <w:divBdr>
        <w:top w:val="none" w:sz="0" w:space="0" w:color="auto"/>
        <w:left w:val="none" w:sz="0" w:space="0" w:color="auto"/>
        <w:bottom w:val="none" w:sz="0" w:space="0" w:color="auto"/>
        <w:right w:val="none" w:sz="0" w:space="0" w:color="auto"/>
      </w:divBdr>
    </w:div>
    <w:div w:id="1151212426">
      <w:marLeft w:val="0"/>
      <w:marRight w:val="0"/>
      <w:marTop w:val="0"/>
      <w:marBottom w:val="0"/>
      <w:divBdr>
        <w:top w:val="none" w:sz="0" w:space="0" w:color="auto"/>
        <w:left w:val="none" w:sz="0" w:space="0" w:color="auto"/>
        <w:bottom w:val="none" w:sz="0" w:space="0" w:color="auto"/>
        <w:right w:val="none" w:sz="0" w:space="0" w:color="auto"/>
      </w:divBdr>
    </w:div>
    <w:div w:id="1151598741">
      <w:marLeft w:val="0"/>
      <w:marRight w:val="0"/>
      <w:marTop w:val="0"/>
      <w:marBottom w:val="0"/>
      <w:divBdr>
        <w:top w:val="none" w:sz="0" w:space="0" w:color="auto"/>
        <w:left w:val="none" w:sz="0" w:space="0" w:color="auto"/>
        <w:bottom w:val="none" w:sz="0" w:space="0" w:color="auto"/>
        <w:right w:val="none" w:sz="0" w:space="0" w:color="auto"/>
      </w:divBdr>
    </w:div>
    <w:div w:id="1154252739">
      <w:marLeft w:val="0"/>
      <w:marRight w:val="0"/>
      <w:marTop w:val="0"/>
      <w:marBottom w:val="0"/>
      <w:divBdr>
        <w:top w:val="none" w:sz="0" w:space="0" w:color="auto"/>
        <w:left w:val="none" w:sz="0" w:space="0" w:color="auto"/>
        <w:bottom w:val="none" w:sz="0" w:space="0" w:color="auto"/>
        <w:right w:val="none" w:sz="0" w:space="0" w:color="auto"/>
      </w:divBdr>
    </w:div>
    <w:div w:id="1157890150">
      <w:marLeft w:val="0"/>
      <w:marRight w:val="0"/>
      <w:marTop w:val="0"/>
      <w:marBottom w:val="0"/>
      <w:divBdr>
        <w:top w:val="none" w:sz="0" w:space="0" w:color="auto"/>
        <w:left w:val="none" w:sz="0" w:space="0" w:color="auto"/>
        <w:bottom w:val="none" w:sz="0" w:space="0" w:color="auto"/>
        <w:right w:val="none" w:sz="0" w:space="0" w:color="auto"/>
      </w:divBdr>
      <w:divsChild>
        <w:div w:id="89130883">
          <w:marLeft w:val="0"/>
          <w:marRight w:val="0"/>
          <w:marTop w:val="0"/>
          <w:marBottom w:val="0"/>
          <w:divBdr>
            <w:top w:val="none" w:sz="0" w:space="0" w:color="auto"/>
            <w:left w:val="none" w:sz="0" w:space="0" w:color="auto"/>
            <w:bottom w:val="none" w:sz="0" w:space="0" w:color="auto"/>
            <w:right w:val="none" w:sz="0" w:space="0" w:color="auto"/>
          </w:divBdr>
        </w:div>
      </w:divsChild>
    </w:div>
    <w:div w:id="1161310325">
      <w:marLeft w:val="0"/>
      <w:marRight w:val="0"/>
      <w:marTop w:val="0"/>
      <w:marBottom w:val="0"/>
      <w:divBdr>
        <w:top w:val="none" w:sz="0" w:space="0" w:color="auto"/>
        <w:left w:val="none" w:sz="0" w:space="0" w:color="auto"/>
        <w:bottom w:val="none" w:sz="0" w:space="0" w:color="auto"/>
        <w:right w:val="none" w:sz="0" w:space="0" w:color="auto"/>
      </w:divBdr>
    </w:div>
    <w:div w:id="1162543595">
      <w:marLeft w:val="0"/>
      <w:marRight w:val="0"/>
      <w:marTop w:val="0"/>
      <w:marBottom w:val="0"/>
      <w:divBdr>
        <w:top w:val="none" w:sz="0" w:space="0" w:color="auto"/>
        <w:left w:val="none" w:sz="0" w:space="0" w:color="auto"/>
        <w:bottom w:val="none" w:sz="0" w:space="0" w:color="auto"/>
        <w:right w:val="none" w:sz="0" w:space="0" w:color="auto"/>
      </w:divBdr>
    </w:div>
    <w:div w:id="1162889846">
      <w:marLeft w:val="0"/>
      <w:marRight w:val="0"/>
      <w:marTop w:val="0"/>
      <w:marBottom w:val="180"/>
      <w:divBdr>
        <w:top w:val="none" w:sz="0" w:space="0" w:color="auto"/>
        <w:left w:val="none" w:sz="0" w:space="0" w:color="auto"/>
        <w:bottom w:val="none" w:sz="0" w:space="0" w:color="auto"/>
        <w:right w:val="none" w:sz="0" w:space="0" w:color="auto"/>
      </w:divBdr>
    </w:div>
    <w:div w:id="1165319729">
      <w:marLeft w:val="0"/>
      <w:marRight w:val="0"/>
      <w:marTop w:val="0"/>
      <w:marBottom w:val="0"/>
      <w:divBdr>
        <w:top w:val="none" w:sz="0" w:space="0" w:color="auto"/>
        <w:left w:val="none" w:sz="0" w:space="0" w:color="auto"/>
        <w:bottom w:val="none" w:sz="0" w:space="0" w:color="auto"/>
        <w:right w:val="none" w:sz="0" w:space="0" w:color="auto"/>
      </w:divBdr>
    </w:div>
    <w:div w:id="1166672012">
      <w:marLeft w:val="0"/>
      <w:marRight w:val="0"/>
      <w:marTop w:val="240"/>
      <w:marBottom w:val="0"/>
      <w:divBdr>
        <w:top w:val="none" w:sz="0" w:space="0" w:color="auto"/>
        <w:left w:val="none" w:sz="0" w:space="0" w:color="auto"/>
        <w:bottom w:val="none" w:sz="0" w:space="0" w:color="auto"/>
        <w:right w:val="none" w:sz="0" w:space="0" w:color="auto"/>
      </w:divBdr>
    </w:div>
    <w:div w:id="1171532398">
      <w:marLeft w:val="0"/>
      <w:marRight w:val="0"/>
      <w:marTop w:val="0"/>
      <w:marBottom w:val="0"/>
      <w:divBdr>
        <w:top w:val="none" w:sz="0" w:space="0" w:color="auto"/>
        <w:left w:val="none" w:sz="0" w:space="0" w:color="auto"/>
        <w:bottom w:val="none" w:sz="0" w:space="0" w:color="auto"/>
        <w:right w:val="none" w:sz="0" w:space="0" w:color="auto"/>
      </w:divBdr>
    </w:div>
    <w:div w:id="1173836837">
      <w:marLeft w:val="0"/>
      <w:marRight w:val="0"/>
      <w:marTop w:val="0"/>
      <w:marBottom w:val="180"/>
      <w:divBdr>
        <w:top w:val="none" w:sz="0" w:space="0" w:color="auto"/>
        <w:left w:val="none" w:sz="0" w:space="0" w:color="auto"/>
        <w:bottom w:val="none" w:sz="0" w:space="0" w:color="auto"/>
        <w:right w:val="none" w:sz="0" w:space="0" w:color="auto"/>
      </w:divBdr>
    </w:div>
    <w:div w:id="1178496917">
      <w:marLeft w:val="0"/>
      <w:marRight w:val="0"/>
      <w:marTop w:val="0"/>
      <w:marBottom w:val="240"/>
      <w:divBdr>
        <w:top w:val="none" w:sz="0" w:space="0" w:color="auto"/>
        <w:left w:val="none" w:sz="0" w:space="0" w:color="auto"/>
        <w:bottom w:val="none" w:sz="0" w:space="0" w:color="auto"/>
        <w:right w:val="none" w:sz="0" w:space="0" w:color="auto"/>
      </w:divBdr>
    </w:div>
    <w:div w:id="1190147986">
      <w:marLeft w:val="0"/>
      <w:marRight w:val="0"/>
      <w:marTop w:val="0"/>
      <w:marBottom w:val="0"/>
      <w:divBdr>
        <w:top w:val="none" w:sz="0" w:space="0" w:color="auto"/>
        <w:left w:val="none" w:sz="0" w:space="0" w:color="auto"/>
        <w:bottom w:val="none" w:sz="0" w:space="0" w:color="auto"/>
        <w:right w:val="none" w:sz="0" w:space="0" w:color="auto"/>
      </w:divBdr>
      <w:divsChild>
        <w:div w:id="529680951">
          <w:marLeft w:val="0"/>
          <w:marRight w:val="0"/>
          <w:marTop w:val="0"/>
          <w:marBottom w:val="0"/>
          <w:divBdr>
            <w:top w:val="none" w:sz="0" w:space="0" w:color="auto"/>
            <w:left w:val="none" w:sz="0" w:space="0" w:color="auto"/>
            <w:bottom w:val="none" w:sz="0" w:space="0" w:color="auto"/>
            <w:right w:val="none" w:sz="0" w:space="0" w:color="auto"/>
          </w:divBdr>
        </w:div>
      </w:divsChild>
    </w:div>
    <w:div w:id="1193762554">
      <w:marLeft w:val="0"/>
      <w:marRight w:val="0"/>
      <w:marTop w:val="0"/>
      <w:marBottom w:val="0"/>
      <w:divBdr>
        <w:top w:val="none" w:sz="0" w:space="0" w:color="auto"/>
        <w:left w:val="none" w:sz="0" w:space="0" w:color="auto"/>
        <w:bottom w:val="none" w:sz="0" w:space="0" w:color="auto"/>
        <w:right w:val="none" w:sz="0" w:space="0" w:color="auto"/>
      </w:divBdr>
    </w:div>
    <w:div w:id="1199974629">
      <w:marLeft w:val="0"/>
      <w:marRight w:val="0"/>
      <w:marTop w:val="0"/>
      <w:marBottom w:val="0"/>
      <w:divBdr>
        <w:top w:val="none" w:sz="0" w:space="0" w:color="auto"/>
        <w:left w:val="none" w:sz="0" w:space="0" w:color="auto"/>
        <w:bottom w:val="none" w:sz="0" w:space="0" w:color="auto"/>
        <w:right w:val="none" w:sz="0" w:space="0" w:color="auto"/>
      </w:divBdr>
    </w:div>
    <w:div w:id="1208421024">
      <w:marLeft w:val="0"/>
      <w:marRight w:val="0"/>
      <w:marTop w:val="0"/>
      <w:marBottom w:val="0"/>
      <w:divBdr>
        <w:top w:val="none" w:sz="0" w:space="0" w:color="auto"/>
        <w:left w:val="none" w:sz="0" w:space="0" w:color="auto"/>
        <w:bottom w:val="none" w:sz="0" w:space="0" w:color="auto"/>
        <w:right w:val="none" w:sz="0" w:space="0" w:color="auto"/>
      </w:divBdr>
      <w:divsChild>
        <w:div w:id="1204633373">
          <w:marLeft w:val="0"/>
          <w:marRight w:val="0"/>
          <w:marTop w:val="0"/>
          <w:marBottom w:val="0"/>
          <w:divBdr>
            <w:top w:val="none" w:sz="0" w:space="0" w:color="auto"/>
            <w:left w:val="none" w:sz="0" w:space="0" w:color="auto"/>
            <w:bottom w:val="none" w:sz="0" w:space="0" w:color="auto"/>
            <w:right w:val="none" w:sz="0" w:space="0" w:color="auto"/>
          </w:divBdr>
        </w:div>
      </w:divsChild>
    </w:div>
    <w:div w:id="1214274028">
      <w:marLeft w:val="0"/>
      <w:marRight w:val="0"/>
      <w:marTop w:val="0"/>
      <w:marBottom w:val="0"/>
      <w:divBdr>
        <w:top w:val="none" w:sz="0" w:space="0" w:color="auto"/>
        <w:left w:val="none" w:sz="0" w:space="0" w:color="auto"/>
        <w:bottom w:val="none" w:sz="0" w:space="0" w:color="auto"/>
        <w:right w:val="none" w:sz="0" w:space="0" w:color="auto"/>
      </w:divBdr>
      <w:divsChild>
        <w:div w:id="1316299286">
          <w:marLeft w:val="0"/>
          <w:marRight w:val="0"/>
          <w:marTop w:val="0"/>
          <w:marBottom w:val="0"/>
          <w:divBdr>
            <w:top w:val="none" w:sz="0" w:space="0" w:color="auto"/>
            <w:left w:val="none" w:sz="0" w:space="0" w:color="auto"/>
            <w:bottom w:val="none" w:sz="0" w:space="0" w:color="auto"/>
            <w:right w:val="none" w:sz="0" w:space="0" w:color="auto"/>
          </w:divBdr>
        </w:div>
      </w:divsChild>
    </w:div>
    <w:div w:id="1223517385">
      <w:marLeft w:val="0"/>
      <w:marRight w:val="0"/>
      <w:marTop w:val="0"/>
      <w:marBottom w:val="0"/>
      <w:divBdr>
        <w:top w:val="none" w:sz="0" w:space="0" w:color="auto"/>
        <w:left w:val="none" w:sz="0" w:space="0" w:color="auto"/>
        <w:bottom w:val="none" w:sz="0" w:space="0" w:color="auto"/>
        <w:right w:val="none" w:sz="0" w:space="0" w:color="auto"/>
      </w:divBdr>
    </w:div>
    <w:div w:id="1226642651">
      <w:marLeft w:val="0"/>
      <w:marRight w:val="0"/>
      <w:marTop w:val="0"/>
      <w:marBottom w:val="180"/>
      <w:divBdr>
        <w:top w:val="none" w:sz="0" w:space="0" w:color="auto"/>
        <w:left w:val="none" w:sz="0" w:space="0" w:color="auto"/>
        <w:bottom w:val="none" w:sz="0" w:space="0" w:color="auto"/>
        <w:right w:val="none" w:sz="0" w:space="0" w:color="auto"/>
      </w:divBdr>
    </w:div>
    <w:div w:id="1227646764">
      <w:marLeft w:val="0"/>
      <w:marRight w:val="0"/>
      <w:marTop w:val="0"/>
      <w:marBottom w:val="0"/>
      <w:divBdr>
        <w:top w:val="none" w:sz="0" w:space="0" w:color="auto"/>
        <w:left w:val="none" w:sz="0" w:space="0" w:color="auto"/>
        <w:bottom w:val="none" w:sz="0" w:space="0" w:color="auto"/>
        <w:right w:val="none" w:sz="0" w:space="0" w:color="auto"/>
      </w:divBdr>
    </w:div>
    <w:div w:id="1234897718">
      <w:marLeft w:val="0"/>
      <w:marRight w:val="0"/>
      <w:marTop w:val="0"/>
      <w:marBottom w:val="0"/>
      <w:divBdr>
        <w:top w:val="none" w:sz="0" w:space="0" w:color="auto"/>
        <w:left w:val="none" w:sz="0" w:space="0" w:color="auto"/>
        <w:bottom w:val="none" w:sz="0" w:space="0" w:color="auto"/>
        <w:right w:val="none" w:sz="0" w:space="0" w:color="auto"/>
      </w:divBdr>
    </w:div>
    <w:div w:id="1242175140">
      <w:marLeft w:val="0"/>
      <w:marRight w:val="0"/>
      <w:marTop w:val="0"/>
      <w:marBottom w:val="0"/>
      <w:divBdr>
        <w:top w:val="none" w:sz="0" w:space="0" w:color="auto"/>
        <w:left w:val="none" w:sz="0" w:space="0" w:color="auto"/>
        <w:bottom w:val="none" w:sz="0" w:space="0" w:color="auto"/>
        <w:right w:val="none" w:sz="0" w:space="0" w:color="auto"/>
      </w:divBdr>
    </w:div>
    <w:div w:id="1244142418">
      <w:marLeft w:val="0"/>
      <w:marRight w:val="0"/>
      <w:marTop w:val="0"/>
      <w:marBottom w:val="0"/>
      <w:divBdr>
        <w:top w:val="none" w:sz="0" w:space="0" w:color="auto"/>
        <w:left w:val="none" w:sz="0" w:space="0" w:color="auto"/>
        <w:bottom w:val="none" w:sz="0" w:space="0" w:color="auto"/>
        <w:right w:val="none" w:sz="0" w:space="0" w:color="auto"/>
      </w:divBdr>
      <w:divsChild>
        <w:div w:id="568885099">
          <w:marLeft w:val="0"/>
          <w:marRight w:val="0"/>
          <w:marTop w:val="0"/>
          <w:marBottom w:val="0"/>
          <w:divBdr>
            <w:top w:val="none" w:sz="0" w:space="0" w:color="auto"/>
            <w:left w:val="none" w:sz="0" w:space="0" w:color="auto"/>
            <w:bottom w:val="none" w:sz="0" w:space="0" w:color="auto"/>
            <w:right w:val="none" w:sz="0" w:space="0" w:color="auto"/>
          </w:divBdr>
        </w:div>
      </w:divsChild>
    </w:div>
    <w:div w:id="1248614912">
      <w:marLeft w:val="0"/>
      <w:marRight w:val="0"/>
      <w:marTop w:val="0"/>
      <w:marBottom w:val="180"/>
      <w:divBdr>
        <w:top w:val="none" w:sz="0" w:space="0" w:color="auto"/>
        <w:left w:val="none" w:sz="0" w:space="0" w:color="auto"/>
        <w:bottom w:val="none" w:sz="0" w:space="0" w:color="auto"/>
        <w:right w:val="none" w:sz="0" w:space="0" w:color="auto"/>
      </w:divBdr>
    </w:div>
    <w:div w:id="1252549398">
      <w:marLeft w:val="0"/>
      <w:marRight w:val="0"/>
      <w:marTop w:val="100"/>
      <w:marBottom w:val="0"/>
      <w:divBdr>
        <w:top w:val="none" w:sz="0" w:space="0" w:color="auto"/>
        <w:left w:val="none" w:sz="0" w:space="0" w:color="auto"/>
        <w:bottom w:val="none" w:sz="0" w:space="0" w:color="auto"/>
        <w:right w:val="none" w:sz="0" w:space="0" w:color="auto"/>
      </w:divBdr>
    </w:div>
    <w:div w:id="1253054519">
      <w:marLeft w:val="0"/>
      <w:marRight w:val="0"/>
      <w:marTop w:val="0"/>
      <w:marBottom w:val="0"/>
      <w:divBdr>
        <w:top w:val="none" w:sz="0" w:space="0" w:color="auto"/>
        <w:left w:val="none" w:sz="0" w:space="0" w:color="auto"/>
        <w:bottom w:val="none" w:sz="0" w:space="0" w:color="auto"/>
        <w:right w:val="none" w:sz="0" w:space="0" w:color="auto"/>
      </w:divBdr>
      <w:divsChild>
        <w:div w:id="643966921">
          <w:marLeft w:val="0"/>
          <w:marRight w:val="0"/>
          <w:marTop w:val="0"/>
          <w:marBottom w:val="0"/>
          <w:divBdr>
            <w:top w:val="none" w:sz="0" w:space="0" w:color="auto"/>
            <w:left w:val="none" w:sz="0" w:space="0" w:color="auto"/>
            <w:bottom w:val="none" w:sz="0" w:space="0" w:color="auto"/>
            <w:right w:val="none" w:sz="0" w:space="0" w:color="auto"/>
          </w:divBdr>
        </w:div>
      </w:divsChild>
    </w:div>
    <w:div w:id="1254129451">
      <w:marLeft w:val="0"/>
      <w:marRight w:val="0"/>
      <w:marTop w:val="0"/>
      <w:marBottom w:val="0"/>
      <w:divBdr>
        <w:top w:val="none" w:sz="0" w:space="0" w:color="auto"/>
        <w:left w:val="none" w:sz="0" w:space="0" w:color="auto"/>
        <w:bottom w:val="none" w:sz="0" w:space="0" w:color="auto"/>
        <w:right w:val="none" w:sz="0" w:space="0" w:color="auto"/>
      </w:divBdr>
      <w:divsChild>
        <w:div w:id="587422154">
          <w:marLeft w:val="0"/>
          <w:marRight w:val="0"/>
          <w:marTop w:val="0"/>
          <w:marBottom w:val="0"/>
          <w:divBdr>
            <w:top w:val="none" w:sz="0" w:space="0" w:color="auto"/>
            <w:left w:val="none" w:sz="0" w:space="0" w:color="auto"/>
            <w:bottom w:val="none" w:sz="0" w:space="0" w:color="auto"/>
            <w:right w:val="none" w:sz="0" w:space="0" w:color="auto"/>
          </w:divBdr>
        </w:div>
      </w:divsChild>
    </w:div>
    <w:div w:id="1256671846">
      <w:marLeft w:val="0"/>
      <w:marRight w:val="0"/>
      <w:marTop w:val="0"/>
      <w:marBottom w:val="120"/>
      <w:divBdr>
        <w:top w:val="none" w:sz="0" w:space="0" w:color="auto"/>
        <w:left w:val="none" w:sz="0" w:space="0" w:color="auto"/>
        <w:bottom w:val="none" w:sz="0" w:space="0" w:color="auto"/>
        <w:right w:val="none" w:sz="0" w:space="0" w:color="auto"/>
      </w:divBdr>
    </w:div>
    <w:div w:id="1260794979">
      <w:marLeft w:val="0"/>
      <w:marRight w:val="0"/>
      <w:marTop w:val="0"/>
      <w:marBottom w:val="0"/>
      <w:divBdr>
        <w:top w:val="none" w:sz="0" w:space="0" w:color="auto"/>
        <w:left w:val="none" w:sz="0" w:space="0" w:color="auto"/>
        <w:bottom w:val="none" w:sz="0" w:space="0" w:color="auto"/>
        <w:right w:val="none" w:sz="0" w:space="0" w:color="auto"/>
      </w:divBdr>
      <w:divsChild>
        <w:div w:id="589965390">
          <w:marLeft w:val="0"/>
          <w:marRight w:val="0"/>
          <w:marTop w:val="0"/>
          <w:marBottom w:val="0"/>
          <w:divBdr>
            <w:top w:val="none" w:sz="0" w:space="0" w:color="auto"/>
            <w:left w:val="none" w:sz="0" w:space="0" w:color="auto"/>
            <w:bottom w:val="none" w:sz="0" w:space="0" w:color="auto"/>
            <w:right w:val="none" w:sz="0" w:space="0" w:color="auto"/>
          </w:divBdr>
        </w:div>
      </w:divsChild>
    </w:div>
    <w:div w:id="1264075903">
      <w:marLeft w:val="0"/>
      <w:marRight w:val="0"/>
      <w:marTop w:val="0"/>
      <w:marBottom w:val="180"/>
      <w:divBdr>
        <w:top w:val="none" w:sz="0" w:space="0" w:color="auto"/>
        <w:left w:val="none" w:sz="0" w:space="0" w:color="auto"/>
        <w:bottom w:val="none" w:sz="0" w:space="0" w:color="auto"/>
        <w:right w:val="none" w:sz="0" w:space="0" w:color="auto"/>
      </w:divBdr>
    </w:div>
    <w:div w:id="1266811501">
      <w:marLeft w:val="0"/>
      <w:marRight w:val="0"/>
      <w:marTop w:val="0"/>
      <w:marBottom w:val="0"/>
      <w:divBdr>
        <w:top w:val="none" w:sz="0" w:space="0" w:color="auto"/>
        <w:left w:val="none" w:sz="0" w:space="0" w:color="auto"/>
        <w:bottom w:val="none" w:sz="0" w:space="0" w:color="auto"/>
        <w:right w:val="none" w:sz="0" w:space="0" w:color="auto"/>
      </w:divBdr>
    </w:div>
    <w:div w:id="1268733835">
      <w:marLeft w:val="0"/>
      <w:marRight w:val="0"/>
      <w:marTop w:val="0"/>
      <w:marBottom w:val="180"/>
      <w:divBdr>
        <w:top w:val="none" w:sz="0" w:space="0" w:color="auto"/>
        <w:left w:val="none" w:sz="0" w:space="0" w:color="auto"/>
        <w:bottom w:val="none" w:sz="0" w:space="0" w:color="auto"/>
        <w:right w:val="none" w:sz="0" w:space="0" w:color="auto"/>
      </w:divBdr>
    </w:div>
    <w:div w:id="1273779163">
      <w:marLeft w:val="0"/>
      <w:marRight w:val="0"/>
      <w:marTop w:val="0"/>
      <w:marBottom w:val="0"/>
      <w:divBdr>
        <w:top w:val="none" w:sz="0" w:space="0" w:color="auto"/>
        <w:left w:val="none" w:sz="0" w:space="0" w:color="auto"/>
        <w:bottom w:val="none" w:sz="0" w:space="0" w:color="auto"/>
        <w:right w:val="none" w:sz="0" w:space="0" w:color="auto"/>
      </w:divBdr>
      <w:divsChild>
        <w:div w:id="798692275">
          <w:marLeft w:val="0"/>
          <w:marRight w:val="0"/>
          <w:marTop w:val="0"/>
          <w:marBottom w:val="0"/>
          <w:divBdr>
            <w:top w:val="none" w:sz="0" w:space="0" w:color="auto"/>
            <w:left w:val="none" w:sz="0" w:space="0" w:color="auto"/>
            <w:bottom w:val="none" w:sz="0" w:space="0" w:color="auto"/>
            <w:right w:val="none" w:sz="0" w:space="0" w:color="auto"/>
          </w:divBdr>
        </w:div>
      </w:divsChild>
    </w:div>
    <w:div w:id="1275400086">
      <w:marLeft w:val="0"/>
      <w:marRight w:val="0"/>
      <w:marTop w:val="0"/>
      <w:marBottom w:val="0"/>
      <w:divBdr>
        <w:top w:val="none" w:sz="0" w:space="0" w:color="auto"/>
        <w:left w:val="none" w:sz="0" w:space="0" w:color="auto"/>
        <w:bottom w:val="none" w:sz="0" w:space="0" w:color="auto"/>
        <w:right w:val="none" w:sz="0" w:space="0" w:color="auto"/>
      </w:divBdr>
      <w:divsChild>
        <w:div w:id="1357198158">
          <w:marLeft w:val="0"/>
          <w:marRight w:val="0"/>
          <w:marTop w:val="0"/>
          <w:marBottom w:val="0"/>
          <w:divBdr>
            <w:top w:val="none" w:sz="0" w:space="0" w:color="auto"/>
            <w:left w:val="none" w:sz="0" w:space="0" w:color="auto"/>
            <w:bottom w:val="none" w:sz="0" w:space="0" w:color="auto"/>
            <w:right w:val="none" w:sz="0" w:space="0" w:color="auto"/>
          </w:divBdr>
        </w:div>
      </w:divsChild>
    </w:div>
    <w:div w:id="1276328343">
      <w:marLeft w:val="0"/>
      <w:marRight w:val="0"/>
      <w:marTop w:val="0"/>
      <w:marBottom w:val="0"/>
      <w:divBdr>
        <w:top w:val="none" w:sz="0" w:space="0" w:color="auto"/>
        <w:left w:val="none" w:sz="0" w:space="0" w:color="auto"/>
        <w:bottom w:val="none" w:sz="0" w:space="0" w:color="auto"/>
        <w:right w:val="none" w:sz="0" w:space="0" w:color="auto"/>
      </w:divBdr>
    </w:div>
    <w:div w:id="1280986450">
      <w:marLeft w:val="0"/>
      <w:marRight w:val="0"/>
      <w:marTop w:val="0"/>
      <w:marBottom w:val="0"/>
      <w:divBdr>
        <w:top w:val="none" w:sz="0" w:space="0" w:color="auto"/>
        <w:left w:val="none" w:sz="0" w:space="0" w:color="auto"/>
        <w:bottom w:val="none" w:sz="0" w:space="0" w:color="auto"/>
        <w:right w:val="none" w:sz="0" w:space="0" w:color="auto"/>
      </w:divBdr>
    </w:div>
    <w:div w:id="1288320025">
      <w:marLeft w:val="0"/>
      <w:marRight w:val="0"/>
      <w:marTop w:val="0"/>
      <w:marBottom w:val="0"/>
      <w:divBdr>
        <w:top w:val="none" w:sz="0" w:space="0" w:color="auto"/>
        <w:left w:val="none" w:sz="0" w:space="0" w:color="auto"/>
        <w:bottom w:val="none" w:sz="0" w:space="0" w:color="auto"/>
        <w:right w:val="none" w:sz="0" w:space="0" w:color="auto"/>
      </w:divBdr>
      <w:divsChild>
        <w:div w:id="528684399">
          <w:marLeft w:val="0"/>
          <w:marRight w:val="0"/>
          <w:marTop w:val="0"/>
          <w:marBottom w:val="0"/>
          <w:divBdr>
            <w:top w:val="none" w:sz="0" w:space="0" w:color="auto"/>
            <w:left w:val="none" w:sz="0" w:space="0" w:color="auto"/>
            <w:bottom w:val="none" w:sz="0" w:space="0" w:color="auto"/>
            <w:right w:val="none" w:sz="0" w:space="0" w:color="auto"/>
          </w:divBdr>
        </w:div>
      </w:divsChild>
    </w:div>
    <w:div w:id="1288394478">
      <w:marLeft w:val="0"/>
      <w:marRight w:val="0"/>
      <w:marTop w:val="0"/>
      <w:marBottom w:val="0"/>
      <w:divBdr>
        <w:top w:val="none" w:sz="0" w:space="0" w:color="auto"/>
        <w:left w:val="none" w:sz="0" w:space="0" w:color="auto"/>
        <w:bottom w:val="none" w:sz="0" w:space="0" w:color="auto"/>
        <w:right w:val="none" w:sz="0" w:space="0" w:color="auto"/>
      </w:divBdr>
      <w:divsChild>
        <w:div w:id="764619037">
          <w:marLeft w:val="0"/>
          <w:marRight w:val="0"/>
          <w:marTop w:val="0"/>
          <w:marBottom w:val="0"/>
          <w:divBdr>
            <w:top w:val="none" w:sz="0" w:space="0" w:color="auto"/>
            <w:left w:val="none" w:sz="0" w:space="0" w:color="auto"/>
            <w:bottom w:val="none" w:sz="0" w:space="0" w:color="auto"/>
            <w:right w:val="none" w:sz="0" w:space="0" w:color="auto"/>
          </w:divBdr>
        </w:div>
      </w:divsChild>
    </w:div>
    <w:div w:id="1289237427">
      <w:marLeft w:val="0"/>
      <w:marRight w:val="0"/>
      <w:marTop w:val="100"/>
      <w:marBottom w:val="0"/>
      <w:divBdr>
        <w:top w:val="none" w:sz="0" w:space="0" w:color="auto"/>
        <w:left w:val="none" w:sz="0" w:space="0" w:color="auto"/>
        <w:bottom w:val="none" w:sz="0" w:space="0" w:color="auto"/>
        <w:right w:val="none" w:sz="0" w:space="0" w:color="auto"/>
      </w:divBdr>
    </w:div>
    <w:div w:id="1290168347">
      <w:marLeft w:val="0"/>
      <w:marRight w:val="0"/>
      <w:marTop w:val="0"/>
      <w:marBottom w:val="0"/>
      <w:divBdr>
        <w:top w:val="none" w:sz="0" w:space="0" w:color="auto"/>
        <w:left w:val="none" w:sz="0" w:space="0" w:color="auto"/>
        <w:bottom w:val="none" w:sz="0" w:space="0" w:color="auto"/>
        <w:right w:val="none" w:sz="0" w:space="0" w:color="auto"/>
      </w:divBdr>
      <w:divsChild>
        <w:div w:id="171532490">
          <w:marLeft w:val="0"/>
          <w:marRight w:val="0"/>
          <w:marTop w:val="0"/>
          <w:marBottom w:val="0"/>
          <w:divBdr>
            <w:top w:val="none" w:sz="0" w:space="0" w:color="auto"/>
            <w:left w:val="none" w:sz="0" w:space="0" w:color="auto"/>
            <w:bottom w:val="none" w:sz="0" w:space="0" w:color="auto"/>
            <w:right w:val="none" w:sz="0" w:space="0" w:color="auto"/>
          </w:divBdr>
        </w:div>
      </w:divsChild>
    </w:div>
    <w:div w:id="1294360004">
      <w:marLeft w:val="0"/>
      <w:marRight w:val="0"/>
      <w:marTop w:val="0"/>
      <w:marBottom w:val="0"/>
      <w:divBdr>
        <w:top w:val="none" w:sz="0" w:space="0" w:color="auto"/>
        <w:left w:val="none" w:sz="0" w:space="0" w:color="auto"/>
        <w:bottom w:val="none" w:sz="0" w:space="0" w:color="auto"/>
        <w:right w:val="none" w:sz="0" w:space="0" w:color="auto"/>
      </w:divBdr>
      <w:divsChild>
        <w:div w:id="1093285223">
          <w:marLeft w:val="0"/>
          <w:marRight w:val="0"/>
          <w:marTop w:val="0"/>
          <w:marBottom w:val="0"/>
          <w:divBdr>
            <w:top w:val="none" w:sz="0" w:space="0" w:color="auto"/>
            <w:left w:val="none" w:sz="0" w:space="0" w:color="auto"/>
            <w:bottom w:val="none" w:sz="0" w:space="0" w:color="auto"/>
            <w:right w:val="none" w:sz="0" w:space="0" w:color="auto"/>
          </w:divBdr>
        </w:div>
      </w:divsChild>
    </w:div>
    <w:div w:id="1297645132">
      <w:marLeft w:val="0"/>
      <w:marRight w:val="0"/>
      <w:marTop w:val="0"/>
      <w:marBottom w:val="0"/>
      <w:divBdr>
        <w:top w:val="none" w:sz="0" w:space="0" w:color="auto"/>
        <w:left w:val="none" w:sz="0" w:space="0" w:color="auto"/>
        <w:bottom w:val="none" w:sz="0" w:space="0" w:color="auto"/>
        <w:right w:val="none" w:sz="0" w:space="0" w:color="auto"/>
      </w:divBdr>
    </w:div>
    <w:div w:id="1301616585">
      <w:marLeft w:val="0"/>
      <w:marRight w:val="0"/>
      <w:marTop w:val="0"/>
      <w:marBottom w:val="0"/>
      <w:divBdr>
        <w:top w:val="none" w:sz="0" w:space="0" w:color="auto"/>
        <w:left w:val="none" w:sz="0" w:space="0" w:color="auto"/>
        <w:bottom w:val="none" w:sz="0" w:space="0" w:color="auto"/>
        <w:right w:val="none" w:sz="0" w:space="0" w:color="auto"/>
      </w:divBdr>
    </w:div>
    <w:div w:id="1305351544">
      <w:marLeft w:val="0"/>
      <w:marRight w:val="0"/>
      <w:marTop w:val="240"/>
      <w:marBottom w:val="0"/>
      <w:divBdr>
        <w:top w:val="none" w:sz="0" w:space="0" w:color="auto"/>
        <w:left w:val="none" w:sz="0" w:space="0" w:color="auto"/>
        <w:bottom w:val="none" w:sz="0" w:space="0" w:color="auto"/>
        <w:right w:val="none" w:sz="0" w:space="0" w:color="auto"/>
      </w:divBdr>
    </w:div>
    <w:div w:id="1308512623">
      <w:marLeft w:val="0"/>
      <w:marRight w:val="0"/>
      <w:marTop w:val="0"/>
      <w:marBottom w:val="0"/>
      <w:divBdr>
        <w:top w:val="none" w:sz="0" w:space="0" w:color="auto"/>
        <w:left w:val="none" w:sz="0" w:space="0" w:color="auto"/>
        <w:bottom w:val="none" w:sz="0" w:space="0" w:color="auto"/>
        <w:right w:val="none" w:sz="0" w:space="0" w:color="auto"/>
      </w:divBdr>
      <w:divsChild>
        <w:div w:id="1561749173">
          <w:marLeft w:val="0"/>
          <w:marRight w:val="0"/>
          <w:marTop w:val="0"/>
          <w:marBottom w:val="0"/>
          <w:divBdr>
            <w:top w:val="none" w:sz="0" w:space="0" w:color="auto"/>
            <w:left w:val="none" w:sz="0" w:space="0" w:color="auto"/>
            <w:bottom w:val="none" w:sz="0" w:space="0" w:color="auto"/>
            <w:right w:val="none" w:sz="0" w:space="0" w:color="auto"/>
          </w:divBdr>
        </w:div>
      </w:divsChild>
    </w:div>
    <w:div w:id="1309239586">
      <w:marLeft w:val="0"/>
      <w:marRight w:val="0"/>
      <w:marTop w:val="0"/>
      <w:marBottom w:val="0"/>
      <w:divBdr>
        <w:top w:val="none" w:sz="0" w:space="0" w:color="auto"/>
        <w:left w:val="none" w:sz="0" w:space="0" w:color="auto"/>
        <w:bottom w:val="none" w:sz="0" w:space="0" w:color="auto"/>
        <w:right w:val="none" w:sz="0" w:space="0" w:color="auto"/>
      </w:divBdr>
      <w:divsChild>
        <w:div w:id="1030031386">
          <w:marLeft w:val="0"/>
          <w:marRight w:val="0"/>
          <w:marTop w:val="0"/>
          <w:marBottom w:val="0"/>
          <w:divBdr>
            <w:top w:val="none" w:sz="0" w:space="0" w:color="auto"/>
            <w:left w:val="none" w:sz="0" w:space="0" w:color="auto"/>
            <w:bottom w:val="none" w:sz="0" w:space="0" w:color="auto"/>
            <w:right w:val="none" w:sz="0" w:space="0" w:color="auto"/>
          </w:divBdr>
        </w:div>
      </w:divsChild>
    </w:div>
    <w:div w:id="1311980310">
      <w:marLeft w:val="0"/>
      <w:marRight w:val="0"/>
      <w:marTop w:val="0"/>
      <w:marBottom w:val="0"/>
      <w:divBdr>
        <w:top w:val="none" w:sz="0" w:space="0" w:color="auto"/>
        <w:left w:val="none" w:sz="0" w:space="0" w:color="auto"/>
        <w:bottom w:val="none" w:sz="0" w:space="0" w:color="auto"/>
        <w:right w:val="none" w:sz="0" w:space="0" w:color="auto"/>
      </w:divBdr>
      <w:divsChild>
        <w:div w:id="910626409">
          <w:marLeft w:val="0"/>
          <w:marRight w:val="0"/>
          <w:marTop w:val="0"/>
          <w:marBottom w:val="0"/>
          <w:divBdr>
            <w:top w:val="none" w:sz="0" w:space="0" w:color="auto"/>
            <w:left w:val="none" w:sz="0" w:space="0" w:color="auto"/>
            <w:bottom w:val="none" w:sz="0" w:space="0" w:color="auto"/>
            <w:right w:val="none" w:sz="0" w:space="0" w:color="auto"/>
          </w:divBdr>
        </w:div>
      </w:divsChild>
    </w:div>
    <w:div w:id="1313101839">
      <w:marLeft w:val="0"/>
      <w:marRight w:val="0"/>
      <w:marTop w:val="0"/>
      <w:marBottom w:val="0"/>
      <w:divBdr>
        <w:top w:val="none" w:sz="0" w:space="0" w:color="auto"/>
        <w:left w:val="none" w:sz="0" w:space="0" w:color="auto"/>
        <w:bottom w:val="none" w:sz="0" w:space="0" w:color="auto"/>
        <w:right w:val="none" w:sz="0" w:space="0" w:color="auto"/>
      </w:divBdr>
      <w:divsChild>
        <w:div w:id="1201165060">
          <w:marLeft w:val="0"/>
          <w:marRight w:val="0"/>
          <w:marTop w:val="0"/>
          <w:marBottom w:val="0"/>
          <w:divBdr>
            <w:top w:val="none" w:sz="0" w:space="0" w:color="auto"/>
            <w:left w:val="none" w:sz="0" w:space="0" w:color="auto"/>
            <w:bottom w:val="none" w:sz="0" w:space="0" w:color="auto"/>
            <w:right w:val="none" w:sz="0" w:space="0" w:color="auto"/>
          </w:divBdr>
        </w:div>
      </w:divsChild>
    </w:div>
    <w:div w:id="1315379730">
      <w:marLeft w:val="0"/>
      <w:marRight w:val="0"/>
      <w:marTop w:val="0"/>
      <w:marBottom w:val="0"/>
      <w:divBdr>
        <w:top w:val="none" w:sz="0" w:space="0" w:color="auto"/>
        <w:left w:val="none" w:sz="0" w:space="0" w:color="auto"/>
        <w:bottom w:val="none" w:sz="0" w:space="0" w:color="auto"/>
        <w:right w:val="none" w:sz="0" w:space="0" w:color="auto"/>
      </w:divBdr>
      <w:divsChild>
        <w:div w:id="1787847018">
          <w:marLeft w:val="0"/>
          <w:marRight w:val="0"/>
          <w:marTop w:val="0"/>
          <w:marBottom w:val="0"/>
          <w:divBdr>
            <w:top w:val="none" w:sz="0" w:space="0" w:color="auto"/>
            <w:left w:val="none" w:sz="0" w:space="0" w:color="auto"/>
            <w:bottom w:val="none" w:sz="0" w:space="0" w:color="auto"/>
            <w:right w:val="none" w:sz="0" w:space="0" w:color="auto"/>
          </w:divBdr>
        </w:div>
      </w:divsChild>
    </w:div>
    <w:div w:id="1321037888">
      <w:marLeft w:val="0"/>
      <w:marRight w:val="0"/>
      <w:marTop w:val="0"/>
      <w:marBottom w:val="0"/>
      <w:divBdr>
        <w:top w:val="none" w:sz="0" w:space="0" w:color="auto"/>
        <w:left w:val="none" w:sz="0" w:space="0" w:color="auto"/>
        <w:bottom w:val="none" w:sz="0" w:space="0" w:color="auto"/>
        <w:right w:val="none" w:sz="0" w:space="0" w:color="auto"/>
      </w:divBdr>
      <w:divsChild>
        <w:div w:id="189614651">
          <w:marLeft w:val="0"/>
          <w:marRight w:val="0"/>
          <w:marTop w:val="0"/>
          <w:marBottom w:val="0"/>
          <w:divBdr>
            <w:top w:val="none" w:sz="0" w:space="0" w:color="auto"/>
            <w:left w:val="none" w:sz="0" w:space="0" w:color="auto"/>
            <w:bottom w:val="none" w:sz="0" w:space="0" w:color="auto"/>
            <w:right w:val="none" w:sz="0" w:space="0" w:color="auto"/>
          </w:divBdr>
        </w:div>
      </w:divsChild>
    </w:div>
    <w:div w:id="1322536499">
      <w:marLeft w:val="0"/>
      <w:marRight w:val="0"/>
      <w:marTop w:val="0"/>
      <w:marBottom w:val="180"/>
      <w:divBdr>
        <w:top w:val="none" w:sz="0" w:space="0" w:color="auto"/>
        <w:left w:val="none" w:sz="0" w:space="0" w:color="auto"/>
        <w:bottom w:val="none" w:sz="0" w:space="0" w:color="auto"/>
        <w:right w:val="none" w:sz="0" w:space="0" w:color="auto"/>
      </w:divBdr>
    </w:div>
    <w:div w:id="1322543785">
      <w:marLeft w:val="0"/>
      <w:marRight w:val="0"/>
      <w:marTop w:val="0"/>
      <w:marBottom w:val="0"/>
      <w:divBdr>
        <w:top w:val="none" w:sz="0" w:space="0" w:color="auto"/>
        <w:left w:val="none" w:sz="0" w:space="0" w:color="auto"/>
        <w:bottom w:val="none" w:sz="0" w:space="0" w:color="auto"/>
        <w:right w:val="none" w:sz="0" w:space="0" w:color="auto"/>
      </w:divBdr>
    </w:div>
    <w:div w:id="1323854009">
      <w:marLeft w:val="0"/>
      <w:marRight w:val="0"/>
      <w:marTop w:val="0"/>
      <w:marBottom w:val="0"/>
      <w:divBdr>
        <w:top w:val="none" w:sz="0" w:space="0" w:color="auto"/>
        <w:left w:val="none" w:sz="0" w:space="0" w:color="auto"/>
        <w:bottom w:val="none" w:sz="0" w:space="0" w:color="auto"/>
        <w:right w:val="none" w:sz="0" w:space="0" w:color="auto"/>
      </w:divBdr>
    </w:div>
    <w:div w:id="1324118240">
      <w:marLeft w:val="0"/>
      <w:marRight w:val="0"/>
      <w:marTop w:val="0"/>
      <w:marBottom w:val="0"/>
      <w:divBdr>
        <w:top w:val="none" w:sz="0" w:space="0" w:color="auto"/>
        <w:left w:val="none" w:sz="0" w:space="0" w:color="auto"/>
        <w:bottom w:val="none" w:sz="0" w:space="0" w:color="auto"/>
        <w:right w:val="none" w:sz="0" w:space="0" w:color="auto"/>
      </w:divBdr>
    </w:div>
    <w:div w:id="1327131441">
      <w:marLeft w:val="0"/>
      <w:marRight w:val="0"/>
      <w:marTop w:val="0"/>
      <w:marBottom w:val="0"/>
      <w:divBdr>
        <w:top w:val="none" w:sz="0" w:space="0" w:color="auto"/>
        <w:left w:val="none" w:sz="0" w:space="0" w:color="auto"/>
        <w:bottom w:val="none" w:sz="0" w:space="0" w:color="auto"/>
        <w:right w:val="none" w:sz="0" w:space="0" w:color="auto"/>
      </w:divBdr>
    </w:div>
    <w:div w:id="1331250883">
      <w:marLeft w:val="0"/>
      <w:marRight w:val="0"/>
      <w:marTop w:val="0"/>
      <w:marBottom w:val="80"/>
      <w:divBdr>
        <w:top w:val="none" w:sz="0" w:space="0" w:color="auto"/>
        <w:left w:val="none" w:sz="0" w:space="0" w:color="auto"/>
        <w:bottom w:val="none" w:sz="0" w:space="0" w:color="auto"/>
        <w:right w:val="none" w:sz="0" w:space="0" w:color="auto"/>
      </w:divBdr>
    </w:div>
    <w:div w:id="1333294443">
      <w:marLeft w:val="0"/>
      <w:marRight w:val="0"/>
      <w:marTop w:val="0"/>
      <w:marBottom w:val="180"/>
      <w:divBdr>
        <w:top w:val="none" w:sz="0" w:space="0" w:color="auto"/>
        <w:left w:val="none" w:sz="0" w:space="0" w:color="auto"/>
        <w:bottom w:val="none" w:sz="0" w:space="0" w:color="auto"/>
        <w:right w:val="none" w:sz="0" w:space="0" w:color="auto"/>
      </w:divBdr>
    </w:div>
    <w:div w:id="1335302310">
      <w:marLeft w:val="0"/>
      <w:marRight w:val="0"/>
      <w:marTop w:val="0"/>
      <w:marBottom w:val="0"/>
      <w:divBdr>
        <w:top w:val="none" w:sz="0" w:space="0" w:color="auto"/>
        <w:left w:val="none" w:sz="0" w:space="0" w:color="auto"/>
        <w:bottom w:val="none" w:sz="0" w:space="0" w:color="auto"/>
        <w:right w:val="none" w:sz="0" w:space="0" w:color="auto"/>
      </w:divBdr>
      <w:divsChild>
        <w:div w:id="1984656274">
          <w:marLeft w:val="0"/>
          <w:marRight w:val="0"/>
          <w:marTop w:val="0"/>
          <w:marBottom w:val="0"/>
          <w:divBdr>
            <w:top w:val="none" w:sz="0" w:space="0" w:color="auto"/>
            <w:left w:val="none" w:sz="0" w:space="0" w:color="auto"/>
            <w:bottom w:val="none" w:sz="0" w:space="0" w:color="auto"/>
            <w:right w:val="none" w:sz="0" w:space="0" w:color="auto"/>
          </w:divBdr>
        </w:div>
      </w:divsChild>
    </w:div>
    <w:div w:id="1336569238">
      <w:marLeft w:val="0"/>
      <w:marRight w:val="0"/>
      <w:marTop w:val="0"/>
      <w:marBottom w:val="0"/>
      <w:divBdr>
        <w:top w:val="none" w:sz="0" w:space="0" w:color="auto"/>
        <w:left w:val="none" w:sz="0" w:space="0" w:color="auto"/>
        <w:bottom w:val="none" w:sz="0" w:space="0" w:color="auto"/>
        <w:right w:val="none" w:sz="0" w:space="0" w:color="auto"/>
      </w:divBdr>
    </w:div>
    <w:div w:id="1336760466">
      <w:marLeft w:val="0"/>
      <w:marRight w:val="0"/>
      <w:marTop w:val="0"/>
      <w:marBottom w:val="0"/>
      <w:divBdr>
        <w:top w:val="none" w:sz="0" w:space="0" w:color="auto"/>
        <w:left w:val="none" w:sz="0" w:space="0" w:color="auto"/>
        <w:bottom w:val="none" w:sz="0" w:space="0" w:color="auto"/>
        <w:right w:val="none" w:sz="0" w:space="0" w:color="auto"/>
      </w:divBdr>
    </w:div>
    <w:div w:id="1344820895">
      <w:marLeft w:val="0"/>
      <w:marRight w:val="0"/>
      <w:marTop w:val="0"/>
      <w:marBottom w:val="0"/>
      <w:divBdr>
        <w:top w:val="none" w:sz="0" w:space="0" w:color="auto"/>
        <w:left w:val="none" w:sz="0" w:space="0" w:color="auto"/>
        <w:bottom w:val="none" w:sz="0" w:space="0" w:color="auto"/>
        <w:right w:val="none" w:sz="0" w:space="0" w:color="auto"/>
      </w:divBdr>
      <w:divsChild>
        <w:div w:id="1113399360">
          <w:marLeft w:val="0"/>
          <w:marRight w:val="0"/>
          <w:marTop w:val="0"/>
          <w:marBottom w:val="0"/>
          <w:divBdr>
            <w:top w:val="none" w:sz="0" w:space="0" w:color="auto"/>
            <w:left w:val="none" w:sz="0" w:space="0" w:color="auto"/>
            <w:bottom w:val="none" w:sz="0" w:space="0" w:color="auto"/>
            <w:right w:val="none" w:sz="0" w:space="0" w:color="auto"/>
          </w:divBdr>
        </w:div>
      </w:divsChild>
    </w:div>
    <w:div w:id="1345747132">
      <w:marLeft w:val="0"/>
      <w:marRight w:val="0"/>
      <w:marTop w:val="0"/>
      <w:marBottom w:val="0"/>
      <w:divBdr>
        <w:top w:val="none" w:sz="0" w:space="0" w:color="auto"/>
        <w:left w:val="none" w:sz="0" w:space="0" w:color="auto"/>
        <w:bottom w:val="none" w:sz="0" w:space="0" w:color="auto"/>
        <w:right w:val="none" w:sz="0" w:space="0" w:color="auto"/>
      </w:divBdr>
    </w:div>
    <w:div w:id="1348555197">
      <w:marLeft w:val="0"/>
      <w:marRight w:val="0"/>
      <w:marTop w:val="0"/>
      <w:marBottom w:val="0"/>
      <w:divBdr>
        <w:top w:val="none" w:sz="0" w:space="0" w:color="auto"/>
        <w:left w:val="none" w:sz="0" w:space="0" w:color="auto"/>
        <w:bottom w:val="none" w:sz="0" w:space="0" w:color="auto"/>
        <w:right w:val="none" w:sz="0" w:space="0" w:color="auto"/>
      </w:divBdr>
      <w:divsChild>
        <w:div w:id="1943948922">
          <w:marLeft w:val="0"/>
          <w:marRight w:val="0"/>
          <w:marTop w:val="0"/>
          <w:marBottom w:val="0"/>
          <w:divBdr>
            <w:top w:val="none" w:sz="0" w:space="0" w:color="auto"/>
            <w:left w:val="none" w:sz="0" w:space="0" w:color="auto"/>
            <w:bottom w:val="none" w:sz="0" w:space="0" w:color="auto"/>
            <w:right w:val="none" w:sz="0" w:space="0" w:color="auto"/>
          </w:divBdr>
        </w:div>
      </w:divsChild>
    </w:div>
    <w:div w:id="1354459408">
      <w:marLeft w:val="0"/>
      <w:marRight w:val="0"/>
      <w:marTop w:val="0"/>
      <w:marBottom w:val="0"/>
      <w:divBdr>
        <w:top w:val="none" w:sz="0" w:space="0" w:color="auto"/>
        <w:left w:val="none" w:sz="0" w:space="0" w:color="auto"/>
        <w:bottom w:val="none" w:sz="0" w:space="0" w:color="auto"/>
        <w:right w:val="none" w:sz="0" w:space="0" w:color="auto"/>
      </w:divBdr>
      <w:divsChild>
        <w:div w:id="209340156">
          <w:marLeft w:val="0"/>
          <w:marRight w:val="0"/>
          <w:marTop w:val="0"/>
          <w:marBottom w:val="0"/>
          <w:divBdr>
            <w:top w:val="none" w:sz="0" w:space="0" w:color="auto"/>
            <w:left w:val="none" w:sz="0" w:space="0" w:color="auto"/>
            <w:bottom w:val="none" w:sz="0" w:space="0" w:color="auto"/>
            <w:right w:val="none" w:sz="0" w:space="0" w:color="auto"/>
          </w:divBdr>
        </w:div>
      </w:divsChild>
    </w:div>
    <w:div w:id="1354650124">
      <w:marLeft w:val="0"/>
      <w:marRight w:val="0"/>
      <w:marTop w:val="0"/>
      <w:marBottom w:val="0"/>
      <w:divBdr>
        <w:top w:val="none" w:sz="0" w:space="0" w:color="auto"/>
        <w:left w:val="none" w:sz="0" w:space="0" w:color="auto"/>
        <w:bottom w:val="none" w:sz="0" w:space="0" w:color="auto"/>
        <w:right w:val="none" w:sz="0" w:space="0" w:color="auto"/>
      </w:divBdr>
    </w:div>
    <w:div w:id="1358462382">
      <w:marLeft w:val="0"/>
      <w:marRight w:val="0"/>
      <w:marTop w:val="0"/>
      <w:marBottom w:val="0"/>
      <w:divBdr>
        <w:top w:val="none" w:sz="0" w:space="0" w:color="auto"/>
        <w:left w:val="none" w:sz="0" w:space="0" w:color="auto"/>
        <w:bottom w:val="none" w:sz="0" w:space="0" w:color="auto"/>
        <w:right w:val="none" w:sz="0" w:space="0" w:color="auto"/>
      </w:divBdr>
    </w:div>
    <w:div w:id="1358697802">
      <w:marLeft w:val="0"/>
      <w:marRight w:val="0"/>
      <w:marTop w:val="0"/>
      <w:marBottom w:val="0"/>
      <w:divBdr>
        <w:top w:val="none" w:sz="0" w:space="0" w:color="auto"/>
        <w:left w:val="none" w:sz="0" w:space="0" w:color="auto"/>
        <w:bottom w:val="none" w:sz="0" w:space="0" w:color="auto"/>
        <w:right w:val="none" w:sz="0" w:space="0" w:color="auto"/>
      </w:divBdr>
      <w:divsChild>
        <w:div w:id="678895597">
          <w:marLeft w:val="0"/>
          <w:marRight w:val="0"/>
          <w:marTop w:val="0"/>
          <w:marBottom w:val="0"/>
          <w:divBdr>
            <w:top w:val="none" w:sz="0" w:space="0" w:color="auto"/>
            <w:left w:val="none" w:sz="0" w:space="0" w:color="auto"/>
            <w:bottom w:val="none" w:sz="0" w:space="0" w:color="auto"/>
            <w:right w:val="none" w:sz="0" w:space="0" w:color="auto"/>
          </w:divBdr>
        </w:div>
      </w:divsChild>
    </w:div>
    <w:div w:id="1361777700">
      <w:marLeft w:val="0"/>
      <w:marRight w:val="0"/>
      <w:marTop w:val="0"/>
      <w:marBottom w:val="0"/>
      <w:divBdr>
        <w:top w:val="none" w:sz="0" w:space="0" w:color="auto"/>
        <w:left w:val="none" w:sz="0" w:space="0" w:color="auto"/>
        <w:bottom w:val="none" w:sz="0" w:space="0" w:color="auto"/>
        <w:right w:val="none" w:sz="0" w:space="0" w:color="auto"/>
      </w:divBdr>
    </w:div>
    <w:div w:id="1361979684">
      <w:marLeft w:val="0"/>
      <w:marRight w:val="0"/>
      <w:marTop w:val="0"/>
      <w:marBottom w:val="280"/>
      <w:divBdr>
        <w:top w:val="none" w:sz="0" w:space="0" w:color="auto"/>
        <w:left w:val="none" w:sz="0" w:space="0" w:color="auto"/>
        <w:bottom w:val="none" w:sz="0" w:space="0" w:color="auto"/>
        <w:right w:val="none" w:sz="0" w:space="0" w:color="auto"/>
      </w:divBdr>
    </w:div>
    <w:div w:id="1365138336">
      <w:marLeft w:val="0"/>
      <w:marRight w:val="0"/>
      <w:marTop w:val="0"/>
      <w:marBottom w:val="120"/>
      <w:divBdr>
        <w:top w:val="none" w:sz="0" w:space="0" w:color="auto"/>
        <w:left w:val="none" w:sz="0" w:space="0" w:color="auto"/>
        <w:bottom w:val="none" w:sz="0" w:space="0" w:color="auto"/>
        <w:right w:val="none" w:sz="0" w:space="0" w:color="auto"/>
      </w:divBdr>
    </w:div>
    <w:div w:id="1366714183">
      <w:marLeft w:val="0"/>
      <w:marRight w:val="0"/>
      <w:marTop w:val="0"/>
      <w:marBottom w:val="0"/>
      <w:divBdr>
        <w:top w:val="none" w:sz="0" w:space="0" w:color="auto"/>
        <w:left w:val="none" w:sz="0" w:space="0" w:color="auto"/>
        <w:bottom w:val="none" w:sz="0" w:space="0" w:color="auto"/>
        <w:right w:val="none" w:sz="0" w:space="0" w:color="auto"/>
      </w:divBdr>
      <w:divsChild>
        <w:div w:id="898512044">
          <w:marLeft w:val="0"/>
          <w:marRight w:val="0"/>
          <w:marTop w:val="0"/>
          <w:marBottom w:val="0"/>
          <w:divBdr>
            <w:top w:val="none" w:sz="0" w:space="0" w:color="auto"/>
            <w:left w:val="none" w:sz="0" w:space="0" w:color="auto"/>
            <w:bottom w:val="none" w:sz="0" w:space="0" w:color="auto"/>
            <w:right w:val="none" w:sz="0" w:space="0" w:color="auto"/>
          </w:divBdr>
        </w:div>
      </w:divsChild>
    </w:div>
    <w:div w:id="1373265813">
      <w:marLeft w:val="0"/>
      <w:marRight w:val="0"/>
      <w:marTop w:val="0"/>
      <w:marBottom w:val="180"/>
      <w:divBdr>
        <w:top w:val="none" w:sz="0" w:space="0" w:color="auto"/>
        <w:left w:val="none" w:sz="0" w:space="0" w:color="auto"/>
        <w:bottom w:val="none" w:sz="0" w:space="0" w:color="auto"/>
        <w:right w:val="none" w:sz="0" w:space="0" w:color="auto"/>
      </w:divBdr>
    </w:div>
    <w:div w:id="1373459017">
      <w:marLeft w:val="0"/>
      <w:marRight w:val="0"/>
      <w:marTop w:val="0"/>
      <w:marBottom w:val="240"/>
      <w:divBdr>
        <w:top w:val="none" w:sz="0" w:space="0" w:color="auto"/>
        <w:left w:val="none" w:sz="0" w:space="0" w:color="auto"/>
        <w:bottom w:val="none" w:sz="0" w:space="0" w:color="auto"/>
        <w:right w:val="none" w:sz="0" w:space="0" w:color="auto"/>
      </w:divBdr>
    </w:div>
    <w:div w:id="1374619664">
      <w:marLeft w:val="0"/>
      <w:marRight w:val="0"/>
      <w:marTop w:val="0"/>
      <w:marBottom w:val="0"/>
      <w:divBdr>
        <w:top w:val="none" w:sz="0" w:space="0" w:color="auto"/>
        <w:left w:val="none" w:sz="0" w:space="0" w:color="auto"/>
        <w:bottom w:val="none" w:sz="0" w:space="0" w:color="auto"/>
        <w:right w:val="none" w:sz="0" w:space="0" w:color="auto"/>
      </w:divBdr>
      <w:divsChild>
        <w:div w:id="628241904">
          <w:marLeft w:val="0"/>
          <w:marRight w:val="0"/>
          <w:marTop w:val="0"/>
          <w:marBottom w:val="0"/>
          <w:divBdr>
            <w:top w:val="none" w:sz="0" w:space="0" w:color="auto"/>
            <w:left w:val="none" w:sz="0" w:space="0" w:color="auto"/>
            <w:bottom w:val="none" w:sz="0" w:space="0" w:color="auto"/>
            <w:right w:val="none" w:sz="0" w:space="0" w:color="auto"/>
          </w:divBdr>
        </w:div>
      </w:divsChild>
    </w:div>
    <w:div w:id="1380977444">
      <w:marLeft w:val="0"/>
      <w:marRight w:val="0"/>
      <w:marTop w:val="0"/>
      <w:marBottom w:val="180"/>
      <w:divBdr>
        <w:top w:val="none" w:sz="0" w:space="0" w:color="auto"/>
        <w:left w:val="none" w:sz="0" w:space="0" w:color="auto"/>
        <w:bottom w:val="none" w:sz="0" w:space="0" w:color="auto"/>
        <w:right w:val="none" w:sz="0" w:space="0" w:color="auto"/>
      </w:divBdr>
    </w:div>
    <w:div w:id="1381201427">
      <w:marLeft w:val="0"/>
      <w:marRight w:val="0"/>
      <w:marTop w:val="0"/>
      <w:marBottom w:val="180"/>
      <w:divBdr>
        <w:top w:val="none" w:sz="0" w:space="0" w:color="auto"/>
        <w:left w:val="none" w:sz="0" w:space="0" w:color="auto"/>
        <w:bottom w:val="none" w:sz="0" w:space="0" w:color="auto"/>
        <w:right w:val="none" w:sz="0" w:space="0" w:color="auto"/>
      </w:divBdr>
    </w:div>
    <w:div w:id="1384256450">
      <w:marLeft w:val="0"/>
      <w:marRight w:val="0"/>
      <w:marTop w:val="0"/>
      <w:marBottom w:val="0"/>
      <w:divBdr>
        <w:top w:val="none" w:sz="0" w:space="0" w:color="auto"/>
        <w:left w:val="none" w:sz="0" w:space="0" w:color="auto"/>
        <w:bottom w:val="none" w:sz="0" w:space="0" w:color="auto"/>
        <w:right w:val="none" w:sz="0" w:space="0" w:color="auto"/>
      </w:divBdr>
    </w:div>
    <w:div w:id="1386416090">
      <w:marLeft w:val="0"/>
      <w:marRight w:val="0"/>
      <w:marTop w:val="0"/>
      <w:marBottom w:val="0"/>
      <w:divBdr>
        <w:top w:val="none" w:sz="0" w:space="0" w:color="auto"/>
        <w:left w:val="none" w:sz="0" w:space="0" w:color="auto"/>
        <w:bottom w:val="none" w:sz="0" w:space="0" w:color="auto"/>
        <w:right w:val="none" w:sz="0" w:space="0" w:color="auto"/>
      </w:divBdr>
    </w:div>
    <w:div w:id="1388073027">
      <w:marLeft w:val="0"/>
      <w:marRight w:val="0"/>
      <w:marTop w:val="0"/>
      <w:marBottom w:val="0"/>
      <w:divBdr>
        <w:top w:val="none" w:sz="0" w:space="0" w:color="auto"/>
        <w:left w:val="none" w:sz="0" w:space="0" w:color="auto"/>
        <w:bottom w:val="none" w:sz="0" w:space="0" w:color="auto"/>
        <w:right w:val="none" w:sz="0" w:space="0" w:color="auto"/>
      </w:divBdr>
      <w:divsChild>
        <w:div w:id="1940211459">
          <w:marLeft w:val="0"/>
          <w:marRight w:val="0"/>
          <w:marTop w:val="0"/>
          <w:marBottom w:val="0"/>
          <w:divBdr>
            <w:top w:val="none" w:sz="0" w:space="0" w:color="auto"/>
            <w:left w:val="none" w:sz="0" w:space="0" w:color="auto"/>
            <w:bottom w:val="none" w:sz="0" w:space="0" w:color="auto"/>
            <w:right w:val="none" w:sz="0" w:space="0" w:color="auto"/>
          </w:divBdr>
        </w:div>
      </w:divsChild>
    </w:div>
    <w:div w:id="1391811136">
      <w:marLeft w:val="0"/>
      <w:marRight w:val="0"/>
      <w:marTop w:val="0"/>
      <w:marBottom w:val="0"/>
      <w:divBdr>
        <w:top w:val="none" w:sz="0" w:space="0" w:color="auto"/>
        <w:left w:val="none" w:sz="0" w:space="0" w:color="auto"/>
        <w:bottom w:val="none" w:sz="0" w:space="0" w:color="auto"/>
        <w:right w:val="none" w:sz="0" w:space="0" w:color="auto"/>
      </w:divBdr>
      <w:divsChild>
        <w:div w:id="1941135759">
          <w:marLeft w:val="0"/>
          <w:marRight w:val="0"/>
          <w:marTop w:val="0"/>
          <w:marBottom w:val="0"/>
          <w:divBdr>
            <w:top w:val="none" w:sz="0" w:space="0" w:color="auto"/>
            <w:left w:val="none" w:sz="0" w:space="0" w:color="auto"/>
            <w:bottom w:val="none" w:sz="0" w:space="0" w:color="auto"/>
            <w:right w:val="none" w:sz="0" w:space="0" w:color="auto"/>
          </w:divBdr>
        </w:div>
      </w:divsChild>
    </w:div>
    <w:div w:id="1392073266">
      <w:marLeft w:val="0"/>
      <w:marRight w:val="0"/>
      <w:marTop w:val="0"/>
      <w:marBottom w:val="0"/>
      <w:divBdr>
        <w:top w:val="none" w:sz="0" w:space="0" w:color="auto"/>
        <w:left w:val="none" w:sz="0" w:space="0" w:color="auto"/>
        <w:bottom w:val="none" w:sz="0" w:space="0" w:color="auto"/>
        <w:right w:val="none" w:sz="0" w:space="0" w:color="auto"/>
      </w:divBdr>
    </w:div>
    <w:div w:id="1402019914">
      <w:marLeft w:val="0"/>
      <w:marRight w:val="0"/>
      <w:marTop w:val="0"/>
      <w:marBottom w:val="0"/>
      <w:divBdr>
        <w:top w:val="none" w:sz="0" w:space="0" w:color="auto"/>
        <w:left w:val="none" w:sz="0" w:space="0" w:color="auto"/>
        <w:bottom w:val="none" w:sz="0" w:space="0" w:color="auto"/>
        <w:right w:val="none" w:sz="0" w:space="0" w:color="auto"/>
      </w:divBdr>
      <w:divsChild>
        <w:div w:id="788010625">
          <w:marLeft w:val="0"/>
          <w:marRight w:val="0"/>
          <w:marTop w:val="0"/>
          <w:marBottom w:val="0"/>
          <w:divBdr>
            <w:top w:val="none" w:sz="0" w:space="0" w:color="auto"/>
            <w:left w:val="none" w:sz="0" w:space="0" w:color="auto"/>
            <w:bottom w:val="none" w:sz="0" w:space="0" w:color="auto"/>
            <w:right w:val="none" w:sz="0" w:space="0" w:color="auto"/>
          </w:divBdr>
        </w:div>
      </w:divsChild>
    </w:div>
    <w:div w:id="1402559929">
      <w:marLeft w:val="0"/>
      <w:marRight w:val="0"/>
      <w:marTop w:val="0"/>
      <w:marBottom w:val="180"/>
      <w:divBdr>
        <w:top w:val="none" w:sz="0" w:space="0" w:color="auto"/>
        <w:left w:val="none" w:sz="0" w:space="0" w:color="auto"/>
        <w:bottom w:val="none" w:sz="0" w:space="0" w:color="auto"/>
        <w:right w:val="none" w:sz="0" w:space="0" w:color="auto"/>
      </w:divBdr>
    </w:div>
    <w:div w:id="1402631068">
      <w:marLeft w:val="0"/>
      <w:marRight w:val="0"/>
      <w:marTop w:val="0"/>
      <w:marBottom w:val="0"/>
      <w:divBdr>
        <w:top w:val="none" w:sz="0" w:space="0" w:color="auto"/>
        <w:left w:val="none" w:sz="0" w:space="0" w:color="auto"/>
        <w:bottom w:val="none" w:sz="0" w:space="0" w:color="auto"/>
        <w:right w:val="none" w:sz="0" w:space="0" w:color="auto"/>
      </w:divBdr>
      <w:divsChild>
        <w:div w:id="142820719">
          <w:marLeft w:val="0"/>
          <w:marRight w:val="0"/>
          <w:marTop w:val="0"/>
          <w:marBottom w:val="0"/>
          <w:divBdr>
            <w:top w:val="none" w:sz="0" w:space="0" w:color="auto"/>
            <w:left w:val="none" w:sz="0" w:space="0" w:color="auto"/>
            <w:bottom w:val="none" w:sz="0" w:space="0" w:color="auto"/>
            <w:right w:val="none" w:sz="0" w:space="0" w:color="auto"/>
          </w:divBdr>
        </w:div>
      </w:divsChild>
    </w:div>
    <w:div w:id="1410158083">
      <w:marLeft w:val="0"/>
      <w:marRight w:val="0"/>
      <w:marTop w:val="0"/>
      <w:marBottom w:val="0"/>
      <w:divBdr>
        <w:top w:val="none" w:sz="0" w:space="0" w:color="auto"/>
        <w:left w:val="none" w:sz="0" w:space="0" w:color="auto"/>
        <w:bottom w:val="none" w:sz="0" w:space="0" w:color="auto"/>
        <w:right w:val="none" w:sz="0" w:space="0" w:color="auto"/>
      </w:divBdr>
    </w:div>
    <w:div w:id="1417749149">
      <w:marLeft w:val="0"/>
      <w:marRight w:val="0"/>
      <w:marTop w:val="0"/>
      <w:marBottom w:val="0"/>
      <w:divBdr>
        <w:top w:val="none" w:sz="0" w:space="0" w:color="auto"/>
        <w:left w:val="none" w:sz="0" w:space="0" w:color="auto"/>
        <w:bottom w:val="none" w:sz="0" w:space="0" w:color="auto"/>
        <w:right w:val="none" w:sz="0" w:space="0" w:color="auto"/>
      </w:divBdr>
      <w:divsChild>
        <w:div w:id="10383083">
          <w:marLeft w:val="0"/>
          <w:marRight w:val="0"/>
          <w:marTop w:val="0"/>
          <w:marBottom w:val="0"/>
          <w:divBdr>
            <w:top w:val="none" w:sz="0" w:space="0" w:color="auto"/>
            <w:left w:val="none" w:sz="0" w:space="0" w:color="auto"/>
            <w:bottom w:val="none" w:sz="0" w:space="0" w:color="auto"/>
            <w:right w:val="none" w:sz="0" w:space="0" w:color="auto"/>
          </w:divBdr>
        </w:div>
      </w:divsChild>
    </w:div>
    <w:div w:id="1418593633">
      <w:marLeft w:val="0"/>
      <w:marRight w:val="0"/>
      <w:marTop w:val="0"/>
      <w:marBottom w:val="0"/>
      <w:divBdr>
        <w:top w:val="none" w:sz="0" w:space="0" w:color="auto"/>
        <w:left w:val="none" w:sz="0" w:space="0" w:color="auto"/>
        <w:bottom w:val="none" w:sz="0" w:space="0" w:color="auto"/>
        <w:right w:val="none" w:sz="0" w:space="0" w:color="auto"/>
      </w:divBdr>
    </w:div>
    <w:div w:id="1422797382">
      <w:marLeft w:val="0"/>
      <w:marRight w:val="0"/>
      <w:marTop w:val="0"/>
      <w:marBottom w:val="0"/>
      <w:divBdr>
        <w:top w:val="none" w:sz="0" w:space="0" w:color="auto"/>
        <w:left w:val="none" w:sz="0" w:space="0" w:color="auto"/>
        <w:bottom w:val="none" w:sz="0" w:space="0" w:color="auto"/>
        <w:right w:val="none" w:sz="0" w:space="0" w:color="auto"/>
      </w:divBdr>
      <w:divsChild>
        <w:div w:id="1969778471">
          <w:marLeft w:val="0"/>
          <w:marRight w:val="0"/>
          <w:marTop w:val="0"/>
          <w:marBottom w:val="0"/>
          <w:divBdr>
            <w:top w:val="none" w:sz="0" w:space="0" w:color="auto"/>
            <w:left w:val="none" w:sz="0" w:space="0" w:color="auto"/>
            <w:bottom w:val="none" w:sz="0" w:space="0" w:color="auto"/>
            <w:right w:val="none" w:sz="0" w:space="0" w:color="auto"/>
          </w:divBdr>
        </w:div>
      </w:divsChild>
    </w:div>
    <w:div w:id="1424180897">
      <w:marLeft w:val="0"/>
      <w:marRight w:val="0"/>
      <w:marTop w:val="0"/>
      <w:marBottom w:val="0"/>
      <w:divBdr>
        <w:top w:val="none" w:sz="0" w:space="0" w:color="auto"/>
        <w:left w:val="none" w:sz="0" w:space="0" w:color="auto"/>
        <w:bottom w:val="none" w:sz="0" w:space="0" w:color="auto"/>
        <w:right w:val="none" w:sz="0" w:space="0" w:color="auto"/>
      </w:divBdr>
    </w:div>
    <w:div w:id="1429275642">
      <w:marLeft w:val="0"/>
      <w:marRight w:val="0"/>
      <w:marTop w:val="0"/>
      <w:marBottom w:val="80"/>
      <w:divBdr>
        <w:top w:val="none" w:sz="0" w:space="0" w:color="auto"/>
        <w:left w:val="none" w:sz="0" w:space="0" w:color="auto"/>
        <w:bottom w:val="none" w:sz="0" w:space="0" w:color="auto"/>
        <w:right w:val="none" w:sz="0" w:space="0" w:color="auto"/>
      </w:divBdr>
    </w:div>
    <w:div w:id="1431656381">
      <w:marLeft w:val="0"/>
      <w:marRight w:val="0"/>
      <w:marTop w:val="0"/>
      <w:marBottom w:val="0"/>
      <w:divBdr>
        <w:top w:val="none" w:sz="0" w:space="0" w:color="auto"/>
        <w:left w:val="none" w:sz="0" w:space="0" w:color="auto"/>
        <w:bottom w:val="none" w:sz="0" w:space="0" w:color="auto"/>
        <w:right w:val="none" w:sz="0" w:space="0" w:color="auto"/>
      </w:divBdr>
      <w:divsChild>
        <w:div w:id="1173181888">
          <w:marLeft w:val="0"/>
          <w:marRight w:val="0"/>
          <w:marTop w:val="0"/>
          <w:marBottom w:val="0"/>
          <w:divBdr>
            <w:top w:val="none" w:sz="0" w:space="0" w:color="auto"/>
            <w:left w:val="none" w:sz="0" w:space="0" w:color="auto"/>
            <w:bottom w:val="none" w:sz="0" w:space="0" w:color="auto"/>
            <w:right w:val="none" w:sz="0" w:space="0" w:color="auto"/>
          </w:divBdr>
        </w:div>
      </w:divsChild>
    </w:div>
    <w:div w:id="1436515581">
      <w:marLeft w:val="0"/>
      <w:marRight w:val="0"/>
      <w:marTop w:val="0"/>
      <w:marBottom w:val="280"/>
      <w:divBdr>
        <w:top w:val="none" w:sz="0" w:space="0" w:color="auto"/>
        <w:left w:val="none" w:sz="0" w:space="0" w:color="auto"/>
        <w:bottom w:val="none" w:sz="0" w:space="0" w:color="auto"/>
        <w:right w:val="none" w:sz="0" w:space="0" w:color="auto"/>
      </w:divBdr>
    </w:div>
    <w:div w:id="1446535819">
      <w:marLeft w:val="0"/>
      <w:marRight w:val="0"/>
      <w:marTop w:val="0"/>
      <w:marBottom w:val="0"/>
      <w:divBdr>
        <w:top w:val="none" w:sz="0" w:space="0" w:color="auto"/>
        <w:left w:val="none" w:sz="0" w:space="0" w:color="auto"/>
        <w:bottom w:val="none" w:sz="0" w:space="0" w:color="auto"/>
        <w:right w:val="none" w:sz="0" w:space="0" w:color="auto"/>
      </w:divBdr>
    </w:div>
    <w:div w:id="1449739472">
      <w:marLeft w:val="0"/>
      <w:marRight w:val="0"/>
      <w:marTop w:val="0"/>
      <w:marBottom w:val="0"/>
      <w:divBdr>
        <w:top w:val="none" w:sz="0" w:space="0" w:color="auto"/>
        <w:left w:val="none" w:sz="0" w:space="0" w:color="auto"/>
        <w:bottom w:val="none" w:sz="0" w:space="0" w:color="auto"/>
        <w:right w:val="none" w:sz="0" w:space="0" w:color="auto"/>
      </w:divBdr>
      <w:divsChild>
        <w:div w:id="1502547187">
          <w:marLeft w:val="0"/>
          <w:marRight w:val="0"/>
          <w:marTop w:val="0"/>
          <w:marBottom w:val="0"/>
          <w:divBdr>
            <w:top w:val="none" w:sz="0" w:space="0" w:color="auto"/>
            <w:left w:val="none" w:sz="0" w:space="0" w:color="auto"/>
            <w:bottom w:val="none" w:sz="0" w:space="0" w:color="auto"/>
            <w:right w:val="none" w:sz="0" w:space="0" w:color="auto"/>
          </w:divBdr>
        </w:div>
      </w:divsChild>
    </w:div>
    <w:div w:id="1451701907">
      <w:marLeft w:val="0"/>
      <w:marRight w:val="0"/>
      <w:marTop w:val="240"/>
      <w:marBottom w:val="0"/>
      <w:divBdr>
        <w:top w:val="none" w:sz="0" w:space="0" w:color="auto"/>
        <w:left w:val="none" w:sz="0" w:space="0" w:color="auto"/>
        <w:bottom w:val="none" w:sz="0" w:space="0" w:color="auto"/>
        <w:right w:val="none" w:sz="0" w:space="0" w:color="auto"/>
      </w:divBdr>
    </w:div>
    <w:div w:id="1453598177">
      <w:marLeft w:val="0"/>
      <w:marRight w:val="0"/>
      <w:marTop w:val="0"/>
      <w:marBottom w:val="0"/>
      <w:divBdr>
        <w:top w:val="none" w:sz="0" w:space="0" w:color="auto"/>
        <w:left w:val="none" w:sz="0" w:space="0" w:color="auto"/>
        <w:bottom w:val="none" w:sz="0" w:space="0" w:color="auto"/>
        <w:right w:val="none" w:sz="0" w:space="0" w:color="auto"/>
      </w:divBdr>
      <w:divsChild>
        <w:div w:id="1741712691">
          <w:marLeft w:val="0"/>
          <w:marRight w:val="0"/>
          <w:marTop w:val="0"/>
          <w:marBottom w:val="0"/>
          <w:divBdr>
            <w:top w:val="none" w:sz="0" w:space="0" w:color="auto"/>
            <w:left w:val="none" w:sz="0" w:space="0" w:color="auto"/>
            <w:bottom w:val="none" w:sz="0" w:space="0" w:color="auto"/>
            <w:right w:val="none" w:sz="0" w:space="0" w:color="auto"/>
          </w:divBdr>
        </w:div>
      </w:divsChild>
    </w:div>
    <w:div w:id="1453986440">
      <w:marLeft w:val="0"/>
      <w:marRight w:val="0"/>
      <w:marTop w:val="0"/>
      <w:marBottom w:val="80"/>
      <w:divBdr>
        <w:top w:val="none" w:sz="0" w:space="0" w:color="auto"/>
        <w:left w:val="none" w:sz="0" w:space="0" w:color="auto"/>
        <w:bottom w:val="none" w:sz="0" w:space="0" w:color="auto"/>
        <w:right w:val="none" w:sz="0" w:space="0" w:color="auto"/>
      </w:divBdr>
    </w:div>
    <w:div w:id="1454247624">
      <w:marLeft w:val="0"/>
      <w:marRight w:val="0"/>
      <w:marTop w:val="0"/>
      <w:marBottom w:val="0"/>
      <w:divBdr>
        <w:top w:val="none" w:sz="0" w:space="0" w:color="auto"/>
        <w:left w:val="none" w:sz="0" w:space="0" w:color="auto"/>
        <w:bottom w:val="none" w:sz="0" w:space="0" w:color="auto"/>
        <w:right w:val="none" w:sz="0" w:space="0" w:color="auto"/>
      </w:divBdr>
      <w:divsChild>
        <w:div w:id="1314602110">
          <w:marLeft w:val="0"/>
          <w:marRight w:val="0"/>
          <w:marTop w:val="0"/>
          <w:marBottom w:val="0"/>
          <w:divBdr>
            <w:top w:val="none" w:sz="0" w:space="0" w:color="auto"/>
            <w:left w:val="none" w:sz="0" w:space="0" w:color="auto"/>
            <w:bottom w:val="none" w:sz="0" w:space="0" w:color="auto"/>
            <w:right w:val="none" w:sz="0" w:space="0" w:color="auto"/>
          </w:divBdr>
        </w:div>
      </w:divsChild>
    </w:div>
    <w:div w:id="1455751533">
      <w:marLeft w:val="0"/>
      <w:marRight w:val="0"/>
      <w:marTop w:val="0"/>
      <w:marBottom w:val="240"/>
      <w:divBdr>
        <w:top w:val="none" w:sz="0" w:space="0" w:color="auto"/>
        <w:left w:val="none" w:sz="0" w:space="0" w:color="auto"/>
        <w:bottom w:val="none" w:sz="0" w:space="0" w:color="auto"/>
        <w:right w:val="none" w:sz="0" w:space="0" w:color="auto"/>
      </w:divBdr>
    </w:div>
    <w:div w:id="1456169508">
      <w:marLeft w:val="0"/>
      <w:marRight w:val="0"/>
      <w:marTop w:val="0"/>
      <w:marBottom w:val="0"/>
      <w:divBdr>
        <w:top w:val="none" w:sz="0" w:space="0" w:color="auto"/>
        <w:left w:val="none" w:sz="0" w:space="0" w:color="auto"/>
        <w:bottom w:val="none" w:sz="0" w:space="0" w:color="auto"/>
        <w:right w:val="none" w:sz="0" w:space="0" w:color="auto"/>
      </w:divBdr>
    </w:div>
    <w:div w:id="1457069539">
      <w:marLeft w:val="0"/>
      <w:marRight w:val="0"/>
      <w:marTop w:val="0"/>
      <w:marBottom w:val="180"/>
      <w:divBdr>
        <w:top w:val="none" w:sz="0" w:space="0" w:color="auto"/>
        <w:left w:val="none" w:sz="0" w:space="0" w:color="auto"/>
        <w:bottom w:val="none" w:sz="0" w:space="0" w:color="auto"/>
        <w:right w:val="none" w:sz="0" w:space="0" w:color="auto"/>
      </w:divBdr>
    </w:div>
    <w:div w:id="1461417938">
      <w:marLeft w:val="0"/>
      <w:marRight w:val="0"/>
      <w:marTop w:val="0"/>
      <w:marBottom w:val="0"/>
      <w:divBdr>
        <w:top w:val="none" w:sz="0" w:space="0" w:color="auto"/>
        <w:left w:val="none" w:sz="0" w:space="0" w:color="auto"/>
        <w:bottom w:val="none" w:sz="0" w:space="0" w:color="auto"/>
        <w:right w:val="none" w:sz="0" w:space="0" w:color="auto"/>
      </w:divBdr>
      <w:divsChild>
        <w:div w:id="955330792">
          <w:marLeft w:val="0"/>
          <w:marRight w:val="0"/>
          <w:marTop w:val="0"/>
          <w:marBottom w:val="0"/>
          <w:divBdr>
            <w:top w:val="none" w:sz="0" w:space="0" w:color="auto"/>
            <w:left w:val="none" w:sz="0" w:space="0" w:color="auto"/>
            <w:bottom w:val="none" w:sz="0" w:space="0" w:color="auto"/>
            <w:right w:val="none" w:sz="0" w:space="0" w:color="auto"/>
          </w:divBdr>
        </w:div>
      </w:divsChild>
    </w:div>
    <w:div w:id="1473519652">
      <w:marLeft w:val="0"/>
      <w:marRight w:val="0"/>
      <w:marTop w:val="0"/>
      <w:marBottom w:val="0"/>
      <w:divBdr>
        <w:top w:val="none" w:sz="0" w:space="0" w:color="auto"/>
        <w:left w:val="none" w:sz="0" w:space="0" w:color="auto"/>
        <w:bottom w:val="none" w:sz="0" w:space="0" w:color="auto"/>
        <w:right w:val="none" w:sz="0" w:space="0" w:color="auto"/>
      </w:divBdr>
    </w:div>
    <w:div w:id="1477138796">
      <w:marLeft w:val="0"/>
      <w:marRight w:val="0"/>
      <w:marTop w:val="0"/>
      <w:marBottom w:val="0"/>
      <w:divBdr>
        <w:top w:val="none" w:sz="0" w:space="0" w:color="auto"/>
        <w:left w:val="none" w:sz="0" w:space="0" w:color="auto"/>
        <w:bottom w:val="none" w:sz="0" w:space="0" w:color="auto"/>
        <w:right w:val="none" w:sz="0" w:space="0" w:color="auto"/>
      </w:divBdr>
      <w:divsChild>
        <w:div w:id="312176997">
          <w:marLeft w:val="0"/>
          <w:marRight w:val="0"/>
          <w:marTop w:val="0"/>
          <w:marBottom w:val="0"/>
          <w:divBdr>
            <w:top w:val="none" w:sz="0" w:space="0" w:color="auto"/>
            <w:left w:val="none" w:sz="0" w:space="0" w:color="auto"/>
            <w:bottom w:val="none" w:sz="0" w:space="0" w:color="auto"/>
            <w:right w:val="none" w:sz="0" w:space="0" w:color="auto"/>
          </w:divBdr>
        </w:div>
      </w:divsChild>
    </w:div>
    <w:div w:id="1481337593">
      <w:marLeft w:val="0"/>
      <w:marRight w:val="0"/>
      <w:marTop w:val="0"/>
      <w:marBottom w:val="0"/>
      <w:divBdr>
        <w:top w:val="none" w:sz="0" w:space="0" w:color="auto"/>
        <w:left w:val="none" w:sz="0" w:space="0" w:color="auto"/>
        <w:bottom w:val="none" w:sz="0" w:space="0" w:color="auto"/>
        <w:right w:val="none" w:sz="0" w:space="0" w:color="auto"/>
      </w:divBdr>
    </w:div>
    <w:div w:id="1486512876">
      <w:marLeft w:val="0"/>
      <w:marRight w:val="0"/>
      <w:marTop w:val="0"/>
      <w:marBottom w:val="0"/>
      <w:divBdr>
        <w:top w:val="none" w:sz="0" w:space="0" w:color="auto"/>
        <w:left w:val="none" w:sz="0" w:space="0" w:color="auto"/>
        <w:bottom w:val="none" w:sz="0" w:space="0" w:color="auto"/>
        <w:right w:val="none" w:sz="0" w:space="0" w:color="auto"/>
      </w:divBdr>
    </w:div>
    <w:div w:id="1490562523">
      <w:marLeft w:val="0"/>
      <w:marRight w:val="0"/>
      <w:marTop w:val="0"/>
      <w:marBottom w:val="0"/>
      <w:divBdr>
        <w:top w:val="none" w:sz="0" w:space="0" w:color="auto"/>
        <w:left w:val="none" w:sz="0" w:space="0" w:color="auto"/>
        <w:bottom w:val="none" w:sz="0" w:space="0" w:color="auto"/>
        <w:right w:val="none" w:sz="0" w:space="0" w:color="auto"/>
      </w:divBdr>
    </w:div>
    <w:div w:id="1491796913">
      <w:marLeft w:val="0"/>
      <w:marRight w:val="0"/>
      <w:marTop w:val="0"/>
      <w:marBottom w:val="120"/>
      <w:divBdr>
        <w:top w:val="none" w:sz="0" w:space="0" w:color="auto"/>
        <w:left w:val="none" w:sz="0" w:space="0" w:color="auto"/>
        <w:bottom w:val="none" w:sz="0" w:space="0" w:color="auto"/>
        <w:right w:val="none" w:sz="0" w:space="0" w:color="auto"/>
      </w:divBdr>
    </w:div>
    <w:div w:id="1493908070">
      <w:marLeft w:val="0"/>
      <w:marRight w:val="0"/>
      <w:marTop w:val="0"/>
      <w:marBottom w:val="0"/>
      <w:divBdr>
        <w:top w:val="none" w:sz="0" w:space="0" w:color="auto"/>
        <w:left w:val="none" w:sz="0" w:space="0" w:color="auto"/>
        <w:bottom w:val="none" w:sz="0" w:space="0" w:color="auto"/>
        <w:right w:val="none" w:sz="0" w:space="0" w:color="auto"/>
      </w:divBdr>
      <w:divsChild>
        <w:div w:id="958609227">
          <w:marLeft w:val="0"/>
          <w:marRight w:val="0"/>
          <w:marTop w:val="0"/>
          <w:marBottom w:val="0"/>
          <w:divBdr>
            <w:top w:val="none" w:sz="0" w:space="0" w:color="auto"/>
            <w:left w:val="none" w:sz="0" w:space="0" w:color="auto"/>
            <w:bottom w:val="none" w:sz="0" w:space="0" w:color="auto"/>
            <w:right w:val="none" w:sz="0" w:space="0" w:color="auto"/>
          </w:divBdr>
        </w:div>
      </w:divsChild>
    </w:div>
    <w:div w:id="1497263799">
      <w:marLeft w:val="0"/>
      <w:marRight w:val="0"/>
      <w:marTop w:val="0"/>
      <w:marBottom w:val="180"/>
      <w:divBdr>
        <w:top w:val="none" w:sz="0" w:space="0" w:color="auto"/>
        <w:left w:val="none" w:sz="0" w:space="0" w:color="auto"/>
        <w:bottom w:val="none" w:sz="0" w:space="0" w:color="auto"/>
        <w:right w:val="none" w:sz="0" w:space="0" w:color="auto"/>
      </w:divBdr>
    </w:div>
    <w:div w:id="1499922677">
      <w:marLeft w:val="0"/>
      <w:marRight w:val="0"/>
      <w:marTop w:val="240"/>
      <w:marBottom w:val="0"/>
      <w:divBdr>
        <w:top w:val="none" w:sz="0" w:space="0" w:color="auto"/>
        <w:left w:val="none" w:sz="0" w:space="0" w:color="auto"/>
        <w:bottom w:val="none" w:sz="0" w:space="0" w:color="auto"/>
        <w:right w:val="none" w:sz="0" w:space="0" w:color="auto"/>
      </w:divBdr>
    </w:div>
    <w:div w:id="1501265329">
      <w:marLeft w:val="0"/>
      <w:marRight w:val="0"/>
      <w:marTop w:val="0"/>
      <w:marBottom w:val="180"/>
      <w:divBdr>
        <w:top w:val="none" w:sz="0" w:space="0" w:color="auto"/>
        <w:left w:val="none" w:sz="0" w:space="0" w:color="auto"/>
        <w:bottom w:val="none" w:sz="0" w:space="0" w:color="auto"/>
        <w:right w:val="none" w:sz="0" w:space="0" w:color="auto"/>
      </w:divBdr>
    </w:div>
    <w:div w:id="1501893800">
      <w:marLeft w:val="0"/>
      <w:marRight w:val="0"/>
      <w:marTop w:val="0"/>
      <w:marBottom w:val="0"/>
      <w:divBdr>
        <w:top w:val="none" w:sz="0" w:space="0" w:color="auto"/>
        <w:left w:val="none" w:sz="0" w:space="0" w:color="auto"/>
        <w:bottom w:val="none" w:sz="0" w:space="0" w:color="auto"/>
        <w:right w:val="none" w:sz="0" w:space="0" w:color="auto"/>
      </w:divBdr>
      <w:divsChild>
        <w:div w:id="1534879830">
          <w:marLeft w:val="0"/>
          <w:marRight w:val="0"/>
          <w:marTop w:val="0"/>
          <w:marBottom w:val="0"/>
          <w:divBdr>
            <w:top w:val="none" w:sz="0" w:space="0" w:color="auto"/>
            <w:left w:val="none" w:sz="0" w:space="0" w:color="auto"/>
            <w:bottom w:val="none" w:sz="0" w:space="0" w:color="auto"/>
            <w:right w:val="none" w:sz="0" w:space="0" w:color="auto"/>
          </w:divBdr>
        </w:div>
      </w:divsChild>
    </w:div>
    <w:div w:id="1502814633">
      <w:marLeft w:val="0"/>
      <w:marRight w:val="0"/>
      <w:marTop w:val="0"/>
      <w:marBottom w:val="240"/>
      <w:divBdr>
        <w:top w:val="none" w:sz="0" w:space="0" w:color="auto"/>
        <w:left w:val="none" w:sz="0" w:space="0" w:color="auto"/>
        <w:bottom w:val="none" w:sz="0" w:space="0" w:color="auto"/>
        <w:right w:val="none" w:sz="0" w:space="0" w:color="auto"/>
      </w:divBdr>
    </w:div>
    <w:div w:id="1504205023">
      <w:marLeft w:val="0"/>
      <w:marRight w:val="0"/>
      <w:marTop w:val="0"/>
      <w:marBottom w:val="0"/>
      <w:divBdr>
        <w:top w:val="none" w:sz="0" w:space="0" w:color="auto"/>
        <w:left w:val="none" w:sz="0" w:space="0" w:color="auto"/>
        <w:bottom w:val="none" w:sz="0" w:space="0" w:color="auto"/>
        <w:right w:val="none" w:sz="0" w:space="0" w:color="auto"/>
      </w:divBdr>
    </w:div>
    <w:div w:id="1505054968">
      <w:marLeft w:val="0"/>
      <w:marRight w:val="0"/>
      <w:marTop w:val="0"/>
      <w:marBottom w:val="0"/>
      <w:divBdr>
        <w:top w:val="none" w:sz="0" w:space="0" w:color="auto"/>
        <w:left w:val="none" w:sz="0" w:space="0" w:color="auto"/>
        <w:bottom w:val="none" w:sz="0" w:space="0" w:color="auto"/>
        <w:right w:val="none" w:sz="0" w:space="0" w:color="auto"/>
      </w:divBdr>
    </w:div>
    <w:div w:id="1514370153">
      <w:marLeft w:val="0"/>
      <w:marRight w:val="0"/>
      <w:marTop w:val="0"/>
      <w:marBottom w:val="180"/>
      <w:divBdr>
        <w:top w:val="none" w:sz="0" w:space="0" w:color="auto"/>
        <w:left w:val="none" w:sz="0" w:space="0" w:color="auto"/>
        <w:bottom w:val="none" w:sz="0" w:space="0" w:color="auto"/>
        <w:right w:val="none" w:sz="0" w:space="0" w:color="auto"/>
      </w:divBdr>
    </w:div>
    <w:div w:id="1515150664">
      <w:marLeft w:val="0"/>
      <w:marRight w:val="0"/>
      <w:marTop w:val="0"/>
      <w:marBottom w:val="0"/>
      <w:divBdr>
        <w:top w:val="none" w:sz="0" w:space="0" w:color="auto"/>
        <w:left w:val="none" w:sz="0" w:space="0" w:color="auto"/>
        <w:bottom w:val="none" w:sz="0" w:space="0" w:color="auto"/>
        <w:right w:val="none" w:sz="0" w:space="0" w:color="auto"/>
      </w:divBdr>
    </w:div>
    <w:div w:id="1516842862">
      <w:marLeft w:val="0"/>
      <w:marRight w:val="0"/>
      <w:marTop w:val="0"/>
      <w:marBottom w:val="240"/>
      <w:divBdr>
        <w:top w:val="none" w:sz="0" w:space="0" w:color="auto"/>
        <w:left w:val="none" w:sz="0" w:space="0" w:color="auto"/>
        <w:bottom w:val="none" w:sz="0" w:space="0" w:color="auto"/>
        <w:right w:val="none" w:sz="0" w:space="0" w:color="auto"/>
      </w:divBdr>
    </w:div>
    <w:div w:id="1520703323">
      <w:marLeft w:val="0"/>
      <w:marRight w:val="0"/>
      <w:marTop w:val="0"/>
      <w:marBottom w:val="180"/>
      <w:divBdr>
        <w:top w:val="none" w:sz="0" w:space="0" w:color="auto"/>
        <w:left w:val="none" w:sz="0" w:space="0" w:color="auto"/>
        <w:bottom w:val="none" w:sz="0" w:space="0" w:color="auto"/>
        <w:right w:val="none" w:sz="0" w:space="0" w:color="auto"/>
      </w:divBdr>
    </w:div>
    <w:div w:id="1530726163">
      <w:marLeft w:val="0"/>
      <w:marRight w:val="0"/>
      <w:marTop w:val="0"/>
      <w:marBottom w:val="0"/>
      <w:divBdr>
        <w:top w:val="none" w:sz="0" w:space="0" w:color="auto"/>
        <w:left w:val="none" w:sz="0" w:space="0" w:color="auto"/>
        <w:bottom w:val="none" w:sz="0" w:space="0" w:color="auto"/>
        <w:right w:val="none" w:sz="0" w:space="0" w:color="auto"/>
      </w:divBdr>
    </w:div>
    <w:div w:id="1531189664">
      <w:marLeft w:val="0"/>
      <w:marRight w:val="0"/>
      <w:marTop w:val="0"/>
      <w:marBottom w:val="0"/>
      <w:divBdr>
        <w:top w:val="none" w:sz="0" w:space="0" w:color="auto"/>
        <w:left w:val="none" w:sz="0" w:space="0" w:color="auto"/>
        <w:bottom w:val="none" w:sz="0" w:space="0" w:color="auto"/>
        <w:right w:val="none" w:sz="0" w:space="0" w:color="auto"/>
      </w:divBdr>
    </w:div>
    <w:div w:id="1538734522">
      <w:marLeft w:val="0"/>
      <w:marRight w:val="0"/>
      <w:marTop w:val="0"/>
      <w:marBottom w:val="0"/>
      <w:divBdr>
        <w:top w:val="none" w:sz="0" w:space="0" w:color="auto"/>
        <w:left w:val="none" w:sz="0" w:space="0" w:color="auto"/>
        <w:bottom w:val="none" w:sz="0" w:space="0" w:color="auto"/>
        <w:right w:val="none" w:sz="0" w:space="0" w:color="auto"/>
      </w:divBdr>
      <w:divsChild>
        <w:div w:id="94640722">
          <w:marLeft w:val="0"/>
          <w:marRight w:val="0"/>
          <w:marTop w:val="0"/>
          <w:marBottom w:val="0"/>
          <w:divBdr>
            <w:top w:val="none" w:sz="0" w:space="0" w:color="auto"/>
            <w:left w:val="none" w:sz="0" w:space="0" w:color="auto"/>
            <w:bottom w:val="none" w:sz="0" w:space="0" w:color="auto"/>
            <w:right w:val="none" w:sz="0" w:space="0" w:color="auto"/>
          </w:divBdr>
        </w:div>
      </w:divsChild>
    </w:div>
    <w:div w:id="1538736965">
      <w:marLeft w:val="0"/>
      <w:marRight w:val="0"/>
      <w:marTop w:val="0"/>
      <w:marBottom w:val="0"/>
      <w:divBdr>
        <w:top w:val="none" w:sz="0" w:space="0" w:color="auto"/>
        <w:left w:val="none" w:sz="0" w:space="0" w:color="auto"/>
        <w:bottom w:val="none" w:sz="0" w:space="0" w:color="auto"/>
        <w:right w:val="none" w:sz="0" w:space="0" w:color="auto"/>
      </w:divBdr>
      <w:divsChild>
        <w:div w:id="963929711">
          <w:marLeft w:val="0"/>
          <w:marRight w:val="0"/>
          <w:marTop w:val="0"/>
          <w:marBottom w:val="0"/>
          <w:divBdr>
            <w:top w:val="none" w:sz="0" w:space="0" w:color="auto"/>
            <w:left w:val="none" w:sz="0" w:space="0" w:color="auto"/>
            <w:bottom w:val="none" w:sz="0" w:space="0" w:color="auto"/>
            <w:right w:val="none" w:sz="0" w:space="0" w:color="auto"/>
          </w:divBdr>
        </w:div>
      </w:divsChild>
    </w:div>
    <w:div w:id="1546989673">
      <w:marLeft w:val="0"/>
      <w:marRight w:val="0"/>
      <w:marTop w:val="0"/>
      <w:marBottom w:val="0"/>
      <w:divBdr>
        <w:top w:val="none" w:sz="0" w:space="0" w:color="auto"/>
        <w:left w:val="none" w:sz="0" w:space="0" w:color="auto"/>
        <w:bottom w:val="none" w:sz="0" w:space="0" w:color="auto"/>
        <w:right w:val="none" w:sz="0" w:space="0" w:color="auto"/>
      </w:divBdr>
    </w:div>
    <w:div w:id="1555773777">
      <w:marLeft w:val="0"/>
      <w:marRight w:val="0"/>
      <w:marTop w:val="0"/>
      <w:marBottom w:val="0"/>
      <w:divBdr>
        <w:top w:val="none" w:sz="0" w:space="0" w:color="auto"/>
        <w:left w:val="none" w:sz="0" w:space="0" w:color="auto"/>
        <w:bottom w:val="none" w:sz="0" w:space="0" w:color="auto"/>
        <w:right w:val="none" w:sz="0" w:space="0" w:color="auto"/>
      </w:divBdr>
    </w:div>
    <w:div w:id="1558125872">
      <w:marLeft w:val="0"/>
      <w:marRight w:val="0"/>
      <w:marTop w:val="0"/>
      <w:marBottom w:val="0"/>
      <w:divBdr>
        <w:top w:val="none" w:sz="0" w:space="0" w:color="auto"/>
        <w:left w:val="none" w:sz="0" w:space="0" w:color="auto"/>
        <w:bottom w:val="none" w:sz="0" w:space="0" w:color="auto"/>
        <w:right w:val="none" w:sz="0" w:space="0" w:color="auto"/>
      </w:divBdr>
    </w:div>
    <w:div w:id="1561747391">
      <w:marLeft w:val="0"/>
      <w:marRight w:val="0"/>
      <w:marTop w:val="0"/>
      <w:marBottom w:val="180"/>
      <w:divBdr>
        <w:top w:val="none" w:sz="0" w:space="0" w:color="auto"/>
        <w:left w:val="none" w:sz="0" w:space="0" w:color="auto"/>
        <w:bottom w:val="none" w:sz="0" w:space="0" w:color="auto"/>
        <w:right w:val="none" w:sz="0" w:space="0" w:color="auto"/>
      </w:divBdr>
    </w:div>
    <w:div w:id="1569076270">
      <w:marLeft w:val="0"/>
      <w:marRight w:val="0"/>
      <w:marTop w:val="0"/>
      <w:marBottom w:val="0"/>
      <w:divBdr>
        <w:top w:val="none" w:sz="0" w:space="0" w:color="auto"/>
        <w:left w:val="none" w:sz="0" w:space="0" w:color="auto"/>
        <w:bottom w:val="none" w:sz="0" w:space="0" w:color="auto"/>
        <w:right w:val="none" w:sz="0" w:space="0" w:color="auto"/>
      </w:divBdr>
    </w:div>
    <w:div w:id="1572618883">
      <w:marLeft w:val="0"/>
      <w:marRight w:val="0"/>
      <w:marTop w:val="0"/>
      <w:marBottom w:val="0"/>
      <w:divBdr>
        <w:top w:val="none" w:sz="0" w:space="0" w:color="auto"/>
        <w:left w:val="none" w:sz="0" w:space="0" w:color="auto"/>
        <w:bottom w:val="none" w:sz="0" w:space="0" w:color="auto"/>
        <w:right w:val="none" w:sz="0" w:space="0" w:color="auto"/>
      </w:divBdr>
      <w:divsChild>
        <w:div w:id="710301841">
          <w:marLeft w:val="0"/>
          <w:marRight w:val="0"/>
          <w:marTop w:val="0"/>
          <w:marBottom w:val="0"/>
          <w:divBdr>
            <w:top w:val="none" w:sz="0" w:space="0" w:color="auto"/>
            <w:left w:val="none" w:sz="0" w:space="0" w:color="auto"/>
            <w:bottom w:val="none" w:sz="0" w:space="0" w:color="auto"/>
            <w:right w:val="none" w:sz="0" w:space="0" w:color="auto"/>
          </w:divBdr>
        </w:div>
      </w:divsChild>
    </w:div>
    <w:div w:id="1573277982">
      <w:marLeft w:val="0"/>
      <w:marRight w:val="0"/>
      <w:marTop w:val="0"/>
      <w:marBottom w:val="180"/>
      <w:divBdr>
        <w:top w:val="none" w:sz="0" w:space="0" w:color="auto"/>
        <w:left w:val="none" w:sz="0" w:space="0" w:color="auto"/>
        <w:bottom w:val="none" w:sz="0" w:space="0" w:color="auto"/>
        <w:right w:val="none" w:sz="0" w:space="0" w:color="auto"/>
      </w:divBdr>
    </w:div>
    <w:div w:id="1579751632">
      <w:marLeft w:val="0"/>
      <w:marRight w:val="0"/>
      <w:marTop w:val="0"/>
      <w:marBottom w:val="280"/>
      <w:divBdr>
        <w:top w:val="none" w:sz="0" w:space="0" w:color="auto"/>
        <w:left w:val="none" w:sz="0" w:space="0" w:color="auto"/>
        <w:bottom w:val="none" w:sz="0" w:space="0" w:color="auto"/>
        <w:right w:val="none" w:sz="0" w:space="0" w:color="auto"/>
      </w:divBdr>
    </w:div>
    <w:div w:id="1580870329">
      <w:marLeft w:val="0"/>
      <w:marRight w:val="0"/>
      <w:marTop w:val="0"/>
      <w:marBottom w:val="0"/>
      <w:divBdr>
        <w:top w:val="none" w:sz="0" w:space="0" w:color="auto"/>
        <w:left w:val="none" w:sz="0" w:space="0" w:color="auto"/>
        <w:bottom w:val="none" w:sz="0" w:space="0" w:color="auto"/>
        <w:right w:val="none" w:sz="0" w:space="0" w:color="auto"/>
      </w:divBdr>
      <w:divsChild>
        <w:div w:id="1163931941">
          <w:marLeft w:val="0"/>
          <w:marRight w:val="0"/>
          <w:marTop w:val="0"/>
          <w:marBottom w:val="0"/>
          <w:divBdr>
            <w:top w:val="none" w:sz="0" w:space="0" w:color="auto"/>
            <w:left w:val="none" w:sz="0" w:space="0" w:color="auto"/>
            <w:bottom w:val="none" w:sz="0" w:space="0" w:color="auto"/>
            <w:right w:val="none" w:sz="0" w:space="0" w:color="auto"/>
          </w:divBdr>
        </w:div>
      </w:divsChild>
    </w:div>
    <w:div w:id="1580941612">
      <w:marLeft w:val="0"/>
      <w:marRight w:val="0"/>
      <w:marTop w:val="0"/>
      <w:marBottom w:val="180"/>
      <w:divBdr>
        <w:top w:val="none" w:sz="0" w:space="0" w:color="auto"/>
        <w:left w:val="none" w:sz="0" w:space="0" w:color="auto"/>
        <w:bottom w:val="none" w:sz="0" w:space="0" w:color="auto"/>
        <w:right w:val="none" w:sz="0" w:space="0" w:color="auto"/>
      </w:divBdr>
    </w:div>
    <w:div w:id="1586112434">
      <w:marLeft w:val="0"/>
      <w:marRight w:val="0"/>
      <w:marTop w:val="0"/>
      <w:marBottom w:val="120"/>
      <w:divBdr>
        <w:top w:val="none" w:sz="0" w:space="0" w:color="auto"/>
        <w:left w:val="none" w:sz="0" w:space="0" w:color="auto"/>
        <w:bottom w:val="none" w:sz="0" w:space="0" w:color="auto"/>
        <w:right w:val="none" w:sz="0" w:space="0" w:color="auto"/>
      </w:divBdr>
    </w:div>
    <w:div w:id="1587109010">
      <w:marLeft w:val="0"/>
      <w:marRight w:val="0"/>
      <w:marTop w:val="0"/>
      <w:marBottom w:val="0"/>
      <w:divBdr>
        <w:top w:val="none" w:sz="0" w:space="0" w:color="auto"/>
        <w:left w:val="none" w:sz="0" w:space="0" w:color="auto"/>
        <w:bottom w:val="none" w:sz="0" w:space="0" w:color="auto"/>
        <w:right w:val="none" w:sz="0" w:space="0" w:color="auto"/>
      </w:divBdr>
    </w:div>
    <w:div w:id="1589076758">
      <w:marLeft w:val="0"/>
      <w:marRight w:val="0"/>
      <w:marTop w:val="0"/>
      <w:marBottom w:val="0"/>
      <w:divBdr>
        <w:top w:val="none" w:sz="0" w:space="0" w:color="auto"/>
        <w:left w:val="none" w:sz="0" w:space="0" w:color="auto"/>
        <w:bottom w:val="none" w:sz="0" w:space="0" w:color="auto"/>
        <w:right w:val="none" w:sz="0" w:space="0" w:color="auto"/>
      </w:divBdr>
      <w:divsChild>
        <w:div w:id="2025745014">
          <w:marLeft w:val="0"/>
          <w:marRight w:val="0"/>
          <w:marTop w:val="0"/>
          <w:marBottom w:val="0"/>
          <w:divBdr>
            <w:top w:val="none" w:sz="0" w:space="0" w:color="auto"/>
            <w:left w:val="none" w:sz="0" w:space="0" w:color="auto"/>
            <w:bottom w:val="none" w:sz="0" w:space="0" w:color="auto"/>
            <w:right w:val="none" w:sz="0" w:space="0" w:color="auto"/>
          </w:divBdr>
        </w:div>
      </w:divsChild>
    </w:div>
    <w:div w:id="1590844231">
      <w:marLeft w:val="0"/>
      <w:marRight w:val="0"/>
      <w:marTop w:val="0"/>
      <w:marBottom w:val="180"/>
      <w:divBdr>
        <w:top w:val="none" w:sz="0" w:space="0" w:color="auto"/>
        <w:left w:val="none" w:sz="0" w:space="0" w:color="auto"/>
        <w:bottom w:val="none" w:sz="0" w:space="0" w:color="auto"/>
        <w:right w:val="none" w:sz="0" w:space="0" w:color="auto"/>
      </w:divBdr>
    </w:div>
    <w:div w:id="1591743631">
      <w:marLeft w:val="0"/>
      <w:marRight w:val="0"/>
      <w:marTop w:val="0"/>
      <w:marBottom w:val="180"/>
      <w:divBdr>
        <w:top w:val="none" w:sz="0" w:space="0" w:color="auto"/>
        <w:left w:val="none" w:sz="0" w:space="0" w:color="auto"/>
        <w:bottom w:val="none" w:sz="0" w:space="0" w:color="auto"/>
        <w:right w:val="none" w:sz="0" w:space="0" w:color="auto"/>
      </w:divBdr>
    </w:div>
    <w:div w:id="1594973088">
      <w:marLeft w:val="0"/>
      <w:marRight w:val="0"/>
      <w:marTop w:val="0"/>
      <w:marBottom w:val="0"/>
      <w:divBdr>
        <w:top w:val="none" w:sz="0" w:space="0" w:color="auto"/>
        <w:left w:val="none" w:sz="0" w:space="0" w:color="auto"/>
        <w:bottom w:val="none" w:sz="0" w:space="0" w:color="auto"/>
        <w:right w:val="none" w:sz="0" w:space="0" w:color="auto"/>
      </w:divBdr>
      <w:divsChild>
        <w:div w:id="604776880">
          <w:marLeft w:val="0"/>
          <w:marRight w:val="0"/>
          <w:marTop w:val="0"/>
          <w:marBottom w:val="0"/>
          <w:divBdr>
            <w:top w:val="none" w:sz="0" w:space="0" w:color="auto"/>
            <w:left w:val="none" w:sz="0" w:space="0" w:color="auto"/>
            <w:bottom w:val="none" w:sz="0" w:space="0" w:color="auto"/>
            <w:right w:val="none" w:sz="0" w:space="0" w:color="auto"/>
          </w:divBdr>
        </w:div>
      </w:divsChild>
    </w:div>
    <w:div w:id="1603147087">
      <w:marLeft w:val="0"/>
      <w:marRight w:val="0"/>
      <w:marTop w:val="100"/>
      <w:marBottom w:val="80"/>
      <w:divBdr>
        <w:top w:val="none" w:sz="0" w:space="0" w:color="auto"/>
        <w:left w:val="none" w:sz="0" w:space="0" w:color="auto"/>
        <w:bottom w:val="none" w:sz="0" w:space="0" w:color="auto"/>
        <w:right w:val="none" w:sz="0" w:space="0" w:color="auto"/>
      </w:divBdr>
    </w:div>
    <w:div w:id="1603340755">
      <w:marLeft w:val="0"/>
      <w:marRight w:val="0"/>
      <w:marTop w:val="0"/>
      <w:marBottom w:val="0"/>
      <w:divBdr>
        <w:top w:val="none" w:sz="0" w:space="0" w:color="auto"/>
        <w:left w:val="none" w:sz="0" w:space="0" w:color="auto"/>
        <w:bottom w:val="none" w:sz="0" w:space="0" w:color="auto"/>
        <w:right w:val="none" w:sz="0" w:space="0" w:color="auto"/>
      </w:divBdr>
    </w:div>
    <w:div w:id="1604802540">
      <w:marLeft w:val="0"/>
      <w:marRight w:val="0"/>
      <w:marTop w:val="0"/>
      <w:marBottom w:val="0"/>
      <w:divBdr>
        <w:top w:val="none" w:sz="0" w:space="0" w:color="auto"/>
        <w:left w:val="none" w:sz="0" w:space="0" w:color="auto"/>
        <w:bottom w:val="none" w:sz="0" w:space="0" w:color="auto"/>
        <w:right w:val="none" w:sz="0" w:space="0" w:color="auto"/>
      </w:divBdr>
    </w:div>
    <w:div w:id="1614050104">
      <w:marLeft w:val="0"/>
      <w:marRight w:val="0"/>
      <w:marTop w:val="0"/>
      <w:marBottom w:val="0"/>
      <w:divBdr>
        <w:top w:val="none" w:sz="0" w:space="0" w:color="auto"/>
        <w:left w:val="none" w:sz="0" w:space="0" w:color="auto"/>
        <w:bottom w:val="none" w:sz="0" w:space="0" w:color="auto"/>
        <w:right w:val="none" w:sz="0" w:space="0" w:color="auto"/>
      </w:divBdr>
    </w:div>
    <w:div w:id="1616402254">
      <w:marLeft w:val="0"/>
      <w:marRight w:val="0"/>
      <w:marTop w:val="0"/>
      <w:marBottom w:val="280"/>
      <w:divBdr>
        <w:top w:val="none" w:sz="0" w:space="0" w:color="auto"/>
        <w:left w:val="none" w:sz="0" w:space="0" w:color="auto"/>
        <w:bottom w:val="none" w:sz="0" w:space="0" w:color="auto"/>
        <w:right w:val="none" w:sz="0" w:space="0" w:color="auto"/>
      </w:divBdr>
    </w:div>
    <w:div w:id="1616446496">
      <w:marLeft w:val="0"/>
      <w:marRight w:val="0"/>
      <w:marTop w:val="0"/>
      <w:marBottom w:val="180"/>
      <w:divBdr>
        <w:top w:val="none" w:sz="0" w:space="0" w:color="auto"/>
        <w:left w:val="none" w:sz="0" w:space="0" w:color="auto"/>
        <w:bottom w:val="none" w:sz="0" w:space="0" w:color="auto"/>
        <w:right w:val="none" w:sz="0" w:space="0" w:color="auto"/>
      </w:divBdr>
    </w:div>
    <w:div w:id="1620332678">
      <w:marLeft w:val="0"/>
      <w:marRight w:val="0"/>
      <w:marTop w:val="0"/>
      <w:marBottom w:val="80"/>
      <w:divBdr>
        <w:top w:val="none" w:sz="0" w:space="0" w:color="auto"/>
        <w:left w:val="none" w:sz="0" w:space="0" w:color="auto"/>
        <w:bottom w:val="none" w:sz="0" w:space="0" w:color="auto"/>
        <w:right w:val="none" w:sz="0" w:space="0" w:color="auto"/>
      </w:divBdr>
      <w:divsChild>
        <w:div w:id="1527450857">
          <w:marLeft w:val="0"/>
          <w:marRight w:val="0"/>
          <w:marTop w:val="0"/>
          <w:marBottom w:val="0"/>
          <w:divBdr>
            <w:top w:val="none" w:sz="0" w:space="0" w:color="auto"/>
            <w:left w:val="none" w:sz="0" w:space="0" w:color="auto"/>
            <w:bottom w:val="none" w:sz="0" w:space="0" w:color="auto"/>
            <w:right w:val="none" w:sz="0" w:space="0" w:color="auto"/>
          </w:divBdr>
        </w:div>
        <w:div w:id="1642467198">
          <w:marLeft w:val="0"/>
          <w:marRight w:val="0"/>
          <w:marTop w:val="0"/>
          <w:marBottom w:val="0"/>
          <w:divBdr>
            <w:top w:val="none" w:sz="0" w:space="0" w:color="auto"/>
            <w:left w:val="none" w:sz="0" w:space="0" w:color="auto"/>
            <w:bottom w:val="none" w:sz="0" w:space="0" w:color="auto"/>
            <w:right w:val="none" w:sz="0" w:space="0" w:color="auto"/>
          </w:divBdr>
        </w:div>
      </w:divsChild>
    </w:div>
    <w:div w:id="1623881557">
      <w:marLeft w:val="0"/>
      <w:marRight w:val="0"/>
      <w:marTop w:val="0"/>
      <w:marBottom w:val="0"/>
      <w:divBdr>
        <w:top w:val="none" w:sz="0" w:space="0" w:color="auto"/>
        <w:left w:val="none" w:sz="0" w:space="0" w:color="auto"/>
        <w:bottom w:val="none" w:sz="0" w:space="0" w:color="auto"/>
        <w:right w:val="none" w:sz="0" w:space="0" w:color="auto"/>
      </w:divBdr>
      <w:divsChild>
        <w:div w:id="1697807464">
          <w:marLeft w:val="0"/>
          <w:marRight w:val="0"/>
          <w:marTop w:val="0"/>
          <w:marBottom w:val="0"/>
          <w:divBdr>
            <w:top w:val="none" w:sz="0" w:space="0" w:color="auto"/>
            <w:left w:val="none" w:sz="0" w:space="0" w:color="auto"/>
            <w:bottom w:val="none" w:sz="0" w:space="0" w:color="auto"/>
            <w:right w:val="none" w:sz="0" w:space="0" w:color="auto"/>
          </w:divBdr>
        </w:div>
      </w:divsChild>
    </w:div>
    <w:div w:id="1625847525">
      <w:marLeft w:val="0"/>
      <w:marRight w:val="0"/>
      <w:marTop w:val="0"/>
      <w:marBottom w:val="0"/>
      <w:divBdr>
        <w:top w:val="none" w:sz="0" w:space="0" w:color="auto"/>
        <w:left w:val="none" w:sz="0" w:space="0" w:color="auto"/>
        <w:bottom w:val="none" w:sz="0" w:space="0" w:color="auto"/>
        <w:right w:val="none" w:sz="0" w:space="0" w:color="auto"/>
      </w:divBdr>
    </w:div>
    <w:div w:id="1631127370">
      <w:marLeft w:val="0"/>
      <w:marRight w:val="0"/>
      <w:marTop w:val="0"/>
      <w:marBottom w:val="0"/>
      <w:divBdr>
        <w:top w:val="none" w:sz="0" w:space="0" w:color="auto"/>
        <w:left w:val="none" w:sz="0" w:space="0" w:color="auto"/>
        <w:bottom w:val="none" w:sz="0" w:space="0" w:color="auto"/>
        <w:right w:val="none" w:sz="0" w:space="0" w:color="auto"/>
      </w:divBdr>
      <w:divsChild>
        <w:div w:id="878517873">
          <w:marLeft w:val="0"/>
          <w:marRight w:val="0"/>
          <w:marTop w:val="0"/>
          <w:marBottom w:val="0"/>
          <w:divBdr>
            <w:top w:val="none" w:sz="0" w:space="0" w:color="auto"/>
            <w:left w:val="none" w:sz="0" w:space="0" w:color="auto"/>
            <w:bottom w:val="none" w:sz="0" w:space="0" w:color="auto"/>
            <w:right w:val="none" w:sz="0" w:space="0" w:color="auto"/>
          </w:divBdr>
        </w:div>
      </w:divsChild>
    </w:div>
    <w:div w:id="1632318674">
      <w:marLeft w:val="0"/>
      <w:marRight w:val="0"/>
      <w:marTop w:val="0"/>
      <w:marBottom w:val="0"/>
      <w:divBdr>
        <w:top w:val="none" w:sz="0" w:space="0" w:color="auto"/>
        <w:left w:val="none" w:sz="0" w:space="0" w:color="auto"/>
        <w:bottom w:val="none" w:sz="0" w:space="0" w:color="auto"/>
        <w:right w:val="none" w:sz="0" w:space="0" w:color="auto"/>
      </w:divBdr>
      <w:divsChild>
        <w:div w:id="859707633">
          <w:marLeft w:val="0"/>
          <w:marRight w:val="0"/>
          <w:marTop w:val="0"/>
          <w:marBottom w:val="0"/>
          <w:divBdr>
            <w:top w:val="none" w:sz="0" w:space="0" w:color="auto"/>
            <w:left w:val="none" w:sz="0" w:space="0" w:color="auto"/>
            <w:bottom w:val="none" w:sz="0" w:space="0" w:color="auto"/>
            <w:right w:val="none" w:sz="0" w:space="0" w:color="auto"/>
          </w:divBdr>
        </w:div>
      </w:divsChild>
    </w:div>
    <w:div w:id="1636719279">
      <w:marLeft w:val="0"/>
      <w:marRight w:val="0"/>
      <w:marTop w:val="0"/>
      <w:marBottom w:val="0"/>
      <w:divBdr>
        <w:top w:val="none" w:sz="0" w:space="0" w:color="auto"/>
        <w:left w:val="none" w:sz="0" w:space="0" w:color="auto"/>
        <w:bottom w:val="none" w:sz="0" w:space="0" w:color="auto"/>
        <w:right w:val="none" w:sz="0" w:space="0" w:color="auto"/>
      </w:divBdr>
    </w:div>
    <w:div w:id="1639068796">
      <w:marLeft w:val="0"/>
      <w:marRight w:val="0"/>
      <w:marTop w:val="0"/>
      <w:marBottom w:val="180"/>
      <w:divBdr>
        <w:top w:val="none" w:sz="0" w:space="0" w:color="auto"/>
        <w:left w:val="none" w:sz="0" w:space="0" w:color="auto"/>
        <w:bottom w:val="none" w:sz="0" w:space="0" w:color="auto"/>
        <w:right w:val="none" w:sz="0" w:space="0" w:color="auto"/>
      </w:divBdr>
    </w:div>
    <w:div w:id="1643382768">
      <w:marLeft w:val="0"/>
      <w:marRight w:val="0"/>
      <w:marTop w:val="0"/>
      <w:marBottom w:val="0"/>
      <w:divBdr>
        <w:top w:val="none" w:sz="0" w:space="0" w:color="auto"/>
        <w:left w:val="none" w:sz="0" w:space="0" w:color="auto"/>
        <w:bottom w:val="none" w:sz="0" w:space="0" w:color="auto"/>
        <w:right w:val="none" w:sz="0" w:space="0" w:color="auto"/>
      </w:divBdr>
    </w:div>
    <w:div w:id="1661621454">
      <w:marLeft w:val="0"/>
      <w:marRight w:val="0"/>
      <w:marTop w:val="0"/>
      <w:marBottom w:val="0"/>
      <w:divBdr>
        <w:top w:val="none" w:sz="0" w:space="0" w:color="auto"/>
        <w:left w:val="none" w:sz="0" w:space="0" w:color="auto"/>
        <w:bottom w:val="none" w:sz="0" w:space="0" w:color="auto"/>
        <w:right w:val="none" w:sz="0" w:space="0" w:color="auto"/>
      </w:divBdr>
      <w:divsChild>
        <w:div w:id="679282194">
          <w:marLeft w:val="0"/>
          <w:marRight w:val="0"/>
          <w:marTop w:val="0"/>
          <w:marBottom w:val="0"/>
          <w:divBdr>
            <w:top w:val="none" w:sz="0" w:space="0" w:color="auto"/>
            <w:left w:val="none" w:sz="0" w:space="0" w:color="auto"/>
            <w:bottom w:val="none" w:sz="0" w:space="0" w:color="auto"/>
            <w:right w:val="none" w:sz="0" w:space="0" w:color="auto"/>
          </w:divBdr>
        </w:div>
      </w:divsChild>
    </w:div>
    <w:div w:id="1665820778">
      <w:marLeft w:val="0"/>
      <w:marRight w:val="0"/>
      <w:marTop w:val="0"/>
      <w:marBottom w:val="0"/>
      <w:divBdr>
        <w:top w:val="none" w:sz="0" w:space="0" w:color="auto"/>
        <w:left w:val="none" w:sz="0" w:space="0" w:color="auto"/>
        <w:bottom w:val="none" w:sz="0" w:space="0" w:color="auto"/>
        <w:right w:val="none" w:sz="0" w:space="0" w:color="auto"/>
      </w:divBdr>
      <w:divsChild>
        <w:div w:id="185601281">
          <w:marLeft w:val="0"/>
          <w:marRight w:val="0"/>
          <w:marTop w:val="0"/>
          <w:marBottom w:val="0"/>
          <w:divBdr>
            <w:top w:val="none" w:sz="0" w:space="0" w:color="auto"/>
            <w:left w:val="none" w:sz="0" w:space="0" w:color="auto"/>
            <w:bottom w:val="none" w:sz="0" w:space="0" w:color="auto"/>
            <w:right w:val="none" w:sz="0" w:space="0" w:color="auto"/>
          </w:divBdr>
        </w:div>
      </w:divsChild>
    </w:div>
    <w:div w:id="1667241418">
      <w:marLeft w:val="0"/>
      <w:marRight w:val="0"/>
      <w:marTop w:val="0"/>
      <w:marBottom w:val="0"/>
      <w:divBdr>
        <w:top w:val="none" w:sz="0" w:space="0" w:color="auto"/>
        <w:left w:val="none" w:sz="0" w:space="0" w:color="auto"/>
        <w:bottom w:val="none" w:sz="0" w:space="0" w:color="auto"/>
        <w:right w:val="none" w:sz="0" w:space="0" w:color="auto"/>
      </w:divBdr>
      <w:divsChild>
        <w:div w:id="431900142">
          <w:marLeft w:val="0"/>
          <w:marRight w:val="0"/>
          <w:marTop w:val="0"/>
          <w:marBottom w:val="0"/>
          <w:divBdr>
            <w:top w:val="none" w:sz="0" w:space="0" w:color="auto"/>
            <w:left w:val="none" w:sz="0" w:space="0" w:color="auto"/>
            <w:bottom w:val="none" w:sz="0" w:space="0" w:color="auto"/>
            <w:right w:val="none" w:sz="0" w:space="0" w:color="auto"/>
          </w:divBdr>
        </w:div>
      </w:divsChild>
    </w:div>
    <w:div w:id="1667398758">
      <w:marLeft w:val="0"/>
      <w:marRight w:val="0"/>
      <w:marTop w:val="0"/>
      <w:marBottom w:val="0"/>
      <w:divBdr>
        <w:top w:val="none" w:sz="0" w:space="0" w:color="auto"/>
        <w:left w:val="none" w:sz="0" w:space="0" w:color="auto"/>
        <w:bottom w:val="none" w:sz="0" w:space="0" w:color="auto"/>
        <w:right w:val="none" w:sz="0" w:space="0" w:color="auto"/>
      </w:divBdr>
      <w:divsChild>
        <w:div w:id="923760467">
          <w:marLeft w:val="0"/>
          <w:marRight w:val="0"/>
          <w:marTop w:val="0"/>
          <w:marBottom w:val="0"/>
          <w:divBdr>
            <w:top w:val="none" w:sz="0" w:space="0" w:color="auto"/>
            <w:left w:val="none" w:sz="0" w:space="0" w:color="auto"/>
            <w:bottom w:val="none" w:sz="0" w:space="0" w:color="auto"/>
            <w:right w:val="none" w:sz="0" w:space="0" w:color="auto"/>
          </w:divBdr>
        </w:div>
      </w:divsChild>
    </w:div>
    <w:div w:id="1670518179">
      <w:marLeft w:val="0"/>
      <w:marRight w:val="0"/>
      <w:marTop w:val="0"/>
      <w:marBottom w:val="0"/>
      <w:divBdr>
        <w:top w:val="none" w:sz="0" w:space="0" w:color="auto"/>
        <w:left w:val="none" w:sz="0" w:space="0" w:color="auto"/>
        <w:bottom w:val="none" w:sz="0" w:space="0" w:color="auto"/>
        <w:right w:val="none" w:sz="0" w:space="0" w:color="auto"/>
      </w:divBdr>
      <w:divsChild>
        <w:div w:id="788089510">
          <w:marLeft w:val="0"/>
          <w:marRight w:val="0"/>
          <w:marTop w:val="0"/>
          <w:marBottom w:val="0"/>
          <w:divBdr>
            <w:top w:val="none" w:sz="0" w:space="0" w:color="auto"/>
            <w:left w:val="none" w:sz="0" w:space="0" w:color="auto"/>
            <w:bottom w:val="none" w:sz="0" w:space="0" w:color="auto"/>
            <w:right w:val="none" w:sz="0" w:space="0" w:color="auto"/>
          </w:divBdr>
        </w:div>
      </w:divsChild>
    </w:div>
    <w:div w:id="1670593690">
      <w:marLeft w:val="0"/>
      <w:marRight w:val="0"/>
      <w:marTop w:val="0"/>
      <w:marBottom w:val="0"/>
      <w:divBdr>
        <w:top w:val="none" w:sz="0" w:space="0" w:color="auto"/>
        <w:left w:val="none" w:sz="0" w:space="0" w:color="auto"/>
        <w:bottom w:val="none" w:sz="0" w:space="0" w:color="auto"/>
        <w:right w:val="none" w:sz="0" w:space="0" w:color="auto"/>
      </w:divBdr>
    </w:div>
    <w:div w:id="1680041327">
      <w:marLeft w:val="0"/>
      <w:marRight w:val="0"/>
      <w:marTop w:val="0"/>
      <w:marBottom w:val="180"/>
      <w:divBdr>
        <w:top w:val="none" w:sz="0" w:space="0" w:color="auto"/>
        <w:left w:val="none" w:sz="0" w:space="0" w:color="auto"/>
        <w:bottom w:val="none" w:sz="0" w:space="0" w:color="auto"/>
        <w:right w:val="none" w:sz="0" w:space="0" w:color="auto"/>
      </w:divBdr>
    </w:div>
    <w:div w:id="1680277797">
      <w:marLeft w:val="0"/>
      <w:marRight w:val="0"/>
      <w:marTop w:val="0"/>
      <w:marBottom w:val="0"/>
      <w:divBdr>
        <w:top w:val="none" w:sz="0" w:space="0" w:color="auto"/>
        <w:left w:val="none" w:sz="0" w:space="0" w:color="auto"/>
        <w:bottom w:val="none" w:sz="0" w:space="0" w:color="auto"/>
        <w:right w:val="none" w:sz="0" w:space="0" w:color="auto"/>
      </w:divBdr>
      <w:divsChild>
        <w:div w:id="18553013">
          <w:marLeft w:val="0"/>
          <w:marRight w:val="0"/>
          <w:marTop w:val="0"/>
          <w:marBottom w:val="0"/>
          <w:divBdr>
            <w:top w:val="none" w:sz="0" w:space="0" w:color="auto"/>
            <w:left w:val="none" w:sz="0" w:space="0" w:color="auto"/>
            <w:bottom w:val="none" w:sz="0" w:space="0" w:color="auto"/>
            <w:right w:val="none" w:sz="0" w:space="0" w:color="auto"/>
          </w:divBdr>
        </w:div>
      </w:divsChild>
    </w:div>
    <w:div w:id="1680548996">
      <w:marLeft w:val="0"/>
      <w:marRight w:val="0"/>
      <w:marTop w:val="0"/>
      <w:marBottom w:val="0"/>
      <w:divBdr>
        <w:top w:val="none" w:sz="0" w:space="0" w:color="auto"/>
        <w:left w:val="none" w:sz="0" w:space="0" w:color="auto"/>
        <w:bottom w:val="none" w:sz="0" w:space="0" w:color="auto"/>
        <w:right w:val="none" w:sz="0" w:space="0" w:color="auto"/>
      </w:divBdr>
      <w:divsChild>
        <w:div w:id="588932169">
          <w:marLeft w:val="0"/>
          <w:marRight w:val="0"/>
          <w:marTop w:val="0"/>
          <w:marBottom w:val="0"/>
          <w:divBdr>
            <w:top w:val="none" w:sz="0" w:space="0" w:color="auto"/>
            <w:left w:val="none" w:sz="0" w:space="0" w:color="auto"/>
            <w:bottom w:val="none" w:sz="0" w:space="0" w:color="auto"/>
            <w:right w:val="none" w:sz="0" w:space="0" w:color="auto"/>
          </w:divBdr>
        </w:div>
      </w:divsChild>
    </w:div>
    <w:div w:id="1688752883">
      <w:marLeft w:val="0"/>
      <w:marRight w:val="0"/>
      <w:marTop w:val="60"/>
      <w:marBottom w:val="20"/>
      <w:divBdr>
        <w:top w:val="none" w:sz="0" w:space="0" w:color="auto"/>
        <w:left w:val="none" w:sz="0" w:space="0" w:color="auto"/>
        <w:bottom w:val="none" w:sz="0" w:space="0" w:color="auto"/>
        <w:right w:val="none" w:sz="0" w:space="0" w:color="auto"/>
      </w:divBdr>
    </w:div>
    <w:div w:id="1688824766">
      <w:marLeft w:val="0"/>
      <w:marRight w:val="0"/>
      <w:marTop w:val="0"/>
      <w:marBottom w:val="0"/>
      <w:divBdr>
        <w:top w:val="none" w:sz="0" w:space="0" w:color="auto"/>
        <w:left w:val="none" w:sz="0" w:space="0" w:color="auto"/>
        <w:bottom w:val="none" w:sz="0" w:space="0" w:color="auto"/>
        <w:right w:val="none" w:sz="0" w:space="0" w:color="auto"/>
      </w:divBdr>
    </w:div>
    <w:div w:id="1690138506">
      <w:marLeft w:val="0"/>
      <w:marRight w:val="0"/>
      <w:marTop w:val="0"/>
      <w:marBottom w:val="280"/>
      <w:divBdr>
        <w:top w:val="none" w:sz="0" w:space="0" w:color="auto"/>
        <w:left w:val="none" w:sz="0" w:space="0" w:color="auto"/>
        <w:bottom w:val="none" w:sz="0" w:space="0" w:color="auto"/>
        <w:right w:val="none" w:sz="0" w:space="0" w:color="auto"/>
      </w:divBdr>
    </w:div>
    <w:div w:id="1691948926">
      <w:marLeft w:val="0"/>
      <w:marRight w:val="0"/>
      <w:marTop w:val="0"/>
      <w:marBottom w:val="0"/>
      <w:divBdr>
        <w:top w:val="none" w:sz="0" w:space="0" w:color="auto"/>
        <w:left w:val="none" w:sz="0" w:space="0" w:color="auto"/>
        <w:bottom w:val="none" w:sz="0" w:space="0" w:color="auto"/>
        <w:right w:val="none" w:sz="0" w:space="0" w:color="auto"/>
      </w:divBdr>
    </w:div>
    <w:div w:id="1701473541">
      <w:marLeft w:val="0"/>
      <w:marRight w:val="0"/>
      <w:marTop w:val="0"/>
      <w:marBottom w:val="0"/>
      <w:divBdr>
        <w:top w:val="none" w:sz="0" w:space="0" w:color="auto"/>
        <w:left w:val="none" w:sz="0" w:space="0" w:color="auto"/>
        <w:bottom w:val="none" w:sz="0" w:space="0" w:color="auto"/>
        <w:right w:val="none" w:sz="0" w:space="0" w:color="auto"/>
      </w:divBdr>
      <w:divsChild>
        <w:div w:id="1603150386">
          <w:marLeft w:val="0"/>
          <w:marRight w:val="0"/>
          <w:marTop w:val="0"/>
          <w:marBottom w:val="0"/>
          <w:divBdr>
            <w:top w:val="none" w:sz="0" w:space="0" w:color="auto"/>
            <w:left w:val="none" w:sz="0" w:space="0" w:color="auto"/>
            <w:bottom w:val="none" w:sz="0" w:space="0" w:color="auto"/>
            <w:right w:val="none" w:sz="0" w:space="0" w:color="auto"/>
          </w:divBdr>
        </w:div>
      </w:divsChild>
    </w:div>
    <w:div w:id="1705717034">
      <w:marLeft w:val="0"/>
      <w:marRight w:val="0"/>
      <w:marTop w:val="0"/>
      <w:marBottom w:val="0"/>
      <w:divBdr>
        <w:top w:val="none" w:sz="0" w:space="0" w:color="auto"/>
        <w:left w:val="none" w:sz="0" w:space="0" w:color="auto"/>
        <w:bottom w:val="none" w:sz="0" w:space="0" w:color="auto"/>
        <w:right w:val="none" w:sz="0" w:space="0" w:color="auto"/>
      </w:divBdr>
      <w:divsChild>
        <w:div w:id="1085766197">
          <w:marLeft w:val="0"/>
          <w:marRight w:val="0"/>
          <w:marTop w:val="0"/>
          <w:marBottom w:val="0"/>
          <w:divBdr>
            <w:top w:val="none" w:sz="0" w:space="0" w:color="auto"/>
            <w:left w:val="none" w:sz="0" w:space="0" w:color="auto"/>
            <w:bottom w:val="none" w:sz="0" w:space="0" w:color="auto"/>
            <w:right w:val="none" w:sz="0" w:space="0" w:color="auto"/>
          </w:divBdr>
        </w:div>
      </w:divsChild>
    </w:div>
    <w:div w:id="1713338825">
      <w:marLeft w:val="0"/>
      <w:marRight w:val="0"/>
      <w:marTop w:val="240"/>
      <w:marBottom w:val="0"/>
      <w:divBdr>
        <w:top w:val="none" w:sz="0" w:space="0" w:color="auto"/>
        <w:left w:val="none" w:sz="0" w:space="0" w:color="auto"/>
        <w:bottom w:val="none" w:sz="0" w:space="0" w:color="auto"/>
        <w:right w:val="none" w:sz="0" w:space="0" w:color="auto"/>
      </w:divBdr>
    </w:div>
    <w:div w:id="1717922692">
      <w:marLeft w:val="0"/>
      <w:marRight w:val="0"/>
      <w:marTop w:val="0"/>
      <w:marBottom w:val="0"/>
      <w:divBdr>
        <w:top w:val="none" w:sz="0" w:space="0" w:color="auto"/>
        <w:left w:val="none" w:sz="0" w:space="0" w:color="auto"/>
        <w:bottom w:val="none" w:sz="0" w:space="0" w:color="auto"/>
        <w:right w:val="none" w:sz="0" w:space="0" w:color="auto"/>
      </w:divBdr>
      <w:divsChild>
        <w:div w:id="1092968504">
          <w:marLeft w:val="0"/>
          <w:marRight w:val="0"/>
          <w:marTop w:val="0"/>
          <w:marBottom w:val="0"/>
          <w:divBdr>
            <w:top w:val="none" w:sz="0" w:space="0" w:color="auto"/>
            <w:left w:val="none" w:sz="0" w:space="0" w:color="auto"/>
            <w:bottom w:val="none" w:sz="0" w:space="0" w:color="auto"/>
            <w:right w:val="none" w:sz="0" w:space="0" w:color="auto"/>
          </w:divBdr>
        </w:div>
      </w:divsChild>
    </w:div>
    <w:div w:id="1721048984">
      <w:marLeft w:val="0"/>
      <w:marRight w:val="0"/>
      <w:marTop w:val="0"/>
      <w:marBottom w:val="0"/>
      <w:divBdr>
        <w:top w:val="none" w:sz="0" w:space="0" w:color="auto"/>
        <w:left w:val="none" w:sz="0" w:space="0" w:color="auto"/>
        <w:bottom w:val="none" w:sz="0" w:space="0" w:color="auto"/>
        <w:right w:val="none" w:sz="0" w:space="0" w:color="auto"/>
      </w:divBdr>
      <w:divsChild>
        <w:div w:id="1376008939">
          <w:marLeft w:val="0"/>
          <w:marRight w:val="0"/>
          <w:marTop w:val="0"/>
          <w:marBottom w:val="0"/>
          <w:divBdr>
            <w:top w:val="none" w:sz="0" w:space="0" w:color="auto"/>
            <w:left w:val="none" w:sz="0" w:space="0" w:color="auto"/>
            <w:bottom w:val="none" w:sz="0" w:space="0" w:color="auto"/>
            <w:right w:val="none" w:sz="0" w:space="0" w:color="auto"/>
          </w:divBdr>
        </w:div>
      </w:divsChild>
    </w:div>
    <w:div w:id="1722942460">
      <w:marLeft w:val="0"/>
      <w:marRight w:val="0"/>
      <w:marTop w:val="0"/>
      <w:marBottom w:val="0"/>
      <w:divBdr>
        <w:top w:val="none" w:sz="0" w:space="0" w:color="auto"/>
        <w:left w:val="none" w:sz="0" w:space="0" w:color="auto"/>
        <w:bottom w:val="none" w:sz="0" w:space="0" w:color="auto"/>
        <w:right w:val="none" w:sz="0" w:space="0" w:color="auto"/>
      </w:divBdr>
    </w:div>
    <w:div w:id="1724717864">
      <w:marLeft w:val="0"/>
      <w:marRight w:val="0"/>
      <w:marTop w:val="0"/>
      <w:marBottom w:val="0"/>
      <w:divBdr>
        <w:top w:val="none" w:sz="0" w:space="0" w:color="auto"/>
        <w:left w:val="none" w:sz="0" w:space="0" w:color="auto"/>
        <w:bottom w:val="none" w:sz="0" w:space="0" w:color="auto"/>
        <w:right w:val="none" w:sz="0" w:space="0" w:color="auto"/>
      </w:divBdr>
      <w:divsChild>
        <w:div w:id="767626277">
          <w:marLeft w:val="0"/>
          <w:marRight w:val="0"/>
          <w:marTop w:val="0"/>
          <w:marBottom w:val="0"/>
          <w:divBdr>
            <w:top w:val="none" w:sz="0" w:space="0" w:color="auto"/>
            <w:left w:val="none" w:sz="0" w:space="0" w:color="auto"/>
            <w:bottom w:val="none" w:sz="0" w:space="0" w:color="auto"/>
            <w:right w:val="none" w:sz="0" w:space="0" w:color="auto"/>
          </w:divBdr>
        </w:div>
      </w:divsChild>
    </w:div>
    <w:div w:id="1726756630">
      <w:marLeft w:val="0"/>
      <w:marRight w:val="0"/>
      <w:marTop w:val="0"/>
      <w:marBottom w:val="0"/>
      <w:divBdr>
        <w:top w:val="none" w:sz="0" w:space="0" w:color="auto"/>
        <w:left w:val="none" w:sz="0" w:space="0" w:color="auto"/>
        <w:bottom w:val="none" w:sz="0" w:space="0" w:color="auto"/>
        <w:right w:val="none" w:sz="0" w:space="0" w:color="auto"/>
      </w:divBdr>
    </w:div>
    <w:div w:id="1729381691">
      <w:marLeft w:val="0"/>
      <w:marRight w:val="0"/>
      <w:marTop w:val="0"/>
      <w:marBottom w:val="0"/>
      <w:divBdr>
        <w:top w:val="none" w:sz="0" w:space="0" w:color="auto"/>
        <w:left w:val="none" w:sz="0" w:space="0" w:color="auto"/>
        <w:bottom w:val="none" w:sz="0" w:space="0" w:color="auto"/>
        <w:right w:val="none" w:sz="0" w:space="0" w:color="auto"/>
      </w:divBdr>
      <w:divsChild>
        <w:div w:id="1393314824">
          <w:marLeft w:val="0"/>
          <w:marRight w:val="0"/>
          <w:marTop w:val="0"/>
          <w:marBottom w:val="0"/>
          <w:divBdr>
            <w:top w:val="none" w:sz="0" w:space="0" w:color="auto"/>
            <w:left w:val="none" w:sz="0" w:space="0" w:color="auto"/>
            <w:bottom w:val="none" w:sz="0" w:space="0" w:color="auto"/>
            <w:right w:val="none" w:sz="0" w:space="0" w:color="auto"/>
          </w:divBdr>
        </w:div>
      </w:divsChild>
    </w:div>
    <w:div w:id="1729912887">
      <w:marLeft w:val="0"/>
      <w:marRight w:val="0"/>
      <w:marTop w:val="0"/>
      <w:marBottom w:val="0"/>
      <w:divBdr>
        <w:top w:val="none" w:sz="0" w:space="0" w:color="auto"/>
        <w:left w:val="none" w:sz="0" w:space="0" w:color="auto"/>
        <w:bottom w:val="none" w:sz="0" w:space="0" w:color="auto"/>
        <w:right w:val="none" w:sz="0" w:space="0" w:color="auto"/>
      </w:divBdr>
    </w:div>
    <w:div w:id="1734892534">
      <w:marLeft w:val="0"/>
      <w:marRight w:val="0"/>
      <w:marTop w:val="0"/>
      <w:marBottom w:val="0"/>
      <w:divBdr>
        <w:top w:val="none" w:sz="0" w:space="0" w:color="auto"/>
        <w:left w:val="none" w:sz="0" w:space="0" w:color="auto"/>
        <w:bottom w:val="none" w:sz="0" w:space="0" w:color="auto"/>
        <w:right w:val="none" w:sz="0" w:space="0" w:color="auto"/>
      </w:divBdr>
    </w:div>
    <w:div w:id="1736776347">
      <w:marLeft w:val="0"/>
      <w:marRight w:val="0"/>
      <w:marTop w:val="0"/>
      <w:marBottom w:val="0"/>
      <w:divBdr>
        <w:top w:val="none" w:sz="0" w:space="0" w:color="auto"/>
        <w:left w:val="none" w:sz="0" w:space="0" w:color="auto"/>
        <w:bottom w:val="none" w:sz="0" w:space="0" w:color="auto"/>
        <w:right w:val="none" w:sz="0" w:space="0" w:color="auto"/>
      </w:divBdr>
      <w:divsChild>
        <w:div w:id="857699389">
          <w:marLeft w:val="0"/>
          <w:marRight w:val="0"/>
          <w:marTop w:val="0"/>
          <w:marBottom w:val="0"/>
          <w:divBdr>
            <w:top w:val="none" w:sz="0" w:space="0" w:color="auto"/>
            <w:left w:val="none" w:sz="0" w:space="0" w:color="auto"/>
            <w:bottom w:val="none" w:sz="0" w:space="0" w:color="auto"/>
            <w:right w:val="none" w:sz="0" w:space="0" w:color="auto"/>
          </w:divBdr>
        </w:div>
      </w:divsChild>
    </w:div>
    <w:div w:id="1737975578">
      <w:marLeft w:val="0"/>
      <w:marRight w:val="0"/>
      <w:marTop w:val="0"/>
      <w:marBottom w:val="0"/>
      <w:divBdr>
        <w:top w:val="none" w:sz="0" w:space="0" w:color="auto"/>
        <w:left w:val="none" w:sz="0" w:space="0" w:color="auto"/>
        <w:bottom w:val="none" w:sz="0" w:space="0" w:color="auto"/>
        <w:right w:val="none" w:sz="0" w:space="0" w:color="auto"/>
      </w:divBdr>
    </w:div>
    <w:div w:id="1742674861">
      <w:marLeft w:val="0"/>
      <w:marRight w:val="0"/>
      <w:marTop w:val="0"/>
      <w:marBottom w:val="0"/>
      <w:divBdr>
        <w:top w:val="none" w:sz="0" w:space="0" w:color="auto"/>
        <w:left w:val="none" w:sz="0" w:space="0" w:color="auto"/>
        <w:bottom w:val="none" w:sz="0" w:space="0" w:color="auto"/>
        <w:right w:val="none" w:sz="0" w:space="0" w:color="auto"/>
      </w:divBdr>
      <w:divsChild>
        <w:div w:id="1638409054">
          <w:marLeft w:val="0"/>
          <w:marRight w:val="0"/>
          <w:marTop w:val="0"/>
          <w:marBottom w:val="0"/>
          <w:divBdr>
            <w:top w:val="none" w:sz="0" w:space="0" w:color="auto"/>
            <w:left w:val="none" w:sz="0" w:space="0" w:color="auto"/>
            <w:bottom w:val="none" w:sz="0" w:space="0" w:color="auto"/>
            <w:right w:val="none" w:sz="0" w:space="0" w:color="auto"/>
          </w:divBdr>
        </w:div>
      </w:divsChild>
    </w:div>
    <w:div w:id="1743479552">
      <w:marLeft w:val="0"/>
      <w:marRight w:val="0"/>
      <w:marTop w:val="180"/>
      <w:marBottom w:val="180"/>
      <w:divBdr>
        <w:top w:val="none" w:sz="0" w:space="0" w:color="auto"/>
        <w:left w:val="none" w:sz="0" w:space="0" w:color="auto"/>
        <w:bottom w:val="none" w:sz="0" w:space="0" w:color="auto"/>
        <w:right w:val="none" w:sz="0" w:space="0" w:color="auto"/>
      </w:divBdr>
    </w:div>
    <w:div w:id="1745180730">
      <w:marLeft w:val="0"/>
      <w:marRight w:val="0"/>
      <w:marTop w:val="0"/>
      <w:marBottom w:val="0"/>
      <w:divBdr>
        <w:top w:val="none" w:sz="0" w:space="0" w:color="auto"/>
        <w:left w:val="none" w:sz="0" w:space="0" w:color="auto"/>
        <w:bottom w:val="none" w:sz="0" w:space="0" w:color="auto"/>
        <w:right w:val="none" w:sz="0" w:space="0" w:color="auto"/>
      </w:divBdr>
      <w:divsChild>
        <w:div w:id="869876370">
          <w:marLeft w:val="0"/>
          <w:marRight w:val="0"/>
          <w:marTop w:val="0"/>
          <w:marBottom w:val="0"/>
          <w:divBdr>
            <w:top w:val="none" w:sz="0" w:space="0" w:color="auto"/>
            <w:left w:val="none" w:sz="0" w:space="0" w:color="auto"/>
            <w:bottom w:val="none" w:sz="0" w:space="0" w:color="auto"/>
            <w:right w:val="none" w:sz="0" w:space="0" w:color="auto"/>
          </w:divBdr>
        </w:div>
      </w:divsChild>
    </w:div>
    <w:div w:id="1746684152">
      <w:marLeft w:val="0"/>
      <w:marRight w:val="0"/>
      <w:marTop w:val="0"/>
      <w:marBottom w:val="0"/>
      <w:divBdr>
        <w:top w:val="none" w:sz="0" w:space="0" w:color="auto"/>
        <w:left w:val="none" w:sz="0" w:space="0" w:color="auto"/>
        <w:bottom w:val="none" w:sz="0" w:space="0" w:color="auto"/>
        <w:right w:val="none" w:sz="0" w:space="0" w:color="auto"/>
      </w:divBdr>
    </w:div>
    <w:div w:id="1748186832">
      <w:marLeft w:val="0"/>
      <w:marRight w:val="0"/>
      <w:marTop w:val="0"/>
      <w:marBottom w:val="0"/>
      <w:divBdr>
        <w:top w:val="none" w:sz="0" w:space="0" w:color="auto"/>
        <w:left w:val="none" w:sz="0" w:space="0" w:color="auto"/>
        <w:bottom w:val="none" w:sz="0" w:space="0" w:color="auto"/>
        <w:right w:val="none" w:sz="0" w:space="0" w:color="auto"/>
      </w:divBdr>
    </w:div>
    <w:div w:id="1759596051">
      <w:marLeft w:val="0"/>
      <w:marRight w:val="0"/>
      <w:marTop w:val="0"/>
      <w:marBottom w:val="0"/>
      <w:divBdr>
        <w:top w:val="none" w:sz="0" w:space="0" w:color="auto"/>
        <w:left w:val="none" w:sz="0" w:space="0" w:color="auto"/>
        <w:bottom w:val="none" w:sz="0" w:space="0" w:color="auto"/>
        <w:right w:val="none" w:sz="0" w:space="0" w:color="auto"/>
      </w:divBdr>
    </w:div>
    <w:div w:id="1762142854">
      <w:marLeft w:val="0"/>
      <w:marRight w:val="0"/>
      <w:marTop w:val="0"/>
      <w:marBottom w:val="0"/>
      <w:divBdr>
        <w:top w:val="none" w:sz="0" w:space="0" w:color="auto"/>
        <w:left w:val="none" w:sz="0" w:space="0" w:color="auto"/>
        <w:bottom w:val="none" w:sz="0" w:space="0" w:color="auto"/>
        <w:right w:val="none" w:sz="0" w:space="0" w:color="auto"/>
      </w:divBdr>
    </w:div>
    <w:div w:id="1766733183">
      <w:marLeft w:val="0"/>
      <w:marRight w:val="0"/>
      <w:marTop w:val="0"/>
      <w:marBottom w:val="240"/>
      <w:divBdr>
        <w:top w:val="none" w:sz="0" w:space="0" w:color="auto"/>
        <w:left w:val="none" w:sz="0" w:space="0" w:color="auto"/>
        <w:bottom w:val="none" w:sz="0" w:space="0" w:color="auto"/>
        <w:right w:val="none" w:sz="0" w:space="0" w:color="auto"/>
      </w:divBdr>
    </w:div>
    <w:div w:id="1767577544">
      <w:marLeft w:val="0"/>
      <w:marRight w:val="0"/>
      <w:marTop w:val="0"/>
      <w:marBottom w:val="180"/>
      <w:divBdr>
        <w:top w:val="none" w:sz="0" w:space="0" w:color="auto"/>
        <w:left w:val="none" w:sz="0" w:space="0" w:color="auto"/>
        <w:bottom w:val="none" w:sz="0" w:space="0" w:color="auto"/>
        <w:right w:val="none" w:sz="0" w:space="0" w:color="auto"/>
      </w:divBdr>
    </w:div>
    <w:div w:id="1770007080">
      <w:marLeft w:val="0"/>
      <w:marRight w:val="0"/>
      <w:marTop w:val="0"/>
      <w:marBottom w:val="0"/>
      <w:divBdr>
        <w:top w:val="none" w:sz="0" w:space="0" w:color="auto"/>
        <w:left w:val="none" w:sz="0" w:space="0" w:color="auto"/>
        <w:bottom w:val="none" w:sz="0" w:space="0" w:color="auto"/>
        <w:right w:val="none" w:sz="0" w:space="0" w:color="auto"/>
      </w:divBdr>
    </w:div>
    <w:div w:id="1771969022">
      <w:marLeft w:val="0"/>
      <w:marRight w:val="0"/>
      <w:marTop w:val="0"/>
      <w:marBottom w:val="18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sChild>
        <w:div w:id="1356883224">
          <w:marLeft w:val="0"/>
          <w:marRight w:val="0"/>
          <w:marTop w:val="0"/>
          <w:marBottom w:val="0"/>
          <w:divBdr>
            <w:top w:val="none" w:sz="0" w:space="0" w:color="auto"/>
            <w:left w:val="none" w:sz="0" w:space="0" w:color="auto"/>
            <w:bottom w:val="none" w:sz="0" w:space="0" w:color="auto"/>
            <w:right w:val="none" w:sz="0" w:space="0" w:color="auto"/>
          </w:divBdr>
        </w:div>
      </w:divsChild>
    </w:div>
    <w:div w:id="1777677267">
      <w:marLeft w:val="0"/>
      <w:marRight w:val="0"/>
      <w:marTop w:val="0"/>
      <w:marBottom w:val="180"/>
      <w:divBdr>
        <w:top w:val="none" w:sz="0" w:space="0" w:color="auto"/>
        <w:left w:val="none" w:sz="0" w:space="0" w:color="auto"/>
        <w:bottom w:val="none" w:sz="0" w:space="0" w:color="auto"/>
        <w:right w:val="none" w:sz="0" w:space="0" w:color="auto"/>
      </w:divBdr>
    </w:div>
    <w:div w:id="1783039629">
      <w:marLeft w:val="0"/>
      <w:marRight w:val="0"/>
      <w:marTop w:val="0"/>
      <w:marBottom w:val="0"/>
      <w:divBdr>
        <w:top w:val="none" w:sz="0" w:space="0" w:color="auto"/>
        <w:left w:val="none" w:sz="0" w:space="0" w:color="auto"/>
        <w:bottom w:val="none" w:sz="0" w:space="0" w:color="auto"/>
        <w:right w:val="none" w:sz="0" w:space="0" w:color="auto"/>
      </w:divBdr>
    </w:div>
    <w:div w:id="1787577395">
      <w:marLeft w:val="0"/>
      <w:marRight w:val="0"/>
      <w:marTop w:val="0"/>
      <w:marBottom w:val="0"/>
      <w:divBdr>
        <w:top w:val="none" w:sz="0" w:space="0" w:color="auto"/>
        <w:left w:val="none" w:sz="0" w:space="0" w:color="auto"/>
        <w:bottom w:val="none" w:sz="0" w:space="0" w:color="auto"/>
        <w:right w:val="none" w:sz="0" w:space="0" w:color="auto"/>
      </w:divBdr>
      <w:divsChild>
        <w:div w:id="1732463410">
          <w:marLeft w:val="0"/>
          <w:marRight w:val="0"/>
          <w:marTop w:val="0"/>
          <w:marBottom w:val="0"/>
          <w:divBdr>
            <w:top w:val="none" w:sz="0" w:space="0" w:color="auto"/>
            <w:left w:val="none" w:sz="0" w:space="0" w:color="auto"/>
            <w:bottom w:val="none" w:sz="0" w:space="0" w:color="auto"/>
            <w:right w:val="none" w:sz="0" w:space="0" w:color="auto"/>
          </w:divBdr>
        </w:div>
      </w:divsChild>
    </w:div>
    <w:div w:id="1789426355">
      <w:marLeft w:val="0"/>
      <w:marRight w:val="0"/>
      <w:marTop w:val="0"/>
      <w:marBottom w:val="0"/>
      <w:divBdr>
        <w:top w:val="none" w:sz="0" w:space="0" w:color="auto"/>
        <w:left w:val="none" w:sz="0" w:space="0" w:color="auto"/>
        <w:bottom w:val="none" w:sz="0" w:space="0" w:color="auto"/>
        <w:right w:val="none" w:sz="0" w:space="0" w:color="auto"/>
      </w:divBdr>
      <w:divsChild>
        <w:div w:id="423111926">
          <w:marLeft w:val="0"/>
          <w:marRight w:val="0"/>
          <w:marTop w:val="0"/>
          <w:marBottom w:val="0"/>
          <w:divBdr>
            <w:top w:val="none" w:sz="0" w:space="0" w:color="auto"/>
            <w:left w:val="none" w:sz="0" w:space="0" w:color="auto"/>
            <w:bottom w:val="none" w:sz="0" w:space="0" w:color="auto"/>
            <w:right w:val="none" w:sz="0" w:space="0" w:color="auto"/>
          </w:divBdr>
        </w:div>
      </w:divsChild>
    </w:div>
    <w:div w:id="1793132265">
      <w:marLeft w:val="0"/>
      <w:marRight w:val="0"/>
      <w:marTop w:val="0"/>
      <w:marBottom w:val="0"/>
      <w:divBdr>
        <w:top w:val="none" w:sz="0" w:space="0" w:color="auto"/>
        <w:left w:val="none" w:sz="0" w:space="0" w:color="auto"/>
        <w:bottom w:val="none" w:sz="0" w:space="0" w:color="auto"/>
        <w:right w:val="none" w:sz="0" w:space="0" w:color="auto"/>
      </w:divBdr>
      <w:divsChild>
        <w:div w:id="893850771">
          <w:marLeft w:val="0"/>
          <w:marRight w:val="0"/>
          <w:marTop w:val="0"/>
          <w:marBottom w:val="0"/>
          <w:divBdr>
            <w:top w:val="none" w:sz="0" w:space="0" w:color="auto"/>
            <w:left w:val="none" w:sz="0" w:space="0" w:color="auto"/>
            <w:bottom w:val="none" w:sz="0" w:space="0" w:color="auto"/>
            <w:right w:val="none" w:sz="0" w:space="0" w:color="auto"/>
          </w:divBdr>
        </w:div>
      </w:divsChild>
    </w:div>
    <w:div w:id="1796949615">
      <w:marLeft w:val="0"/>
      <w:marRight w:val="0"/>
      <w:marTop w:val="0"/>
      <w:marBottom w:val="180"/>
      <w:divBdr>
        <w:top w:val="none" w:sz="0" w:space="0" w:color="auto"/>
        <w:left w:val="none" w:sz="0" w:space="0" w:color="auto"/>
        <w:bottom w:val="none" w:sz="0" w:space="0" w:color="auto"/>
        <w:right w:val="none" w:sz="0" w:space="0" w:color="auto"/>
      </w:divBdr>
    </w:div>
    <w:div w:id="1797872456">
      <w:marLeft w:val="0"/>
      <w:marRight w:val="0"/>
      <w:marTop w:val="0"/>
      <w:marBottom w:val="0"/>
      <w:divBdr>
        <w:top w:val="none" w:sz="0" w:space="0" w:color="auto"/>
        <w:left w:val="none" w:sz="0" w:space="0" w:color="auto"/>
        <w:bottom w:val="none" w:sz="0" w:space="0" w:color="auto"/>
        <w:right w:val="none" w:sz="0" w:space="0" w:color="auto"/>
      </w:divBdr>
      <w:divsChild>
        <w:div w:id="828404156">
          <w:marLeft w:val="0"/>
          <w:marRight w:val="0"/>
          <w:marTop w:val="0"/>
          <w:marBottom w:val="0"/>
          <w:divBdr>
            <w:top w:val="none" w:sz="0" w:space="0" w:color="auto"/>
            <w:left w:val="none" w:sz="0" w:space="0" w:color="auto"/>
            <w:bottom w:val="none" w:sz="0" w:space="0" w:color="auto"/>
            <w:right w:val="none" w:sz="0" w:space="0" w:color="auto"/>
          </w:divBdr>
        </w:div>
      </w:divsChild>
    </w:div>
    <w:div w:id="1802649109">
      <w:marLeft w:val="0"/>
      <w:marRight w:val="0"/>
      <w:marTop w:val="0"/>
      <w:marBottom w:val="180"/>
      <w:divBdr>
        <w:top w:val="none" w:sz="0" w:space="0" w:color="auto"/>
        <w:left w:val="none" w:sz="0" w:space="0" w:color="auto"/>
        <w:bottom w:val="none" w:sz="0" w:space="0" w:color="auto"/>
        <w:right w:val="none" w:sz="0" w:space="0" w:color="auto"/>
      </w:divBdr>
    </w:div>
    <w:div w:id="1803618389">
      <w:marLeft w:val="0"/>
      <w:marRight w:val="0"/>
      <w:marTop w:val="0"/>
      <w:marBottom w:val="280"/>
      <w:divBdr>
        <w:top w:val="none" w:sz="0" w:space="0" w:color="auto"/>
        <w:left w:val="none" w:sz="0" w:space="0" w:color="auto"/>
        <w:bottom w:val="none" w:sz="0" w:space="0" w:color="auto"/>
        <w:right w:val="none" w:sz="0" w:space="0" w:color="auto"/>
      </w:divBdr>
    </w:div>
    <w:div w:id="1805854006">
      <w:marLeft w:val="0"/>
      <w:marRight w:val="0"/>
      <w:marTop w:val="0"/>
      <w:marBottom w:val="0"/>
      <w:divBdr>
        <w:top w:val="none" w:sz="0" w:space="0" w:color="auto"/>
        <w:left w:val="none" w:sz="0" w:space="0" w:color="auto"/>
        <w:bottom w:val="none" w:sz="0" w:space="0" w:color="auto"/>
        <w:right w:val="none" w:sz="0" w:space="0" w:color="auto"/>
      </w:divBdr>
      <w:divsChild>
        <w:div w:id="1038553549">
          <w:marLeft w:val="0"/>
          <w:marRight w:val="0"/>
          <w:marTop w:val="0"/>
          <w:marBottom w:val="0"/>
          <w:divBdr>
            <w:top w:val="none" w:sz="0" w:space="0" w:color="auto"/>
            <w:left w:val="none" w:sz="0" w:space="0" w:color="auto"/>
            <w:bottom w:val="none" w:sz="0" w:space="0" w:color="auto"/>
            <w:right w:val="none" w:sz="0" w:space="0" w:color="auto"/>
          </w:divBdr>
        </w:div>
      </w:divsChild>
    </w:div>
    <w:div w:id="1810436541">
      <w:marLeft w:val="0"/>
      <w:marRight w:val="0"/>
      <w:marTop w:val="0"/>
      <w:marBottom w:val="0"/>
      <w:divBdr>
        <w:top w:val="none" w:sz="0" w:space="0" w:color="auto"/>
        <w:left w:val="none" w:sz="0" w:space="0" w:color="auto"/>
        <w:bottom w:val="none" w:sz="0" w:space="0" w:color="auto"/>
        <w:right w:val="none" w:sz="0" w:space="0" w:color="auto"/>
      </w:divBdr>
    </w:div>
    <w:div w:id="1816988088">
      <w:marLeft w:val="0"/>
      <w:marRight w:val="0"/>
      <w:marTop w:val="0"/>
      <w:marBottom w:val="0"/>
      <w:divBdr>
        <w:top w:val="none" w:sz="0" w:space="0" w:color="auto"/>
        <w:left w:val="none" w:sz="0" w:space="0" w:color="auto"/>
        <w:bottom w:val="none" w:sz="0" w:space="0" w:color="auto"/>
        <w:right w:val="none" w:sz="0" w:space="0" w:color="auto"/>
      </w:divBdr>
      <w:divsChild>
        <w:div w:id="991105428">
          <w:marLeft w:val="0"/>
          <w:marRight w:val="0"/>
          <w:marTop w:val="0"/>
          <w:marBottom w:val="0"/>
          <w:divBdr>
            <w:top w:val="none" w:sz="0" w:space="0" w:color="auto"/>
            <w:left w:val="none" w:sz="0" w:space="0" w:color="auto"/>
            <w:bottom w:val="none" w:sz="0" w:space="0" w:color="auto"/>
            <w:right w:val="none" w:sz="0" w:space="0" w:color="auto"/>
          </w:divBdr>
        </w:div>
      </w:divsChild>
    </w:div>
    <w:div w:id="1816993159">
      <w:marLeft w:val="0"/>
      <w:marRight w:val="0"/>
      <w:marTop w:val="0"/>
      <w:marBottom w:val="0"/>
      <w:divBdr>
        <w:top w:val="none" w:sz="0" w:space="0" w:color="auto"/>
        <w:left w:val="none" w:sz="0" w:space="0" w:color="auto"/>
        <w:bottom w:val="none" w:sz="0" w:space="0" w:color="auto"/>
        <w:right w:val="none" w:sz="0" w:space="0" w:color="auto"/>
      </w:divBdr>
      <w:divsChild>
        <w:div w:id="1389845286">
          <w:marLeft w:val="0"/>
          <w:marRight w:val="0"/>
          <w:marTop w:val="0"/>
          <w:marBottom w:val="0"/>
          <w:divBdr>
            <w:top w:val="none" w:sz="0" w:space="0" w:color="auto"/>
            <w:left w:val="none" w:sz="0" w:space="0" w:color="auto"/>
            <w:bottom w:val="none" w:sz="0" w:space="0" w:color="auto"/>
            <w:right w:val="none" w:sz="0" w:space="0" w:color="auto"/>
          </w:divBdr>
        </w:div>
      </w:divsChild>
    </w:div>
    <w:div w:id="1817331487">
      <w:marLeft w:val="0"/>
      <w:marRight w:val="0"/>
      <w:marTop w:val="0"/>
      <w:marBottom w:val="0"/>
      <w:divBdr>
        <w:top w:val="none" w:sz="0" w:space="0" w:color="auto"/>
        <w:left w:val="none" w:sz="0" w:space="0" w:color="auto"/>
        <w:bottom w:val="none" w:sz="0" w:space="0" w:color="auto"/>
        <w:right w:val="none" w:sz="0" w:space="0" w:color="auto"/>
      </w:divBdr>
    </w:div>
    <w:div w:id="1817648628">
      <w:marLeft w:val="0"/>
      <w:marRight w:val="0"/>
      <w:marTop w:val="0"/>
      <w:marBottom w:val="0"/>
      <w:divBdr>
        <w:top w:val="none" w:sz="0" w:space="0" w:color="auto"/>
        <w:left w:val="none" w:sz="0" w:space="0" w:color="auto"/>
        <w:bottom w:val="none" w:sz="0" w:space="0" w:color="auto"/>
        <w:right w:val="none" w:sz="0" w:space="0" w:color="auto"/>
      </w:divBdr>
      <w:divsChild>
        <w:div w:id="882864526">
          <w:marLeft w:val="0"/>
          <w:marRight w:val="0"/>
          <w:marTop w:val="0"/>
          <w:marBottom w:val="0"/>
          <w:divBdr>
            <w:top w:val="none" w:sz="0" w:space="0" w:color="auto"/>
            <w:left w:val="none" w:sz="0" w:space="0" w:color="auto"/>
            <w:bottom w:val="none" w:sz="0" w:space="0" w:color="auto"/>
            <w:right w:val="none" w:sz="0" w:space="0" w:color="auto"/>
          </w:divBdr>
        </w:div>
      </w:divsChild>
    </w:div>
    <w:div w:id="1823808926">
      <w:marLeft w:val="0"/>
      <w:marRight w:val="0"/>
      <w:marTop w:val="0"/>
      <w:marBottom w:val="180"/>
      <w:divBdr>
        <w:top w:val="none" w:sz="0" w:space="0" w:color="auto"/>
        <w:left w:val="none" w:sz="0" w:space="0" w:color="auto"/>
        <w:bottom w:val="none" w:sz="0" w:space="0" w:color="auto"/>
        <w:right w:val="none" w:sz="0" w:space="0" w:color="auto"/>
      </w:divBdr>
    </w:div>
    <w:div w:id="1823891213">
      <w:marLeft w:val="0"/>
      <w:marRight w:val="0"/>
      <w:marTop w:val="0"/>
      <w:marBottom w:val="80"/>
      <w:divBdr>
        <w:top w:val="none" w:sz="0" w:space="0" w:color="auto"/>
        <w:left w:val="none" w:sz="0" w:space="0" w:color="auto"/>
        <w:bottom w:val="none" w:sz="0" w:space="0" w:color="auto"/>
        <w:right w:val="none" w:sz="0" w:space="0" w:color="auto"/>
      </w:divBdr>
    </w:div>
    <w:div w:id="1825313014">
      <w:marLeft w:val="0"/>
      <w:marRight w:val="0"/>
      <w:marTop w:val="0"/>
      <w:marBottom w:val="0"/>
      <w:divBdr>
        <w:top w:val="none" w:sz="0" w:space="0" w:color="auto"/>
        <w:left w:val="none" w:sz="0" w:space="0" w:color="auto"/>
        <w:bottom w:val="none" w:sz="0" w:space="0" w:color="auto"/>
        <w:right w:val="none" w:sz="0" w:space="0" w:color="auto"/>
      </w:divBdr>
      <w:divsChild>
        <w:div w:id="1966110521">
          <w:marLeft w:val="0"/>
          <w:marRight w:val="0"/>
          <w:marTop w:val="0"/>
          <w:marBottom w:val="0"/>
          <w:divBdr>
            <w:top w:val="none" w:sz="0" w:space="0" w:color="auto"/>
            <w:left w:val="none" w:sz="0" w:space="0" w:color="auto"/>
            <w:bottom w:val="none" w:sz="0" w:space="0" w:color="auto"/>
            <w:right w:val="none" w:sz="0" w:space="0" w:color="auto"/>
          </w:divBdr>
        </w:div>
      </w:divsChild>
    </w:div>
    <w:div w:id="1825856646">
      <w:marLeft w:val="0"/>
      <w:marRight w:val="0"/>
      <w:marTop w:val="0"/>
      <w:marBottom w:val="0"/>
      <w:divBdr>
        <w:top w:val="none" w:sz="0" w:space="0" w:color="auto"/>
        <w:left w:val="none" w:sz="0" w:space="0" w:color="auto"/>
        <w:bottom w:val="none" w:sz="0" w:space="0" w:color="auto"/>
        <w:right w:val="none" w:sz="0" w:space="0" w:color="auto"/>
      </w:divBdr>
      <w:divsChild>
        <w:div w:id="1258947967">
          <w:marLeft w:val="0"/>
          <w:marRight w:val="0"/>
          <w:marTop w:val="0"/>
          <w:marBottom w:val="0"/>
          <w:divBdr>
            <w:top w:val="none" w:sz="0" w:space="0" w:color="auto"/>
            <w:left w:val="none" w:sz="0" w:space="0" w:color="auto"/>
            <w:bottom w:val="none" w:sz="0" w:space="0" w:color="auto"/>
            <w:right w:val="none" w:sz="0" w:space="0" w:color="auto"/>
          </w:divBdr>
        </w:div>
      </w:divsChild>
    </w:div>
    <w:div w:id="1829055255">
      <w:marLeft w:val="0"/>
      <w:marRight w:val="0"/>
      <w:marTop w:val="0"/>
      <w:marBottom w:val="0"/>
      <w:divBdr>
        <w:top w:val="none" w:sz="0" w:space="0" w:color="auto"/>
        <w:left w:val="none" w:sz="0" w:space="0" w:color="auto"/>
        <w:bottom w:val="none" w:sz="0" w:space="0" w:color="auto"/>
        <w:right w:val="none" w:sz="0" w:space="0" w:color="auto"/>
      </w:divBdr>
    </w:div>
    <w:div w:id="1831285036">
      <w:marLeft w:val="0"/>
      <w:marRight w:val="0"/>
      <w:marTop w:val="0"/>
      <w:marBottom w:val="180"/>
      <w:divBdr>
        <w:top w:val="none" w:sz="0" w:space="0" w:color="auto"/>
        <w:left w:val="none" w:sz="0" w:space="0" w:color="auto"/>
        <w:bottom w:val="none" w:sz="0" w:space="0" w:color="auto"/>
        <w:right w:val="none" w:sz="0" w:space="0" w:color="auto"/>
      </w:divBdr>
    </w:div>
    <w:div w:id="1831362952">
      <w:marLeft w:val="0"/>
      <w:marRight w:val="0"/>
      <w:marTop w:val="0"/>
      <w:marBottom w:val="0"/>
      <w:divBdr>
        <w:top w:val="none" w:sz="0" w:space="0" w:color="auto"/>
        <w:left w:val="none" w:sz="0" w:space="0" w:color="auto"/>
        <w:bottom w:val="none" w:sz="0" w:space="0" w:color="auto"/>
        <w:right w:val="none" w:sz="0" w:space="0" w:color="auto"/>
      </w:divBdr>
    </w:div>
    <w:div w:id="1834224847">
      <w:marLeft w:val="0"/>
      <w:marRight w:val="0"/>
      <w:marTop w:val="0"/>
      <w:marBottom w:val="0"/>
      <w:divBdr>
        <w:top w:val="none" w:sz="0" w:space="0" w:color="auto"/>
        <w:left w:val="none" w:sz="0" w:space="0" w:color="auto"/>
        <w:bottom w:val="none" w:sz="0" w:space="0" w:color="auto"/>
        <w:right w:val="none" w:sz="0" w:space="0" w:color="auto"/>
      </w:divBdr>
    </w:div>
    <w:div w:id="1836843216">
      <w:marLeft w:val="0"/>
      <w:marRight w:val="0"/>
      <w:marTop w:val="0"/>
      <w:marBottom w:val="0"/>
      <w:divBdr>
        <w:top w:val="none" w:sz="0" w:space="0" w:color="auto"/>
        <w:left w:val="none" w:sz="0" w:space="0" w:color="auto"/>
        <w:bottom w:val="none" w:sz="0" w:space="0" w:color="auto"/>
        <w:right w:val="none" w:sz="0" w:space="0" w:color="auto"/>
      </w:divBdr>
      <w:divsChild>
        <w:div w:id="680156926">
          <w:marLeft w:val="0"/>
          <w:marRight w:val="0"/>
          <w:marTop w:val="0"/>
          <w:marBottom w:val="0"/>
          <w:divBdr>
            <w:top w:val="none" w:sz="0" w:space="0" w:color="auto"/>
            <w:left w:val="none" w:sz="0" w:space="0" w:color="auto"/>
            <w:bottom w:val="none" w:sz="0" w:space="0" w:color="auto"/>
            <w:right w:val="none" w:sz="0" w:space="0" w:color="auto"/>
          </w:divBdr>
        </w:div>
      </w:divsChild>
    </w:div>
    <w:div w:id="1837306045">
      <w:marLeft w:val="0"/>
      <w:marRight w:val="0"/>
      <w:marTop w:val="0"/>
      <w:marBottom w:val="0"/>
      <w:divBdr>
        <w:top w:val="none" w:sz="0" w:space="0" w:color="auto"/>
        <w:left w:val="none" w:sz="0" w:space="0" w:color="auto"/>
        <w:bottom w:val="none" w:sz="0" w:space="0" w:color="auto"/>
        <w:right w:val="none" w:sz="0" w:space="0" w:color="auto"/>
      </w:divBdr>
    </w:div>
    <w:div w:id="1838426259">
      <w:marLeft w:val="0"/>
      <w:marRight w:val="0"/>
      <w:marTop w:val="0"/>
      <w:marBottom w:val="0"/>
      <w:divBdr>
        <w:top w:val="none" w:sz="0" w:space="0" w:color="auto"/>
        <w:left w:val="none" w:sz="0" w:space="0" w:color="auto"/>
        <w:bottom w:val="none" w:sz="0" w:space="0" w:color="auto"/>
        <w:right w:val="none" w:sz="0" w:space="0" w:color="auto"/>
      </w:divBdr>
    </w:div>
    <w:div w:id="1839491299">
      <w:marLeft w:val="0"/>
      <w:marRight w:val="0"/>
      <w:marTop w:val="0"/>
      <w:marBottom w:val="0"/>
      <w:divBdr>
        <w:top w:val="none" w:sz="0" w:space="0" w:color="auto"/>
        <w:left w:val="none" w:sz="0" w:space="0" w:color="auto"/>
        <w:bottom w:val="none" w:sz="0" w:space="0" w:color="auto"/>
        <w:right w:val="none" w:sz="0" w:space="0" w:color="auto"/>
      </w:divBdr>
    </w:div>
    <w:div w:id="1846893582">
      <w:marLeft w:val="0"/>
      <w:marRight w:val="0"/>
      <w:marTop w:val="0"/>
      <w:marBottom w:val="0"/>
      <w:divBdr>
        <w:top w:val="none" w:sz="0" w:space="0" w:color="auto"/>
        <w:left w:val="none" w:sz="0" w:space="0" w:color="auto"/>
        <w:bottom w:val="none" w:sz="0" w:space="0" w:color="auto"/>
        <w:right w:val="none" w:sz="0" w:space="0" w:color="auto"/>
      </w:divBdr>
      <w:divsChild>
        <w:div w:id="1369188114">
          <w:marLeft w:val="0"/>
          <w:marRight w:val="0"/>
          <w:marTop w:val="0"/>
          <w:marBottom w:val="0"/>
          <w:divBdr>
            <w:top w:val="none" w:sz="0" w:space="0" w:color="auto"/>
            <w:left w:val="none" w:sz="0" w:space="0" w:color="auto"/>
            <w:bottom w:val="none" w:sz="0" w:space="0" w:color="auto"/>
            <w:right w:val="none" w:sz="0" w:space="0" w:color="auto"/>
          </w:divBdr>
        </w:div>
      </w:divsChild>
    </w:div>
    <w:div w:id="1849367037">
      <w:marLeft w:val="0"/>
      <w:marRight w:val="0"/>
      <w:marTop w:val="0"/>
      <w:marBottom w:val="0"/>
      <w:divBdr>
        <w:top w:val="none" w:sz="0" w:space="0" w:color="auto"/>
        <w:left w:val="none" w:sz="0" w:space="0" w:color="auto"/>
        <w:bottom w:val="none" w:sz="0" w:space="0" w:color="auto"/>
        <w:right w:val="none" w:sz="0" w:space="0" w:color="auto"/>
      </w:divBdr>
    </w:div>
    <w:div w:id="1852912894">
      <w:marLeft w:val="0"/>
      <w:marRight w:val="0"/>
      <w:marTop w:val="0"/>
      <w:marBottom w:val="0"/>
      <w:divBdr>
        <w:top w:val="none" w:sz="0" w:space="0" w:color="auto"/>
        <w:left w:val="none" w:sz="0" w:space="0" w:color="auto"/>
        <w:bottom w:val="none" w:sz="0" w:space="0" w:color="auto"/>
        <w:right w:val="none" w:sz="0" w:space="0" w:color="auto"/>
      </w:divBdr>
    </w:div>
    <w:div w:id="1853448931">
      <w:marLeft w:val="0"/>
      <w:marRight w:val="0"/>
      <w:marTop w:val="0"/>
      <w:marBottom w:val="0"/>
      <w:divBdr>
        <w:top w:val="none" w:sz="0" w:space="0" w:color="auto"/>
        <w:left w:val="none" w:sz="0" w:space="0" w:color="auto"/>
        <w:bottom w:val="none" w:sz="0" w:space="0" w:color="auto"/>
        <w:right w:val="none" w:sz="0" w:space="0" w:color="auto"/>
      </w:divBdr>
    </w:div>
    <w:div w:id="1855150001">
      <w:marLeft w:val="0"/>
      <w:marRight w:val="0"/>
      <w:marTop w:val="0"/>
      <w:marBottom w:val="120"/>
      <w:divBdr>
        <w:top w:val="none" w:sz="0" w:space="0" w:color="auto"/>
        <w:left w:val="none" w:sz="0" w:space="0" w:color="auto"/>
        <w:bottom w:val="none" w:sz="0" w:space="0" w:color="auto"/>
        <w:right w:val="none" w:sz="0" w:space="0" w:color="auto"/>
      </w:divBdr>
    </w:div>
    <w:div w:id="1860925762">
      <w:marLeft w:val="0"/>
      <w:marRight w:val="0"/>
      <w:marTop w:val="0"/>
      <w:marBottom w:val="240"/>
      <w:divBdr>
        <w:top w:val="none" w:sz="0" w:space="0" w:color="auto"/>
        <w:left w:val="none" w:sz="0" w:space="0" w:color="auto"/>
        <w:bottom w:val="none" w:sz="0" w:space="0" w:color="auto"/>
        <w:right w:val="none" w:sz="0" w:space="0" w:color="auto"/>
      </w:divBdr>
    </w:div>
    <w:div w:id="1868595032">
      <w:marLeft w:val="0"/>
      <w:marRight w:val="0"/>
      <w:marTop w:val="0"/>
      <w:marBottom w:val="0"/>
      <w:divBdr>
        <w:top w:val="none" w:sz="0" w:space="0" w:color="auto"/>
        <w:left w:val="none" w:sz="0" w:space="0" w:color="auto"/>
        <w:bottom w:val="none" w:sz="0" w:space="0" w:color="auto"/>
        <w:right w:val="none" w:sz="0" w:space="0" w:color="auto"/>
      </w:divBdr>
    </w:div>
    <w:div w:id="1874032028">
      <w:marLeft w:val="0"/>
      <w:marRight w:val="0"/>
      <w:marTop w:val="0"/>
      <w:marBottom w:val="0"/>
      <w:divBdr>
        <w:top w:val="none" w:sz="0" w:space="0" w:color="auto"/>
        <w:left w:val="none" w:sz="0" w:space="0" w:color="auto"/>
        <w:bottom w:val="none" w:sz="0" w:space="0" w:color="auto"/>
        <w:right w:val="none" w:sz="0" w:space="0" w:color="auto"/>
      </w:divBdr>
      <w:divsChild>
        <w:div w:id="643782478">
          <w:marLeft w:val="0"/>
          <w:marRight w:val="0"/>
          <w:marTop w:val="0"/>
          <w:marBottom w:val="0"/>
          <w:divBdr>
            <w:top w:val="none" w:sz="0" w:space="0" w:color="auto"/>
            <w:left w:val="none" w:sz="0" w:space="0" w:color="auto"/>
            <w:bottom w:val="none" w:sz="0" w:space="0" w:color="auto"/>
            <w:right w:val="none" w:sz="0" w:space="0" w:color="auto"/>
          </w:divBdr>
        </w:div>
      </w:divsChild>
    </w:div>
    <w:div w:id="1879470272">
      <w:marLeft w:val="0"/>
      <w:marRight w:val="0"/>
      <w:marTop w:val="0"/>
      <w:marBottom w:val="0"/>
      <w:divBdr>
        <w:top w:val="none" w:sz="0" w:space="0" w:color="auto"/>
        <w:left w:val="none" w:sz="0" w:space="0" w:color="auto"/>
        <w:bottom w:val="none" w:sz="0" w:space="0" w:color="auto"/>
        <w:right w:val="none" w:sz="0" w:space="0" w:color="auto"/>
      </w:divBdr>
    </w:div>
    <w:div w:id="1880311765">
      <w:marLeft w:val="0"/>
      <w:marRight w:val="0"/>
      <w:marTop w:val="0"/>
      <w:marBottom w:val="0"/>
      <w:divBdr>
        <w:top w:val="none" w:sz="0" w:space="0" w:color="auto"/>
        <w:left w:val="none" w:sz="0" w:space="0" w:color="auto"/>
        <w:bottom w:val="none" w:sz="0" w:space="0" w:color="auto"/>
        <w:right w:val="none" w:sz="0" w:space="0" w:color="auto"/>
      </w:divBdr>
      <w:divsChild>
        <w:div w:id="656540952">
          <w:marLeft w:val="0"/>
          <w:marRight w:val="0"/>
          <w:marTop w:val="0"/>
          <w:marBottom w:val="0"/>
          <w:divBdr>
            <w:top w:val="none" w:sz="0" w:space="0" w:color="auto"/>
            <w:left w:val="none" w:sz="0" w:space="0" w:color="auto"/>
            <w:bottom w:val="none" w:sz="0" w:space="0" w:color="auto"/>
            <w:right w:val="none" w:sz="0" w:space="0" w:color="auto"/>
          </w:divBdr>
        </w:div>
      </w:divsChild>
    </w:div>
    <w:div w:id="1887334107">
      <w:marLeft w:val="0"/>
      <w:marRight w:val="0"/>
      <w:marTop w:val="0"/>
      <w:marBottom w:val="0"/>
      <w:divBdr>
        <w:top w:val="none" w:sz="0" w:space="0" w:color="auto"/>
        <w:left w:val="none" w:sz="0" w:space="0" w:color="auto"/>
        <w:bottom w:val="none" w:sz="0" w:space="0" w:color="auto"/>
        <w:right w:val="none" w:sz="0" w:space="0" w:color="auto"/>
      </w:divBdr>
    </w:div>
    <w:div w:id="1889797144">
      <w:marLeft w:val="0"/>
      <w:marRight w:val="0"/>
      <w:marTop w:val="0"/>
      <w:marBottom w:val="180"/>
      <w:divBdr>
        <w:top w:val="none" w:sz="0" w:space="0" w:color="auto"/>
        <w:left w:val="none" w:sz="0" w:space="0" w:color="auto"/>
        <w:bottom w:val="none" w:sz="0" w:space="0" w:color="auto"/>
        <w:right w:val="none" w:sz="0" w:space="0" w:color="auto"/>
      </w:divBdr>
    </w:div>
    <w:div w:id="1890258234">
      <w:marLeft w:val="0"/>
      <w:marRight w:val="0"/>
      <w:marTop w:val="0"/>
      <w:marBottom w:val="0"/>
      <w:divBdr>
        <w:top w:val="none" w:sz="0" w:space="0" w:color="auto"/>
        <w:left w:val="none" w:sz="0" w:space="0" w:color="auto"/>
        <w:bottom w:val="none" w:sz="0" w:space="0" w:color="auto"/>
        <w:right w:val="none" w:sz="0" w:space="0" w:color="auto"/>
      </w:divBdr>
    </w:div>
    <w:div w:id="1890455973">
      <w:marLeft w:val="0"/>
      <w:marRight w:val="0"/>
      <w:marTop w:val="0"/>
      <w:marBottom w:val="0"/>
      <w:divBdr>
        <w:top w:val="none" w:sz="0" w:space="0" w:color="auto"/>
        <w:left w:val="none" w:sz="0" w:space="0" w:color="auto"/>
        <w:bottom w:val="none" w:sz="0" w:space="0" w:color="auto"/>
        <w:right w:val="none" w:sz="0" w:space="0" w:color="auto"/>
      </w:divBdr>
    </w:div>
    <w:div w:id="1896433471">
      <w:marLeft w:val="0"/>
      <w:marRight w:val="0"/>
      <w:marTop w:val="0"/>
      <w:marBottom w:val="0"/>
      <w:divBdr>
        <w:top w:val="none" w:sz="0" w:space="0" w:color="auto"/>
        <w:left w:val="none" w:sz="0" w:space="0" w:color="auto"/>
        <w:bottom w:val="none" w:sz="0" w:space="0" w:color="auto"/>
        <w:right w:val="none" w:sz="0" w:space="0" w:color="auto"/>
      </w:divBdr>
      <w:divsChild>
        <w:div w:id="76369348">
          <w:marLeft w:val="0"/>
          <w:marRight w:val="0"/>
          <w:marTop w:val="0"/>
          <w:marBottom w:val="0"/>
          <w:divBdr>
            <w:top w:val="none" w:sz="0" w:space="0" w:color="auto"/>
            <w:left w:val="none" w:sz="0" w:space="0" w:color="auto"/>
            <w:bottom w:val="none" w:sz="0" w:space="0" w:color="auto"/>
            <w:right w:val="none" w:sz="0" w:space="0" w:color="auto"/>
          </w:divBdr>
        </w:div>
      </w:divsChild>
    </w:div>
    <w:div w:id="1896696271">
      <w:marLeft w:val="0"/>
      <w:marRight w:val="0"/>
      <w:marTop w:val="0"/>
      <w:marBottom w:val="0"/>
      <w:divBdr>
        <w:top w:val="none" w:sz="0" w:space="0" w:color="auto"/>
        <w:left w:val="none" w:sz="0" w:space="0" w:color="auto"/>
        <w:bottom w:val="none" w:sz="0" w:space="0" w:color="auto"/>
        <w:right w:val="none" w:sz="0" w:space="0" w:color="auto"/>
      </w:divBdr>
      <w:divsChild>
        <w:div w:id="1943032357">
          <w:marLeft w:val="0"/>
          <w:marRight w:val="0"/>
          <w:marTop w:val="0"/>
          <w:marBottom w:val="0"/>
          <w:divBdr>
            <w:top w:val="none" w:sz="0" w:space="0" w:color="auto"/>
            <w:left w:val="none" w:sz="0" w:space="0" w:color="auto"/>
            <w:bottom w:val="none" w:sz="0" w:space="0" w:color="auto"/>
            <w:right w:val="none" w:sz="0" w:space="0" w:color="auto"/>
          </w:divBdr>
        </w:div>
      </w:divsChild>
    </w:div>
    <w:div w:id="1901868077">
      <w:marLeft w:val="0"/>
      <w:marRight w:val="0"/>
      <w:marTop w:val="0"/>
      <w:marBottom w:val="180"/>
      <w:divBdr>
        <w:top w:val="none" w:sz="0" w:space="0" w:color="auto"/>
        <w:left w:val="none" w:sz="0" w:space="0" w:color="auto"/>
        <w:bottom w:val="none" w:sz="0" w:space="0" w:color="auto"/>
        <w:right w:val="none" w:sz="0" w:space="0" w:color="auto"/>
      </w:divBdr>
    </w:div>
    <w:div w:id="1903786821">
      <w:marLeft w:val="0"/>
      <w:marRight w:val="0"/>
      <w:marTop w:val="0"/>
      <w:marBottom w:val="0"/>
      <w:divBdr>
        <w:top w:val="none" w:sz="0" w:space="0" w:color="auto"/>
        <w:left w:val="none" w:sz="0" w:space="0" w:color="auto"/>
        <w:bottom w:val="none" w:sz="0" w:space="0" w:color="auto"/>
        <w:right w:val="none" w:sz="0" w:space="0" w:color="auto"/>
      </w:divBdr>
    </w:div>
    <w:div w:id="1912693316">
      <w:marLeft w:val="0"/>
      <w:marRight w:val="0"/>
      <w:marTop w:val="0"/>
      <w:marBottom w:val="0"/>
      <w:divBdr>
        <w:top w:val="none" w:sz="0" w:space="0" w:color="auto"/>
        <w:left w:val="none" w:sz="0" w:space="0" w:color="auto"/>
        <w:bottom w:val="none" w:sz="0" w:space="0" w:color="auto"/>
        <w:right w:val="none" w:sz="0" w:space="0" w:color="auto"/>
      </w:divBdr>
    </w:div>
    <w:div w:id="1914124879">
      <w:marLeft w:val="0"/>
      <w:marRight w:val="0"/>
      <w:marTop w:val="0"/>
      <w:marBottom w:val="0"/>
      <w:divBdr>
        <w:top w:val="none" w:sz="0" w:space="0" w:color="auto"/>
        <w:left w:val="none" w:sz="0" w:space="0" w:color="auto"/>
        <w:bottom w:val="none" w:sz="0" w:space="0" w:color="auto"/>
        <w:right w:val="none" w:sz="0" w:space="0" w:color="auto"/>
      </w:divBdr>
      <w:divsChild>
        <w:div w:id="718018444">
          <w:marLeft w:val="0"/>
          <w:marRight w:val="0"/>
          <w:marTop w:val="0"/>
          <w:marBottom w:val="0"/>
          <w:divBdr>
            <w:top w:val="none" w:sz="0" w:space="0" w:color="auto"/>
            <w:left w:val="none" w:sz="0" w:space="0" w:color="auto"/>
            <w:bottom w:val="none" w:sz="0" w:space="0" w:color="auto"/>
            <w:right w:val="none" w:sz="0" w:space="0" w:color="auto"/>
          </w:divBdr>
        </w:div>
      </w:divsChild>
    </w:div>
    <w:div w:id="1915507980">
      <w:marLeft w:val="0"/>
      <w:marRight w:val="0"/>
      <w:marTop w:val="0"/>
      <w:marBottom w:val="180"/>
      <w:divBdr>
        <w:top w:val="none" w:sz="0" w:space="0" w:color="auto"/>
        <w:left w:val="none" w:sz="0" w:space="0" w:color="auto"/>
        <w:bottom w:val="none" w:sz="0" w:space="0" w:color="auto"/>
        <w:right w:val="none" w:sz="0" w:space="0" w:color="auto"/>
      </w:divBdr>
    </w:div>
    <w:div w:id="1917472203">
      <w:marLeft w:val="0"/>
      <w:marRight w:val="0"/>
      <w:marTop w:val="0"/>
      <w:marBottom w:val="0"/>
      <w:divBdr>
        <w:top w:val="none" w:sz="0" w:space="0" w:color="auto"/>
        <w:left w:val="none" w:sz="0" w:space="0" w:color="auto"/>
        <w:bottom w:val="none" w:sz="0" w:space="0" w:color="auto"/>
        <w:right w:val="none" w:sz="0" w:space="0" w:color="auto"/>
      </w:divBdr>
      <w:divsChild>
        <w:div w:id="1376389841">
          <w:marLeft w:val="0"/>
          <w:marRight w:val="0"/>
          <w:marTop w:val="0"/>
          <w:marBottom w:val="0"/>
          <w:divBdr>
            <w:top w:val="none" w:sz="0" w:space="0" w:color="auto"/>
            <w:left w:val="none" w:sz="0" w:space="0" w:color="auto"/>
            <w:bottom w:val="none" w:sz="0" w:space="0" w:color="auto"/>
            <w:right w:val="none" w:sz="0" w:space="0" w:color="auto"/>
          </w:divBdr>
        </w:div>
      </w:divsChild>
    </w:div>
    <w:div w:id="1918663609">
      <w:marLeft w:val="0"/>
      <w:marRight w:val="0"/>
      <w:marTop w:val="0"/>
      <w:marBottom w:val="180"/>
      <w:divBdr>
        <w:top w:val="none" w:sz="0" w:space="0" w:color="auto"/>
        <w:left w:val="none" w:sz="0" w:space="0" w:color="auto"/>
        <w:bottom w:val="none" w:sz="0" w:space="0" w:color="auto"/>
        <w:right w:val="none" w:sz="0" w:space="0" w:color="auto"/>
      </w:divBdr>
    </w:div>
    <w:div w:id="1920433679">
      <w:marLeft w:val="0"/>
      <w:marRight w:val="0"/>
      <w:marTop w:val="0"/>
      <w:marBottom w:val="0"/>
      <w:divBdr>
        <w:top w:val="none" w:sz="0" w:space="0" w:color="auto"/>
        <w:left w:val="none" w:sz="0" w:space="0" w:color="auto"/>
        <w:bottom w:val="none" w:sz="0" w:space="0" w:color="auto"/>
        <w:right w:val="none" w:sz="0" w:space="0" w:color="auto"/>
      </w:divBdr>
    </w:div>
    <w:div w:id="1921477038">
      <w:marLeft w:val="0"/>
      <w:marRight w:val="0"/>
      <w:marTop w:val="0"/>
      <w:marBottom w:val="180"/>
      <w:divBdr>
        <w:top w:val="none" w:sz="0" w:space="0" w:color="auto"/>
        <w:left w:val="none" w:sz="0" w:space="0" w:color="auto"/>
        <w:bottom w:val="none" w:sz="0" w:space="0" w:color="auto"/>
        <w:right w:val="none" w:sz="0" w:space="0" w:color="auto"/>
      </w:divBdr>
    </w:div>
    <w:div w:id="1927376400">
      <w:marLeft w:val="0"/>
      <w:marRight w:val="0"/>
      <w:marTop w:val="0"/>
      <w:marBottom w:val="180"/>
      <w:divBdr>
        <w:top w:val="none" w:sz="0" w:space="0" w:color="auto"/>
        <w:left w:val="none" w:sz="0" w:space="0" w:color="auto"/>
        <w:bottom w:val="none" w:sz="0" w:space="0" w:color="auto"/>
        <w:right w:val="none" w:sz="0" w:space="0" w:color="auto"/>
      </w:divBdr>
    </w:div>
    <w:div w:id="1927575237">
      <w:marLeft w:val="0"/>
      <w:marRight w:val="0"/>
      <w:marTop w:val="0"/>
      <w:marBottom w:val="180"/>
      <w:divBdr>
        <w:top w:val="none" w:sz="0" w:space="0" w:color="auto"/>
        <w:left w:val="none" w:sz="0" w:space="0" w:color="auto"/>
        <w:bottom w:val="none" w:sz="0" w:space="0" w:color="auto"/>
        <w:right w:val="none" w:sz="0" w:space="0" w:color="auto"/>
      </w:divBdr>
    </w:div>
    <w:div w:id="1952660891">
      <w:marLeft w:val="0"/>
      <w:marRight w:val="0"/>
      <w:marTop w:val="0"/>
      <w:marBottom w:val="0"/>
      <w:divBdr>
        <w:top w:val="none" w:sz="0" w:space="0" w:color="auto"/>
        <w:left w:val="none" w:sz="0" w:space="0" w:color="auto"/>
        <w:bottom w:val="none" w:sz="0" w:space="0" w:color="auto"/>
        <w:right w:val="none" w:sz="0" w:space="0" w:color="auto"/>
      </w:divBdr>
      <w:divsChild>
        <w:div w:id="1859659298">
          <w:marLeft w:val="0"/>
          <w:marRight w:val="0"/>
          <w:marTop w:val="0"/>
          <w:marBottom w:val="0"/>
          <w:divBdr>
            <w:top w:val="none" w:sz="0" w:space="0" w:color="auto"/>
            <w:left w:val="none" w:sz="0" w:space="0" w:color="auto"/>
            <w:bottom w:val="none" w:sz="0" w:space="0" w:color="auto"/>
            <w:right w:val="none" w:sz="0" w:space="0" w:color="auto"/>
          </w:divBdr>
        </w:div>
      </w:divsChild>
    </w:div>
    <w:div w:id="1956524806">
      <w:marLeft w:val="0"/>
      <w:marRight w:val="0"/>
      <w:marTop w:val="0"/>
      <w:marBottom w:val="180"/>
      <w:divBdr>
        <w:top w:val="none" w:sz="0" w:space="0" w:color="auto"/>
        <w:left w:val="none" w:sz="0" w:space="0" w:color="auto"/>
        <w:bottom w:val="none" w:sz="0" w:space="0" w:color="auto"/>
        <w:right w:val="none" w:sz="0" w:space="0" w:color="auto"/>
      </w:divBdr>
    </w:div>
    <w:div w:id="1956868859">
      <w:marLeft w:val="0"/>
      <w:marRight w:val="0"/>
      <w:marTop w:val="0"/>
      <w:marBottom w:val="0"/>
      <w:divBdr>
        <w:top w:val="none" w:sz="0" w:space="0" w:color="auto"/>
        <w:left w:val="none" w:sz="0" w:space="0" w:color="auto"/>
        <w:bottom w:val="none" w:sz="0" w:space="0" w:color="auto"/>
        <w:right w:val="none" w:sz="0" w:space="0" w:color="auto"/>
      </w:divBdr>
      <w:divsChild>
        <w:div w:id="281111059">
          <w:marLeft w:val="0"/>
          <w:marRight w:val="0"/>
          <w:marTop w:val="0"/>
          <w:marBottom w:val="0"/>
          <w:divBdr>
            <w:top w:val="none" w:sz="0" w:space="0" w:color="auto"/>
            <w:left w:val="none" w:sz="0" w:space="0" w:color="auto"/>
            <w:bottom w:val="none" w:sz="0" w:space="0" w:color="auto"/>
            <w:right w:val="none" w:sz="0" w:space="0" w:color="auto"/>
          </w:divBdr>
        </w:div>
      </w:divsChild>
    </w:div>
    <w:div w:id="1967082098">
      <w:marLeft w:val="0"/>
      <w:marRight w:val="0"/>
      <w:marTop w:val="0"/>
      <w:marBottom w:val="0"/>
      <w:divBdr>
        <w:top w:val="none" w:sz="0" w:space="0" w:color="auto"/>
        <w:left w:val="none" w:sz="0" w:space="0" w:color="auto"/>
        <w:bottom w:val="none" w:sz="0" w:space="0" w:color="auto"/>
        <w:right w:val="none" w:sz="0" w:space="0" w:color="auto"/>
      </w:divBdr>
    </w:div>
    <w:div w:id="1969387296">
      <w:marLeft w:val="0"/>
      <w:marRight w:val="0"/>
      <w:marTop w:val="0"/>
      <w:marBottom w:val="0"/>
      <w:divBdr>
        <w:top w:val="none" w:sz="0" w:space="0" w:color="auto"/>
        <w:left w:val="none" w:sz="0" w:space="0" w:color="auto"/>
        <w:bottom w:val="none" w:sz="0" w:space="0" w:color="auto"/>
        <w:right w:val="none" w:sz="0" w:space="0" w:color="auto"/>
      </w:divBdr>
      <w:divsChild>
        <w:div w:id="1345862730">
          <w:marLeft w:val="0"/>
          <w:marRight w:val="0"/>
          <w:marTop w:val="0"/>
          <w:marBottom w:val="0"/>
          <w:divBdr>
            <w:top w:val="none" w:sz="0" w:space="0" w:color="auto"/>
            <w:left w:val="none" w:sz="0" w:space="0" w:color="auto"/>
            <w:bottom w:val="none" w:sz="0" w:space="0" w:color="auto"/>
            <w:right w:val="none" w:sz="0" w:space="0" w:color="auto"/>
          </w:divBdr>
        </w:div>
      </w:divsChild>
    </w:div>
    <w:div w:id="1971204611">
      <w:marLeft w:val="0"/>
      <w:marRight w:val="0"/>
      <w:marTop w:val="0"/>
      <w:marBottom w:val="0"/>
      <w:divBdr>
        <w:top w:val="none" w:sz="0" w:space="0" w:color="auto"/>
        <w:left w:val="none" w:sz="0" w:space="0" w:color="auto"/>
        <w:bottom w:val="none" w:sz="0" w:space="0" w:color="auto"/>
        <w:right w:val="none" w:sz="0" w:space="0" w:color="auto"/>
      </w:divBdr>
      <w:divsChild>
        <w:div w:id="1913276571">
          <w:marLeft w:val="0"/>
          <w:marRight w:val="0"/>
          <w:marTop w:val="0"/>
          <w:marBottom w:val="0"/>
          <w:divBdr>
            <w:top w:val="none" w:sz="0" w:space="0" w:color="auto"/>
            <w:left w:val="none" w:sz="0" w:space="0" w:color="auto"/>
            <w:bottom w:val="none" w:sz="0" w:space="0" w:color="auto"/>
            <w:right w:val="none" w:sz="0" w:space="0" w:color="auto"/>
          </w:divBdr>
        </w:div>
      </w:divsChild>
    </w:div>
    <w:div w:id="1972592762">
      <w:marLeft w:val="0"/>
      <w:marRight w:val="0"/>
      <w:marTop w:val="0"/>
      <w:marBottom w:val="0"/>
      <w:divBdr>
        <w:top w:val="none" w:sz="0" w:space="0" w:color="auto"/>
        <w:left w:val="none" w:sz="0" w:space="0" w:color="auto"/>
        <w:bottom w:val="none" w:sz="0" w:space="0" w:color="auto"/>
        <w:right w:val="none" w:sz="0" w:space="0" w:color="auto"/>
      </w:divBdr>
      <w:divsChild>
        <w:div w:id="1713923075">
          <w:marLeft w:val="0"/>
          <w:marRight w:val="0"/>
          <w:marTop w:val="0"/>
          <w:marBottom w:val="0"/>
          <w:divBdr>
            <w:top w:val="none" w:sz="0" w:space="0" w:color="auto"/>
            <w:left w:val="none" w:sz="0" w:space="0" w:color="auto"/>
            <w:bottom w:val="none" w:sz="0" w:space="0" w:color="auto"/>
            <w:right w:val="none" w:sz="0" w:space="0" w:color="auto"/>
          </w:divBdr>
        </w:div>
      </w:divsChild>
    </w:div>
    <w:div w:id="1978023661">
      <w:marLeft w:val="0"/>
      <w:marRight w:val="0"/>
      <w:marTop w:val="0"/>
      <w:marBottom w:val="0"/>
      <w:divBdr>
        <w:top w:val="none" w:sz="0" w:space="0" w:color="auto"/>
        <w:left w:val="none" w:sz="0" w:space="0" w:color="auto"/>
        <w:bottom w:val="none" w:sz="0" w:space="0" w:color="auto"/>
        <w:right w:val="none" w:sz="0" w:space="0" w:color="auto"/>
      </w:divBdr>
      <w:divsChild>
        <w:div w:id="108402572">
          <w:marLeft w:val="0"/>
          <w:marRight w:val="0"/>
          <w:marTop w:val="0"/>
          <w:marBottom w:val="0"/>
          <w:divBdr>
            <w:top w:val="none" w:sz="0" w:space="0" w:color="auto"/>
            <w:left w:val="none" w:sz="0" w:space="0" w:color="auto"/>
            <w:bottom w:val="none" w:sz="0" w:space="0" w:color="auto"/>
            <w:right w:val="none" w:sz="0" w:space="0" w:color="auto"/>
          </w:divBdr>
        </w:div>
      </w:divsChild>
    </w:div>
    <w:div w:id="1982615844">
      <w:marLeft w:val="0"/>
      <w:marRight w:val="0"/>
      <w:marTop w:val="0"/>
      <w:marBottom w:val="0"/>
      <w:divBdr>
        <w:top w:val="none" w:sz="0" w:space="0" w:color="auto"/>
        <w:left w:val="none" w:sz="0" w:space="0" w:color="auto"/>
        <w:bottom w:val="none" w:sz="0" w:space="0" w:color="auto"/>
        <w:right w:val="none" w:sz="0" w:space="0" w:color="auto"/>
      </w:divBdr>
      <w:divsChild>
        <w:div w:id="411048671">
          <w:marLeft w:val="0"/>
          <w:marRight w:val="0"/>
          <w:marTop w:val="0"/>
          <w:marBottom w:val="0"/>
          <w:divBdr>
            <w:top w:val="none" w:sz="0" w:space="0" w:color="auto"/>
            <w:left w:val="none" w:sz="0" w:space="0" w:color="auto"/>
            <w:bottom w:val="none" w:sz="0" w:space="0" w:color="auto"/>
            <w:right w:val="none" w:sz="0" w:space="0" w:color="auto"/>
          </w:divBdr>
        </w:div>
      </w:divsChild>
    </w:div>
    <w:div w:id="1985813280">
      <w:marLeft w:val="0"/>
      <w:marRight w:val="0"/>
      <w:marTop w:val="0"/>
      <w:marBottom w:val="0"/>
      <w:divBdr>
        <w:top w:val="none" w:sz="0" w:space="0" w:color="auto"/>
        <w:left w:val="none" w:sz="0" w:space="0" w:color="auto"/>
        <w:bottom w:val="none" w:sz="0" w:space="0" w:color="auto"/>
        <w:right w:val="none" w:sz="0" w:space="0" w:color="auto"/>
      </w:divBdr>
    </w:div>
    <w:div w:id="1987736554">
      <w:marLeft w:val="0"/>
      <w:marRight w:val="0"/>
      <w:marTop w:val="0"/>
      <w:marBottom w:val="0"/>
      <w:divBdr>
        <w:top w:val="none" w:sz="0" w:space="0" w:color="auto"/>
        <w:left w:val="none" w:sz="0" w:space="0" w:color="auto"/>
        <w:bottom w:val="none" w:sz="0" w:space="0" w:color="auto"/>
        <w:right w:val="none" w:sz="0" w:space="0" w:color="auto"/>
      </w:divBdr>
    </w:div>
    <w:div w:id="1993870997">
      <w:marLeft w:val="0"/>
      <w:marRight w:val="0"/>
      <w:marTop w:val="0"/>
      <w:marBottom w:val="180"/>
      <w:divBdr>
        <w:top w:val="none" w:sz="0" w:space="0" w:color="auto"/>
        <w:left w:val="none" w:sz="0" w:space="0" w:color="auto"/>
        <w:bottom w:val="none" w:sz="0" w:space="0" w:color="auto"/>
        <w:right w:val="none" w:sz="0" w:space="0" w:color="auto"/>
      </w:divBdr>
    </w:div>
    <w:div w:id="1994525556">
      <w:marLeft w:val="0"/>
      <w:marRight w:val="0"/>
      <w:marTop w:val="0"/>
      <w:marBottom w:val="0"/>
      <w:divBdr>
        <w:top w:val="none" w:sz="0" w:space="0" w:color="auto"/>
        <w:left w:val="none" w:sz="0" w:space="0" w:color="auto"/>
        <w:bottom w:val="none" w:sz="0" w:space="0" w:color="auto"/>
        <w:right w:val="none" w:sz="0" w:space="0" w:color="auto"/>
      </w:divBdr>
      <w:divsChild>
        <w:div w:id="693579742">
          <w:marLeft w:val="0"/>
          <w:marRight w:val="0"/>
          <w:marTop w:val="0"/>
          <w:marBottom w:val="0"/>
          <w:divBdr>
            <w:top w:val="none" w:sz="0" w:space="0" w:color="auto"/>
            <w:left w:val="none" w:sz="0" w:space="0" w:color="auto"/>
            <w:bottom w:val="none" w:sz="0" w:space="0" w:color="auto"/>
            <w:right w:val="none" w:sz="0" w:space="0" w:color="auto"/>
          </w:divBdr>
        </w:div>
      </w:divsChild>
    </w:div>
    <w:div w:id="1997025443">
      <w:marLeft w:val="0"/>
      <w:marRight w:val="0"/>
      <w:marTop w:val="0"/>
      <w:marBottom w:val="0"/>
      <w:divBdr>
        <w:top w:val="none" w:sz="0" w:space="0" w:color="auto"/>
        <w:left w:val="none" w:sz="0" w:space="0" w:color="auto"/>
        <w:bottom w:val="none" w:sz="0" w:space="0" w:color="auto"/>
        <w:right w:val="none" w:sz="0" w:space="0" w:color="auto"/>
      </w:divBdr>
      <w:divsChild>
        <w:div w:id="1276595499">
          <w:marLeft w:val="0"/>
          <w:marRight w:val="0"/>
          <w:marTop w:val="0"/>
          <w:marBottom w:val="0"/>
          <w:divBdr>
            <w:top w:val="none" w:sz="0" w:space="0" w:color="auto"/>
            <w:left w:val="none" w:sz="0" w:space="0" w:color="auto"/>
            <w:bottom w:val="none" w:sz="0" w:space="0" w:color="auto"/>
            <w:right w:val="none" w:sz="0" w:space="0" w:color="auto"/>
          </w:divBdr>
        </w:div>
      </w:divsChild>
    </w:div>
    <w:div w:id="1998069120">
      <w:marLeft w:val="0"/>
      <w:marRight w:val="0"/>
      <w:marTop w:val="0"/>
      <w:marBottom w:val="0"/>
      <w:divBdr>
        <w:top w:val="none" w:sz="0" w:space="0" w:color="auto"/>
        <w:left w:val="none" w:sz="0" w:space="0" w:color="auto"/>
        <w:bottom w:val="none" w:sz="0" w:space="0" w:color="auto"/>
        <w:right w:val="none" w:sz="0" w:space="0" w:color="auto"/>
      </w:divBdr>
      <w:divsChild>
        <w:div w:id="877548236">
          <w:marLeft w:val="0"/>
          <w:marRight w:val="0"/>
          <w:marTop w:val="0"/>
          <w:marBottom w:val="0"/>
          <w:divBdr>
            <w:top w:val="none" w:sz="0" w:space="0" w:color="auto"/>
            <w:left w:val="none" w:sz="0" w:space="0" w:color="auto"/>
            <w:bottom w:val="none" w:sz="0" w:space="0" w:color="auto"/>
            <w:right w:val="none" w:sz="0" w:space="0" w:color="auto"/>
          </w:divBdr>
        </w:div>
      </w:divsChild>
    </w:div>
    <w:div w:id="1999453750">
      <w:marLeft w:val="0"/>
      <w:marRight w:val="0"/>
      <w:marTop w:val="0"/>
      <w:marBottom w:val="0"/>
      <w:divBdr>
        <w:top w:val="none" w:sz="0" w:space="0" w:color="auto"/>
        <w:left w:val="none" w:sz="0" w:space="0" w:color="auto"/>
        <w:bottom w:val="none" w:sz="0" w:space="0" w:color="auto"/>
        <w:right w:val="none" w:sz="0" w:space="0" w:color="auto"/>
      </w:divBdr>
      <w:divsChild>
        <w:div w:id="234628332">
          <w:marLeft w:val="0"/>
          <w:marRight w:val="0"/>
          <w:marTop w:val="0"/>
          <w:marBottom w:val="0"/>
          <w:divBdr>
            <w:top w:val="none" w:sz="0" w:space="0" w:color="auto"/>
            <w:left w:val="none" w:sz="0" w:space="0" w:color="auto"/>
            <w:bottom w:val="none" w:sz="0" w:space="0" w:color="auto"/>
            <w:right w:val="none" w:sz="0" w:space="0" w:color="auto"/>
          </w:divBdr>
        </w:div>
      </w:divsChild>
    </w:div>
    <w:div w:id="2001421814">
      <w:marLeft w:val="0"/>
      <w:marRight w:val="0"/>
      <w:marTop w:val="0"/>
      <w:marBottom w:val="0"/>
      <w:divBdr>
        <w:top w:val="none" w:sz="0" w:space="0" w:color="auto"/>
        <w:left w:val="none" w:sz="0" w:space="0" w:color="auto"/>
        <w:bottom w:val="none" w:sz="0" w:space="0" w:color="auto"/>
        <w:right w:val="none" w:sz="0" w:space="0" w:color="auto"/>
      </w:divBdr>
      <w:divsChild>
        <w:div w:id="77679164">
          <w:marLeft w:val="0"/>
          <w:marRight w:val="0"/>
          <w:marTop w:val="0"/>
          <w:marBottom w:val="0"/>
          <w:divBdr>
            <w:top w:val="none" w:sz="0" w:space="0" w:color="auto"/>
            <w:left w:val="none" w:sz="0" w:space="0" w:color="auto"/>
            <w:bottom w:val="none" w:sz="0" w:space="0" w:color="auto"/>
            <w:right w:val="none" w:sz="0" w:space="0" w:color="auto"/>
          </w:divBdr>
        </w:div>
      </w:divsChild>
    </w:div>
    <w:div w:id="2002195678">
      <w:marLeft w:val="0"/>
      <w:marRight w:val="0"/>
      <w:marTop w:val="0"/>
      <w:marBottom w:val="0"/>
      <w:divBdr>
        <w:top w:val="none" w:sz="0" w:space="0" w:color="auto"/>
        <w:left w:val="none" w:sz="0" w:space="0" w:color="auto"/>
        <w:bottom w:val="none" w:sz="0" w:space="0" w:color="auto"/>
        <w:right w:val="none" w:sz="0" w:space="0" w:color="auto"/>
      </w:divBdr>
    </w:div>
    <w:div w:id="2012633711">
      <w:marLeft w:val="0"/>
      <w:marRight w:val="0"/>
      <w:marTop w:val="0"/>
      <w:marBottom w:val="0"/>
      <w:divBdr>
        <w:top w:val="none" w:sz="0" w:space="0" w:color="auto"/>
        <w:left w:val="none" w:sz="0" w:space="0" w:color="auto"/>
        <w:bottom w:val="none" w:sz="0" w:space="0" w:color="auto"/>
        <w:right w:val="none" w:sz="0" w:space="0" w:color="auto"/>
      </w:divBdr>
      <w:divsChild>
        <w:div w:id="1558593644">
          <w:marLeft w:val="0"/>
          <w:marRight w:val="0"/>
          <w:marTop w:val="0"/>
          <w:marBottom w:val="0"/>
          <w:divBdr>
            <w:top w:val="none" w:sz="0" w:space="0" w:color="auto"/>
            <w:left w:val="none" w:sz="0" w:space="0" w:color="auto"/>
            <w:bottom w:val="none" w:sz="0" w:space="0" w:color="auto"/>
            <w:right w:val="none" w:sz="0" w:space="0" w:color="auto"/>
          </w:divBdr>
        </w:div>
      </w:divsChild>
    </w:div>
    <w:div w:id="2014650910">
      <w:marLeft w:val="0"/>
      <w:marRight w:val="0"/>
      <w:marTop w:val="0"/>
      <w:marBottom w:val="0"/>
      <w:divBdr>
        <w:top w:val="none" w:sz="0" w:space="0" w:color="auto"/>
        <w:left w:val="none" w:sz="0" w:space="0" w:color="auto"/>
        <w:bottom w:val="none" w:sz="0" w:space="0" w:color="auto"/>
        <w:right w:val="none" w:sz="0" w:space="0" w:color="auto"/>
      </w:divBdr>
    </w:div>
    <w:div w:id="2015716998">
      <w:marLeft w:val="0"/>
      <w:marRight w:val="0"/>
      <w:marTop w:val="0"/>
      <w:marBottom w:val="0"/>
      <w:divBdr>
        <w:top w:val="none" w:sz="0" w:space="0" w:color="auto"/>
        <w:left w:val="none" w:sz="0" w:space="0" w:color="auto"/>
        <w:bottom w:val="none" w:sz="0" w:space="0" w:color="auto"/>
        <w:right w:val="none" w:sz="0" w:space="0" w:color="auto"/>
      </w:divBdr>
      <w:divsChild>
        <w:div w:id="551649212">
          <w:marLeft w:val="0"/>
          <w:marRight w:val="0"/>
          <w:marTop w:val="0"/>
          <w:marBottom w:val="0"/>
          <w:divBdr>
            <w:top w:val="none" w:sz="0" w:space="0" w:color="auto"/>
            <w:left w:val="none" w:sz="0" w:space="0" w:color="auto"/>
            <w:bottom w:val="none" w:sz="0" w:space="0" w:color="auto"/>
            <w:right w:val="none" w:sz="0" w:space="0" w:color="auto"/>
          </w:divBdr>
        </w:div>
      </w:divsChild>
    </w:div>
    <w:div w:id="2027713471">
      <w:marLeft w:val="0"/>
      <w:marRight w:val="0"/>
      <w:marTop w:val="0"/>
      <w:marBottom w:val="0"/>
      <w:divBdr>
        <w:top w:val="none" w:sz="0" w:space="0" w:color="auto"/>
        <w:left w:val="none" w:sz="0" w:space="0" w:color="auto"/>
        <w:bottom w:val="none" w:sz="0" w:space="0" w:color="auto"/>
        <w:right w:val="none" w:sz="0" w:space="0" w:color="auto"/>
      </w:divBdr>
    </w:div>
    <w:div w:id="2033221260">
      <w:marLeft w:val="0"/>
      <w:marRight w:val="0"/>
      <w:marTop w:val="0"/>
      <w:marBottom w:val="0"/>
      <w:divBdr>
        <w:top w:val="none" w:sz="0" w:space="0" w:color="auto"/>
        <w:left w:val="none" w:sz="0" w:space="0" w:color="auto"/>
        <w:bottom w:val="none" w:sz="0" w:space="0" w:color="auto"/>
        <w:right w:val="none" w:sz="0" w:space="0" w:color="auto"/>
      </w:divBdr>
    </w:div>
    <w:div w:id="2036274647">
      <w:marLeft w:val="0"/>
      <w:marRight w:val="0"/>
      <w:marTop w:val="0"/>
      <w:marBottom w:val="0"/>
      <w:divBdr>
        <w:top w:val="none" w:sz="0" w:space="0" w:color="auto"/>
        <w:left w:val="none" w:sz="0" w:space="0" w:color="auto"/>
        <w:bottom w:val="none" w:sz="0" w:space="0" w:color="auto"/>
        <w:right w:val="none" w:sz="0" w:space="0" w:color="auto"/>
      </w:divBdr>
    </w:div>
    <w:div w:id="2043047035">
      <w:marLeft w:val="0"/>
      <w:marRight w:val="0"/>
      <w:marTop w:val="0"/>
      <w:marBottom w:val="0"/>
      <w:divBdr>
        <w:top w:val="none" w:sz="0" w:space="0" w:color="auto"/>
        <w:left w:val="none" w:sz="0" w:space="0" w:color="auto"/>
        <w:bottom w:val="none" w:sz="0" w:space="0" w:color="auto"/>
        <w:right w:val="none" w:sz="0" w:space="0" w:color="auto"/>
      </w:divBdr>
    </w:div>
    <w:div w:id="2045905394">
      <w:marLeft w:val="0"/>
      <w:marRight w:val="0"/>
      <w:marTop w:val="0"/>
      <w:marBottom w:val="0"/>
      <w:divBdr>
        <w:top w:val="none" w:sz="0" w:space="0" w:color="auto"/>
        <w:left w:val="none" w:sz="0" w:space="0" w:color="auto"/>
        <w:bottom w:val="none" w:sz="0" w:space="0" w:color="auto"/>
        <w:right w:val="none" w:sz="0" w:space="0" w:color="auto"/>
      </w:divBdr>
      <w:divsChild>
        <w:div w:id="2037153037">
          <w:marLeft w:val="0"/>
          <w:marRight w:val="0"/>
          <w:marTop w:val="0"/>
          <w:marBottom w:val="0"/>
          <w:divBdr>
            <w:top w:val="none" w:sz="0" w:space="0" w:color="auto"/>
            <w:left w:val="none" w:sz="0" w:space="0" w:color="auto"/>
            <w:bottom w:val="none" w:sz="0" w:space="0" w:color="auto"/>
            <w:right w:val="none" w:sz="0" w:space="0" w:color="auto"/>
          </w:divBdr>
        </w:div>
      </w:divsChild>
    </w:div>
    <w:div w:id="2047176847">
      <w:marLeft w:val="0"/>
      <w:marRight w:val="0"/>
      <w:marTop w:val="0"/>
      <w:marBottom w:val="0"/>
      <w:divBdr>
        <w:top w:val="none" w:sz="0" w:space="0" w:color="auto"/>
        <w:left w:val="none" w:sz="0" w:space="0" w:color="auto"/>
        <w:bottom w:val="none" w:sz="0" w:space="0" w:color="auto"/>
        <w:right w:val="none" w:sz="0" w:space="0" w:color="auto"/>
      </w:divBdr>
    </w:div>
    <w:div w:id="2047942103">
      <w:marLeft w:val="0"/>
      <w:marRight w:val="0"/>
      <w:marTop w:val="0"/>
      <w:marBottom w:val="0"/>
      <w:divBdr>
        <w:top w:val="none" w:sz="0" w:space="0" w:color="auto"/>
        <w:left w:val="none" w:sz="0" w:space="0" w:color="auto"/>
        <w:bottom w:val="none" w:sz="0" w:space="0" w:color="auto"/>
        <w:right w:val="none" w:sz="0" w:space="0" w:color="auto"/>
      </w:divBdr>
    </w:div>
    <w:div w:id="2048019892">
      <w:marLeft w:val="0"/>
      <w:marRight w:val="0"/>
      <w:marTop w:val="0"/>
      <w:marBottom w:val="0"/>
      <w:divBdr>
        <w:top w:val="none" w:sz="0" w:space="0" w:color="auto"/>
        <w:left w:val="none" w:sz="0" w:space="0" w:color="auto"/>
        <w:bottom w:val="none" w:sz="0" w:space="0" w:color="auto"/>
        <w:right w:val="none" w:sz="0" w:space="0" w:color="auto"/>
      </w:divBdr>
      <w:divsChild>
        <w:div w:id="107744323">
          <w:marLeft w:val="0"/>
          <w:marRight w:val="0"/>
          <w:marTop w:val="0"/>
          <w:marBottom w:val="0"/>
          <w:divBdr>
            <w:top w:val="none" w:sz="0" w:space="0" w:color="auto"/>
            <w:left w:val="none" w:sz="0" w:space="0" w:color="auto"/>
            <w:bottom w:val="none" w:sz="0" w:space="0" w:color="auto"/>
            <w:right w:val="none" w:sz="0" w:space="0" w:color="auto"/>
          </w:divBdr>
        </w:div>
      </w:divsChild>
    </w:div>
    <w:div w:id="2055810162">
      <w:marLeft w:val="0"/>
      <w:marRight w:val="0"/>
      <w:marTop w:val="0"/>
      <w:marBottom w:val="180"/>
      <w:divBdr>
        <w:top w:val="none" w:sz="0" w:space="0" w:color="auto"/>
        <w:left w:val="none" w:sz="0" w:space="0" w:color="auto"/>
        <w:bottom w:val="none" w:sz="0" w:space="0" w:color="auto"/>
        <w:right w:val="none" w:sz="0" w:space="0" w:color="auto"/>
      </w:divBdr>
    </w:div>
    <w:div w:id="2060586983">
      <w:marLeft w:val="0"/>
      <w:marRight w:val="0"/>
      <w:marTop w:val="0"/>
      <w:marBottom w:val="0"/>
      <w:divBdr>
        <w:top w:val="none" w:sz="0" w:space="0" w:color="auto"/>
        <w:left w:val="none" w:sz="0" w:space="0" w:color="auto"/>
        <w:bottom w:val="none" w:sz="0" w:space="0" w:color="auto"/>
        <w:right w:val="none" w:sz="0" w:space="0" w:color="auto"/>
      </w:divBdr>
      <w:divsChild>
        <w:div w:id="1312710365">
          <w:marLeft w:val="0"/>
          <w:marRight w:val="0"/>
          <w:marTop w:val="0"/>
          <w:marBottom w:val="0"/>
          <w:divBdr>
            <w:top w:val="none" w:sz="0" w:space="0" w:color="auto"/>
            <w:left w:val="none" w:sz="0" w:space="0" w:color="auto"/>
            <w:bottom w:val="none" w:sz="0" w:space="0" w:color="auto"/>
            <w:right w:val="none" w:sz="0" w:space="0" w:color="auto"/>
          </w:divBdr>
        </w:div>
      </w:divsChild>
    </w:div>
    <w:div w:id="2065911174">
      <w:marLeft w:val="0"/>
      <w:marRight w:val="0"/>
      <w:marTop w:val="0"/>
      <w:marBottom w:val="180"/>
      <w:divBdr>
        <w:top w:val="none" w:sz="0" w:space="0" w:color="auto"/>
        <w:left w:val="none" w:sz="0" w:space="0" w:color="auto"/>
        <w:bottom w:val="none" w:sz="0" w:space="0" w:color="auto"/>
        <w:right w:val="none" w:sz="0" w:space="0" w:color="auto"/>
      </w:divBdr>
    </w:div>
    <w:div w:id="2070035855">
      <w:marLeft w:val="0"/>
      <w:marRight w:val="0"/>
      <w:marTop w:val="0"/>
      <w:marBottom w:val="0"/>
      <w:divBdr>
        <w:top w:val="none" w:sz="0" w:space="0" w:color="auto"/>
        <w:left w:val="none" w:sz="0" w:space="0" w:color="auto"/>
        <w:bottom w:val="none" w:sz="0" w:space="0" w:color="auto"/>
        <w:right w:val="none" w:sz="0" w:space="0" w:color="auto"/>
      </w:divBdr>
      <w:divsChild>
        <w:div w:id="1514567895">
          <w:marLeft w:val="0"/>
          <w:marRight w:val="0"/>
          <w:marTop w:val="0"/>
          <w:marBottom w:val="0"/>
          <w:divBdr>
            <w:top w:val="none" w:sz="0" w:space="0" w:color="auto"/>
            <w:left w:val="none" w:sz="0" w:space="0" w:color="auto"/>
            <w:bottom w:val="none" w:sz="0" w:space="0" w:color="auto"/>
            <w:right w:val="none" w:sz="0" w:space="0" w:color="auto"/>
          </w:divBdr>
        </w:div>
      </w:divsChild>
    </w:div>
    <w:div w:id="2071541158">
      <w:marLeft w:val="0"/>
      <w:marRight w:val="0"/>
      <w:marTop w:val="0"/>
      <w:marBottom w:val="0"/>
      <w:divBdr>
        <w:top w:val="none" w:sz="0" w:space="0" w:color="auto"/>
        <w:left w:val="none" w:sz="0" w:space="0" w:color="auto"/>
        <w:bottom w:val="none" w:sz="0" w:space="0" w:color="auto"/>
        <w:right w:val="none" w:sz="0" w:space="0" w:color="auto"/>
      </w:divBdr>
    </w:div>
    <w:div w:id="2072579392">
      <w:marLeft w:val="0"/>
      <w:marRight w:val="0"/>
      <w:marTop w:val="0"/>
      <w:marBottom w:val="0"/>
      <w:divBdr>
        <w:top w:val="none" w:sz="0" w:space="0" w:color="auto"/>
        <w:left w:val="none" w:sz="0" w:space="0" w:color="auto"/>
        <w:bottom w:val="none" w:sz="0" w:space="0" w:color="auto"/>
        <w:right w:val="none" w:sz="0" w:space="0" w:color="auto"/>
      </w:divBdr>
      <w:divsChild>
        <w:div w:id="1074428693">
          <w:marLeft w:val="0"/>
          <w:marRight w:val="0"/>
          <w:marTop w:val="0"/>
          <w:marBottom w:val="0"/>
          <w:divBdr>
            <w:top w:val="none" w:sz="0" w:space="0" w:color="auto"/>
            <w:left w:val="none" w:sz="0" w:space="0" w:color="auto"/>
            <w:bottom w:val="none" w:sz="0" w:space="0" w:color="auto"/>
            <w:right w:val="none" w:sz="0" w:space="0" w:color="auto"/>
          </w:divBdr>
        </w:div>
      </w:divsChild>
    </w:div>
    <w:div w:id="2073773549">
      <w:marLeft w:val="0"/>
      <w:marRight w:val="0"/>
      <w:marTop w:val="0"/>
      <w:marBottom w:val="0"/>
      <w:divBdr>
        <w:top w:val="none" w:sz="0" w:space="0" w:color="auto"/>
        <w:left w:val="none" w:sz="0" w:space="0" w:color="auto"/>
        <w:bottom w:val="none" w:sz="0" w:space="0" w:color="auto"/>
        <w:right w:val="none" w:sz="0" w:space="0" w:color="auto"/>
      </w:divBdr>
    </w:div>
    <w:div w:id="2074547688">
      <w:marLeft w:val="0"/>
      <w:marRight w:val="0"/>
      <w:marTop w:val="0"/>
      <w:marBottom w:val="0"/>
      <w:divBdr>
        <w:top w:val="none" w:sz="0" w:space="0" w:color="auto"/>
        <w:left w:val="none" w:sz="0" w:space="0" w:color="auto"/>
        <w:bottom w:val="none" w:sz="0" w:space="0" w:color="auto"/>
        <w:right w:val="none" w:sz="0" w:space="0" w:color="auto"/>
      </w:divBdr>
      <w:divsChild>
        <w:div w:id="150869674">
          <w:marLeft w:val="0"/>
          <w:marRight w:val="0"/>
          <w:marTop w:val="0"/>
          <w:marBottom w:val="0"/>
          <w:divBdr>
            <w:top w:val="none" w:sz="0" w:space="0" w:color="auto"/>
            <w:left w:val="none" w:sz="0" w:space="0" w:color="auto"/>
            <w:bottom w:val="none" w:sz="0" w:space="0" w:color="auto"/>
            <w:right w:val="none" w:sz="0" w:space="0" w:color="auto"/>
          </w:divBdr>
        </w:div>
      </w:divsChild>
    </w:div>
    <w:div w:id="2074572836">
      <w:marLeft w:val="0"/>
      <w:marRight w:val="0"/>
      <w:marTop w:val="0"/>
      <w:marBottom w:val="0"/>
      <w:divBdr>
        <w:top w:val="none" w:sz="0" w:space="0" w:color="auto"/>
        <w:left w:val="none" w:sz="0" w:space="0" w:color="auto"/>
        <w:bottom w:val="none" w:sz="0" w:space="0" w:color="auto"/>
        <w:right w:val="none" w:sz="0" w:space="0" w:color="auto"/>
      </w:divBdr>
    </w:div>
    <w:div w:id="2079011418">
      <w:marLeft w:val="0"/>
      <w:marRight w:val="0"/>
      <w:marTop w:val="0"/>
      <w:marBottom w:val="0"/>
      <w:divBdr>
        <w:top w:val="none" w:sz="0" w:space="0" w:color="auto"/>
        <w:left w:val="none" w:sz="0" w:space="0" w:color="auto"/>
        <w:bottom w:val="none" w:sz="0" w:space="0" w:color="auto"/>
        <w:right w:val="none" w:sz="0" w:space="0" w:color="auto"/>
      </w:divBdr>
      <w:divsChild>
        <w:div w:id="2048874872">
          <w:marLeft w:val="0"/>
          <w:marRight w:val="0"/>
          <w:marTop w:val="0"/>
          <w:marBottom w:val="0"/>
          <w:divBdr>
            <w:top w:val="none" w:sz="0" w:space="0" w:color="auto"/>
            <w:left w:val="none" w:sz="0" w:space="0" w:color="auto"/>
            <w:bottom w:val="none" w:sz="0" w:space="0" w:color="auto"/>
            <w:right w:val="none" w:sz="0" w:space="0" w:color="auto"/>
          </w:divBdr>
        </w:div>
      </w:divsChild>
    </w:div>
    <w:div w:id="2080518285">
      <w:marLeft w:val="0"/>
      <w:marRight w:val="0"/>
      <w:marTop w:val="0"/>
      <w:marBottom w:val="180"/>
      <w:divBdr>
        <w:top w:val="none" w:sz="0" w:space="0" w:color="auto"/>
        <w:left w:val="none" w:sz="0" w:space="0" w:color="auto"/>
        <w:bottom w:val="none" w:sz="0" w:space="0" w:color="auto"/>
        <w:right w:val="none" w:sz="0" w:space="0" w:color="auto"/>
      </w:divBdr>
    </w:div>
    <w:div w:id="2084720998">
      <w:marLeft w:val="0"/>
      <w:marRight w:val="0"/>
      <w:marTop w:val="0"/>
      <w:marBottom w:val="180"/>
      <w:divBdr>
        <w:top w:val="none" w:sz="0" w:space="0" w:color="auto"/>
        <w:left w:val="none" w:sz="0" w:space="0" w:color="auto"/>
        <w:bottom w:val="none" w:sz="0" w:space="0" w:color="auto"/>
        <w:right w:val="none" w:sz="0" w:space="0" w:color="auto"/>
      </w:divBdr>
    </w:div>
    <w:div w:id="2086370868">
      <w:marLeft w:val="0"/>
      <w:marRight w:val="0"/>
      <w:marTop w:val="0"/>
      <w:marBottom w:val="180"/>
      <w:divBdr>
        <w:top w:val="none" w:sz="0" w:space="0" w:color="auto"/>
        <w:left w:val="none" w:sz="0" w:space="0" w:color="auto"/>
        <w:bottom w:val="none" w:sz="0" w:space="0" w:color="auto"/>
        <w:right w:val="none" w:sz="0" w:space="0" w:color="auto"/>
      </w:divBdr>
    </w:div>
    <w:div w:id="2092508929">
      <w:marLeft w:val="0"/>
      <w:marRight w:val="0"/>
      <w:marTop w:val="0"/>
      <w:marBottom w:val="0"/>
      <w:divBdr>
        <w:top w:val="none" w:sz="0" w:space="0" w:color="auto"/>
        <w:left w:val="none" w:sz="0" w:space="0" w:color="auto"/>
        <w:bottom w:val="none" w:sz="0" w:space="0" w:color="auto"/>
        <w:right w:val="none" w:sz="0" w:space="0" w:color="auto"/>
      </w:divBdr>
    </w:div>
    <w:div w:id="2093811186">
      <w:marLeft w:val="0"/>
      <w:marRight w:val="0"/>
      <w:marTop w:val="0"/>
      <w:marBottom w:val="0"/>
      <w:divBdr>
        <w:top w:val="none" w:sz="0" w:space="0" w:color="auto"/>
        <w:left w:val="none" w:sz="0" w:space="0" w:color="auto"/>
        <w:bottom w:val="none" w:sz="0" w:space="0" w:color="auto"/>
        <w:right w:val="none" w:sz="0" w:space="0" w:color="auto"/>
      </w:divBdr>
    </w:div>
    <w:div w:id="2094694234">
      <w:marLeft w:val="0"/>
      <w:marRight w:val="0"/>
      <w:marTop w:val="0"/>
      <w:marBottom w:val="0"/>
      <w:divBdr>
        <w:top w:val="none" w:sz="0" w:space="0" w:color="auto"/>
        <w:left w:val="none" w:sz="0" w:space="0" w:color="auto"/>
        <w:bottom w:val="none" w:sz="0" w:space="0" w:color="auto"/>
        <w:right w:val="none" w:sz="0" w:space="0" w:color="auto"/>
      </w:divBdr>
    </w:div>
    <w:div w:id="2097553423">
      <w:marLeft w:val="0"/>
      <w:marRight w:val="0"/>
      <w:marTop w:val="0"/>
      <w:marBottom w:val="0"/>
      <w:divBdr>
        <w:top w:val="none" w:sz="0" w:space="0" w:color="auto"/>
        <w:left w:val="none" w:sz="0" w:space="0" w:color="auto"/>
        <w:bottom w:val="none" w:sz="0" w:space="0" w:color="auto"/>
        <w:right w:val="none" w:sz="0" w:space="0" w:color="auto"/>
      </w:divBdr>
    </w:div>
    <w:div w:id="2100250644">
      <w:marLeft w:val="0"/>
      <w:marRight w:val="0"/>
      <w:marTop w:val="0"/>
      <w:marBottom w:val="0"/>
      <w:divBdr>
        <w:top w:val="none" w:sz="0" w:space="0" w:color="auto"/>
        <w:left w:val="none" w:sz="0" w:space="0" w:color="auto"/>
        <w:bottom w:val="none" w:sz="0" w:space="0" w:color="auto"/>
        <w:right w:val="none" w:sz="0" w:space="0" w:color="auto"/>
      </w:divBdr>
      <w:divsChild>
        <w:div w:id="1028947403">
          <w:marLeft w:val="0"/>
          <w:marRight w:val="0"/>
          <w:marTop w:val="0"/>
          <w:marBottom w:val="0"/>
          <w:divBdr>
            <w:top w:val="none" w:sz="0" w:space="0" w:color="auto"/>
            <w:left w:val="none" w:sz="0" w:space="0" w:color="auto"/>
            <w:bottom w:val="none" w:sz="0" w:space="0" w:color="auto"/>
            <w:right w:val="none" w:sz="0" w:space="0" w:color="auto"/>
          </w:divBdr>
        </w:div>
      </w:divsChild>
    </w:div>
    <w:div w:id="2104908230">
      <w:marLeft w:val="0"/>
      <w:marRight w:val="0"/>
      <w:marTop w:val="0"/>
      <w:marBottom w:val="0"/>
      <w:divBdr>
        <w:top w:val="none" w:sz="0" w:space="0" w:color="auto"/>
        <w:left w:val="none" w:sz="0" w:space="0" w:color="auto"/>
        <w:bottom w:val="none" w:sz="0" w:space="0" w:color="auto"/>
        <w:right w:val="none" w:sz="0" w:space="0" w:color="auto"/>
      </w:divBdr>
      <w:divsChild>
        <w:div w:id="59449640">
          <w:marLeft w:val="0"/>
          <w:marRight w:val="0"/>
          <w:marTop w:val="0"/>
          <w:marBottom w:val="0"/>
          <w:divBdr>
            <w:top w:val="none" w:sz="0" w:space="0" w:color="auto"/>
            <w:left w:val="none" w:sz="0" w:space="0" w:color="auto"/>
            <w:bottom w:val="none" w:sz="0" w:space="0" w:color="auto"/>
            <w:right w:val="none" w:sz="0" w:space="0" w:color="auto"/>
          </w:divBdr>
        </w:div>
      </w:divsChild>
    </w:div>
    <w:div w:id="2108113279">
      <w:marLeft w:val="0"/>
      <w:marRight w:val="0"/>
      <w:marTop w:val="0"/>
      <w:marBottom w:val="180"/>
      <w:divBdr>
        <w:top w:val="none" w:sz="0" w:space="0" w:color="auto"/>
        <w:left w:val="none" w:sz="0" w:space="0" w:color="auto"/>
        <w:bottom w:val="none" w:sz="0" w:space="0" w:color="auto"/>
        <w:right w:val="none" w:sz="0" w:space="0" w:color="auto"/>
      </w:divBdr>
    </w:div>
    <w:div w:id="2109503402">
      <w:marLeft w:val="0"/>
      <w:marRight w:val="0"/>
      <w:marTop w:val="0"/>
      <w:marBottom w:val="180"/>
      <w:divBdr>
        <w:top w:val="none" w:sz="0" w:space="0" w:color="auto"/>
        <w:left w:val="none" w:sz="0" w:space="0" w:color="auto"/>
        <w:bottom w:val="none" w:sz="0" w:space="0" w:color="auto"/>
        <w:right w:val="none" w:sz="0" w:space="0" w:color="auto"/>
      </w:divBdr>
    </w:div>
    <w:div w:id="2116708193">
      <w:marLeft w:val="0"/>
      <w:marRight w:val="0"/>
      <w:marTop w:val="0"/>
      <w:marBottom w:val="180"/>
      <w:divBdr>
        <w:top w:val="none" w:sz="0" w:space="0" w:color="auto"/>
        <w:left w:val="none" w:sz="0" w:space="0" w:color="auto"/>
        <w:bottom w:val="none" w:sz="0" w:space="0" w:color="auto"/>
        <w:right w:val="none" w:sz="0" w:space="0" w:color="auto"/>
      </w:divBdr>
    </w:div>
    <w:div w:id="2120711659">
      <w:marLeft w:val="0"/>
      <w:marRight w:val="0"/>
      <w:marTop w:val="0"/>
      <w:marBottom w:val="0"/>
      <w:divBdr>
        <w:top w:val="none" w:sz="0" w:space="0" w:color="auto"/>
        <w:left w:val="none" w:sz="0" w:space="0" w:color="auto"/>
        <w:bottom w:val="none" w:sz="0" w:space="0" w:color="auto"/>
        <w:right w:val="none" w:sz="0" w:space="0" w:color="auto"/>
      </w:divBdr>
      <w:divsChild>
        <w:div w:id="1955214766">
          <w:marLeft w:val="0"/>
          <w:marRight w:val="0"/>
          <w:marTop w:val="0"/>
          <w:marBottom w:val="0"/>
          <w:divBdr>
            <w:top w:val="none" w:sz="0" w:space="0" w:color="auto"/>
            <w:left w:val="none" w:sz="0" w:space="0" w:color="auto"/>
            <w:bottom w:val="none" w:sz="0" w:space="0" w:color="auto"/>
            <w:right w:val="none" w:sz="0" w:space="0" w:color="auto"/>
          </w:divBdr>
        </w:div>
      </w:divsChild>
    </w:div>
    <w:div w:id="2121413711">
      <w:marLeft w:val="0"/>
      <w:marRight w:val="0"/>
      <w:marTop w:val="0"/>
      <w:marBottom w:val="0"/>
      <w:divBdr>
        <w:top w:val="none" w:sz="0" w:space="0" w:color="auto"/>
        <w:left w:val="none" w:sz="0" w:space="0" w:color="auto"/>
        <w:bottom w:val="none" w:sz="0" w:space="0" w:color="auto"/>
        <w:right w:val="none" w:sz="0" w:space="0" w:color="auto"/>
      </w:divBdr>
      <w:divsChild>
        <w:div w:id="1447508636">
          <w:marLeft w:val="0"/>
          <w:marRight w:val="0"/>
          <w:marTop w:val="0"/>
          <w:marBottom w:val="0"/>
          <w:divBdr>
            <w:top w:val="none" w:sz="0" w:space="0" w:color="auto"/>
            <w:left w:val="none" w:sz="0" w:space="0" w:color="auto"/>
            <w:bottom w:val="none" w:sz="0" w:space="0" w:color="auto"/>
            <w:right w:val="none" w:sz="0" w:space="0" w:color="auto"/>
          </w:divBdr>
        </w:div>
      </w:divsChild>
    </w:div>
    <w:div w:id="2129545476">
      <w:marLeft w:val="0"/>
      <w:marRight w:val="0"/>
      <w:marTop w:val="0"/>
      <w:marBottom w:val="0"/>
      <w:divBdr>
        <w:top w:val="none" w:sz="0" w:space="0" w:color="auto"/>
        <w:left w:val="none" w:sz="0" w:space="0" w:color="auto"/>
        <w:bottom w:val="none" w:sz="0" w:space="0" w:color="auto"/>
        <w:right w:val="none" w:sz="0" w:space="0" w:color="auto"/>
      </w:divBdr>
      <w:divsChild>
        <w:div w:id="1150907016">
          <w:marLeft w:val="0"/>
          <w:marRight w:val="0"/>
          <w:marTop w:val="0"/>
          <w:marBottom w:val="0"/>
          <w:divBdr>
            <w:top w:val="none" w:sz="0" w:space="0" w:color="auto"/>
            <w:left w:val="none" w:sz="0" w:space="0" w:color="auto"/>
            <w:bottom w:val="none" w:sz="0" w:space="0" w:color="auto"/>
            <w:right w:val="none" w:sz="0" w:space="0" w:color="auto"/>
          </w:divBdr>
        </w:div>
      </w:divsChild>
    </w:div>
    <w:div w:id="2132821922">
      <w:marLeft w:val="0"/>
      <w:marRight w:val="0"/>
      <w:marTop w:val="0"/>
      <w:marBottom w:val="180"/>
      <w:divBdr>
        <w:top w:val="none" w:sz="0" w:space="0" w:color="auto"/>
        <w:left w:val="none" w:sz="0" w:space="0" w:color="auto"/>
        <w:bottom w:val="none" w:sz="0" w:space="0" w:color="auto"/>
        <w:right w:val="none" w:sz="0" w:space="0" w:color="auto"/>
      </w:divBdr>
    </w:div>
    <w:div w:id="2143964422">
      <w:marLeft w:val="0"/>
      <w:marRight w:val="0"/>
      <w:marTop w:val="0"/>
      <w:marBottom w:val="18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c.gov/Archives/edgar/data/1012477/000101247718000008/avdlex-1043.htm" TargetMode="External"/><Relationship Id="rId21" Type="http://schemas.openxmlformats.org/officeDocument/2006/relationships/hyperlink" Target="http://www.sec.gov/Archives/edgar/data/1012477/000114420416119757/v445278_ex99-3.htm" TargetMode="External"/><Relationship Id="rId42" Type="http://schemas.openxmlformats.org/officeDocument/2006/relationships/hyperlink" Target="http://www.sec.gov/Archives/edgar/data/0001012477/000101247721000004/a123120ex-1019.htm" TargetMode="External"/><Relationship Id="rId47" Type="http://schemas.openxmlformats.org/officeDocument/2006/relationships/hyperlink" Target="http://www.sec.gov/Archives/edgar/data/1012477/000101247721000008/exhibit101q12021.htm" TargetMode="External"/><Relationship Id="rId63" Type="http://schemas.openxmlformats.org/officeDocument/2006/relationships/hyperlink" Target="http://www.sec.gov/Archives/edgar/data/1012477/000101247721000008/exhibit101q12021.htm" TargetMode="External"/><Relationship Id="rId68" Type="http://schemas.openxmlformats.org/officeDocument/2006/relationships/hyperlink" Target="a123121ex-1021.htm" TargetMode="External"/><Relationship Id="rId84" Type="http://schemas.openxmlformats.org/officeDocument/2006/relationships/hyperlink" Target="http://www.sec.gov/Archives/edgar/data/0001012477/000101247721000004/a123120ex-141.htm" TargetMode="External"/><Relationship Id="rId89" Type="http://schemas.openxmlformats.org/officeDocument/2006/relationships/hyperlink" Target="a123121ex-311.htm" TargetMode="External"/><Relationship Id="rId16" Type="http://schemas.openxmlformats.org/officeDocument/2006/relationships/hyperlink" Target="http://www.sec.gov/Archives/edgar/data/0001012477/000101247721000004/a123120ex-102.htm" TargetMode="External"/><Relationship Id="rId11" Type="http://schemas.openxmlformats.org/officeDocument/2006/relationships/hyperlink" Target="http://www.sec.gov/Archives/edgar/data/0001012477/000101247721000004/a123120ex-101.htm" TargetMode="External"/><Relationship Id="rId32" Type="http://schemas.openxmlformats.org/officeDocument/2006/relationships/hyperlink" Target="http://www.sec.gov/Archives/edgar/data/0001012477/000101247721000004/a123120ex-1018.htm" TargetMode="External"/><Relationship Id="rId37" Type="http://schemas.openxmlformats.org/officeDocument/2006/relationships/hyperlink" Target="http://www.sec.gov/Archives/edgar/data/0001012477/000101247721000004/a123120ex-1018.htm" TargetMode="External"/><Relationship Id="rId53" Type="http://schemas.openxmlformats.org/officeDocument/2006/relationships/hyperlink" Target="http://www.sec.gov/Archives/edgar/data/1012477/000101247721000008/exhibit101q12021.htm" TargetMode="External"/><Relationship Id="rId58" Type="http://schemas.openxmlformats.org/officeDocument/2006/relationships/hyperlink" Target="http://www.sec.gov/Archives/edgar/data/1012477/000101247721000008/exhibit101q12021.htm" TargetMode="External"/><Relationship Id="rId74" Type="http://schemas.openxmlformats.org/officeDocument/2006/relationships/hyperlink" Target="a123121ex-1021.htm" TargetMode="External"/><Relationship Id="rId79" Type="http://schemas.openxmlformats.org/officeDocument/2006/relationships/hyperlink" Target="ex1022avadel-formofexchang.htm" TargetMode="External"/><Relationship Id="rId5" Type="http://schemas.openxmlformats.org/officeDocument/2006/relationships/hyperlink" Target="http://www.sec.gov/Archives/edgar/data/1012477/000114420416111245/v443435_ex2-1.htm" TargetMode="External"/><Relationship Id="rId90" Type="http://schemas.openxmlformats.org/officeDocument/2006/relationships/hyperlink" Target="a123121ex-312.htm" TargetMode="External"/><Relationship Id="rId22" Type="http://schemas.openxmlformats.org/officeDocument/2006/relationships/hyperlink" Target="http://www.sec.gov/Archives/edgar/data/1012477/000101247717000021/avdlex-1031.htm" TargetMode="External"/><Relationship Id="rId27" Type="http://schemas.openxmlformats.org/officeDocument/2006/relationships/hyperlink" Target="http://www.sec.gov/Archives/edgar/data/1012477/000101247718000008/avdlex-1045.htm" TargetMode="External"/><Relationship Id="rId43" Type="http://schemas.openxmlformats.org/officeDocument/2006/relationships/hyperlink" Target="http://www.sec.gov/Archives/edgar/data/0001012477/000101247721000004/a123120ex-1019.htm" TargetMode="External"/><Relationship Id="rId48" Type="http://schemas.openxmlformats.org/officeDocument/2006/relationships/hyperlink" Target="http://www.sec.gov/Archives/edgar/data/1012477/000101247721000008/exhibit101q12021.htm" TargetMode="External"/><Relationship Id="rId64" Type="http://schemas.openxmlformats.org/officeDocument/2006/relationships/hyperlink" Target="http://www.sec.gov/Archives/edgar/data/1012477/000101247721000008/exhibit101q12021.htm" TargetMode="External"/><Relationship Id="rId69" Type="http://schemas.openxmlformats.org/officeDocument/2006/relationships/hyperlink" Target="a123121ex-1021.htm" TargetMode="External"/><Relationship Id="rId8" Type="http://schemas.openxmlformats.org/officeDocument/2006/relationships/hyperlink" Target="http://www.sec.gov/Archives/edgar/data/1012477/000114420418009543/tv486339_ex4-1.htm" TargetMode="External"/><Relationship Id="rId51" Type="http://schemas.openxmlformats.org/officeDocument/2006/relationships/hyperlink" Target="http://www.sec.gov/Archives/edgar/data/1012477/000101247721000008/exhibit101q12021.htm" TargetMode="External"/><Relationship Id="rId72" Type="http://schemas.openxmlformats.org/officeDocument/2006/relationships/hyperlink" Target="a123121ex-1021.htm" TargetMode="External"/><Relationship Id="rId80" Type="http://schemas.openxmlformats.org/officeDocument/2006/relationships/hyperlink" Target="ex1022avadel-formofexchang.htm" TargetMode="External"/><Relationship Id="rId85" Type="http://schemas.openxmlformats.org/officeDocument/2006/relationships/hyperlink" Target="http://www.sec.gov/Archives/edgar/data/0001012477/000101247721000004/a123120ex-141.htm" TargetMode="Externa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www.sec.gov/Archives/edgar/data/0001012477/000101247721000004/a123120ex-102.htm" TargetMode="External"/><Relationship Id="rId17" Type="http://schemas.openxmlformats.org/officeDocument/2006/relationships/hyperlink" Target="http://www.sec.gov/Archives/edgar/data/1012477/000114420416088149/v433294_ex10-25.htm" TargetMode="External"/><Relationship Id="rId25" Type="http://schemas.openxmlformats.org/officeDocument/2006/relationships/hyperlink" Target="http://www.sec.gov/Archives/edgar/data/1012477/000101247718000008/avdlex-1043.htm" TargetMode="External"/><Relationship Id="rId33" Type="http://schemas.openxmlformats.org/officeDocument/2006/relationships/hyperlink" Target="http://www.sec.gov/Archives/edgar/data/0001012477/000101247721000004/a123120ex-1018.htm" TargetMode="External"/><Relationship Id="rId38" Type="http://schemas.openxmlformats.org/officeDocument/2006/relationships/hyperlink" Target="http://www.sec.gov/Archives/edgar/data/0001012477/000101247721000004/a123120ex-1018.htm" TargetMode="External"/><Relationship Id="rId46" Type="http://schemas.openxmlformats.org/officeDocument/2006/relationships/hyperlink" Target="http://www.sec.gov/Archives/edgar/data/0001012477/000101247721000004/a123120ex-1019.htm" TargetMode="External"/><Relationship Id="rId59" Type="http://schemas.openxmlformats.org/officeDocument/2006/relationships/hyperlink" Target="http://www.sec.gov/Archives/edgar/data/1012477/000101247721000008/exhibit101q12021.htm" TargetMode="External"/><Relationship Id="rId67" Type="http://schemas.openxmlformats.org/officeDocument/2006/relationships/hyperlink" Target="a123121ex-1020.htm" TargetMode="External"/><Relationship Id="rId20" Type="http://schemas.openxmlformats.org/officeDocument/2006/relationships/hyperlink" Target="http://www.sec.gov/Archives/edgar/data/1012477/000114420416119757/v445278_ex99-2.htm" TargetMode="External"/><Relationship Id="rId41" Type="http://schemas.openxmlformats.org/officeDocument/2006/relationships/hyperlink" Target="http://www.sec.gov/Archives/edgar/data/0001012477/000101247721000004/a123120ex-1018.htm" TargetMode="External"/><Relationship Id="rId54" Type="http://schemas.openxmlformats.org/officeDocument/2006/relationships/hyperlink" Target="http://www.sec.gov/Archives/edgar/data/1012477/000101247721000008/exhibit101q12021.htm" TargetMode="External"/><Relationship Id="rId62" Type="http://schemas.openxmlformats.org/officeDocument/2006/relationships/hyperlink" Target="http://www.sec.gov/Archives/edgar/data/1012477/000101247721000008/exhibit101q12021.htm" TargetMode="External"/><Relationship Id="rId70" Type="http://schemas.openxmlformats.org/officeDocument/2006/relationships/hyperlink" Target="a123121ex-1021.htm" TargetMode="External"/><Relationship Id="rId75" Type="http://schemas.openxmlformats.org/officeDocument/2006/relationships/hyperlink" Target="a123121ex-1021.htm" TargetMode="External"/><Relationship Id="rId83" Type="http://schemas.openxmlformats.org/officeDocument/2006/relationships/hyperlink" Target="http://www.sec.gov/Archives/edgar/data/0001012477/000101247721000004/a123120ex-141.htm" TargetMode="External"/><Relationship Id="rId88" Type="http://schemas.openxmlformats.org/officeDocument/2006/relationships/hyperlink" Target="a123121ex-231.htm" TargetMode="External"/><Relationship Id="rId91" Type="http://schemas.openxmlformats.org/officeDocument/2006/relationships/hyperlink" Target="a123121ex-321.htm" TargetMode="External"/><Relationship Id="rId1" Type="http://schemas.openxmlformats.org/officeDocument/2006/relationships/styles" Target="styles.xml"/><Relationship Id="rId6" Type="http://schemas.openxmlformats.org/officeDocument/2006/relationships/hyperlink" Target="http://www.sec.gov/Archives/edgar/data/1012477/000110465920024077/tm209736d1_ex3-1.htm" TargetMode="External"/><Relationship Id="rId15" Type="http://schemas.openxmlformats.org/officeDocument/2006/relationships/hyperlink" Target="http://www.sec.gov/Archives/edgar/data/0001012477/000101247721000004/a123120ex-102.htm" TargetMode="External"/><Relationship Id="rId23" Type="http://schemas.openxmlformats.org/officeDocument/2006/relationships/hyperlink" Target="http://www.sec.gov/Archives/edgar/data/1012477/000091068019000040/ex10_1-f8k05302019.htm" TargetMode="External"/><Relationship Id="rId28" Type="http://schemas.openxmlformats.org/officeDocument/2006/relationships/hyperlink" Target="http://www.sec.gov/Archives/edgar/data/1012477/000101247718000008/avdlex-1046.htm" TargetMode="External"/><Relationship Id="rId36" Type="http://schemas.openxmlformats.org/officeDocument/2006/relationships/hyperlink" Target="http://www.sec.gov/Archives/edgar/data/0001012477/000101247721000004/a123120ex-1018.htm" TargetMode="External"/><Relationship Id="rId49" Type="http://schemas.openxmlformats.org/officeDocument/2006/relationships/hyperlink" Target="http://www.sec.gov/Archives/edgar/data/1012477/000101247721000008/exhibit101q12021.htm" TargetMode="External"/><Relationship Id="rId57" Type="http://schemas.openxmlformats.org/officeDocument/2006/relationships/hyperlink" Target="http://www.sec.gov/Archives/edgar/data/1012477/000101247721000008/exhibit101q12021.htm" TargetMode="External"/><Relationship Id="rId10" Type="http://schemas.openxmlformats.org/officeDocument/2006/relationships/hyperlink" Target="http://www.sec.gov/Archives/edgar/data/1012477/000101247720000007/a123119ex-46.htm" TargetMode="External"/><Relationship Id="rId31" Type="http://schemas.openxmlformats.org/officeDocument/2006/relationships/hyperlink" Target="http://www.sec.gov/Archives/edgar/data/1012477/000110465920080648/tm2023976d1_ex10-1.htm" TargetMode="External"/><Relationship Id="rId44" Type="http://schemas.openxmlformats.org/officeDocument/2006/relationships/hyperlink" Target="http://www.sec.gov/Archives/edgar/data/0001012477/000101247721000004/a123120ex-1019.htm" TargetMode="External"/><Relationship Id="rId52" Type="http://schemas.openxmlformats.org/officeDocument/2006/relationships/hyperlink" Target="http://www.sec.gov/Archives/edgar/data/1012477/000101247721000008/exhibit101q12021.htm" TargetMode="External"/><Relationship Id="rId60" Type="http://schemas.openxmlformats.org/officeDocument/2006/relationships/hyperlink" Target="http://www.sec.gov/Archives/edgar/data/1012477/000101247721000008/exhibit101q12021.htm" TargetMode="External"/><Relationship Id="rId65" Type="http://schemas.openxmlformats.org/officeDocument/2006/relationships/hyperlink" Target="http://www.sec.gov/Archives/edgar/data/1012477/000101247721000008/exhibit101q12021.htm" TargetMode="External"/><Relationship Id="rId73" Type="http://schemas.openxmlformats.org/officeDocument/2006/relationships/hyperlink" Target="a123121ex-1021.htm" TargetMode="External"/><Relationship Id="rId78" Type="http://schemas.openxmlformats.org/officeDocument/2006/relationships/hyperlink" Target="ex1022avadel-formofexchang.htm" TargetMode="External"/><Relationship Id="rId81" Type="http://schemas.openxmlformats.org/officeDocument/2006/relationships/hyperlink" Target="http://www.sec.gov/Archives/edgar/data/0001012477/000101247721000004/a123120ex-141.htm" TargetMode="External"/><Relationship Id="rId86" Type="http://schemas.openxmlformats.org/officeDocument/2006/relationships/hyperlink" Target="http://www.sec.gov/Archives/edgar/data/1012477/000091068017000027/ex14_2.htm" TargetMode="External"/><Relationship Id="rId94" Type="http://schemas.openxmlformats.org/officeDocument/2006/relationships/theme" Target="theme/theme1.xml"/><Relationship Id="rId4" Type="http://schemas.openxmlformats.org/officeDocument/2006/relationships/image" Target="file:///E:\projects\LLMs\new_data_collection\data_new\htm\AVADEL%20PHARMACEUTICALS%20PLC\avdl-20211231_g1.jpg" TargetMode="External"/><Relationship Id="rId9" Type="http://schemas.openxmlformats.org/officeDocument/2006/relationships/hyperlink" Target="http://www.sec.gov/Archives/edgar/data/1012477/000114420419005584/tv512742_ex4-1.htm" TargetMode="External"/><Relationship Id="rId13" Type="http://schemas.openxmlformats.org/officeDocument/2006/relationships/hyperlink" Target="http://www.sec.gov/Archives/edgar/data/0001012477/000101247721000004/a123120ex-102.htm" TargetMode="External"/><Relationship Id="rId18" Type="http://schemas.openxmlformats.org/officeDocument/2006/relationships/hyperlink" Target="http://www.sec.gov/Archives/edgar/data/1012477/000114420416088149/v433294_ex10-26.htm" TargetMode="External"/><Relationship Id="rId39" Type="http://schemas.openxmlformats.org/officeDocument/2006/relationships/hyperlink" Target="http://www.sec.gov/Archives/edgar/data/0001012477/000101247721000004/a123120ex-1018.htm" TargetMode="External"/><Relationship Id="rId34" Type="http://schemas.openxmlformats.org/officeDocument/2006/relationships/hyperlink" Target="http://www.sec.gov/Archives/edgar/data/0001012477/000101247721000004/a123120ex-1018.htm" TargetMode="External"/><Relationship Id="rId50" Type="http://schemas.openxmlformats.org/officeDocument/2006/relationships/hyperlink" Target="http://www.sec.gov/Archives/edgar/data/1012477/000101247721000008/exhibit101q12021.htm" TargetMode="External"/><Relationship Id="rId55" Type="http://schemas.openxmlformats.org/officeDocument/2006/relationships/hyperlink" Target="http://www.sec.gov/Archives/edgar/data/1012477/000101247721000008/exhibit101q12021.htm" TargetMode="External"/><Relationship Id="rId76" Type="http://schemas.openxmlformats.org/officeDocument/2006/relationships/hyperlink" Target="a123121ex-1021.htm" TargetMode="External"/><Relationship Id="rId7" Type="http://schemas.openxmlformats.org/officeDocument/2006/relationships/hyperlink" Target="http://www.sec.gov/Archives/edgar/data/1012477/000114420417000976/v456368_ex1-1.htm" TargetMode="External"/><Relationship Id="rId71" Type="http://schemas.openxmlformats.org/officeDocument/2006/relationships/hyperlink" Target="a123121ex-1021.htm" TargetMode="External"/><Relationship Id="rId92" Type="http://schemas.openxmlformats.org/officeDocument/2006/relationships/hyperlink" Target="a123121ex-322.htm" TargetMode="External"/><Relationship Id="rId2" Type="http://schemas.openxmlformats.org/officeDocument/2006/relationships/settings" Target="settings.xml"/><Relationship Id="rId29" Type="http://schemas.openxmlformats.org/officeDocument/2006/relationships/hyperlink" Target="http://www.sec.gov/Archives/edgar/data/1012477/000110465920024077/tm209736d1_ex10-1.htm" TargetMode="External"/><Relationship Id="rId24" Type="http://schemas.openxmlformats.org/officeDocument/2006/relationships/hyperlink" Target="http://www.sec.gov/Archives/edgar/data/1012477/000101247720000013/exhibit102q22020.htm" TargetMode="External"/><Relationship Id="rId40" Type="http://schemas.openxmlformats.org/officeDocument/2006/relationships/hyperlink" Target="http://www.sec.gov/Archives/edgar/data/0001012477/000101247721000004/a123120ex-1018.htm" TargetMode="External"/><Relationship Id="rId45" Type="http://schemas.openxmlformats.org/officeDocument/2006/relationships/hyperlink" Target="http://www.sec.gov/Archives/edgar/data/0001012477/000101247721000004/a123120ex-1019.htm" TargetMode="External"/><Relationship Id="rId66" Type="http://schemas.openxmlformats.org/officeDocument/2006/relationships/hyperlink" Target="http://www.sec.gov/Archives/edgar/data/1012477/000101247721000008/exhibit101q12021.htm" TargetMode="External"/><Relationship Id="rId87" Type="http://schemas.openxmlformats.org/officeDocument/2006/relationships/hyperlink" Target="a123121ex-211.htm" TargetMode="External"/><Relationship Id="rId61" Type="http://schemas.openxmlformats.org/officeDocument/2006/relationships/hyperlink" Target="http://www.sec.gov/Archives/edgar/data/1012477/000101247721000008/exhibit101q12021.htm" TargetMode="External"/><Relationship Id="rId82" Type="http://schemas.openxmlformats.org/officeDocument/2006/relationships/hyperlink" Target="http://www.sec.gov/Archives/edgar/data/0001012477/000101247721000004/a123120ex-141.htm" TargetMode="External"/><Relationship Id="rId19" Type="http://schemas.openxmlformats.org/officeDocument/2006/relationships/hyperlink" Target="http://www.sec.gov/Archives/edgar/data/1012477/000114420416119757/v445278_ex99-1.htm" TargetMode="External"/><Relationship Id="rId14" Type="http://schemas.openxmlformats.org/officeDocument/2006/relationships/hyperlink" Target="http://www.sec.gov/Archives/edgar/data/0001012477/000101247721000004/a123120ex-102.htm" TargetMode="External"/><Relationship Id="rId30" Type="http://schemas.openxmlformats.org/officeDocument/2006/relationships/hyperlink" Target="http://www.sec.gov/Archives/edgar/data/1012477/000101247720000007/a123119ex-1040.htm" TargetMode="External"/><Relationship Id="rId35" Type="http://schemas.openxmlformats.org/officeDocument/2006/relationships/hyperlink" Target="http://www.sec.gov/Archives/edgar/data/0001012477/000101247721000004/a123120ex-1018.htm" TargetMode="External"/><Relationship Id="rId56" Type="http://schemas.openxmlformats.org/officeDocument/2006/relationships/hyperlink" Target="http://www.sec.gov/Archives/edgar/data/1012477/000101247721000008/exhibit101q12021.htm" TargetMode="External"/><Relationship Id="rId77" Type="http://schemas.openxmlformats.org/officeDocument/2006/relationships/hyperlink" Target="a123121ex-10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78295</Words>
  <Characters>446286</Characters>
  <Application>Microsoft Office Word</Application>
  <DocSecurity>0</DocSecurity>
  <Lines>3719</Lines>
  <Paragraphs>1047</Paragraphs>
  <ScaleCrop>false</ScaleCrop>
  <Company/>
  <LinksUpToDate>false</LinksUpToDate>
  <CharactersWithSpaces>523534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avdl-20211231</dc:title>
  <dc:subject/>
  <dc:creator>Chongjian.Yue</dc:creator>
  <cp:keywords/>
  <dc:description/>
  <cp:lastModifiedBy>Yue Chongjian</cp:lastModifiedBy>
  <cp:revision>1</cp:revision>
  <dcterms:created xsi:type="dcterms:W3CDTF">2024-01-04T15:32:00Z</dcterms:created>
  <dcterms:modified xsi:type="dcterms:W3CDTF">2024-01-04T15:32:00Z</dcterms:modified>
</cp:coreProperties>
</file>