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55199">
      <w:pPr>
        <w:divId w:val="195001100"/>
        <w:rPr>
          <w:rFonts w:eastAsia="Times New Roman"/>
          <w:vanish/>
        </w:rPr>
      </w:pPr>
      <w:r>
        <w:rPr>
          <w:rFonts w:eastAsia="Times New Roman"/>
          <w:vanish/>
        </w:rPr>
        <w:t>000101247712/312022Q3false</w:t>
      </w:r>
      <w:r>
        <w:rPr>
          <w:rFonts w:ascii="Segoe UI Symbol" w:eastAsia="Times New Roman" w:hAnsi="Segoe UI Symbol" w:cs="Segoe UI Symbol"/>
          <w:vanish/>
        </w:rPr>
        <w:t>☒</w:t>
      </w:r>
      <w:r>
        <w:rPr>
          <w:rFonts w:eastAsia="Times New Roman"/>
          <w:vanish/>
        </w:rPr>
        <w:t>http://fasb.org/us-gaap/2022#AccountingStandardsUpdate202006MemberP5DP5D00010124772022-01-012022-09-300001012477exch:XNMS2022-01-012022-09-3000010124772022-11-07xbrli:shares00010124772022-07-012022-09-30iso4217:USD</w:t>
      </w:r>
      <w:r>
        <w:rPr>
          <w:rFonts w:eastAsia="Times New Roman"/>
          <w:vanish/>
        </w:rPr>
        <w:t>00010124772021-07-012021-09-3000010124772021-01-012021-09-30iso4217:USDxbrli:shares00010124772022-09-3000010124772021-12-310001012477us-gaap:CommonStockMember2021-12-310001012477us-gaap:PreferredStockMember2021-12-310001012477us-gaap:AdditionalPaidInCapita</w:t>
      </w:r>
      <w:r>
        <w:rPr>
          <w:rFonts w:eastAsia="Times New Roman"/>
          <w:vanish/>
        </w:rPr>
        <w:t>lMember2021-12-310001012477us-gaap:RetainedEarningsMember2021-12-310001012477us-gaap:AccumulatedOtherComprehensiveIncomeMember2021-12-310001012477us-gaap:RetainedEarningsMember2022-01-012022-03-3100010124772022-01-012022-03-310001012477us-gaap:AccumulatedO</w:t>
      </w:r>
      <w:r>
        <w:rPr>
          <w:rFonts w:eastAsia="Times New Roman"/>
          <w:vanish/>
        </w:rPr>
        <w:t>therComprehensiveIncomeMember2022-01-012022-03-310001012477us-gaap:CommonStockMember2022-01-012022-03-310001012477us-gaap:AdditionalPaidInCapitalMember2022-01-012022-03-310001012477us-gaap:CommonStockMember2022-03-310001012477us-gaap:PreferredStockMember20</w:t>
      </w:r>
      <w:r>
        <w:rPr>
          <w:rFonts w:eastAsia="Times New Roman"/>
          <w:vanish/>
        </w:rPr>
        <w:t>22-03-310001012477us-gaap:AdditionalPaidInCapitalMember2022-03-310001012477us-gaap:RetainedEarningsMember2022-03-310001012477us-gaap:AccumulatedOtherComprehensiveIncomeMember2022-03-3100010124772022-03-310001012477us-gaap:RetainedEarningsMember2022-04-0120</w:t>
      </w:r>
      <w:r>
        <w:rPr>
          <w:rFonts w:eastAsia="Times New Roman"/>
          <w:vanish/>
        </w:rPr>
        <w:t>22-06-3000010124772022-04-012022-06-300001012477us-gaap:AccumulatedOtherComprehensiveIncomeMember2022-04-012022-06-300001012477us-gaap:CommonStockMember2022-04-012022-06-300001012477us-gaap:AdditionalPaidInCapitalMember2022-04-012022-06-300001012477us-gaap</w:t>
      </w:r>
      <w:r>
        <w:rPr>
          <w:rFonts w:eastAsia="Times New Roman"/>
          <w:vanish/>
        </w:rPr>
        <w:t>:CommonStockMember2022-06-300001012477us-gaap:PreferredStockMember2022-06-300001012477us-gaap:AdditionalPaidInCapitalMember2022-06-300001012477us-gaap:RetainedEarningsMember2022-06-300001012477us-gaap:AccumulatedOtherComprehensiveIncomeMember2022-06-300001</w:t>
      </w:r>
      <w:r>
        <w:rPr>
          <w:rFonts w:eastAsia="Times New Roman"/>
          <w:vanish/>
        </w:rPr>
        <w:t>0124772022-06-300001012477us-gaap:RetainedEarningsMember2022-07-012022-09-300001012477us-gaap:AccumulatedOtherComprehensiveIncomeMember2022-07-012022-09-300001012477us-gaap:CommonStockMember2022-07-012022-09-300001012477us-gaap:AdditionalPaidInCapitalMembe</w:t>
      </w:r>
      <w:r>
        <w:rPr>
          <w:rFonts w:eastAsia="Times New Roman"/>
          <w:vanish/>
        </w:rPr>
        <w:t>r2022-07-012022-09-300001012477us-gaap:CommonStockMember2022-09-300001012477us-gaap:PreferredStockMember2022-09-300001012477us-gaap:AdditionalPaidInCapitalMember2022-09-300001012477us-gaap:RetainedEarningsMember2022-09-300001012477us-gaap:AccumulatedOtherC</w:t>
      </w:r>
      <w:r>
        <w:rPr>
          <w:rFonts w:eastAsia="Times New Roman"/>
          <w:vanish/>
        </w:rPr>
        <w:t>omprehensiveIncomeMember2022-09-300001012477us-gaap:CommonStockMember2020-12-310001012477us-gaap:PreferredStockMember2020-12-310001012477us-gaap:AdditionalPaidInCapitalMember2020-12-310001012477us-gaap:RetainedEarningsMember2020-12-310001012477us-gaap:Accu</w:t>
      </w:r>
      <w:r>
        <w:rPr>
          <w:rFonts w:eastAsia="Times New Roman"/>
          <w:vanish/>
        </w:rPr>
        <w:t>mulatedOtherComprehensiveIncomeMember2020-12-3100010124772020-12-3100010124772020-01-012020-12-310001012477srt:CumulativeEffectPeriodOfAdoptionAdjustmentMemberus-gaap:AdditionalPaidInCapitalMember2020-12-310001012477srt:CumulativeEffectPeriodOfAdoptionAdju</w:t>
      </w:r>
      <w:r>
        <w:rPr>
          <w:rFonts w:eastAsia="Times New Roman"/>
          <w:vanish/>
        </w:rPr>
        <w:t>stmentMemberus-gaap:RetainedEarningsMember2020-12-310001012477srt:CumulativeEffectPeriodOfAdoptionAdjustmentMember2020-12-310001012477us-gaap:RetainedEarningsMember2021-01-012021-03-3100010124772021-01-012021-03-310001012477us-gaap:AccumulatedOtherComprehe</w:t>
      </w:r>
      <w:r>
        <w:rPr>
          <w:rFonts w:eastAsia="Times New Roman"/>
          <w:vanish/>
        </w:rPr>
        <w:t>nsiveIncomeMember2021-01-012021-03-310001012477us-gaap:CommonStockMember2021-01-012021-03-310001012477us-gaap:AdditionalPaidInCapitalMember2021-01-012021-03-310001012477us-gaap:CommonStockMember2021-03-310001012477us-gaap:PreferredStockMember2021-03-310001</w:t>
      </w:r>
      <w:r>
        <w:rPr>
          <w:rFonts w:eastAsia="Times New Roman"/>
          <w:vanish/>
        </w:rPr>
        <w:t>012477us-gaap:AdditionalPaidInCapitalMember2021-03-310001012477us-gaap:RetainedEarningsMember2021-03-310001012477us-gaap:AccumulatedOtherComprehensiveIncomeMember2021-03-3100010124772021-03-310001012477us-gaap:RetainedEarningsMember2021-04-012021-06-300001</w:t>
      </w:r>
      <w:r>
        <w:rPr>
          <w:rFonts w:eastAsia="Times New Roman"/>
          <w:vanish/>
        </w:rPr>
        <w:t>0124772021-04-012021-06-300001012477us-gaap:AccumulatedOtherComprehensiveIncomeMember2021-04-012021-06-300001012477us-gaap:AdditionalPaidInCapitalMember2021-04-012021-06-300001012477us-gaap:CommonStockMember2021-06-300001012477us-gaap:PreferredStockMember2</w:t>
      </w:r>
      <w:r>
        <w:rPr>
          <w:rFonts w:eastAsia="Times New Roman"/>
          <w:vanish/>
        </w:rPr>
        <w:t>021-06-300001012477us-gaap:AdditionalPaidInCapitalMember2021-06-300001012477us-gaap:RetainedEarningsMember2021-06-300001012477us-gaap:AccumulatedOtherComprehensiveIncomeMember2021-06-3000010124772021-06-300001012477us-gaap:RetainedEarningsMember2021-07-012</w:t>
      </w:r>
      <w:r>
        <w:rPr>
          <w:rFonts w:eastAsia="Times New Roman"/>
          <w:vanish/>
        </w:rPr>
        <w:t>021-09-300001012477us-gaap:AccumulatedOtherComprehensiveIncomeMember2021-07-012021-09-300001012477us-gaap:CommonStockMember2021-07-012021-09-300001012477us-gaap:AdditionalPaidInCapitalMember2021-07-012021-09-300001012477us-gaap:CommonStockMember2021-09-300</w:t>
      </w:r>
      <w:r>
        <w:rPr>
          <w:rFonts w:eastAsia="Times New Roman"/>
          <w:vanish/>
        </w:rPr>
        <w:t>001012477us-gaap:PreferredStockMember2021-09-300001012477us-gaap:AdditionalPaidInCapitalMember2021-09-300001012477us-gaap:RetainedEarningsMember2021-09-300001012477us-gaap:AccumulatedOtherComprehensiveIncomeMember2021-09-3000010124772021-09-300001012477us-</w:t>
      </w:r>
      <w:r>
        <w:rPr>
          <w:rFonts w:eastAsia="Times New Roman"/>
          <w:vanish/>
        </w:rPr>
        <w:t>gaap:SeniorNotesMemberavdl:A450PercentExchangeableSeniorNotesDue2023Member2022-09-30xbrli:pure0001012477us-gaap:SeniorNotesMemberavdl:A450PercentExchangeableSeniorNotesDueOctober2023Member2022-09-300001012477avdl:AtTheMarketOfferingProgramMember2022-09-300</w:t>
      </w:r>
      <w:r>
        <w:rPr>
          <w:rFonts w:eastAsia="Times New Roman"/>
          <w:vanish/>
        </w:rPr>
        <w:t>0010124772020-02-050001012477avdl:OpenMarketSalesAgreement2020ProspectusMember2020-02-140001012477avdl:OpenMarketSalesAgreement2022ProspectusMember2022-08-310001012477avdl:OpenMarketSalesAgreement2020ProspectusMemberus-gaap:CommonStockMember2022-09-302022-</w:t>
      </w:r>
      <w:r>
        <w:rPr>
          <w:rFonts w:eastAsia="Times New Roman"/>
          <w:vanish/>
        </w:rPr>
        <w:t>09-300001012477avdl:OpenMarketSalesAgreement2020ProspectusMember2022-09-300001012477avdl:OpenMarketSalesAgreement2022ProspectusMember2022-09-300001012477us-gaap:FairValueMeasurementsRecurringMemberus-gaap:FairValueInputsLevel1Memberavdl:MutualAndMoneyMarke</w:t>
      </w:r>
      <w:r>
        <w:rPr>
          <w:rFonts w:eastAsia="Times New Roman"/>
          <w:vanish/>
        </w:rPr>
        <w:t>tFundsMember2022-09-300001012477us-gaap:FairValueMeasurementsRecurringMemberus-gaap:FairValueInputsLevel2Memberavdl:MutualAndMoneyMarketFundsMember2022-09-300001012477us-gaap:FairValueMeasurementsRecurringMemberus-gaap:FairValueInputsLevel3Memberavdl:Mutua</w:t>
      </w:r>
      <w:r>
        <w:rPr>
          <w:rFonts w:eastAsia="Times New Roman"/>
          <w:vanish/>
        </w:rPr>
        <w:t>lAndMoneyMarketFundsMember2022-09-300001012477us-gaap:FairValueMeasurementsRecurringMemberus-gaap:FairValueInputsLevel1Memberavdl:MutualAndMoneyMarketFundsMember2021-12-310001012477us-gaap:FairValueMeasurementsRecurringMemberus-gaap:FairValueInputsLevel2Me</w:t>
      </w:r>
      <w:r>
        <w:rPr>
          <w:rFonts w:eastAsia="Times New Roman"/>
          <w:vanish/>
        </w:rPr>
        <w:t>mberavdl:MutualAndMoneyMarketFundsMember2021-12-310001012477us-gaap:FairValueMeasurementsRecurringMemberus-gaap:FairValueInputsLevel3Memberavdl:MutualAndMoneyMarketFundsMember2021-12-310001012477us-gaap:FairValueMeasurementsRecurringMemberus-gaap:FairValue</w:t>
      </w:r>
      <w:r>
        <w:rPr>
          <w:rFonts w:eastAsia="Times New Roman"/>
          <w:vanish/>
        </w:rPr>
        <w:t>InputsLevel1Memberus-gaap:CorporateDebtSecuritiesMember2022-09-300001012477us-gaap:FairValueMeasurementsRecurringMemberus-gaap:FairValueInputsLevel2Memberus-gaap:CorporateDebtSecuritiesMember2022-09-300001012477us-gaap:FairValueMeasurementsRecurringMemberu</w:t>
      </w:r>
      <w:r>
        <w:rPr>
          <w:rFonts w:eastAsia="Times New Roman"/>
          <w:vanish/>
        </w:rPr>
        <w:t>s-gaap:CorporateDebtSecuritiesMemberus-gaap:FairValueInputsLevel3Member2022-09-300001012477us-gaap:FairValueMeasurementsRecurringMemberus-gaap:FairValueInputsLevel1Memberus-gaap:CorporateDebtSecuritiesMember2021-12-310001012477us-gaap:FairValueMeasurements</w:t>
      </w:r>
      <w:r>
        <w:rPr>
          <w:rFonts w:eastAsia="Times New Roman"/>
          <w:vanish/>
        </w:rPr>
        <w:t>RecurringMemberus-gaap:FairValueInputsLevel2Memberus-gaap:CorporateDebtSecuritiesMember2021-12-310001012477us-gaap:FairValueMeasurementsRecurringMemberus-gaap:CorporateDebtSecuritiesMemberus-gaap:FairValueInputsLevel3Member2021-12-310001012477us-gaap:FairV</w:t>
      </w:r>
      <w:r>
        <w:rPr>
          <w:rFonts w:eastAsia="Times New Roman"/>
          <w:vanish/>
        </w:rPr>
        <w:t>alueMeasurementsRecurringMemberus-gaap:FairValueInputsLevel1Memberus-gaap:USGovernmentAgenciesDebtSecuritiesMember2022-09-300001012477us-gaap:FairValueMeasurementsRecurringMemberus-gaap:FairValueInputsLevel2Memberus-gaap:USGovernmentAgenciesDebtSecuritiesM</w:t>
      </w:r>
      <w:r>
        <w:rPr>
          <w:rFonts w:eastAsia="Times New Roman"/>
          <w:vanish/>
        </w:rPr>
        <w:t>ember2022-09-300001012477us-gaap:FairValueMeasurementsRecurringMemberus-gaap:FairValueInputsLevel3Memberus-gaap:USGovernmentAgenciesDebtSecuritiesMember2022-09-300001012477us-gaap:FairValueMeasurementsRecurringMemberus-gaap:FairValueInputsLevel1Memberus-ga</w:t>
      </w:r>
      <w:r>
        <w:rPr>
          <w:rFonts w:eastAsia="Times New Roman"/>
          <w:vanish/>
        </w:rPr>
        <w:t>ap:USGovernmentAgenciesDebtSecuritiesMember2021-12-310001012477us-gaap:FairValueMeasurementsRecurringMemberus-gaap:FairValueInputsLevel2Memberus-gaap:USGovernmentAgenciesDebtSecuritiesMember2021-12-310001012477us-gaap:FairValueMeasurementsRecurringMemberus</w:t>
      </w:r>
      <w:r>
        <w:rPr>
          <w:rFonts w:eastAsia="Times New Roman"/>
          <w:vanish/>
        </w:rPr>
        <w:t>-gaap:FairValueInputsLevel3Memberus-gaap:USGovernmentAgenciesDebtSecuritiesMember2021-12-310001012477us-gaap:FairValueMeasurementsRecurringMemberus-gaap:FairValueInputsLevel1Memberus-gaap:FixedIncomeSecuritiesMember2022-09-300001012477us-gaap:FairValueMeas</w:t>
      </w:r>
      <w:r>
        <w:rPr>
          <w:rFonts w:eastAsia="Times New Roman"/>
          <w:vanish/>
        </w:rPr>
        <w:t>urementsRecurringMemberus-gaap:FairValueInputsLevel2Memberus-gaap:FixedIncomeSecuritiesMember2022-09-300001012477us-gaap:FairValueMeasurementsRecurringMemberus-gaap:FairValueInputsLevel3Memberus-gaap:FixedIncomeSecuritiesMember2022-09-300001012477us-gaap:F</w:t>
      </w:r>
      <w:r>
        <w:rPr>
          <w:rFonts w:eastAsia="Times New Roman"/>
          <w:vanish/>
        </w:rPr>
        <w:t>airValueMeasurementsRecurringMemberus-gaap:FairValueInputsLevel1Memberus-gaap:FixedIncomeSecuritiesMember2021-12-310001012477us-gaap:FairValueMeasurementsRecurringMemberus-gaap:FairValueInputsLevel2Memberus-gaap:FixedIncomeSecuritiesMember2021-12-310001012</w:t>
      </w:r>
      <w:r>
        <w:rPr>
          <w:rFonts w:eastAsia="Times New Roman"/>
          <w:vanish/>
        </w:rPr>
        <w:t>477us-gaap:FairValueMeasurementsRecurringMemberus-gaap:FairValueInputsLevel3Memberus-gaap:FixedIncomeSecuritiesMember2021-12-310001012477us-gaap:FairValueMeasurementsRecurringMemberus-gaap:FairValueInputsLevel1Member2022-09-300001012477us-gaap:FairValueMea</w:t>
      </w:r>
      <w:r>
        <w:rPr>
          <w:rFonts w:eastAsia="Times New Roman"/>
          <w:vanish/>
        </w:rPr>
        <w:t>surementsRecurringMemberus-gaap:FairValueInputsLevel2Member2022-09-300001012477us-gaap:FairValueMeasurementsRecurringMemberus-gaap:FairValueInputsLevel3Member2022-09-300001012477us-gaap:FairValueMeasurementsRecurringMemberus-gaap:FairValueInputsLevel1Membe</w:t>
      </w:r>
      <w:r>
        <w:rPr>
          <w:rFonts w:eastAsia="Times New Roman"/>
          <w:vanish/>
        </w:rPr>
        <w:t>r2021-12-310001012477us-gaap:FairValueMeasurementsRecurringMemberus-gaap:FairValueInputsLevel2Member2021-12-310001012477us-gaap:FairValueMeasurementsRecurringMemberus-gaap:FairValueInputsLevel3Member2021-12-310001012477avdl:MutualAndMoneyMarketFundsMember2</w:t>
      </w:r>
      <w:r>
        <w:rPr>
          <w:rFonts w:eastAsia="Times New Roman"/>
          <w:vanish/>
        </w:rPr>
        <w:t>022-09-300001012477us-gaap:CorporateDebtSecuritiesMember2022-09-300001012477us-gaap:USGovernmentAgenciesDebtSecuritiesMember2022-09-300001012477us-gaap:FixedIncomeSecuritiesMember2022-09-300001012477avdl:MutualAndMoneyMarketFundsMember2021-12-310001012477u</w:t>
      </w:r>
      <w:r>
        <w:rPr>
          <w:rFonts w:eastAsia="Times New Roman"/>
          <w:vanish/>
        </w:rPr>
        <w:t>s-gaap:CorporateDebtSecuritiesMember2021-12-310001012477us-gaap:USGovernmentAgenciesDebtSecuritiesMember2021-12-310001012477us-gaap:FixedIncomeSecuritiesMember2021-12-310001012477avdl:DebtSecuritiesExcludingMoneyMarketFundsAvailableForSaleMember2022-09-300</w:t>
      </w:r>
      <w:r>
        <w:rPr>
          <w:rFonts w:eastAsia="Times New Roman"/>
          <w:vanish/>
        </w:rPr>
        <w:t>001012477us-gaap:SeniorNotesMemberavdl:A450PercentExchangeableSeniorNotesDue2023Member2021-12-310001012477us-gaap:SeniorNotesMemberavdl:A450PercentExchangeableSeniorNotesDueOctober2023Member2021-12-310001012477us-gaap:SeniorNotesMember2022-09-300001012477u</w:t>
      </w:r>
      <w:r>
        <w:rPr>
          <w:rFonts w:eastAsia="Times New Roman"/>
          <w:vanish/>
        </w:rPr>
        <w:t>s-gaap:SeniorNotesMember2021-12-310001012477avdl:A450PercentExchangeableSeniorNotesDue2023Memberus-gaap:ConvertibleDebtMember2018-02-160001012477avdl:A450PercentExchangeableSeniorNotesDue2023Memberus-gaap:ConvertibleDebtMember2018-02-162018-02-160001012477</w:t>
      </w:r>
      <w:r>
        <w:rPr>
          <w:rFonts w:eastAsia="Times New Roman"/>
          <w:vanish/>
        </w:rPr>
        <w:t>avdl:A450PercentExchangeableSeniorNotesDueOctober22023Memberus-gaap:ConvertibleDebtMember2022-04-050001012477us-gaap:ConvertibleDebtMemberavdl:FourPointFiftyPercentExchangeableSeniorNotesDue2023Member2022-04-050001012477us-gaap:SeniorNotesMemberavdl:A450Pe</w:t>
      </w:r>
      <w:r>
        <w:rPr>
          <w:rFonts w:eastAsia="Times New Roman"/>
          <w:vanish/>
        </w:rPr>
        <w:t>rcentExchangeableSeniorNotesDueOctober2023Member2022-04-052022-04-050001012477avdl:ThirdPartyMemberus-gaap:SeniorNotesMemberavdl:A450PercentExchangeableSeniorNotesDueOctober2023Member2022-04-052022-04-0500010124772022-04-052022-04-0500010124772018-02-16201</w:t>
      </w:r>
      <w:r>
        <w:rPr>
          <w:rFonts w:eastAsia="Times New Roman"/>
          <w:vanish/>
        </w:rPr>
        <w:t>8-02-16utr:Rate0001012477avdl:A450PercentExchangeableSeniorNotesDueOctober22023Memberus-gaap:ConvertibleDebtMemberus-gaap:DebtInstrumentRedemptionPeriodOneMember2022-04-052022-04-050001012477avdl:A450PercentExchangeableSeniorNotesDueOctober22023Memberus-ga</w:t>
      </w:r>
      <w:r>
        <w:rPr>
          <w:rFonts w:eastAsia="Times New Roman"/>
          <w:vanish/>
        </w:rPr>
        <w:t>ap:DebtInstrumentRedemptionPeriodTwoMemberus-gaap:ConvertibleDebtMember2022-04-052022-04-05avdl:day0001012477us-gaap:DebtInstrumentRedemptionPeriodThreeMemberavdl:A450PercentExchangeableSeniorNotesDueOctober22023Memberus-gaap:ConvertibleDebtMember2022-04-0</w:t>
      </w:r>
      <w:r>
        <w:rPr>
          <w:rFonts w:eastAsia="Times New Roman"/>
          <w:vanish/>
        </w:rPr>
        <w:t>52022-04-050001012477us-gaap:PerformanceSharesMember2022-09-300001012477us-gaap:PerformanceSharesMember2022-01-012022-09-300001012477us-gaap:AccumulatedTranslationAdjustmentMember2022-06-300001012477us-gaap:AccumulatedTranslationAdjustmentMember2021-06-300</w:t>
      </w:r>
      <w:r>
        <w:rPr>
          <w:rFonts w:eastAsia="Times New Roman"/>
          <w:vanish/>
        </w:rPr>
        <w:t>001012477us-gaap:AccumulatedTranslationAdjustmentMember2021-12-310001012477us-gaap:AccumulatedTranslationAdjustmentMember2020-12-310001012477us-gaap:AccumulatedTranslationAdjustmentMember2022-07-012022-09-300001012477us-gaap:AccumulatedTranslationAdjustmen</w:t>
      </w:r>
      <w:r>
        <w:rPr>
          <w:rFonts w:eastAsia="Times New Roman"/>
          <w:vanish/>
        </w:rPr>
        <w:t>tMember2021-07-012021-09-300001012477us-gaap:AccumulatedTranslationAdjustmentMember2022-01-012022-09-300001012477us-gaap:AccumulatedTranslationAdjustmentMember2021-01-012021-09-300001012477us-gaap:AccumulatedTranslationAdjustmentMember2022-09-300001012477u</w:t>
      </w:r>
      <w:r>
        <w:rPr>
          <w:rFonts w:eastAsia="Times New Roman"/>
          <w:vanish/>
        </w:rPr>
        <w:t>s-gaap:AccumulatedTranslationAdjustmentMember2021-09-300001012477us-gaap:AccumulatedNetUnrealizedInvestmentGainLossMember2022-06-300001012477us-gaap:AccumulatedNetUnrealizedInvestmentGainLossMember2021-06-300001012477us-gaap:AccumulatedNetUnrealizedInvestm</w:t>
      </w:r>
      <w:r>
        <w:rPr>
          <w:rFonts w:eastAsia="Times New Roman"/>
          <w:vanish/>
        </w:rPr>
        <w:t>entGainLossMember2021-12-310001012477us-gaap:AccumulatedNetUnrealizedInvestmentGainLossMember2020-12-310001012477us-gaap:AccumulatedNetUnrealizedInvestmentGainLossMember2022-07-012022-09-300001012477us-gaap:AccumulatedNetUnrealizedInvestmentGainLossMember2</w:t>
      </w:r>
      <w:r>
        <w:rPr>
          <w:rFonts w:eastAsia="Times New Roman"/>
          <w:vanish/>
        </w:rPr>
        <w:t>021-07-012021-09-300001012477us-gaap:AccumulatedNetUnrealizedInvestmentGainLossMember2022-01-012022-09-300001012477us-gaap:AccumulatedNetUnrealizedInvestmentGainLossMember2021-01-012021-09-300001012477us-gaap:AccumulatedNetUnrealizedInvestmentGainLossMembe</w:t>
      </w:r>
      <w:r>
        <w:rPr>
          <w:rFonts w:eastAsia="Times New Roman"/>
          <w:vanish/>
        </w:rPr>
        <w:t>r2022-09-300001012477us-gaap:AccumulatedNetUnrealizedInvestmentGainLossMember2021-09-300001012477srt:MaximumMember2022-09-300001012477avdl:A2022CorporateRestructuringPlanMember2022-06-012022-08-310001012477us-gaap:SeniorNotesMemberavdl:A450PercentExchangea</w:t>
      </w:r>
      <w:r>
        <w:rPr>
          <w:rFonts w:eastAsia="Times New Roman"/>
          <w:vanish/>
        </w:rPr>
        <w:t>bleSeniorNotesDue2023Memberus-gaap:SubsequentEventMember2022-11-040001012477us-gaap:SeniorNotesMemberavdl:A450PercentExchangeableSeniorNotesDue2023Memberus-gaap:SubsequentEventMember2022-11-042022-11-04</w:t>
      </w:r>
    </w:p>
    <w:p w:rsidR="00000000" w:rsidRDefault="00755199">
      <w:pPr>
        <w:divId w:val="394548887"/>
        <w:rPr>
          <w:rFonts w:eastAsia="Times New Roman"/>
        </w:rPr>
      </w:pPr>
    </w:p>
    <w:p w:rsidR="00000000" w:rsidRDefault="00755199">
      <w:pPr>
        <w:jc w:val="center"/>
        <w:rPr>
          <w:rFonts w:eastAsia="Times New Roman"/>
        </w:rPr>
      </w:pPr>
      <w:r>
        <w:rPr>
          <w:rFonts w:eastAsia="Times New Roman"/>
          <w:b/>
          <w:bCs/>
          <w:color w:val="000000"/>
          <w:sz w:val="28"/>
          <w:szCs w:val="28"/>
        </w:rPr>
        <w:t>UNITED STATES</w:t>
      </w:r>
    </w:p>
    <w:p w:rsidR="00000000" w:rsidRDefault="00755199">
      <w:pPr>
        <w:jc w:val="center"/>
        <w:rPr>
          <w:rFonts w:eastAsia="Times New Roman"/>
        </w:rPr>
      </w:pPr>
      <w:r>
        <w:rPr>
          <w:rFonts w:eastAsia="Times New Roman"/>
          <w:b/>
          <w:bCs/>
          <w:color w:val="000000"/>
          <w:sz w:val="28"/>
          <w:szCs w:val="28"/>
        </w:rPr>
        <w:t>SECURITIES AND EXCHANGE COMMISSION</w:t>
      </w:r>
    </w:p>
    <w:p w:rsidR="00000000" w:rsidRDefault="00755199">
      <w:pPr>
        <w:jc w:val="center"/>
        <w:rPr>
          <w:rFonts w:eastAsia="Times New Roman"/>
        </w:rPr>
      </w:pPr>
      <w:r>
        <w:rPr>
          <w:rFonts w:eastAsia="Times New Roman"/>
          <w:b/>
          <w:bCs/>
          <w:color w:val="000000"/>
        </w:rPr>
        <w:t>Wa</w:t>
      </w:r>
      <w:r>
        <w:rPr>
          <w:rFonts w:eastAsia="Times New Roman"/>
          <w:b/>
          <w:bCs/>
          <w:color w:val="000000"/>
        </w:rPr>
        <w:t>shington, D.C. 20549</w:t>
      </w:r>
    </w:p>
    <w:p w:rsidR="00000000" w:rsidRDefault="00755199">
      <w:pPr>
        <w:ind w:firstLine="720"/>
        <w:divId w:val="2020498743"/>
        <w:rPr>
          <w:rFonts w:eastAsia="Times New Roman"/>
        </w:rPr>
      </w:pPr>
      <w:r>
        <w:rPr>
          <w:rFonts w:eastAsia="Times New Roman"/>
          <w:color w:val="000000"/>
          <w:sz w:val="20"/>
          <w:szCs w:val="20"/>
        </w:rPr>
        <w:t> </w:t>
      </w:r>
    </w:p>
    <w:p w:rsidR="00000000" w:rsidRDefault="00755199">
      <w:pPr>
        <w:jc w:val="center"/>
        <w:rPr>
          <w:rFonts w:eastAsia="Times New Roman"/>
        </w:rPr>
      </w:pPr>
      <w:r>
        <w:rPr>
          <w:rFonts w:eastAsia="Times New Roman"/>
          <w:color w:val="000000"/>
          <w:sz w:val="20"/>
          <w:szCs w:val="20"/>
        </w:rPr>
        <w:t>———————</w:t>
      </w:r>
    </w:p>
    <w:p w:rsidR="00000000" w:rsidRDefault="00755199">
      <w:pPr>
        <w:jc w:val="center"/>
        <w:divId w:val="493645817"/>
        <w:rPr>
          <w:rFonts w:eastAsia="Times New Roman"/>
        </w:rPr>
      </w:pPr>
      <w:r>
        <w:rPr>
          <w:rFonts w:eastAsia="Times New Roman"/>
          <w:b/>
          <w:bCs/>
          <w:color w:val="000000"/>
          <w:sz w:val="28"/>
          <w:szCs w:val="28"/>
        </w:rPr>
        <w:t xml:space="preserve">FORM 10-Q </w:t>
      </w:r>
    </w:p>
    <w:p w:rsidR="00000000" w:rsidRDefault="00755199">
      <w:pPr>
        <w:jc w:val="center"/>
        <w:rPr>
          <w:rFonts w:eastAsia="Times New Roman"/>
        </w:rPr>
      </w:pPr>
      <w:r>
        <w:rPr>
          <w:rFonts w:eastAsia="Times New Roman"/>
          <w:color w:val="000000"/>
          <w:sz w:val="20"/>
          <w:szCs w:val="20"/>
        </w:rPr>
        <w:t>———————</w:t>
      </w:r>
    </w:p>
    <w:p w:rsidR="00000000" w:rsidRDefault="00755199">
      <w:pPr>
        <w:ind w:hanging="540"/>
        <w:divId w:val="1368292496"/>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QUARTERLY REPORT PURSUANT TO SECTION 13 OR 15(d) OF THE SECURITIES EXCHANGE ACT OF 1934</w:t>
      </w:r>
    </w:p>
    <w:p w:rsidR="00000000" w:rsidRDefault="00755199">
      <w:pPr>
        <w:ind w:firstLine="720"/>
        <w:jc w:val="center"/>
        <w:rPr>
          <w:rFonts w:eastAsia="Times New Roman"/>
        </w:rPr>
      </w:pPr>
      <w:r>
        <w:rPr>
          <w:rFonts w:eastAsia="Times New Roman"/>
          <w:b/>
          <w:bCs/>
          <w:color w:val="000000"/>
          <w:sz w:val="20"/>
          <w:szCs w:val="20"/>
        </w:rPr>
        <w:t> </w:t>
      </w:r>
    </w:p>
    <w:p w:rsidR="00000000" w:rsidRDefault="00755199">
      <w:pPr>
        <w:jc w:val="center"/>
        <w:rPr>
          <w:rFonts w:eastAsia="Times New Roman"/>
        </w:rPr>
      </w:pPr>
      <w:r>
        <w:rPr>
          <w:rFonts w:eastAsia="Times New Roman"/>
          <w:color w:val="000000"/>
          <w:sz w:val="20"/>
          <w:szCs w:val="20"/>
        </w:rPr>
        <w:t xml:space="preserve">For the quarterly period ended: September 30, 2022 </w:t>
      </w:r>
    </w:p>
    <w:p w:rsidR="00000000" w:rsidRDefault="00755199">
      <w:pPr>
        <w:jc w:val="center"/>
        <w:rPr>
          <w:rFonts w:eastAsia="Times New Roman"/>
        </w:rPr>
      </w:pPr>
    </w:p>
    <w:p w:rsidR="00000000" w:rsidRDefault="00755199">
      <w:pPr>
        <w:jc w:val="center"/>
        <w:divId w:val="1567837239"/>
        <w:rPr>
          <w:rFonts w:eastAsia="Times New Roman"/>
        </w:rPr>
      </w:pPr>
      <w:r>
        <w:rPr>
          <w:rFonts w:eastAsia="Times New Roman"/>
          <w:color w:val="000000"/>
          <w:sz w:val="20"/>
          <w:szCs w:val="20"/>
        </w:rPr>
        <w:t>OR</w:t>
      </w:r>
    </w:p>
    <w:p w:rsidR="00000000" w:rsidRDefault="00755199">
      <w:pPr>
        <w:ind w:hanging="540"/>
        <w:divId w:val="1934899700"/>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TRANSITION REPORT PURSUANT TO SECTION 13 OR 15(d)</w:t>
      </w:r>
      <w:r>
        <w:rPr>
          <w:rFonts w:eastAsia="Times New Roman"/>
          <w:color w:val="000000"/>
        </w:rPr>
        <w:t> OF THE SECURITIES EXCHANGE ACT OF 1934</w:t>
      </w:r>
    </w:p>
    <w:p w:rsidR="00000000" w:rsidRDefault="00755199">
      <w:pPr>
        <w:jc w:val="center"/>
        <w:divId w:val="1834560333"/>
        <w:rPr>
          <w:rFonts w:eastAsia="Times New Roman"/>
        </w:rPr>
      </w:pPr>
      <w:r>
        <w:rPr>
          <w:rFonts w:eastAsia="Times New Roman"/>
          <w:color w:val="000000"/>
          <w:sz w:val="20"/>
          <w:szCs w:val="20"/>
        </w:rPr>
        <w:t xml:space="preserve">For the transition period from </w:t>
      </w:r>
      <w:r>
        <w:rPr>
          <w:rFonts w:eastAsia="Times New Roman"/>
          <w:color w:val="000000"/>
          <w:sz w:val="20"/>
          <w:szCs w:val="20"/>
          <w:u w:val="single"/>
        </w:rPr>
        <w:t>                    </w:t>
      </w:r>
      <w:r>
        <w:rPr>
          <w:rFonts w:eastAsia="Times New Roman"/>
          <w:color w:val="000000"/>
          <w:sz w:val="20"/>
          <w:szCs w:val="20"/>
        </w:rPr>
        <w:t xml:space="preserve"> to </w:t>
      </w:r>
      <w:r>
        <w:rPr>
          <w:rFonts w:eastAsia="Times New Roman"/>
          <w:color w:val="000000"/>
          <w:sz w:val="20"/>
          <w:szCs w:val="20"/>
          <w:u w:val="single"/>
        </w:rPr>
        <w:t>                    </w:t>
      </w: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3472"/>
        <w:gridCol w:w="36"/>
      </w:tblGrid>
      <w:tr w:rsidR="00000000">
        <w:trPr>
          <w:divId w:val="896890818"/>
          <w:jc w:val="center"/>
        </w:trPr>
        <w:tc>
          <w:tcPr>
            <w:tcW w:w="50" w:type="pct"/>
            <w:vAlign w:val="center"/>
            <w:hideMark/>
          </w:tcPr>
          <w:p w:rsidR="00000000" w:rsidRDefault="00755199">
            <w:pPr>
              <w:jc w:val="center"/>
              <w:rPr>
                <w:rFonts w:eastAsia="Times New Roman"/>
              </w:rPr>
            </w:pPr>
          </w:p>
        </w:tc>
        <w:tc>
          <w:tcPr>
            <w:tcW w:w="49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896890818"/>
          <w:jc w:val="center"/>
        </w:trPr>
        <w:tc>
          <w:tcPr>
            <w:tcW w:w="0" w:type="auto"/>
            <w:gridSpan w:val="3"/>
            <w:tcMar>
              <w:top w:w="30" w:type="dxa"/>
              <w:left w:w="20" w:type="dxa"/>
              <w:bottom w:w="30" w:type="dxa"/>
              <w:right w:w="20" w:type="dxa"/>
            </w:tcMar>
            <w:vAlign w:val="center"/>
            <w:hideMark/>
          </w:tcPr>
          <w:p w:rsidR="00000000" w:rsidRDefault="00755199">
            <w:pPr>
              <w:spacing w:after="100"/>
              <w:jc w:val="center"/>
              <w:rPr>
                <w:rFonts w:eastAsia="Times New Roman"/>
              </w:rPr>
            </w:pPr>
            <w:r>
              <w:rPr>
                <w:rFonts w:eastAsia="Times New Roman"/>
                <w:b/>
                <w:bCs/>
                <w:color w:val="000000"/>
                <w:sz w:val="20"/>
                <w:szCs w:val="20"/>
              </w:rPr>
              <w:t>Commission File Number: 001-37977</w:t>
            </w:r>
          </w:p>
        </w:tc>
      </w:tr>
    </w:tbl>
    <w:p w:rsidR="00000000" w:rsidRDefault="00755199">
      <w:pPr>
        <w:ind w:firstLine="720"/>
        <w:divId w:val="2076706297"/>
        <w:rPr>
          <w:rFonts w:eastAsia="Times New Roman"/>
        </w:rPr>
      </w:pPr>
      <w:r>
        <w:rPr>
          <w:rFonts w:eastAsia="Times New Roman"/>
          <w:color w:val="000000"/>
          <w:sz w:val="20"/>
          <w:szCs w:val="20"/>
        </w:rPr>
        <w:t> </w:t>
      </w:r>
    </w:p>
    <w:p w:rsidR="00000000" w:rsidRDefault="00755199">
      <w:pPr>
        <w:jc w:val="center"/>
        <w:rPr>
          <w:rFonts w:eastAsia="Times New Roman"/>
        </w:rPr>
      </w:pPr>
      <w:r>
        <w:rPr>
          <w:rFonts w:eastAsia="Times New Roman"/>
          <w:color w:val="000000"/>
          <w:sz w:val="20"/>
          <w:szCs w:val="20"/>
        </w:rPr>
        <w:t>———————</w:t>
      </w:r>
    </w:p>
    <w:p w:rsidR="00000000" w:rsidRDefault="00755199">
      <w:pPr>
        <w:jc w:val="center"/>
        <w:divId w:val="874346559"/>
        <w:rPr>
          <w:rFonts w:eastAsia="Times New Roman"/>
        </w:rPr>
      </w:pPr>
      <w:r>
        <w:rPr>
          <w:rFonts w:eastAsia="Times New Roman"/>
          <w:b/>
          <w:bCs/>
          <w:color w:val="000000"/>
          <w:sz w:val="36"/>
          <w:szCs w:val="36"/>
        </w:rPr>
        <w:t xml:space="preserve">AVADEL PHARMACEUTICALS PLC </w:t>
      </w:r>
    </w:p>
    <w:p w:rsidR="00000000" w:rsidRDefault="00755199">
      <w:pPr>
        <w:jc w:val="center"/>
        <w:rPr>
          <w:rFonts w:eastAsia="Times New Roman"/>
        </w:rPr>
      </w:pPr>
      <w:r>
        <w:rPr>
          <w:rFonts w:eastAsia="Times New Roman"/>
          <w:color w:val="000000"/>
          <w:sz w:val="20"/>
          <w:szCs w:val="20"/>
        </w:rPr>
        <w:t>(Exact name of registrant as specified in its charter)</w:t>
      </w:r>
    </w:p>
    <w:p w:rsidR="00000000" w:rsidRDefault="00755199">
      <w:pPr>
        <w:jc w:val="center"/>
        <w:rPr>
          <w:rFonts w:eastAsia="Times New Roman"/>
        </w:rPr>
      </w:pPr>
      <w:r>
        <w:rPr>
          <w:rFonts w:eastAsia="Times New Roman"/>
          <w:color w:val="000000"/>
          <w:sz w:val="20"/>
          <w:szCs w:val="20"/>
        </w:rPr>
        <w:t>———————</w:t>
      </w:r>
    </w:p>
    <w:p w:rsidR="00000000" w:rsidRDefault="00755199">
      <w:pPr>
        <w:ind w:firstLine="720"/>
        <w:divId w:val="800728822"/>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2942"/>
        <w:gridCol w:w="36"/>
        <w:gridCol w:w="69"/>
        <w:gridCol w:w="2092"/>
        <w:gridCol w:w="36"/>
        <w:gridCol w:w="70"/>
        <w:gridCol w:w="2943"/>
        <w:gridCol w:w="36"/>
      </w:tblGrid>
      <w:tr w:rsidR="00000000">
        <w:trPr>
          <w:divId w:val="786781406"/>
        </w:trPr>
        <w:tc>
          <w:tcPr>
            <w:tcW w:w="50" w:type="pct"/>
            <w:vAlign w:val="center"/>
            <w:hideMark/>
          </w:tcPr>
          <w:p w:rsidR="00000000" w:rsidRDefault="00755199">
            <w:pPr>
              <w:ind w:firstLine="720"/>
              <w:rPr>
                <w:rFonts w:eastAsia="Times New Roman"/>
              </w:rPr>
            </w:pPr>
          </w:p>
        </w:tc>
        <w:tc>
          <w:tcPr>
            <w:tcW w:w="1782"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127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1782"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786781406"/>
        </w:trPr>
        <w:tc>
          <w:tcPr>
            <w:tcW w:w="0" w:type="auto"/>
            <w:gridSpan w:val="3"/>
            <w:tcMar>
              <w:top w:w="30" w:type="dxa"/>
              <w:left w:w="20" w:type="dxa"/>
              <w:bottom w:w="30" w:type="dxa"/>
              <w:right w:w="20" w:type="dxa"/>
            </w:tcMar>
            <w:vAlign w:val="center"/>
            <w:hideMark/>
          </w:tcPr>
          <w:p w:rsidR="00000000" w:rsidRDefault="00755199">
            <w:pPr>
              <w:spacing w:after="100"/>
              <w:jc w:val="center"/>
              <w:rPr>
                <w:rFonts w:eastAsia="Times New Roman"/>
              </w:rPr>
            </w:pPr>
            <w:r>
              <w:rPr>
                <w:rFonts w:eastAsia="Times New Roman"/>
                <w:b/>
                <w:bCs/>
                <w:color w:val="000000"/>
                <w:sz w:val="20"/>
                <w:szCs w:val="20"/>
              </w:rPr>
              <w:t>Ireland</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55199">
            <w:pPr>
              <w:spacing w:after="100"/>
              <w:jc w:val="center"/>
              <w:rPr>
                <w:rFonts w:eastAsia="Times New Roman"/>
              </w:rPr>
            </w:pPr>
            <w:r>
              <w:rPr>
                <w:rFonts w:eastAsia="Times New Roman"/>
                <w:b/>
                <w:bCs/>
                <w:color w:val="000000"/>
                <w:sz w:val="20"/>
                <w:szCs w:val="20"/>
              </w:rPr>
              <w:t>98-1341933</w:t>
            </w:r>
          </w:p>
        </w:tc>
      </w:tr>
      <w:tr w:rsidR="00000000">
        <w:trPr>
          <w:divId w:val="786781406"/>
        </w:trPr>
        <w:tc>
          <w:tcPr>
            <w:tcW w:w="0" w:type="auto"/>
            <w:gridSpan w:val="3"/>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(State or Other Jurisdiction of Incorporation)</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(I.R.S. Employer Identification No.)</w:t>
            </w:r>
          </w:p>
        </w:tc>
      </w:tr>
    </w:tbl>
    <w:p w:rsidR="00000000" w:rsidRDefault="00755199">
      <w:pPr>
        <w:ind w:firstLine="720"/>
        <w:jc w:val="center"/>
        <w:rPr>
          <w:rFonts w:eastAsia="Times New Roman"/>
        </w:rPr>
      </w:pPr>
      <w:r>
        <w:rPr>
          <w:rFonts w:eastAsia="Times New Roman"/>
          <w:color w:val="000000"/>
          <w:sz w:val="20"/>
          <w:szCs w:val="20"/>
        </w:rPr>
        <w:t> </w:t>
      </w:r>
    </w:p>
    <w:p w:rsidR="00000000" w:rsidRDefault="00755199">
      <w:pPr>
        <w:jc w:val="center"/>
        <w:rPr>
          <w:rFonts w:eastAsia="Times New Roman"/>
        </w:rPr>
      </w:pPr>
      <w:r>
        <w:rPr>
          <w:rFonts w:eastAsia="Times New Roman"/>
          <w:b/>
          <w:bCs/>
          <w:color w:val="000000"/>
          <w:sz w:val="20"/>
          <w:szCs w:val="20"/>
        </w:rPr>
        <w:t xml:space="preserve">10 Earlsfort Terrace </w:t>
      </w:r>
    </w:p>
    <w:p w:rsidR="00000000" w:rsidRDefault="00755199">
      <w:pPr>
        <w:jc w:val="center"/>
        <w:rPr>
          <w:rFonts w:eastAsia="Times New Roman"/>
        </w:rPr>
      </w:pPr>
      <w:r>
        <w:rPr>
          <w:rFonts w:eastAsia="Times New Roman"/>
          <w:b/>
          <w:bCs/>
          <w:color w:val="000000"/>
          <w:sz w:val="20"/>
          <w:szCs w:val="20"/>
        </w:rPr>
        <w:t>Dublin 2 D02 T380</w:t>
      </w:r>
    </w:p>
    <w:p w:rsidR="00000000" w:rsidRDefault="00755199">
      <w:pPr>
        <w:jc w:val="center"/>
        <w:rPr>
          <w:rFonts w:eastAsia="Times New Roman"/>
        </w:rPr>
      </w:pPr>
      <w:r>
        <w:rPr>
          <w:rFonts w:eastAsia="Times New Roman"/>
          <w:b/>
          <w:bCs/>
          <w:color w:val="000000"/>
          <w:sz w:val="20"/>
          <w:szCs w:val="20"/>
        </w:rPr>
        <w:t xml:space="preserve">Ireland </w:t>
      </w:r>
    </w:p>
    <w:p w:rsidR="00000000" w:rsidRDefault="00755199">
      <w:pPr>
        <w:ind w:firstLine="45"/>
        <w:jc w:val="center"/>
        <w:rPr>
          <w:rFonts w:eastAsia="Times New Roman"/>
        </w:rPr>
      </w:pPr>
      <w:r>
        <w:rPr>
          <w:rFonts w:eastAsia="Times New Roman"/>
          <w:color w:val="000000"/>
          <w:sz w:val="20"/>
          <w:szCs w:val="20"/>
        </w:rPr>
        <w:t>(Address of Principal Executive Office and Zip Code)</w:t>
      </w:r>
    </w:p>
    <w:p w:rsidR="00000000" w:rsidRDefault="00755199">
      <w:pPr>
        <w:ind w:firstLine="720"/>
        <w:jc w:val="center"/>
        <w:rPr>
          <w:rFonts w:eastAsia="Times New Roman"/>
        </w:rPr>
      </w:pPr>
      <w:r>
        <w:rPr>
          <w:rFonts w:eastAsia="Times New Roman"/>
          <w:b/>
          <w:bCs/>
          <w:color w:val="000000"/>
          <w:sz w:val="20"/>
          <w:szCs w:val="20"/>
        </w:rPr>
        <w:t> </w:t>
      </w:r>
    </w:p>
    <w:p w:rsidR="00000000" w:rsidRDefault="00755199">
      <w:pPr>
        <w:jc w:val="center"/>
        <w:rPr>
          <w:rFonts w:eastAsia="Times New Roman"/>
        </w:rPr>
      </w:pPr>
      <w:r>
        <w:rPr>
          <w:rFonts w:eastAsia="Times New Roman"/>
          <w:b/>
          <w:bCs/>
          <w:color w:val="000000"/>
          <w:sz w:val="20"/>
          <w:szCs w:val="20"/>
        </w:rPr>
        <w:t xml:space="preserve">+353-1-901-5201 </w:t>
      </w:r>
    </w:p>
    <w:p w:rsidR="00000000" w:rsidRDefault="00755199">
      <w:pPr>
        <w:ind w:firstLine="45"/>
        <w:jc w:val="center"/>
        <w:rPr>
          <w:rFonts w:eastAsia="Times New Roman"/>
        </w:rPr>
      </w:pPr>
      <w:r>
        <w:rPr>
          <w:rFonts w:eastAsia="Times New Roman"/>
          <w:color w:val="000000"/>
          <w:sz w:val="20"/>
          <w:szCs w:val="20"/>
        </w:rPr>
        <w:t>(Registrant’s telephone number, including area code)</w:t>
      </w:r>
    </w:p>
    <w:p w:rsidR="00000000" w:rsidRDefault="00755199">
      <w:pPr>
        <w:ind w:firstLine="720"/>
        <w:divId w:val="1971782566"/>
        <w:rPr>
          <w:rFonts w:eastAsia="Times New Roman"/>
        </w:rPr>
      </w:pPr>
      <w:r>
        <w:rPr>
          <w:rFonts w:eastAsia="Times New Roman"/>
          <w:color w:val="000000"/>
          <w:sz w:val="20"/>
          <w:szCs w:val="20"/>
        </w:rPr>
        <w:t> </w:t>
      </w:r>
    </w:p>
    <w:p w:rsidR="00000000" w:rsidRDefault="00755199">
      <w:pPr>
        <w:jc w:val="center"/>
        <w:rPr>
          <w:rFonts w:eastAsia="Times New Roman"/>
        </w:rPr>
      </w:pPr>
      <w:r>
        <w:rPr>
          <w:rFonts w:eastAsia="Times New Roman"/>
          <w:b/>
          <w:bCs/>
          <w:color w:val="000000"/>
          <w:sz w:val="20"/>
          <w:szCs w:val="20"/>
        </w:rPr>
        <w:t>N/A</w:t>
      </w:r>
    </w:p>
    <w:p w:rsidR="00000000" w:rsidRDefault="00755199">
      <w:pPr>
        <w:jc w:val="center"/>
        <w:rPr>
          <w:rFonts w:eastAsia="Times New Roman"/>
        </w:rPr>
      </w:pPr>
      <w:r>
        <w:rPr>
          <w:rFonts w:eastAsia="Times New Roman"/>
          <w:color w:val="000000"/>
          <w:sz w:val="20"/>
          <w:szCs w:val="20"/>
        </w:rPr>
        <w:t>(Former name, former address and former fiscal year, if changed since last report) </w:t>
      </w:r>
    </w:p>
    <w:p w:rsidR="00000000" w:rsidRDefault="00755199">
      <w:pPr>
        <w:jc w:val="center"/>
        <w:rPr>
          <w:rFonts w:eastAsia="Times New Roman"/>
        </w:rPr>
      </w:pPr>
      <w:r>
        <w:rPr>
          <w:rFonts w:eastAsia="Times New Roman"/>
          <w:color w:val="000000"/>
          <w:sz w:val="20"/>
          <w:szCs w:val="20"/>
        </w:rPr>
        <w:t>———————</w:t>
      </w:r>
    </w:p>
    <w:p w:rsidR="00000000" w:rsidRDefault="00755199">
      <w:pPr>
        <w:jc w:val="both"/>
        <w:rPr>
          <w:rFonts w:eastAsia="Times New Roman"/>
        </w:rPr>
      </w:pPr>
      <w:r>
        <w:rPr>
          <w:rFonts w:eastAsia="Times New Roman"/>
          <w:color w:val="000000"/>
          <w:sz w:val="20"/>
          <w:szCs w:val="20"/>
        </w:rPr>
        <w:t>Securities registered pursuant to</w:t>
      </w:r>
      <w:r>
        <w:rPr>
          <w:rFonts w:eastAsia="Times New Roman"/>
          <w:color w:val="000000"/>
          <w:sz w:val="20"/>
          <w:szCs w:val="20"/>
        </w:rPr>
        <w:t xml:space="preserve"> Section 12(b) of the Act:</w:t>
      </w:r>
    </w:p>
    <w:p w:rsidR="00000000" w:rsidRDefault="00755199">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trPr>
          <w:jc w:val="center"/>
        </w:trPr>
        <w:tc>
          <w:tcPr>
            <w:tcW w:w="50" w:type="pct"/>
            <w:vAlign w:val="center"/>
            <w:hideMark/>
          </w:tcPr>
          <w:p w:rsidR="00000000" w:rsidRDefault="00755199">
            <w:pPr>
              <w:jc w:val="both"/>
              <w:rPr>
                <w:rFonts w:eastAsia="Times New Roman"/>
              </w:rPr>
            </w:pPr>
          </w:p>
        </w:tc>
        <w:tc>
          <w:tcPr>
            <w:tcW w:w="16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16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16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Name of each exchange on which registered</w:t>
            </w: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American Depositary Shares* </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AVDL </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55199">
            <w:pPr>
              <w:spacing w:after="100"/>
              <w:jc w:val="center"/>
              <w:rPr>
                <w:rFonts w:eastAsia="Times New Roman"/>
              </w:rPr>
            </w:pPr>
            <w:r>
              <w:rPr>
                <w:rFonts w:eastAsia="Times New Roman"/>
                <w:color w:val="000000"/>
                <w:sz w:val="20"/>
                <w:szCs w:val="20"/>
              </w:rPr>
              <w:t>The Nasdaq Global Market</w:t>
            </w:r>
          </w:p>
        </w:tc>
      </w:tr>
      <w:tr w:rsidR="00000000">
        <w:trPr>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755199">
            <w:pPr>
              <w:spacing w:after="100"/>
              <w:jc w:val="center"/>
              <w:divId w:val="1838036919"/>
              <w:rPr>
                <w:rFonts w:eastAsia="Times New Roman"/>
              </w:rPr>
            </w:pPr>
            <w:r>
              <w:rPr>
                <w:rFonts w:eastAsia="Times New Roman"/>
                <w:color w:val="000000"/>
                <w:sz w:val="20"/>
                <w:szCs w:val="20"/>
              </w:rPr>
              <w:t>Ordinary Shares, nominal value $0.01 per share**</w:t>
            </w:r>
          </w:p>
        </w:tc>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755199">
            <w:pPr>
              <w:spacing w:after="100"/>
              <w:jc w:val="center"/>
              <w:divId w:val="50009383"/>
              <w:rPr>
                <w:rFonts w:eastAsia="Times New Roman"/>
              </w:rPr>
            </w:pPr>
            <w:r>
              <w:rPr>
                <w:rFonts w:eastAsia="Times New Roman"/>
                <w:color w:val="000000"/>
                <w:sz w:val="20"/>
                <w:szCs w:val="20"/>
              </w:rPr>
              <w:t>N/A</w:t>
            </w:r>
          </w:p>
        </w:tc>
        <w:tc>
          <w:tcPr>
            <w:tcW w:w="0" w:type="auto"/>
            <w:gridSpan w:val="3"/>
            <w:tcBorders>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r>
    </w:tbl>
    <w:p w:rsidR="00000000" w:rsidRDefault="00755199">
      <w:pPr>
        <w:divId w:val="1938519954"/>
        <w:rPr>
          <w:rFonts w:eastAsia="Times New Roman"/>
        </w:rPr>
      </w:pPr>
      <w:r>
        <w:rPr>
          <w:rFonts w:eastAsia="Times New Roman"/>
          <w:color w:val="000000"/>
          <w:sz w:val="20"/>
          <w:szCs w:val="20"/>
        </w:rPr>
        <w:t>*American Depositary Shares may be evidenced by American Depositary Receipts. Each American Depositary Share represents one (1) Ordinary Share.</w:t>
      </w:r>
    </w:p>
    <w:p w:rsidR="00000000" w:rsidRDefault="00755199">
      <w:pPr>
        <w:divId w:val="1105272369"/>
        <w:rPr>
          <w:rFonts w:eastAsia="Times New Roman"/>
        </w:rPr>
      </w:pPr>
      <w:r>
        <w:rPr>
          <w:rFonts w:eastAsia="Times New Roman"/>
          <w:color w:val="000000"/>
          <w:sz w:val="20"/>
          <w:szCs w:val="20"/>
        </w:rPr>
        <w:lastRenderedPageBreak/>
        <w:t> </w:t>
      </w:r>
    </w:p>
    <w:p w:rsidR="00000000" w:rsidRDefault="00755199">
      <w:pPr>
        <w:divId w:val="1378966548"/>
        <w:rPr>
          <w:rFonts w:eastAsia="Times New Roman"/>
        </w:rPr>
      </w:pPr>
      <w:r>
        <w:rPr>
          <w:rFonts w:eastAsia="Times New Roman"/>
          <w:color w:val="000000"/>
          <w:sz w:val="20"/>
          <w:szCs w:val="20"/>
        </w:rPr>
        <w:t>** Not for trading, but only in connection with the listing of American Depositary Shares on The Nasdaq Global</w:t>
      </w:r>
      <w:r>
        <w:rPr>
          <w:rFonts w:eastAsia="Times New Roman"/>
          <w:color w:val="000000"/>
          <w:sz w:val="20"/>
          <w:szCs w:val="20"/>
        </w:rPr>
        <w:t xml:space="preserve"> Market.</w:t>
      </w:r>
    </w:p>
    <w:p w:rsidR="00000000" w:rsidRDefault="00755199">
      <w:pPr>
        <w:jc w:val="both"/>
        <w:rPr>
          <w:rFonts w:eastAsia="Times New Roman"/>
        </w:rPr>
      </w:pPr>
    </w:p>
    <w:p w:rsidR="00000000" w:rsidRDefault="00755199">
      <w:pPr>
        <w:divId w:val="527449793"/>
        <w:rPr>
          <w:rFonts w:eastAsia="Times New Roman"/>
        </w:rPr>
      </w:pPr>
    </w:p>
    <w:p w:rsidR="00000000" w:rsidRDefault="00755199">
      <w:pPr>
        <w:rPr>
          <w:rFonts w:eastAsia="Times New Roman"/>
        </w:rPr>
      </w:pPr>
      <w:r>
        <w:rPr>
          <w:rFonts w:eastAsia="Times New Roman"/>
        </w:rPr>
        <w:pict>
          <v:rect id="_x0000_i1025" style="width:0;height:1.5pt" o:hralign="center" o:hrstd="t" o:hr="t" fillcolor="#a0a0a0" stroked="f"/>
        </w:pict>
      </w:r>
    </w:p>
    <w:p w:rsidR="00000000" w:rsidRDefault="00755199">
      <w:pPr>
        <w:divId w:val="1864856622"/>
        <w:rPr>
          <w:rFonts w:eastAsia="Times New Roman"/>
        </w:rPr>
      </w:pPr>
    </w:p>
    <w:p w:rsidR="00000000" w:rsidRDefault="00755199">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w:t>
      </w:r>
      <w:r>
        <w:rPr>
          <w:rFonts w:eastAsia="Times New Roman"/>
          <w:color w:val="000000"/>
          <w:sz w:val="20"/>
          <w:szCs w:val="20"/>
        </w:rPr>
        <w:t xml:space="preserve">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755199">
      <w:pPr>
        <w:ind w:firstLine="720"/>
        <w:divId w:val="843126295"/>
        <w:rPr>
          <w:rFonts w:eastAsia="Times New Roman"/>
        </w:rPr>
      </w:pPr>
      <w:r>
        <w:rPr>
          <w:rFonts w:eastAsia="Times New Roman"/>
          <w:color w:val="000000"/>
          <w:sz w:val="20"/>
          <w:szCs w:val="20"/>
        </w:rPr>
        <w:t> </w:t>
      </w:r>
    </w:p>
    <w:p w:rsidR="00000000" w:rsidRDefault="00755199">
      <w:pPr>
        <w:jc w:val="both"/>
        <w:rPr>
          <w:rFonts w:eastAsia="Times New Roman"/>
        </w:rPr>
      </w:pPr>
      <w:r>
        <w:rPr>
          <w:rFonts w:eastAsia="Times New Roman"/>
          <w:color w:val="000000"/>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eastAsia="Times New Roman"/>
          <w:color w:val="000000"/>
          <w:sz w:val="20"/>
          <w:szCs w:val="20"/>
        </w:rPr>
        <w:t xml:space="preserve">or for such shorter period that the registrant was required to submit and post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755199">
      <w:pPr>
        <w:ind w:firstLine="720"/>
        <w:divId w:val="2002155582"/>
        <w:rPr>
          <w:rFonts w:eastAsia="Times New Roman"/>
        </w:rPr>
      </w:pPr>
      <w:r>
        <w:rPr>
          <w:rFonts w:eastAsia="Times New Roman"/>
          <w:color w:val="000000"/>
          <w:sz w:val="20"/>
          <w:szCs w:val="20"/>
        </w:rPr>
        <w:t> </w:t>
      </w:r>
    </w:p>
    <w:p w:rsidR="00000000" w:rsidRDefault="00755199">
      <w:pPr>
        <w:jc w:val="both"/>
        <w:divId w:val="4135050"/>
        <w:rPr>
          <w:rFonts w:eastAsia="Times New Roman"/>
        </w:rPr>
      </w:pPr>
      <w:r>
        <w:rPr>
          <w:rFonts w:eastAsia="Times New Roman"/>
          <w:color w:val="000000"/>
          <w:sz w:val="20"/>
          <w:szCs w:val="20"/>
        </w:rPr>
        <w:t>Indicate by check mark whether the registrant is a large accelerated filer, an accelerated filer, a non-accelerated filer, smaller reporting company, or an emerging growth company. See the definitions of “large accelerated filer,” “accelerated filer,” “sma</w:t>
      </w:r>
      <w:r>
        <w:rPr>
          <w:rFonts w:eastAsia="Times New Roman"/>
          <w:color w:val="000000"/>
          <w:sz w:val="20"/>
          <w:szCs w:val="20"/>
        </w:rPr>
        <w:t xml:space="preserve">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3199"/>
        <w:gridCol w:w="36"/>
        <w:gridCol w:w="69"/>
        <w:gridCol w:w="731"/>
        <w:gridCol w:w="36"/>
        <w:gridCol w:w="69"/>
        <w:gridCol w:w="3199"/>
        <w:gridCol w:w="36"/>
        <w:gridCol w:w="69"/>
        <w:gridCol w:w="732"/>
        <w:gridCol w:w="36"/>
      </w:tblGrid>
      <w:tr w:rsidR="00000000">
        <w:trPr>
          <w:divId w:val="1101342515"/>
        </w:trPr>
        <w:tc>
          <w:tcPr>
            <w:tcW w:w="50" w:type="pct"/>
            <w:vAlign w:val="center"/>
            <w:hideMark/>
          </w:tcPr>
          <w:p w:rsidR="00000000" w:rsidRDefault="00755199">
            <w:pPr>
              <w:jc w:val="both"/>
              <w:rPr>
                <w:rFonts w:eastAsia="Times New Roman"/>
              </w:rPr>
            </w:pPr>
          </w:p>
        </w:tc>
        <w:tc>
          <w:tcPr>
            <w:tcW w:w="193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5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193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5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1101342515"/>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xml:space="preserve">Large accelerated filer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xml:space="preserve">Accelerated filer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ascii="Wingdings" w:eastAsia="Times New Roman" w:hAnsi="Wingdings"/>
                <w:color w:val="000000"/>
                <w:sz w:val="20"/>
                <w:szCs w:val="20"/>
              </w:rPr>
              <w:t>¨</w:t>
            </w:r>
          </w:p>
        </w:tc>
      </w:tr>
      <w:tr w:rsidR="00000000">
        <w:trPr>
          <w:divId w:val="1101342515"/>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ascii="Wingdings" w:eastAsia="Times New Roman" w:hAnsi="Wingdings"/>
                <w:color w:val="000000"/>
                <w:sz w:val="20"/>
                <w:szCs w:val="20"/>
              </w:rPr>
              <w:t>þ</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ascii="Wingdings" w:eastAsia="Times New Roman" w:hAnsi="Wingdings"/>
                <w:color w:val="000000"/>
                <w:sz w:val="20"/>
                <w:szCs w:val="20"/>
              </w:rPr>
              <w:t>þ</w:t>
            </w:r>
          </w:p>
        </w:tc>
      </w:tr>
      <w:tr w:rsidR="00000000">
        <w:trPr>
          <w:divId w:val="1101342515"/>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ascii="Wingdings" w:eastAsia="Times New Roman" w:hAnsi="Wingdings"/>
                <w:color w:val="000000"/>
                <w:sz w:val="20"/>
                <w:szCs w:val="20"/>
              </w:rPr>
              <w:t>¨</w:t>
            </w:r>
          </w:p>
        </w:tc>
      </w:tr>
    </w:tbl>
    <w:p w:rsidR="00000000" w:rsidRDefault="00755199">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755199">
      <w:pPr>
        <w:ind w:firstLine="720"/>
        <w:jc w:val="both"/>
        <w:rPr>
          <w:rFonts w:eastAsia="Times New Roman"/>
        </w:rPr>
      </w:pPr>
      <w:r>
        <w:rPr>
          <w:rFonts w:eastAsia="Times New Roman"/>
          <w:color w:val="000000"/>
          <w:sz w:val="20"/>
          <w:szCs w:val="20"/>
        </w:rPr>
        <w:t> </w:t>
      </w:r>
    </w:p>
    <w:p w:rsidR="00000000" w:rsidRDefault="00755199">
      <w:pPr>
        <w:jc w:val="both"/>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rsidR="00000000" w:rsidRDefault="00755199">
      <w:pPr>
        <w:ind w:firstLine="720"/>
        <w:jc w:val="both"/>
        <w:rPr>
          <w:rFonts w:eastAsia="Times New Roman"/>
        </w:rPr>
      </w:pPr>
      <w:r>
        <w:rPr>
          <w:rFonts w:eastAsia="Times New Roman"/>
          <w:color w:val="000000"/>
          <w:sz w:val="20"/>
          <w:szCs w:val="20"/>
        </w:rPr>
        <w:t> </w:t>
      </w:r>
    </w:p>
    <w:p w:rsidR="00000000" w:rsidRDefault="00755199">
      <w:pPr>
        <w:jc w:val="both"/>
        <w:rPr>
          <w:rFonts w:eastAsia="Times New Roman"/>
        </w:rPr>
      </w:pPr>
      <w:r>
        <w:rPr>
          <w:rFonts w:eastAsia="Times New Roman"/>
          <w:color w:val="000000"/>
          <w:sz w:val="20"/>
          <w:szCs w:val="20"/>
        </w:rPr>
        <w:t>At November 7, 2022, 61,778,732 ordinary shares, nominal value $0.01 each, of the Company were outstanding.</w:t>
      </w:r>
    </w:p>
    <w:p w:rsidR="00000000" w:rsidRDefault="00755199">
      <w:pPr>
        <w:jc w:val="center"/>
        <w:rPr>
          <w:rFonts w:eastAsia="Times New Roman"/>
        </w:rPr>
      </w:pPr>
    </w:p>
    <w:p w:rsidR="00000000" w:rsidRDefault="00755199">
      <w:pPr>
        <w:jc w:val="center"/>
        <w:rPr>
          <w:rFonts w:eastAsia="Times New Roman"/>
        </w:rPr>
      </w:pPr>
    </w:p>
    <w:p w:rsidR="00000000" w:rsidRDefault="00755199">
      <w:pPr>
        <w:divId w:val="1547525107"/>
        <w:rPr>
          <w:rFonts w:eastAsia="Times New Roman"/>
        </w:rPr>
      </w:pPr>
    </w:p>
    <w:p w:rsidR="00000000" w:rsidRDefault="00755199">
      <w:pPr>
        <w:rPr>
          <w:rFonts w:eastAsia="Times New Roman"/>
        </w:rPr>
      </w:pPr>
      <w:r>
        <w:rPr>
          <w:rFonts w:eastAsia="Times New Roman"/>
        </w:rPr>
        <w:pict>
          <v:rect id="_x0000_i1026" style="width:0;height:1.5pt" o:hralign="center" o:hrstd="t" o:hr="t" fillcolor="#a0a0a0" stroked="f"/>
        </w:pict>
      </w:r>
    </w:p>
    <w:p w:rsidR="00000000" w:rsidRDefault="00755199">
      <w:pPr>
        <w:divId w:val="1410496729"/>
        <w:rPr>
          <w:rFonts w:eastAsia="Times New Roman"/>
        </w:rPr>
      </w:pPr>
    </w:p>
    <w:p w:rsidR="00000000" w:rsidRDefault="00755199">
      <w:pPr>
        <w:jc w:val="center"/>
        <w:divId w:val="186994158"/>
        <w:rPr>
          <w:rFonts w:eastAsia="Times New Roman"/>
        </w:rPr>
      </w:pPr>
      <w:r>
        <w:rPr>
          <w:rFonts w:eastAsia="Times New Roman"/>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572"/>
        <w:gridCol w:w="39"/>
        <w:gridCol w:w="68"/>
        <w:gridCol w:w="6939"/>
        <w:gridCol w:w="37"/>
        <w:gridCol w:w="69"/>
        <w:gridCol w:w="465"/>
        <w:gridCol w:w="36"/>
      </w:tblGrid>
      <w:tr w:rsidR="00000000">
        <w:trPr>
          <w:divId w:val="2017920697"/>
        </w:trPr>
        <w:tc>
          <w:tcPr>
            <w:tcW w:w="50" w:type="pct"/>
            <w:vAlign w:val="center"/>
            <w:hideMark/>
          </w:tcPr>
          <w:p w:rsidR="00000000" w:rsidRDefault="00755199">
            <w:pPr>
              <w:jc w:val="center"/>
              <w:rPr>
                <w:rFonts w:eastAsia="Times New Roman"/>
              </w:rPr>
            </w:pPr>
          </w:p>
        </w:tc>
        <w:tc>
          <w:tcPr>
            <w:tcW w:w="354"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9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28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2017920697"/>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20"/>
                <w:szCs w:val="20"/>
              </w:rPr>
              <w:t>Page #</w:t>
            </w:r>
          </w:p>
        </w:tc>
      </w:tr>
      <w:tr w:rsidR="00000000">
        <w:trPr>
          <w:divId w:val="2017920697"/>
        </w:trPr>
        <w:tc>
          <w:tcPr>
            <w:tcW w:w="0" w:type="auto"/>
            <w:gridSpan w:val="6"/>
            <w:shd w:val="clear" w:color="auto" w:fill="CCEEFF"/>
            <w:tcMar>
              <w:top w:w="30" w:type="dxa"/>
              <w:left w:w="20" w:type="dxa"/>
              <w:bottom w:w="30" w:type="dxa"/>
              <w:right w:w="20" w:type="dxa"/>
            </w:tcMar>
            <w:vAlign w:val="bottom"/>
            <w:hideMark/>
          </w:tcPr>
          <w:p w:rsidR="00000000" w:rsidRDefault="00755199">
            <w:pPr>
              <w:spacing w:after="100"/>
              <w:divId w:val="1348630922"/>
              <w:rPr>
                <w:rFonts w:eastAsia="Times New Roman"/>
              </w:rPr>
            </w:pPr>
            <w:hyperlink w:anchor="ib6974235a8bb456c8a9779e6f98b5b6d_10" w:history="1">
              <w:r>
                <w:rPr>
                  <w:rStyle w:val="a3"/>
                  <w:rFonts w:eastAsia="Times New Roman"/>
                  <w:b/>
                  <w:bCs/>
                  <w:sz w:val="20"/>
                  <w:szCs w:val="20"/>
                </w:rPr>
                <w:t>Cautionary Note Regarding Forward 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0" w:history="1">
              <w:r>
                <w:rPr>
                  <w:rStyle w:val="a3"/>
                  <w:rFonts w:eastAsia="Times New Roman"/>
                  <w:sz w:val="20"/>
                  <w:szCs w:val="20"/>
                </w:rPr>
                <w:t>3</w:t>
              </w:r>
            </w:hyperlink>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color w:val="000000"/>
                <w:sz w:val="20"/>
                <w:szCs w:val="20"/>
              </w:rPr>
              <w:t> </w:t>
            </w:r>
          </w:p>
        </w:tc>
      </w:tr>
      <w:tr w:rsidR="00000000">
        <w:trPr>
          <w:divId w:val="2017920697"/>
        </w:trPr>
        <w:tc>
          <w:tcPr>
            <w:tcW w:w="0" w:type="auto"/>
            <w:gridSpan w:val="6"/>
            <w:shd w:val="clear" w:color="auto" w:fill="CCEEFF"/>
            <w:tcMar>
              <w:top w:w="30" w:type="dxa"/>
              <w:left w:w="20" w:type="dxa"/>
              <w:bottom w:w="30" w:type="dxa"/>
              <w:right w:w="20" w:type="dxa"/>
            </w:tcMar>
            <w:vAlign w:val="bottom"/>
            <w:hideMark/>
          </w:tcPr>
          <w:p w:rsidR="00000000" w:rsidRDefault="00755199">
            <w:pPr>
              <w:spacing w:after="100"/>
              <w:divId w:val="1635057774"/>
              <w:rPr>
                <w:rFonts w:eastAsia="Times New Roman"/>
              </w:rPr>
            </w:pPr>
            <w:hyperlink w:anchor="ib6974235a8bb456c8a9779e6f98b5b6d_13" w:history="1">
              <w:r>
                <w:rPr>
                  <w:rStyle w:val="a3"/>
                  <w:rFonts w:eastAsia="Times New Roman"/>
                  <w:b/>
                  <w:bCs/>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color w:val="000000"/>
                <w:sz w:val="20"/>
                <w:szCs w:val="20"/>
              </w:rPr>
              <w:t> </w:t>
            </w:r>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2093355801"/>
              <w:rPr>
                <w:rFonts w:eastAsia="Times New Roman"/>
              </w:rPr>
            </w:pPr>
            <w:hyperlink w:anchor="ib6974235a8bb456c8a9779e6f98b5b6d_16"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6" w:history="1">
              <w:r>
                <w:rPr>
                  <w:rStyle w:val="a3"/>
                  <w:rFonts w:eastAsia="Times New Roman"/>
                  <w:sz w:val="20"/>
                  <w:szCs w:val="20"/>
                </w:rPr>
                <w:t>4</w:t>
              </w:r>
            </w:hyperlink>
          </w:p>
        </w:tc>
      </w:tr>
      <w:tr w:rsidR="00000000">
        <w:trPr>
          <w:divId w:val="2017920697"/>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2.</w:t>
            </w: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005016148"/>
              <w:rPr>
                <w:rFonts w:eastAsia="Times New Roman"/>
              </w:rPr>
            </w:pPr>
            <w:hyperlink w:anchor="ib6974235a8bb456c8a9779e6f98b5b6d_82" w:history="1">
              <w:r>
                <w:rPr>
                  <w:rStyle w:val="a3"/>
                  <w:rFonts w:eastAsia="Times New Roman"/>
                  <w:sz w:val="20"/>
                  <w:szCs w:val="20"/>
                </w:rPr>
                <w:t>Management’s Discussion and Analysis of F</w:t>
              </w:r>
              <w:r>
                <w:rPr>
                  <w:rStyle w:val="a3"/>
                  <w:rFonts w:eastAsia="Times New Roman"/>
                  <w:sz w:val="20"/>
                  <w:szCs w:val="20"/>
                </w:rPr>
                <w:t>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82" w:history="1">
              <w:r>
                <w:rPr>
                  <w:rStyle w:val="a3"/>
                  <w:rFonts w:eastAsia="Times New Roman"/>
                  <w:sz w:val="20"/>
                  <w:szCs w:val="20"/>
                </w:rPr>
                <w:t>23</w:t>
              </w:r>
            </w:hyperlink>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3.</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721565960"/>
              <w:rPr>
                <w:rFonts w:eastAsia="Times New Roman"/>
              </w:rPr>
            </w:pPr>
            <w:hyperlink w:anchor="ib6974235a8bb456c8a9779e6f98b5b6d_103"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03" w:history="1">
              <w:r>
                <w:rPr>
                  <w:rStyle w:val="a3"/>
                  <w:rFonts w:eastAsia="Times New Roman"/>
                  <w:sz w:val="20"/>
                  <w:szCs w:val="20"/>
                </w:rPr>
                <w:t>32</w:t>
              </w:r>
            </w:hyperlink>
          </w:p>
        </w:tc>
      </w:tr>
      <w:tr w:rsidR="00000000">
        <w:trPr>
          <w:divId w:val="2017920697"/>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lastRenderedPageBreak/>
              <w:t>Item 4.</w:t>
            </w: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854219486"/>
              <w:rPr>
                <w:rFonts w:eastAsia="Times New Roman"/>
              </w:rPr>
            </w:pPr>
            <w:hyperlink w:anchor="ib6974235a8bb456c8a9779e6f98b5b6d_106"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06" w:history="1">
              <w:r>
                <w:rPr>
                  <w:rStyle w:val="a3"/>
                  <w:rFonts w:eastAsia="Times New Roman"/>
                  <w:sz w:val="20"/>
                  <w:szCs w:val="20"/>
                </w:rPr>
                <w:t>33</w:t>
              </w:r>
            </w:hyperlink>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color w:val="000000"/>
                <w:sz w:val="20"/>
                <w:szCs w:val="20"/>
              </w:rPr>
              <w:t> </w:t>
            </w:r>
          </w:p>
        </w:tc>
      </w:tr>
      <w:tr w:rsidR="00000000">
        <w:trPr>
          <w:divId w:val="2017920697"/>
        </w:trPr>
        <w:tc>
          <w:tcPr>
            <w:tcW w:w="0" w:type="auto"/>
            <w:gridSpan w:val="6"/>
            <w:shd w:val="clear" w:color="auto" w:fill="CCEEFF"/>
            <w:tcMar>
              <w:top w:w="30" w:type="dxa"/>
              <w:left w:w="20" w:type="dxa"/>
              <w:bottom w:w="30" w:type="dxa"/>
              <w:right w:w="20" w:type="dxa"/>
            </w:tcMar>
            <w:vAlign w:val="bottom"/>
            <w:hideMark/>
          </w:tcPr>
          <w:p w:rsidR="00000000" w:rsidRDefault="00755199">
            <w:pPr>
              <w:spacing w:after="100"/>
              <w:divId w:val="1833717786"/>
              <w:rPr>
                <w:rFonts w:eastAsia="Times New Roman"/>
              </w:rPr>
            </w:pPr>
            <w:hyperlink w:anchor="ib6974235a8bb456c8a9779e6f98b5b6d_109" w:history="1">
              <w:r>
                <w:rPr>
                  <w:rStyle w:val="a3"/>
                  <w:rFonts w:eastAsia="Times New Roman"/>
                  <w:b/>
                  <w:bCs/>
                  <w:sz w:val="20"/>
                  <w:szCs w:val="20"/>
                </w:rPr>
                <w:t>PART II -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color w:val="000000"/>
                <w:sz w:val="20"/>
                <w:szCs w:val="20"/>
              </w:rPr>
              <w:t> </w:t>
            </w:r>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263804245"/>
              <w:rPr>
                <w:rFonts w:eastAsia="Times New Roman"/>
              </w:rPr>
            </w:pPr>
            <w:hyperlink w:anchor="ib6974235a8bb456c8a9779e6f98b5b6d_112"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12" w:history="1">
              <w:r>
                <w:rPr>
                  <w:rStyle w:val="a3"/>
                  <w:rFonts w:eastAsia="Times New Roman"/>
                  <w:sz w:val="20"/>
                  <w:szCs w:val="20"/>
                </w:rPr>
                <w:t>34</w:t>
              </w:r>
            </w:hyperlink>
          </w:p>
        </w:tc>
      </w:tr>
      <w:tr w:rsidR="00000000">
        <w:trPr>
          <w:divId w:val="2017920697"/>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1A.</w:t>
            </w: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101023395"/>
              <w:rPr>
                <w:rFonts w:eastAsia="Times New Roman"/>
              </w:rPr>
            </w:pPr>
            <w:hyperlink w:anchor="ib6974235a8bb456c8a9779e6f98b5b6d_115"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15" w:history="1">
              <w:r>
                <w:rPr>
                  <w:rStyle w:val="a3"/>
                  <w:rFonts w:eastAsia="Times New Roman"/>
                  <w:sz w:val="20"/>
                  <w:szCs w:val="20"/>
                </w:rPr>
                <w:t>34</w:t>
              </w:r>
            </w:hyperlink>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672562618"/>
              <w:rPr>
                <w:rFonts w:eastAsia="Times New Roman"/>
              </w:rPr>
            </w:pPr>
            <w:hyperlink w:anchor="ib6974235a8bb456c8a9779e6f98b5b6d_118" w:history="1">
              <w:r>
                <w:rPr>
                  <w:rStyle w:val="a3"/>
                  <w:rFonts w:eastAsia="Times New Roman"/>
                  <w:sz w:val="20"/>
                  <w:szCs w:val="20"/>
                </w:rPr>
                <w:t>Unregistered Sales of Equity Securities and U</w:t>
              </w:r>
              <w:r>
                <w:rPr>
                  <w:rStyle w:val="a3"/>
                  <w:rFonts w:eastAsia="Times New Roman"/>
                  <w:sz w:val="20"/>
                  <w:szCs w:val="20"/>
                </w:rPr>
                <w:t>se of Proceeds</w:t>
              </w:r>
            </w:hyperlink>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18" w:history="1">
              <w:r>
                <w:rPr>
                  <w:rStyle w:val="a3"/>
                  <w:rFonts w:eastAsia="Times New Roman"/>
                  <w:sz w:val="20"/>
                  <w:szCs w:val="20"/>
                </w:rPr>
                <w:t>39</w:t>
              </w:r>
            </w:hyperlink>
          </w:p>
        </w:tc>
      </w:tr>
      <w:tr w:rsidR="00000000">
        <w:trPr>
          <w:divId w:val="2017920697"/>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791313186"/>
              <w:rPr>
                <w:rFonts w:eastAsia="Times New Roman"/>
              </w:rPr>
            </w:pPr>
            <w:hyperlink w:anchor="ib6974235a8bb456c8a9779e6f98b5b6d_121"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21" w:history="1">
              <w:r>
                <w:rPr>
                  <w:rStyle w:val="a3"/>
                  <w:rFonts w:eastAsia="Times New Roman"/>
                  <w:sz w:val="20"/>
                  <w:szCs w:val="20"/>
                </w:rPr>
                <w:t>39</w:t>
              </w:r>
            </w:hyperlink>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1301233077"/>
              <w:rPr>
                <w:rFonts w:eastAsia="Times New Roman"/>
              </w:rPr>
            </w:pPr>
            <w:hyperlink w:anchor="ib6974235a8bb456c8a9779e6f98b5b6d_124"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24" w:history="1">
              <w:r>
                <w:rPr>
                  <w:rStyle w:val="a3"/>
                  <w:rFonts w:eastAsia="Times New Roman"/>
                  <w:sz w:val="20"/>
                  <w:szCs w:val="20"/>
                </w:rPr>
                <w:t>39</w:t>
              </w:r>
            </w:hyperlink>
          </w:p>
        </w:tc>
      </w:tr>
      <w:tr w:rsidR="00000000">
        <w:trPr>
          <w:divId w:val="2017920697"/>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638102296"/>
              <w:rPr>
                <w:rFonts w:eastAsia="Times New Roman"/>
              </w:rPr>
            </w:pPr>
            <w:hyperlink w:anchor="ib6974235a8bb456c8a9779e6f98b5b6d_127"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27" w:history="1">
              <w:r>
                <w:rPr>
                  <w:rStyle w:val="a3"/>
                  <w:rFonts w:eastAsia="Times New Roman"/>
                  <w:sz w:val="20"/>
                  <w:szCs w:val="20"/>
                </w:rPr>
                <w:t>39</w:t>
              </w:r>
            </w:hyperlink>
          </w:p>
        </w:tc>
      </w:tr>
      <w:tr w:rsidR="00000000">
        <w:trPr>
          <w:divId w:val="2017920697"/>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1457021545"/>
              <w:rPr>
                <w:rFonts w:eastAsia="Times New Roman"/>
              </w:rPr>
            </w:pPr>
            <w:hyperlink w:anchor="ib6974235a8bb456c8a9779e6f98b5b6d_130"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center"/>
              <w:rPr>
                <w:rFonts w:eastAsia="Times New Roman"/>
              </w:rPr>
            </w:pPr>
            <w:hyperlink w:anchor="ib6974235a8bb456c8a9779e6f98b5b6d_130" w:history="1">
              <w:r>
                <w:rPr>
                  <w:rStyle w:val="a3"/>
                  <w:rFonts w:eastAsia="Times New Roman"/>
                  <w:sz w:val="20"/>
                  <w:szCs w:val="20"/>
                </w:rPr>
                <w:t>40</w:t>
              </w:r>
            </w:hyperlink>
          </w:p>
        </w:tc>
      </w:tr>
    </w:tbl>
    <w:p w:rsidR="00000000" w:rsidRDefault="00755199">
      <w:pPr>
        <w:ind w:firstLine="720"/>
        <w:divId w:val="1827012724"/>
        <w:rPr>
          <w:rFonts w:eastAsia="Times New Roman"/>
        </w:rPr>
      </w:pPr>
      <w:r>
        <w:rPr>
          <w:rFonts w:eastAsia="Times New Roman"/>
          <w:color w:val="000000"/>
          <w:sz w:val="20"/>
          <w:szCs w:val="20"/>
        </w:rPr>
        <w:t> </w:t>
      </w:r>
    </w:p>
    <w:p w:rsidR="00000000" w:rsidRDefault="00755199">
      <w:pPr>
        <w:jc w:val="center"/>
        <w:rPr>
          <w:rFonts w:eastAsia="Times New Roman"/>
        </w:rPr>
      </w:pPr>
      <w:r>
        <w:rPr>
          <w:rFonts w:eastAsia="Times New Roman"/>
          <w:color w:val="000000"/>
          <w:sz w:val="20"/>
          <w:szCs w:val="20"/>
        </w:rPr>
        <w:t>NOTE REGARDING TRADEMARKS</w:t>
      </w:r>
    </w:p>
    <w:p w:rsidR="00000000" w:rsidRDefault="00755199">
      <w:pPr>
        <w:divId w:val="2011835409"/>
        <w:rPr>
          <w:rFonts w:eastAsia="Times New Roman"/>
        </w:rPr>
      </w:pPr>
    </w:p>
    <w:p w:rsidR="00000000" w:rsidRDefault="00755199">
      <w:pPr>
        <w:jc w:val="both"/>
        <w:rPr>
          <w:rFonts w:eastAsia="Times New Roman"/>
        </w:rPr>
      </w:pPr>
      <w:r>
        <w:rPr>
          <w:rFonts w:eastAsia="Times New Roman"/>
          <w:color w:val="000000"/>
          <w:sz w:val="20"/>
          <w:szCs w:val="20"/>
        </w:rPr>
        <w:t>We own various trademark registrations and applications, and unregistered trademarks, including AVADE</w:t>
      </w:r>
      <w:r>
        <w:rPr>
          <w:rFonts w:eastAsia="Times New Roman"/>
          <w:color w:val="000000"/>
          <w:sz w:val="20"/>
          <w:szCs w:val="20"/>
        </w:rPr>
        <w:t>L</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LUMRY</w:t>
      </w:r>
      <w:r>
        <w:rPr>
          <w:rFonts w:eastAsia="Times New Roman"/>
          <w:color w:val="000000"/>
          <w:sz w:val="20"/>
          <w:szCs w:val="20"/>
        </w:rPr>
        <w:t>Z</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and MICROPUM</w:t>
      </w:r>
      <w:r>
        <w:rPr>
          <w:rFonts w:eastAsia="Times New Roman"/>
          <w:color w:val="000000"/>
          <w:sz w:val="20"/>
          <w:szCs w:val="20"/>
        </w:rPr>
        <w:t>P</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All other trade names, trademarks and service marks of other companies appearing in this Quarterly Report are the property </w:t>
      </w:r>
      <w:r>
        <w:rPr>
          <w:rFonts w:eastAsia="Times New Roman"/>
          <w:color w:val="000000"/>
          <w:sz w:val="20"/>
          <w:szCs w:val="20"/>
        </w:rPr>
        <w:t xml:space="preserve">of their respective holders. Solely for convenience, the trademarks and trade names in this Quarterly Report may be referred to without the ® and ™ symbols, but such references should not be construed as any indicator that their respective owners will not </w:t>
      </w:r>
      <w:r>
        <w:rPr>
          <w:rFonts w:eastAsia="Times New Roman"/>
          <w:color w:val="000000"/>
          <w:sz w:val="20"/>
          <w:szCs w:val="20"/>
        </w:rPr>
        <w:t>assert, to the fullest extent under applicable law, their rights thereto. We do not intend to use or display other companies’ trademarks and trade names to imply a relationship with, or endorsement or sponsorship of us by, any other companies.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From time </w:t>
      </w:r>
      <w:r>
        <w:rPr>
          <w:rFonts w:eastAsia="Times New Roman"/>
          <w:color w:val="000000"/>
          <w:sz w:val="20"/>
          <w:szCs w:val="20"/>
        </w:rPr>
        <w:t>to time, we may use our website, LinkedIn or our Twitter account (@AvadelPharma) to distribute material information. Our financial and other material information is routinely posted to and accessible on the Investors section of our website, available at ww</w:t>
      </w:r>
      <w:r>
        <w:rPr>
          <w:rFonts w:eastAsia="Times New Roman"/>
          <w:color w:val="000000"/>
          <w:sz w:val="20"/>
          <w:szCs w:val="20"/>
        </w:rPr>
        <w:t xml:space="preserve">w.avadel.com. Investors are encouraged to review the Investors section of our website because we may post material information on that site that is not otherwise disseminated by us. Information that is contained in and can be accessed through our website, </w:t>
      </w:r>
      <w:r>
        <w:rPr>
          <w:rFonts w:eastAsia="Times New Roman"/>
          <w:color w:val="000000"/>
          <w:sz w:val="20"/>
          <w:szCs w:val="20"/>
        </w:rPr>
        <w:t>our LinkedIn posts or our Twitter posts are not incorporated into, and does not form a part of, this Quarterly Report.</w:t>
      </w:r>
    </w:p>
    <w:p w:rsidR="00000000" w:rsidRDefault="00755199">
      <w:pPr>
        <w:jc w:val="both"/>
        <w:rPr>
          <w:rFonts w:eastAsia="Times New Roman"/>
        </w:rPr>
      </w:pPr>
    </w:p>
    <w:p w:rsidR="00000000" w:rsidRDefault="00755199">
      <w:pPr>
        <w:jc w:val="center"/>
        <w:divId w:val="480195488"/>
        <w:rPr>
          <w:rFonts w:eastAsia="Times New Roman"/>
        </w:rPr>
      </w:pPr>
      <w:r>
        <w:rPr>
          <w:rFonts w:eastAsia="Times New Roman"/>
          <w:color w:val="000000"/>
          <w:sz w:val="20"/>
          <w:szCs w:val="20"/>
        </w:rPr>
        <w:t>- 2 -</w:t>
      </w:r>
    </w:p>
    <w:p w:rsidR="00000000" w:rsidRDefault="00755199">
      <w:pPr>
        <w:rPr>
          <w:rFonts w:eastAsia="Times New Roman"/>
        </w:rPr>
      </w:pPr>
      <w:r>
        <w:rPr>
          <w:rFonts w:eastAsia="Times New Roman"/>
        </w:rPr>
        <w:pict>
          <v:rect id="_x0000_i1027" style="width:0;height:1.5pt" o:hralign="center" o:hrstd="t" o:hr="t" fillcolor="#a0a0a0" stroked="f"/>
        </w:pict>
      </w:r>
    </w:p>
    <w:p w:rsidR="00000000" w:rsidRDefault="00755199">
      <w:pPr>
        <w:divId w:val="305088452"/>
        <w:rPr>
          <w:rFonts w:eastAsia="Times New Roman"/>
        </w:rPr>
      </w:pPr>
    </w:p>
    <w:p w:rsidR="00000000" w:rsidRDefault="00755199">
      <w:pPr>
        <w:jc w:val="center"/>
        <w:divId w:val="1806384595"/>
        <w:rPr>
          <w:rFonts w:eastAsia="Times New Roman"/>
        </w:rPr>
      </w:pPr>
      <w:r>
        <w:rPr>
          <w:rFonts w:eastAsia="Times New Roman"/>
          <w:b/>
          <w:bCs/>
          <w:color w:val="000000"/>
          <w:sz w:val="20"/>
          <w:szCs w:val="20"/>
        </w:rPr>
        <w:t>Cautionary Disclosure Regarding Forward-Looking Statements</w:t>
      </w:r>
    </w:p>
    <w:p w:rsidR="00000000" w:rsidRDefault="00755199">
      <w:pPr>
        <w:ind w:firstLine="720"/>
        <w:jc w:val="center"/>
        <w:rPr>
          <w:rFonts w:eastAsia="Times New Roman"/>
        </w:rPr>
      </w:pPr>
      <w:r>
        <w:rPr>
          <w:rFonts w:eastAsia="Times New Roman"/>
          <w:b/>
          <w:bCs/>
          <w:color w:val="000000"/>
          <w:sz w:val="20"/>
          <w:szCs w:val="20"/>
        </w:rPr>
        <w:t> </w:t>
      </w:r>
    </w:p>
    <w:p w:rsidR="00000000" w:rsidRDefault="00755199">
      <w:pPr>
        <w:jc w:val="both"/>
        <w:rPr>
          <w:rFonts w:eastAsia="Times New Roman"/>
        </w:rPr>
      </w:pPr>
      <w:r>
        <w:rPr>
          <w:rFonts w:eastAsia="Times New Roman"/>
          <w:color w:val="000000"/>
          <w:sz w:val="20"/>
          <w:szCs w:val="20"/>
        </w:rPr>
        <w:t xml:space="preserve">This Quarterly Report on Form 10-Q includes “forward-looking statements” </w:t>
      </w:r>
      <w:r>
        <w:rPr>
          <w:rFonts w:eastAsia="Times New Roman"/>
          <w:color w:val="000000"/>
          <w:sz w:val="20"/>
          <w:szCs w:val="20"/>
        </w:rPr>
        <w:t>within the meaning of Section 27A of the Securities Act of 1933, as amended (the “Securities Act”), and Section 21E of the Securities Exchange Act of 1934, as amended, (the “Exchange Act”). Any statements about our expectations, beliefs, plans, objectives,</w:t>
      </w:r>
      <w:r>
        <w:rPr>
          <w:rFonts w:eastAsia="Times New Roman"/>
          <w:color w:val="000000"/>
          <w:sz w:val="20"/>
          <w:szCs w:val="20"/>
        </w:rPr>
        <w:t xml:space="preserve"> assumptions or future events or performance are not historical facts and may be forward-looking. These statements are often, but are not always, made through the use of words or phrases such as “may,” “will,” “could,” “should,” “expects,” “intends,” “plan</w:t>
      </w:r>
      <w:r>
        <w:rPr>
          <w:rFonts w:eastAsia="Times New Roman"/>
          <w:color w:val="000000"/>
          <w:sz w:val="20"/>
          <w:szCs w:val="20"/>
        </w:rPr>
        <w:t>s,” “anticipates,” “believes,” “estimates,” “predicts,” “projects,” “potential,” “continue,” and similar expressions, or the negative of these terms, or similar expressions. Accordingly, these statements involve estimates, assumptions, risks and uncertaint</w:t>
      </w:r>
      <w:r>
        <w:rPr>
          <w:rFonts w:eastAsia="Times New Roman"/>
          <w:color w:val="000000"/>
          <w:sz w:val="20"/>
          <w:szCs w:val="20"/>
        </w:rPr>
        <w:t xml:space="preserve">ies which could cause actual results to differ materially from those expressed in them.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This Quarterly Report on Form 10-Q contains forward-looking statements that are based on our management’s belief and assumptions and on information currently availab</w:t>
      </w:r>
      <w:r>
        <w:rPr>
          <w:rFonts w:eastAsia="Times New Roman"/>
          <w:color w:val="000000"/>
          <w:sz w:val="20"/>
          <w:szCs w:val="20"/>
        </w:rPr>
        <w:t xml:space="preserve">le to our management. These statements relate to future events or our future financial performance, and involve known and unknown risks, uncertainties and other factors that may cause our actual results, levels of activity, performance or </w:t>
      </w:r>
      <w:r>
        <w:rPr>
          <w:rFonts w:eastAsia="Times New Roman"/>
          <w:color w:val="000000"/>
          <w:sz w:val="20"/>
          <w:szCs w:val="20"/>
        </w:rPr>
        <w:lastRenderedPageBreak/>
        <w:t>achievements to b</w:t>
      </w:r>
      <w:r>
        <w:rPr>
          <w:rFonts w:eastAsia="Times New Roman"/>
          <w:color w:val="000000"/>
          <w:sz w:val="20"/>
          <w:szCs w:val="20"/>
        </w:rPr>
        <w:t>e materially different from any future results, levels of activity, performance or achievements expressed or implied by these forward-looking statements. Forward-looking statements include, but are not limited to, statements about:</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•Our reliance on a sin</w:t>
      </w:r>
      <w:r>
        <w:rPr>
          <w:rFonts w:eastAsia="Times New Roman"/>
          <w:color w:val="000000"/>
          <w:sz w:val="20"/>
          <w:szCs w:val="20"/>
        </w:rPr>
        <w:t>gle lead product candidate, LUMRYZ, also known as FT218;</w:t>
      </w:r>
    </w:p>
    <w:p w:rsidR="00000000" w:rsidRDefault="00755199">
      <w:pPr>
        <w:ind w:hanging="360"/>
        <w:jc w:val="both"/>
        <w:rPr>
          <w:rFonts w:eastAsia="Times New Roman"/>
        </w:rPr>
      </w:pPr>
      <w:r>
        <w:rPr>
          <w:rFonts w:eastAsia="Times New Roman"/>
          <w:color w:val="000000"/>
          <w:sz w:val="20"/>
          <w:szCs w:val="20"/>
        </w:rPr>
        <w:t>•Our ability to obtain final regulatory approval and full authorization from the U.S. Food and Drug Administration (“FDA”) to commercialize LUMRYZ, including any delays in a final approval and/or aut</w:t>
      </w:r>
      <w:r>
        <w:rPr>
          <w:rFonts w:eastAsia="Times New Roman"/>
          <w:color w:val="000000"/>
          <w:sz w:val="20"/>
          <w:szCs w:val="20"/>
        </w:rPr>
        <w:t>horization to launch;</w:t>
      </w:r>
    </w:p>
    <w:p w:rsidR="00000000" w:rsidRDefault="00755199">
      <w:pPr>
        <w:ind w:hanging="360"/>
        <w:jc w:val="both"/>
        <w:rPr>
          <w:rFonts w:eastAsia="Times New Roman"/>
        </w:rPr>
      </w:pPr>
      <w:r>
        <w:rPr>
          <w:rFonts w:eastAsia="Times New Roman"/>
          <w:color w:val="000000"/>
          <w:sz w:val="20"/>
          <w:szCs w:val="20"/>
        </w:rPr>
        <w:t>•The ability of LUMRYZ, if granted final approval by the FDA, to be successfully commercialized and gain market acceptance;</w:t>
      </w:r>
    </w:p>
    <w:p w:rsidR="00000000" w:rsidRDefault="00755199">
      <w:pPr>
        <w:ind w:hanging="360"/>
        <w:jc w:val="both"/>
        <w:rPr>
          <w:rFonts w:eastAsia="Times New Roman"/>
        </w:rPr>
      </w:pPr>
      <w:r>
        <w:rPr>
          <w:rFonts w:eastAsia="Times New Roman"/>
          <w:color w:val="000000"/>
          <w:sz w:val="20"/>
          <w:szCs w:val="20"/>
        </w:rPr>
        <w:t>•Our ability to enter into strategic partnerships for the commercialization, manufacturing and distribution of</w:t>
      </w:r>
      <w:r>
        <w:rPr>
          <w:rFonts w:eastAsia="Times New Roman"/>
          <w:color w:val="000000"/>
          <w:sz w:val="20"/>
          <w:szCs w:val="20"/>
        </w:rPr>
        <w:t xml:space="preserve"> LUMRYZ;</w:t>
      </w:r>
    </w:p>
    <w:p w:rsidR="00000000" w:rsidRDefault="00755199">
      <w:pPr>
        <w:ind w:hanging="360"/>
        <w:jc w:val="both"/>
        <w:rPr>
          <w:rFonts w:eastAsia="Times New Roman"/>
        </w:rPr>
      </w:pPr>
      <w:r>
        <w:rPr>
          <w:rFonts w:eastAsia="Times New Roman"/>
          <w:color w:val="000000"/>
          <w:sz w:val="20"/>
          <w:szCs w:val="20"/>
        </w:rPr>
        <w:t>•Our dependence on a limited number of suppliers for the manufacturing of LUMRYZ and certain raw materials used in LUMRYZ and any failure of such suppliers to deliver sufficient quantities of these raw materials, which could have a material advers</w:t>
      </w:r>
      <w:r>
        <w:rPr>
          <w:rFonts w:eastAsia="Times New Roman"/>
          <w:color w:val="000000"/>
          <w:sz w:val="20"/>
          <w:szCs w:val="20"/>
        </w:rPr>
        <w:t>e effect on our business;</w:t>
      </w:r>
    </w:p>
    <w:p w:rsidR="00000000" w:rsidRDefault="00755199">
      <w:pPr>
        <w:ind w:hanging="360"/>
        <w:jc w:val="both"/>
        <w:rPr>
          <w:rFonts w:eastAsia="Times New Roman"/>
        </w:rPr>
      </w:pPr>
      <w:r>
        <w:rPr>
          <w:rFonts w:eastAsia="Times New Roman"/>
          <w:color w:val="000000"/>
          <w:sz w:val="20"/>
          <w:szCs w:val="20"/>
        </w:rPr>
        <w:t>•Our ability to finance our operations on acceptable terms, either through the raising of capital, the incurrence of convertible or other indebtedness or through strategic financing or commercialization partnerships;</w:t>
      </w:r>
    </w:p>
    <w:p w:rsidR="00000000" w:rsidRDefault="00755199">
      <w:pPr>
        <w:ind w:hanging="360"/>
        <w:jc w:val="both"/>
        <w:rPr>
          <w:rFonts w:eastAsia="Times New Roman"/>
        </w:rPr>
      </w:pPr>
      <w:r>
        <w:rPr>
          <w:rFonts w:eastAsia="Times New Roman"/>
          <w:color w:val="000000"/>
          <w:sz w:val="20"/>
          <w:szCs w:val="20"/>
        </w:rPr>
        <w:t>•Our expectat</w:t>
      </w:r>
      <w:r>
        <w:rPr>
          <w:rFonts w:eastAsia="Times New Roman"/>
          <w:color w:val="000000"/>
          <w:sz w:val="20"/>
          <w:szCs w:val="20"/>
        </w:rPr>
        <w:t>ions about the potential market size and market participation for LUMRYZ, if granted final approval by the FDA;</w:t>
      </w:r>
    </w:p>
    <w:p w:rsidR="00000000" w:rsidRDefault="00755199">
      <w:pPr>
        <w:ind w:hanging="360"/>
        <w:jc w:val="both"/>
        <w:rPr>
          <w:rFonts w:eastAsia="Times New Roman"/>
        </w:rPr>
      </w:pPr>
      <w:r>
        <w:rPr>
          <w:rFonts w:eastAsia="Times New Roman"/>
          <w:color w:val="000000"/>
          <w:sz w:val="20"/>
          <w:szCs w:val="20"/>
        </w:rPr>
        <w:t xml:space="preserve">•Our expectations regarding litigation related to LUMRYZ, including the potential delisting of U.S. Patent No. 8731963 from the Orange Book; </w:t>
      </w:r>
    </w:p>
    <w:p w:rsidR="00000000" w:rsidRDefault="00755199">
      <w:pPr>
        <w:ind w:hanging="360"/>
        <w:jc w:val="both"/>
        <w:rPr>
          <w:rFonts w:eastAsia="Times New Roman"/>
        </w:rPr>
      </w:pPr>
      <w:r>
        <w:rPr>
          <w:rFonts w:eastAsia="Times New Roman"/>
          <w:color w:val="000000"/>
          <w:sz w:val="20"/>
          <w:szCs w:val="20"/>
        </w:rPr>
        <w:t>•O</w:t>
      </w:r>
      <w:r>
        <w:rPr>
          <w:rFonts w:eastAsia="Times New Roman"/>
          <w:color w:val="000000"/>
          <w:sz w:val="20"/>
          <w:szCs w:val="20"/>
        </w:rPr>
        <w:t>ur expectations regarding the timing and results of our cost structure optimization efforts, including the estimated charges and costs expected to be incurred and projected cost savings in connection with such cost structure optimization efforts;</w:t>
      </w:r>
    </w:p>
    <w:p w:rsidR="00000000" w:rsidRDefault="00755199">
      <w:pPr>
        <w:ind w:hanging="360"/>
        <w:jc w:val="both"/>
        <w:rPr>
          <w:rFonts w:eastAsia="Times New Roman"/>
        </w:rPr>
      </w:pPr>
      <w:r>
        <w:rPr>
          <w:rFonts w:eastAsia="Times New Roman"/>
          <w:color w:val="000000"/>
          <w:sz w:val="20"/>
          <w:szCs w:val="20"/>
        </w:rPr>
        <w:t>•Our expe</w:t>
      </w:r>
      <w:r>
        <w:rPr>
          <w:rFonts w:eastAsia="Times New Roman"/>
          <w:color w:val="000000"/>
          <w:sz w:val="20"/>
          <w:szCs w:val="20"/>
        </w:rPr>
        <w:t>ctations regarding our cash runway lasting to a potential final FDA approval of our New Drug Application (“NDA”) for LUMRYZ;</w:t>
      </w:r>
    </w:p>
    <w:p w:rsidR="00000000" w:rsidRDefault="00755199">
      <w:pPr>
        <w:ind w:hanging="360"/>
        <w:jc w:val="both"/>
        <w:rPr>
          <w:rFonts w:eastAsia="Times New Roman"/>
        </w:rPr>
      </w:pPr>
      <w:r>
        <w:rPr>
          <w:rFonts w:eastAsia="Times New Roman"/>
          <w:color w:val="000000"/>
          <w:sz w:val="20"/>
          <w:szCs w:val="20"/>
        </w:rPr>
        <w:t>•Our ability to continue to service our exchangeable senior notes due February 2023 (the “February 2023 Notes”) and our exchangeabl</w:t>
      </w:r>
      <w:r>
        <w:rPr>
          <w:rFonts w:eastAsia="Times New Roman"/>
          <w:color w:val="000000"/>
          <w:sz w:val="20"/>
          <w:szCs w:val="20"/>
        </w:rPr>
        <w:t>e senior notes due October 2023 (the “October 2023 Notes”, together with the February 2023 Notes, the “2023 Notes”), including making the ongoing interest payments on the 2023 Notes, settling exchanges of the 2023 Notes in cash or completing any required r</w:t>
      </w:r>
      <w:r>
        <w:rPr>
          <w:rFonts w:eastAsia="Times New Roman"/>
          <w:color w:val="000000"/>
          <w:sz w:val="20"/>
          <w:szCs w:val="20"/>
        </w:rPr>
        <w:t>epurchases of the 2023 Notes;</w:t>
      </w:r>
    </w:p>
    <w:p w:rsidR="00000000" w:rsidRDefault="00755199">
      <w:pPr>
        <w:ind w:hanging="360"/>
        <w:jc w:val="both"/>
        <w:rPr>
          <w:rFonts w:eastAsia="Times New Roman"/>
        </w:rPr>
      </w:pPr>
      <w:r>
        <w:rPr>
          <w:rFonts w:eastAsia="Times New Roman"/>
          <w:color w:val="000000"/>
          <w:sz w:val="20"/>
          <w:szCs w:val="20"/>
        </w:rPr>
        <w:t>•The potential impacts of COVID-19, inflation and rising interest rates on our business and future operating results;</w:t>
      </w:r>
    </w:p>
    <w:p w:rsidR="00000000" w:rsidRDefault="00755199">
      <w:pPr>
        <w:ind w:hanging="360"/>
        <w:jc w:val="both"/>
        <w:rPr>
          <w:rFonts w:eastAsia="Times New Roman"/>
        </w:rPr>
      </w:pPr>
      <w:r>
        <w:rPr>
          <w:rFonts w:eastAsia="Times New Roman"/>
          <w:color w:val="000000"/>
          <w:sz w:val="20"/>
          <w:szCs w:val="20"/>
        </w:rPr>
        <w:t>•Our ability to hire and retain key members of our leadership team and other personnel; and</w:t>
      </w:r>
    </w:p>
    <w:p w:rsidR="00000000" w:rsidRDefault="00755199">
      <w:pPr>
        <w:ind w:hanging="360"/>
        <w:jc w:val="both"/>
        <w:rPr>
          <w:rFonts w:eastAsia="Times New Roman"/>
        </w:rPr>
      </w:pPr>
      <w:r>
        <w:rPr>
          <w:rFonts w:eastAsia="Times New Roman"/>
          <w:color w:val="000000"/>
          <w:sz w:val="20"/>
          <w:szCs w:val="20"/>
        </w:rPr>
        <w:t>•Competition exi</w:t>
      </w:r>
      <w:r>
        <w:rPr>
          <w:rFonts w:eastAsia="Times New Roman"/>
          <w:color w:val="000000"/>
          <w:sz w:val="20"/>
          <w:szCs w:val="20"/>
        </w:rPr>
        <w:t>sting today or that will likely arise in the future.</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These forward-looking statements are neither promises nor guarantees of future performance due to a variety of risks and uncertainties and other factors more fully discussed in the “Risk Factors” secti</w:t>
      </w:r>
      <w:r>
        <w:rPr>
          <w:rFonts w:eastAsia="Times New Roman"/>
          <w:color w:val="000000"/>
          <w:sz w:val="20"/>
          <w:szCs w:val="20"/>
        </w:rPr>
        <w:t>on in Part I, Item 1A of the Annual Report on Form 10-K filed with the U.S. Securities and Exchange Commission (“SEC”) on March 16, 2022 and the risk factors and cautionary statements described in our subsequent filings with the SEC. Given these uncertaint</w:t>
      </w:r>
      <w:r>
        <w:rPr>
          <w:rFonts w:eastAsia="Times New Roman"/>
          <w:color w:val="000000"/>
          <w:sz w:val="20"/>
          <w:szCs w:val="20"/>
        </w:rPr>
        <w:t xml:space="preserve">ies, readers should not place undue reliance on our forward-looking statements. These forward-looking statements speak only as of the date on which the statements were made and are not guarantees of future performance. Except as required by law, we assume </w:t>
      </w:r>
      <w:r>
        <w:rPr>
          <w:rFonts w:eastAsia="Times New Roman"/>
          <w:color w:val="000000"/>
          <w:sz w:val="20"/>
          <w:szCs w:val="20"/>
        </w:rPr>
        <w:t>no obligation to update these forward-looking statements publicly, or to revise any forward-looking statements to reflect events or developments occurring after the date of this Quarterly Report, even if new information becomes available in the future.</w:t>
      </w:r>
    </w:p>
    <w:p w:rsidR="00000000" w:rsidRDefault="00755199">
      <w:pPr>
        <w:divId w:val="1477725708"/>
        <w:rPr>
          <w:rFonts w:eastAsia="Times New Roman"/>
        </w:rPr>
      </w:pPr>
    </w:p>
    <w:p w:rsidR="00000000" w:rsidRDefault="00755199">
      <w:pPr>
        <w:jc w:val="center"/>
        <w:divId w:val="1115715064"/>
        <w:rPr>
          <w:rFonts w:eastAsia="Times New Roman"/>
        </w:rPr>
      </w:pPr>
      <w:r>
        <w:rPr>
          <w:rFonts w:eastAsia="Times New Roman"/>
          <w:color w:val="000000"/>
          <w:sz w:val="20"/>
          <w:szCs w:val="20"/>
        </w:rPr>
        <w:t>- 3 -</w:t>
      </w:r>
    </w:p>
    <w:p w:rsidR="00000000" w:rsidRDefault="00755199">
      <w:pPr>
        <w:rPr>
          <w:rFonts w:eastAsia="Times New Roman"/>
        </w:rPr>
      </w:pPr>
      <w:r>
        <w:rPr>
          <w:rFonts w:eastAsia="Times New Roman"/>
        </w:rPr>
        <w:pict>
          <v:rect id="_x0000_i1028" style="width:0;height:1.5pt" o:hralign="center" o:hrstd="t" o:hr="t" fillcolor="#a0a0a0" stroked="f"/>
        </w:pict>
      </w:r>
    </w:p>
    <w:p w:rsidR="00000000" w:rsidRDefault="00755199">
      <w:pPr>
        <w:divId w:val="1510873867"/>
        <w:rPr>
          <w:rFonts w:eastAsia="Times New Roman"/>
        </w:rPr>
      </w:pPr>
    </w:p>
    <w:p w:rsidR="00000000" w:rsidRDefault="00755199">
      <w:pPr>
        <w:jc w:val="center"/>
        <w:divId w:val="1993168265"/>
        <w:rPr>
          <w:rFonts w:eastAsia="Times New Roman"/>
        </w:rPr>
      </w:pPr>
      <w:r>
        <w:rPr>
          <w:rFonts w:eastAsia="Times New Roman"/>
          <w:b/>
          <w:bCs/>
          <w:color w:val="000000"/>
          <w:sz w:val="20"/>
          <w:szCs w:val="20"/>
        </w:rPr>
        <w:t>PART I – FINANCIAL INFORMATION </w:t>
      </w:r>
    </w:p>
    <w:p w:rsidR="00000000" w:rsidRDefault="00755199">
      <w:pPr>
        <w:divId w:val="170721344"/>
        <w:rPr>
          <w:rFonts w:eastAsia="Times New Roman"/>
        </w:rPr>
      </w:pPr>
      <w:r>
        <w:rPr>
          <w:rFonts w:eastAsia="Times New Roman"/>
          <w:b/>
          <w:bCs/>
          <w:color w:val="000000"/>
          <w:sz w:val="20"/>
          <w:szCs w:val="20"/>
        </w:rPr>
        <w:t>ITEM 1.      FINANCIAL STATEMENTS </w:t>
      </w:r>
    </w:p>
    <w:p w:rsidR="00000000" w:rsidRDefault="00755199">
      <w:pPr>
        <w:jc w:val="center"/>
        <w:divId w:val="490100853"/>
        <w:rPr>
          <w:rFonts w:eastAsia="Times New Roman"/>
        </w:rPr>
      </w:pPr>
      <w:r>
        <w:rPr>
          <w:rFonts w:eastAsia="Times New Roman"/>
          <w:b/>
          <w:bCs/>
          <w:color w:val="000000"/>
          <w:sz w:val="20"/>
          <w:szCs w:val="20"/>
        </w:rPr>
        <w:t>AVADEL PHARMACEUTICALS PLC</w:t>
      </w:r>
    </w:p>
    <w:p w:rsidR="00000000" w:rsidRDefault="00755199">
      <w:pPr>
        <w:jc w:val="center"/>
        <w:rPr>
          <w:rFonts w:eastAsia="Times New Roman"/>
        </w:rPr>
      </w:pPr>
      <w:r>
        <w:rPr>
          <w:rFonts w:eastAsia="Times New Roman"/>
          <w:b/>
          <w:bCs/>
          <w:color w:val="000000"/>
          <w:sz w:val="20"/>
          <w:szCs w:val="20"/>
        </w:rPr>
        <w:t>CONDENSED CONSOLIDATED STATEMENTS OF LOSS</w:t>
      </w:r>
    </w:p>
    <w:p w:rsidR="00000000" w:rsidRDefault="00755199">
      <w:pPr>
        <w:jc w:val="center"/>
        <w:rPr>
          <w:rFonts w:eastAsia="Times New Roman"/>
        </w:rPr>
      </w:pPr>
      <w:r>
        <w:rPr>
          <w:rFonts w:eastAsia="Times New Roman"/>
          <w:i/>
          <w:iCs/>
          <w:color w:val="000000"/>
          <w:sz w:val="20"/>
          <w:szCs w:val="20"/>
        </w:rPr>
        <w:t>(In thousands, except per share data)</w:t>
      </w:r>
    </w:p>
    <w:p w:rsidR="00000000" w:rsidRDefault="00755199">
      <w:pPr>
        <w:jc w:val="center"/>
        <w:rPr>
          <w:rFonts w:eastAsia="Times New Roman"/>
        </w:rPr>
      </w:pPr>
      <w:r>
        <w:rPr>
          <w:rFonts w:eastAsia="Times New Roman"/>
          <w:i/>
          <w:iCs/>
          <w:color w:val="000000"/>
          <w:sz w:val="20"/>
          <w:szCs w:val="20"/>
        </w:rPr>
        <w:t>(Unaudited)</w:t>
      </w:r>
    </w:p>
    <w:p w:rsidR="00000000" w:rsidRDefault="0075519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60"/>
        <w:gridCol w:w="38"/>
        <w:gridCol w:w="36"/>
        <w:gridCol w:w="36"/>
        <w:gridCol w:w="36"/>
        <w:gridCol w:w="110"/>
        <w:gridCol w:w="988"/>
        <w:gridCol w:w="36"/>
        <w:gridCol w:w="36"/>
        <w:gridCol w:w="36"/>
        <w:gridCol w:w="36"/>
        <w:gridCol w:w="110"/>
        <w:gridCol w:w="988"/>
        <w:gridCol w:w="36"/>
        <w:gridCol w:w="36"/>
        <w:gridCol w:w="36"/>
        <w:gridCol w:w="36"/>
        <w:gridCol w:w="110"/>
        <w:gridCol w:w="988"/>
        <w:gridCol w:w="36"/>
        <w:gridCol w:w="36"/>
        <w:gridCol w:w="36"/>
        <w:gridCol w:w="36"/>
        <w:gridCol w:w="110"/>
        <w:gridCol w:w="989"/>
        <w:gridCol w:w="36"/>
      </w:tblGrid>
      <w:tr w:rsidR="00000000">
        <w:trPr>
          <w:jc w:val="center"/>
        </w:trPr>
        <w:tc>
          <w:tcPr>
            <w:tcW w:w="50" w:type="pct"/>
            <w:vAlign w:val="center"/>
            <w:hideMark/>
          </w:tcPr>
          <w:p w:rsidR="00000000" w:rsidRDefault="00755199">
            <w:pPr>
              <w:jc w:val="center"/>
              <w:rPr>
                <w:rFonts w:eastAsia="Times New Roman"/>
              </w:rPr>
            </w:pPr>
          </w:p>
        </w:tc>
        <w:tc>
          <w:tcPr>
            <w:tcW w:w="199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4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4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4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47"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vAlign w:val="center"/>
            <w:hideMark/>
          </w:tcPr>
          <w:p w:rsidR="00000000" w:rsidRDefault="00755199">
            <w:pPr>
              <w:spacing w:after="100"/>
              <w:jc w:val="right"/>
              <w:rPr>
                <w:rFonts w:eastAsia="Times New Roman"/>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2,933 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4,380 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14,465 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14,096 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21,283 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57,535 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47,469 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Restructuring (income) expense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3,523 </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75,523 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62,410 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(16,960)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(25,663)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(75,523)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(62,410)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503 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1,531 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(3,564)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(1,929)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(9,087)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(5,788)</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(20,076)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(27,103)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(84,074)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(66,501)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(5,101)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25,940 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(11,473)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(110,014)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(55,028)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(0.33)</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(0.38)</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(1.85)</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(0.94)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(1.85)</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(0.94)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60,201 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58,585 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59,359 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58,506 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60,201 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58,585 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59,359 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58,506 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divId w:val="612593309"/>
        <w:rPr>
          <w:rFonts w:eastAsia="Times New Roman"/>
        </w:rPr>
      </w:pPr>
      <w:r>
        <w:rPr>
          <w:rFonts w:eastAsia="Times New Roman"/>
          <w:i/>
          <w:iCs/>
          <w:color w:val="000000"/>
          <w:sz w:val="20"/>
          <w:szCs w:val="20"/>
        </w:rPr>
        <w:t> </w:t>
      </w:r>
    </w:p>
    <w:p w:rsidR="00000000" w:rsidRDefault="00755199">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755199">
      <w:pPr>
        <w:jc w:val="center"/>
        <w:divId w:val="611322555"/>
        <w:rPr>
          <w:rFonts w:eastAsia="Times New Roman"/>
        </w:rPr>
      </w:pPr>
      <w:r>
        <w:rPr>
          <w:rFonts w:eastAsia="Times New Roman"/>
          <w:color w:val="000000"/>
          <w:sz w:val="20"/>
          <w:szCs w:val="20"/>
        </w:rPr>
        <w:t>- 4 -</w:t>
      </w:r>
    </w:p>
    <w:p w:rsidR="00000000" w:rsidRDefault="00755199">
      <w:pPr>
        <w:rPr>
          <w:rFonts w:eastAsia="Times New Roman"/>
        </w:rPr>
      </w:pPr>
      <w:r>
        <w:rPr>
          <w:rFonts w:eastAsia="Times New Roman"/>
        </w:rPr>
        <w:pict>
          <v:rect id="_x0000_i1029" style="width:0;height:1.5pt" o:hralign="center" o:hrstd="t" o:hr="t" fillcolor="#a0a0a0" stroked="f"/>
        </w:pict>
      </w:r>
    </w:p>
    <w:p w:rsidR="00000000" w:rsidRDefault="00755199">
      <w:pPr>
        <w:divId w:val="1768651320"/>
        <w:rPr>
          <w:rFonts w:eastAsia="Times New Roman"/>
        </w:rPr>
      </w:pPr>
    </w:p>
    <w:p w:rsidR="00000000" w:rsidRDefault="00755199">
      <w:pPr>
        <w:jc w:val="center"/>
        <w:divId w:val="2123525741"/>
        <w:rPr>
          <w:rFonts w:eastAsia="Times New Roman"/>
        </w:rPr>
      </w:pPr>
      <w:r>
        <w:rPr>
          <w:rFonts w:eastAsia="Times New Roman"/>
          <w:b/>
          <w:bCs/>
          <w:color w:val="000000"/>
          <w:sz w:val="20"/>
          <w:szCs w:val="20"/>
        </w:rPr>
        <w:t>AVADEL PHARMACEUTICALS PLC</w:t>
      </w:r>
    </w:p>
    <w:p w:rsidR="00000000" w:rsidRDefault="00755199">
      <w:pPr>
        <w:jc w:val="center"/>
        <w:rPr>
          <w:rFonts w:eastAsia="Times New Roman"/>
        </w:rPr>
      </w:pPr>
      <w:r>
        <w:rPr>
          <w:rFonts w:eastAsia="Times New Roman"/>
          <w:b/>
          <w:bCs/>
          <w:color w:val="000000"/>
          <w:sz w:val="20"/>
          <w:szCs w:val="20"/>
        </w:rPr>
        <w:t>CONDENSED CONSOLIDATED STATEMENTS OF COMPREHENSIVE LOSS</w:t>
      </w:r>
    </w:p>
    <w:p w:rsidR="00000000" w:rsidRDefault="00755199">
      <w:pPr>
        <w:jc w:val="center"/>
        <w:rPr>
          <w:rFonts w:eastAsia="Times New Roman"/>
        </w:rPr>
      </w:pPr>
      <w:r>
        <w:rPr>
          <w:rFonts w:eastAsia="Times New Roman"/>
          <w:i/>
          <w:iCs/>
          <w:color w:val="000000"/>
          <w:sz w:val="20"/>
          <w:szCs w:val="20"/>
        </w:rPr>
        <w:t>(In thousands)</w:t>
      </w:r>
    </w:p>
    <w:p w:rsidR="00000000" w:rsidRDefault="00755199">
      <w:pPr>
        <w:jc w:val="center"/>
        <w:rPr>
          <w:rFonts w:eastAsia="Times New Roman"/>
        </w:rPr>
      </w:pPr>
      <w:r>
        <w:rPr>
          <w:rFonts w:eastAsia="Times New Roman"/>
          <w:i/>
          <w:iCs/>
          <w:color w:val="000000"/>
          <w:sz w:val="20"/>
          <w:szCs w:val="20"/>
        </w:rPr>
        <w:t>(Unaudited)</w:t>
      </w:r>
    </w:p>
    <w:p w:rsidR="00000000" w:rsidRDefault="00755199">
      <w:pPr>
        <w:jc w:val="center"/>
        <w:rPr>
          <w:rFonts w:eastAsia="Times New Roman"/>
        </w:rPr>
      </w:pPr>
      <w:r>
        <w:rPr>
          <w:rFonts w:eastAsia="Times New Roman"/>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192"/>
        <w:gridCol w:w="36"/>
        <w:gridCol w:w="36"/>
        <w:gridCol w:w="36"/>
        <w:gridCol w:w="36"/>
        <w:gridCol w:w="110"/>
        <w:gridCol w:w="1030"/>
        <w:gridCol w:w="36"/>
        <w:gridCol w:w="36"/>
        <w:gridCol w:w="36"/>
        <w:gridCol w:w="36"/>
        <w:gridCol w:w="110"/>
        <w:gridCol w:w="1030"/>
        <w:gridCol w:w="36"/>
        <w:gridCol w:w="36"/>
        <w:gridCol w:w="36"/>
        <w:gridCol w:w="36"/>
        <w:gridCol w:w="110"/>
        <w:gridCol w:w="982"/>
        <w:gridCol w:w="36"/>
        <w:gridCol w:w="36"/>
        <w:gridCol w:w="36"/>
        <w:gridCol w:w="36"/>
        <w:gridCol w:w="110"/>
        <w:gridCol w:w="982"/>
        <w:gridCol w:w="36"/>
      </w:tblGrid>
      <w:tr w:rsidR="00000000">
        <w:trPr>
          <w:jc w:val="center"/>
        </w:trPr>
        <w:tc>
          <w:tcPr>
            <w:tcW w:w="50" w:type="pct"/>
            <w:vAlign w:val="center"/>
            <w:hideMark/>
          </w:tcPr>
          <w:p w:rsidR="00000000" w:rsidRDefault="00755199">
            <w:pPr>
              <w:jc w:val="center"/>
              <w:rPr>
                <w:rFonts w:eastAsia="Times New Roman"/>
              </w:rPr>
            </w:pPr>
          </w:p>
        </w:tc>
        <w:tc>
          <w:tcPr>
            <w:tcW w:w="199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68"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68"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3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3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(20,146)</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(22,002)</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(110,014)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(55,028)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comprehensive loss, net of tax:</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Foreign currency translation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(647)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(1,489)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(839)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divId w:val="1765759529"/>
              <w:rPr>
                <w:rFonts w:eastAsia="Times New Roman"/>
              </w:rPr>
            </w:pPr>
            <w:r>
              <w:rPr>
                <w:rFonts w:eastAsia="Times New Roman"/>
                <w:color w:val="000000"/>
                <w:sz w:val="18"/>
                <w:szCs w:val="18"/>
              </w:rPr>
              <w:t>Net other comprehensive loss, net of income tax benefit of $—, $59, $— and $220, respectively</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(934)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(2,480)</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(854)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lastRenderedPageBreak/>
              <w:t>Total other comprehensive loss, net of tax</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(3,969)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(21,727)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(22,396)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(113,983)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(56,721)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ind w:firstLine="720"/>
        <w:jc w:val="center"/>
        <w:rPr>
          <w:rFonts w:eastAsia="Times New Roman"/>
        </w:rPr>
      </w:pPr>
      <w:r>
        <w:rPr>
          <w:rFonts w:eastAsia="Times New Roman"/>
          <w:color w:val="000000"/>
          <w:sz w:val="20"/>
          <w:szCs w:val="20"/>
        </w:rPr>
        <w:t> </w:t>
      </w:r>
    </w:p>
    <w:p w:rsidR="00000000" w:rsidRDefault="00755199">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755199">
      <w:pPr>
        <w:jc w:val="center"/>
        <w:divId w:val="1543713101"/>
        <w:rPr>
          <w:rFonts w:eastAsia="Times New Roman"/>
        </w:rPr>
      </w:pPr>
      <w:r>
        <w:rPr>
          <w:rFonts w:eastAsia="Times New Roman"/>
          <w:color w:val="000000"/>
          <w:sz w:val="20"/>
          <w:szCs w:val="20"/>
        </w:rPr>
        <w:t>- 5 -</w:t>
      </w:r>
    </w:p>
    <w:p w:rsidR="00000000" w:rsidRDefault="00755199">
      <w:pPr>
        <w:rPr>
          <w:rFonts w:eastAsia="Times New Roman"/>
        </w:rPr>
      </w:pPr>
      <w:r>
        <w:rPr>
          <w:rFonts w:eastAsia="Times New Roman"/>
        </w:rPr>
        <w:pict>
          <v:rect id="_x0000_i1030" style="width:0;height:1.5pt" o:hralign="center" o:hrstd="t" o:hr="t" fillcolor="#a0a0a0" stroked="f"/>
        </w:pict>
      </w:r>
    </w:p>
    <w:p w:rsidR="00000000" w:rsidRDefault="00755199">
      <w:pPr>
        <w:divId w:val="2053188424"/>
        <w:rPr>
          <w:rFonts w:eastAsia="Times New Roman"/>
        </w:rPr>
      </w:pPr>
    </w:p>
    <w:p w:rsidR="00000000" w:rsidRDefault="00755199">
      <w:pPr>
        <w:jc w:val="center"/>
        <w:divId w:val="1263876687"/>
        <w:rPr>
          <w:rFonts w:eastAsia="Times New Roman"/>
        </w:rPr>
      </w:pPr>
      <w:r>
        <w:rPr>
          <w:rFonts w:eastAsia="Times New Roman"/>
          <w:b/>
          <w:bCs/>
          <w:color w:val="000000"/>
          <w:sz w:val="20"/>
          <w:szCs w:val="20"/>
        </w:rPr>
        <w:t>AVADEL PHARMACEUTICALS PLC</w:t>
      </w:r>
    </w:p>
    <w:p w:rsidR="00000000" w:rsidRDefault="00755199">
      <w:pPr>
        <w:jc w:val="center"/>
        <w:rPr>
          <w:rFonts w:eastAsia="Times New Roman"/>
        </w:rPr>
      </w:pPr>
      <w:r>
        <w:rPr>
          <w:rFonts w:eastAsia="Times New Roman"/>
          <w:b/>
          <w:bCs/>
          <w:color w:val="000000"/>
          <w:sz w:val="20"/>
          <w:szCs w:val="20"/>
        </w:rPr>
        <w:t>CONDENSED CONSOLIDATED BALANCE SHEETS</w:t>
      </w:r>
    </w:p>
    <w:p w:rsidR="00000000" w:rsidRDefault="00755199">
      <w:pPr>
        <w:jc w:val="center"/>
        <w:rPr>
          <w:rFonts w:eastAsia="Times New Roman"/>
        </w:rPr>
      </w:pPr>
      <w:r>
        <w:rPr>
          <w:rFonts w:eastAsia="Times New Roman"/>
          <w:i/>
          <w:iCs/>
          <w:color w:val="000000"/>
          <w:sz w:val="20"/>
          <w:szCs w:val="20"/>
        </w:rPr>
        <w:t>(In thousands, except per share data)</w:t>
      </w:r>
    </w:p>
    <w:p w:rsidR="00000000" w:rsidRDefault="00755199">
      <w:pPr>
        <w:jc w:val="center"/>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211"/>
        <w:gridCol w:w="38"/>
        <w:gridCol w:w="36"/>
        <w:gridCol w:w="36"/>
        <w:gridCol w:w="36"/>
        <w:gridCol w:w="111"/>
        <w:gridCol w:w="1240"/>
        <w:gridCol w:w="36"/>
        <w:gridCol w:w="36"/>
        <w:gridCol w:w="36"/>
        <w:gridCol w:w="36"/>
        <w:gridCol w:w="111"/>
        <w:gridCol w:w="1241"/>
        <w:gridCol w:w="36"/>
      </w:tblGrid>
      <w:tr w:rsidR="00000000">
        <w:trPr>
          <w:jc w:val="center"/>
        </w:trPr>
        <w:tc>
          <w:tcPr>
            <w:tcW w:w="50" w:type="pct"/>
            <w:vAlign w:val="center"/>
            <w:hideMark/>
          </w:tcPr>
          <w:p w:rsidR="00000000" w:rsidRDefault="00755199">
            <w:pPr>
              <w:jc w:val="center"/>
              <w:rPr>
                <w:rFonts w:eastAsia="Times New Roman"/>
              </w:rPr>
            </w:pPr>
          </w:p>
        </w:tc>
        <w:tc>
          <w:tcPr>
            <w:tcW w:w="317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79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79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rPr>
          <w:jc w:val="center"/>
        </w:trPr>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i/>
                <w:i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60,715 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50,708 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45,760 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106,513 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2,077 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2,443 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4,670 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32,826 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113,222 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192,490 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1,947 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2,652 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1,137 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1,225 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11,720 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33,777 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145,758 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 xml:space="preserve">LIABILITIES AND SHAREHOLDERS’ (DEFICIT) EQUITY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26,299 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Current portion of operating lease liability</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1,011 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900 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2,479 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7,679 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7,965 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7,151 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3,757 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5,270 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41,511 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109,934 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Long-term operating lease liability</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1,707 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5,727 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3,917 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158,198 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169,021 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Shareholders’ </w:t>
            </w:r>
            <w:r>
              <w:rPr>
                <w:rFonts w:eastAsia="Times New Roman"/>
                <w:color w:val="000000"/>
                <w:sz w:val="18"/>
                <w:szCs w:val="18"/>
              </w:rPr>
              <w:t>(deficit) equity:</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755199">
            <w:pPr>
              <w:spacing w:after="100"/>
              <w:divId w:val="153762517"/>
              <w:rPr>
                <w:rFonts w:eastAsia="Times New Roman"/>
              </w:rPr>
            </w:pPr>
            <w:r>
              <w:rPr>
                <w:rFonts w:eastAsia="Times New Roman"/>
                <w:color w:val="000000"/>
                <w:sz w:val="18"/>
                <w:szCs w:val="18"/>
              </w:rPr>
              <w:t>Preferred shares, nominal value of $0.01 per share; 50,000 shares authorized; 488 issued and outstanding at September 30, 2022 and 488 issued and outstanding at December 31, 2021</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528907967"/>
              <w:rPr>
                <w:rFonts w:eastAsia="Times New Roman"/>
              </w:rPr>
            </w:pPr>
            <w:r>
              <w:rPr>
                <w:rFonts w:eastAsia="Times New Roman"/>
                <w:color w:val="000000"/>
                <w:sz w:val="18"/>
                <w:szCs w:val="18"/>
              </w:rPr>
              <w:t>Ordinary shares, nominal value of $0.01 per share; 500,000 shares authorized; 60,885 issued and outstanding at September 30, 2022 and 58,620 issued and outstanding at December 31, 2021</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Additional paid-in capital</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572,626 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549,349 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Accumulated deficit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(557,770)</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(447,756)</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(27,909)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(23,940)</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shareholders’ (deficit) equity</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(12,440)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liabilities and shareholders’ (deficit) equity</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145,758 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ind w:firstLine="720"/>
        <w:jc w:val="center"/>
        <w:divId w:val="1381444104"/>
        <w:rPr>
          <w:rFonts w:eastAsia="Times New Roman"/>
        </w:rPr>
      </w:pPr>
      <w:r>
        <w:rPr>
          <w:rFonts w:eastAsia="Times New Roman"/>
          <w:i/>
          <w:iCs/>
          <w:color w:val="000000"/>
          <w:sz w:val="20"/>
          <w:szCs w:val="20"/>
        </w:rPr>
        <w:t> See accompanying notes to unaudited condensed consolidated financial statements.</w:t>
      </w:r>
    </w:p>
    <w:p w:rsidR="00000000" w:rsidRDefault="00755199">
      <w:pPr>
        <w:jc w:val="center"/>
        <w:divId w:val="182790540"/>
        <w:rPr>
          <w:rFonts w:eastAsia="Times New Roman"/>
        </w:rPr>
      </w:pPr>
      <w:r>
        <w:rPr>
          <w:rFonts w:eastAsia="Times New Roman"/>
          <w:color w:val="000000"/>
          <w:sz w:val="20"/>
          <w:szCs w:val="20"/>
        </w:rPr>
        <w:t>- 6 -</w:t>
      </w:r>
    </w:p>
    <w:p w:rsidR="00000000" w:rsidRDefault="00755199">
      <w:pPr>
        <w:rPr>
          <w:rFonts w:eastAsia="Times New Roman"/>
        </w:rPr>
      </w:pPr>
      <w:r>
        <w:rPr>
          <w:rFonts w:eastAsia="Times New Roman"/>
        </w:rPr>
        <w:pict>
          <v:rect id="_x0000_i1031" style="width:0;height:1.5pt" o:hralign="center" o:hrstd="t" o:hr="t" fillcolor="#a0a0a0" stroked="f"/>
        </w:pict>
      </w:r>
    </w:p>
    <w:p w:rsidR="00000000" w:rsidRDefault="00755199">
      <w:pPr>
        <w:divId w:val="897010041"/>
        <w:rPr>
          <w:rFonts w:eastAsia="Times New Roman"/>
        </w:rPr>
      </w:pPr>
    </w:p>
    <w:p w:rsidR="00000000" w:rsidRDefault="00755199">
      <w:pPr>
        <w:jc w:val="center"/>
        <w:rPr>
          <w:rFonts w:eastAsia="Times New Roman"/>
        </w:rPr>
      </w:pPr>
      <w:r>
        <w:rPr>
          <w:rFonts w:eastAsia="Times New Roman"/>
          <w:b/>
          <w:bCs/>
          <w:color w:val="000000"/>
          <w:sz w:val="20"/>
          <w:szCs w:val="20"/>
        </w:rPr>
        <w:t>AVADEL PHARMACEUTICALS PLC</w:t>
      </w:r>
    </w:p>
    <w:p w:rsidR="00000000" w:rsidRDefault="00755199">
      <w:pPr>
        <w:jc w:val="center"/>
        <w:rPr>
          <w:rFonts w:eastAsia="Times New Roman"/>
        </w:rPr>
      </w:pPr>
      <w:r>
        <w:rPr>
          <w:rFonts w:eastAsia="Times New Roman"/>
          <w:b/>
          <w:bCs/>
          <w:color w:val="000000"/>
          <w:sz w:val="20"/>
          <w:szCs w:val="20"/>
        </w:rPr>
        <w:t>CONDENSED CONSOLIDATED STATEMENTS OF SHAREHOLDERS’ (DEFICIT) EQUITY</w:t>
      </w:r>
    </w:p>
    <w:p w:rsidR="00000000" w:rsidRDefault="00755199">
      <w:pPr>
        <w:jc w:val="center"/>
        <w:rPr>
          <w:rFonts w:eastAsia="Times New Roman"/>
        </w:rPr>
      </w:pPr>
      <w:r>
        <w:rPr>
          <w:rFonts w:eastAsia="Times New Roman"/>
          <w:i/>
          <w:iCs/>
          <w:color w:val="000000"/>
          <w:sz w:val="20"/>
          <w:szCs w:val="20"/>
        </w:rPr>
        <w:t>(In thousands)</w:t>
      </w:r>
    </w:p>
    <w:p w:rsidR="00000000" w:rsidRDefault="00755199">
      <w:pPr>
        <w:jc w:val="center"/>
        <w:rPr>
          <w:rFonts w:eastAsia="Times New Roman"/>
        </w:rPr>
      </w:pPr>
      <w:r>
        <w:rPr>
          <w:rFonts w:eastAsia="Times New Roman"/>
          <w:i/>
          <w:iCs/>
          <w:color w:val="000000"/>
          <w:sz w:val="20"/>
          <w:szCs w:val="20"/>
        </w:rPr>
        <w:t>(Unaudited)</w:t>
      </w:r>
    </w:p>
    <w:p w:rsidR="00000000" w:rsidRDefault="00755199">
      <w:pPr>
        <w:divId w:val="90002013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200"/>
        <w:gridCol w:w="37"/>
        <w:gridCol w:w="36"/>
        <w:gridCol w:w="36"/>
        <w:gridCol w:w="36"/>
        <w:gridCol w:w="60"/>
        <w:gridCol w:w="496"/>
        <w:gridCol w:w="37"/>
        <w:gridCol w:w="36"/>
        <w:gridCol w:w="36"/>
        <w:gridCol w:w="36"/>
        <w:gridCol w:w="111"/>
        <w:gridCol w:w="592"/>
        <w:gridCol w:w="36"/>
        <w:gridCol w:w="36"/>
        <w:gridCol w:w="36"/>
        <w:gridCol w:w="36"/>
        <w:gridCol w:w="60"/>
        <w:gridCol w:w="496"/>
        <w:gridCol w:w="36"/>
        <w:gridCol w:w="36"/>
        <w:gridCol w:w="36"/>
        <w:gridCol w:w="36"/>
        <w:gridCol w:w="111"/>
        <w:gridCol w:w="592"/>
        <w:gridCol w:w="36"/>
        <w:gridCol w:w="36"/>
        <w:gridCol w:w="36"/>
        <w:gridCol w:w="36"/>
        <w:gridCol w:w="111"/>
        <w:gridCol w:w="760"/>
        <w:gridCol w:w="36"/>
        <w:gridCol w:w="36"/>
        <w:gridCol w:w="36"/>
        <w:gridCol w:w="36"/>
        <w:gridCol w:w="113"/>
        <w:gridCol w:w="936"/>
        <w:gridCol w:w="36"/>
        <w:gridCol w:w="36"/>
        <w:gridCol w:w="36"/>
        <w:gridCol w:w="36"/>
        <w:gridCol w:w="127"/>
        <w:gridCol w:w="1051"/>
        <w:gridCol w:w="36"/>
        <w:gridCol w:w="36"/>
        <w:gridCol w:w="36"/>
        <w:gridCol w:w="36"/>
        <w:gridCol w:w="116"/>
        <w:gridCol w:w="963"/>
        <w:gridCol w:w="36"/>
      </w:tblGrid>
      <w:tr w:rsidR="00000000">
        <w:trPr>
          <w:jc w:val="center"/>
        </w:trPr>
        <w:tc>
          <w:tcPr>
            <w:tcW w:w="50" w:type="pct"/>
            <w:vAlign w:val="center"/>
            <w:hideMark/>
          </w:tcPr>
          <w:p w:rsidR="00000000" w:rsidRDefault="00755199">
            <w:pPr>
              <w:rPr>
                <w:rFonts w:eastAsia="Times New Roman"/>
              </w:rPr>
            </w:pPr>
          </w:p>
        </w:tc>
        <w:tc>
          <w:tcPr>
            <w:tcW w:w="100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Additional</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w:t>
            </w: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paid-in capital</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(deficit) equity</w:t>
            </w:r>
          </w:p>
        </w:tc>
      </w:tr>
      <w:tr w:rsidR="00755199">
        <w:trPr>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615936760"/>
              <w:rPr>
                <w:rFonts w:eastAsia="Times New Roman"/>
              </w:rPr>
            </w:pPr>
            <w:r>
              <w:rPr>
                <w:rFonts w:eastAsia="Times New Roman"/>
                <w:b/>
                <w:bCs/>
                <w:color w:val="000000"/>
                <w:sz w:val="18"/>
                <w:szCs w:val="18"/>
              </w:rPr>
              <w:t>Balance, December 31, 2021</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549,349 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(447,756)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(23,940)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(26,424)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(26,424)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(1,102)</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(1,102)</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1,903 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1,906 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2,505 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2,505 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755199">
        <w:trPr>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379020543"/>
              <w:rPr>
                <w:rFonts w:eastAsia="Times New Roman"/>
              </w:rPr>
            </w:pPr>
            <w:r>
              <w:rPr>
                <w:rFonts w:eastAsia="Times New Roman"/>
                <w:b/>
                <w:bCs/>
                <w:color w:val="000000"/>
                <w:sz w:val="18"/>
                <w:szCs w:val="18"/>
              </w:rPr>
              <w:t>Balance, March 31, 2022</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553,859 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(474,180)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(25,042)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(63,444)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(63,444)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(1,286)</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(1,286)</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Change in fair value of October 2023 Notes conversion feature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5,508 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5,508 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658 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658 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755199">
        <w:trPr>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1042050429"/>
              <w:rPr>
                <w:rFonts w:eastAsia="Times New Roman"/>
              </w:rPr>
            </w:pPr>
            <w:r>
              <w:rPr>
                <w:rFonts w:eastAsia="Times New Roman"/>
                <w:b/>
                <w:bCs/>
                <w:color w:val="000000"/>
                <w:sz w:val="18"/>
                <w:szCs w:val="18"/>
              </w:rPr>
              <w:t>Balance, June 30, 2022</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59,038 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560,025 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(537,624)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(26,328)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(20,146)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(20,146)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(1,581)</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(1,581)</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Issuance of common stock under at-the-market offering program, net of issuance costs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1,768 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10,515 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10,532 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Amortization of deferred issuance costs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1,923 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1,923 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755199">
        <w:trPr>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2036297979"/>
              <w:rPr>
                <w:rFonts w:eastAsia="Times New Roman"/>
              </w:rPr>
            </w:pPr>
            <w:r>
              <w:rPr>
                <w:rFonts w:eastAsia="Times New Roman"/>
                <w:b/>
                <w:bCs/>
                <w:color w:val="000000"/>
                <w:sz w:val="18"/>
                <w:szCs w:val="18"/>
              </w:rPr>
              <w:t>Balance, September 30, 2022</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60,885 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572,626 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(557,770)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(27,909)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(12,440)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center"/>
        <w:rPr>
          <w:rFonts w:eastAsia="Times New Roman"/>
        </w:rPr>
      </w:pPr>
    </w:p>
    <w:p w:rsidR="00000000" w:rsidRDefault="00755199">
      <w:pPr>
        <w:jc w:val="center"/>
        <w:rPr>
          <w:rFonts w:eastAsia="Times New Roman"/>
        </w:rPr>
      </w:pPr>
    </w:p>
    <w:p w:rsidR="00000000" w:rsidRDefault="00755199">
      <w:pPr>
        <w:jc w:val="center"/>
        <w:rPr>
          <w:rFonts w:eastAsia="Times New Roman"/>
        </w:rPr>
      </w:pPr>
    </w:p>
    <w:p w:rsidR="00000000" w:rsidRDefault="00755199">
      <w:pPr>
        <w:jc w:val="center"/>
        <w:rPr>
          <w:rFonts w:eastAsia="Times New Roman"/>
        </w:rPr>
      </w:pPr>
    </w:p>
    <w:p w:rsidR="00000000" w:rsidRDefault="00755199">
      <w:pPr>
        <w:jc w:val="center"/>
        <w:rPr>
          <w:rFonts w:eastAsia="Times New Roman"/>
        </w:rPr>
      </w:pPr>
    </w:p>
    <w:p w:rsidR="00000000" w:rsidRDefault="00755199">
      <w:pPr>
        <w:jc w:val="center"/>
        <w:rPr>
          <w:rFonts w:eastAsia="Times New Roman"/>
        </w:rPr>
      </w:pPr>
    </w:p>
    <w:p w:rsidR="00000000" w:rsidRDefault="00755199">
      <w:pPr>
        <w:jc w:val="center"/>
        <w:divId w:val="751664741"/>
        <w:rPr>
          <w:rFonts w:eastAsia="Times New Roman"/>
        </w:rPr>
      </w:pPr>
      <w:r>
        <w:rPr>
          <w:rFonts w:eastAsia="Times New Roman"/>
          <w:color w:val="000000"/>
          <w:sz w:val="20"/>
          <w:szCs w:val="20"/>
        </w:rPr>
        <w:t>- 7 -</w:t>
      </w:r>
    </w:p>
    <w:p w:rsidR="00000000" w:rsidRDefault="00755199">
      <w:pPr>
        <w:rPr>
          <w:rFonts w:eastAsia="Times New Roman"/>
        </w:rPr>
      </w:pPr>
      <w:r>
        <w:rPr>
          <w:rFonts w:eastAsia="Times New Roman"/>
        </w:rPr>
        <w:pict>
          <v:rect id="_x0000_i1032" style="width:0;height:1.5pt" o:hralign="center" o:hrstd="t" o:hr="t" fillcolor="#a0a0a0" stroked="f"/>
        </w:pict>
      </w:r>
    </w:p>
    <w:p w:rsidR="00000000" w:rsidRDefault="00755199">
      <w:pPr>
        <w:divId w:val="1482189222"/>
        <w:rPr>
          <w:rFonts w:eastAsia="Times New Roman"/>
        </w:rPr>
      </w:pPr>
    </w:p>
    <w:p w:rsidR="00000000" w:rsidRDefault="00755199">
      <w:pPr>
        <w:jc w:val="center"/>
        <w:rPr>
          <w:rFonts w:eastAsia="Times New Roman"/>
        </w:rPr>
      </w:pPr>
      <w:r>
        <w:rPr>
          <w:rFonts w:eastAsia="Times New Roman"/>
          <w:b/>
          <w:bCs/>
          <w:color w:val="000000"/>
          <w:sz w:val="20"/>
          <w:szCs w:val="20"/>
        </w:rPr>
        <w:t>AVADEL PHARMACEUTICALS PLC</w:t>
      </w:r>
    </w:p>
    <w:p w:rsidR="00000000" w:rsidRDefault="00755199">
      <w:pPr>
        <w:jc w:val="center"/>
        <w:rPr>
          <w:rFonts w:eastAsia="Times New Roman"/>
        </w:rPr>
      </w:pPr>
      <w:r>
        <w:rPr>
          <w:rFonts w:eastAsia="Times New Roman"/>
          <w:b/>
          <w:bCs/>
          <w:color w:val="000000"/>
          <w:sz w:val="20"/>
          <w:szCs w:val="20"/>
        </w:rPr>
        <w:t>CONDENSED CONSOLIDATED STATEMENTS OF SHAREHOLDERS’ EQUITY</w:t>
      </w:r>
    </w:p>
    <w:p w:rsidR="00000000" w:rsidRDefault="00755199">
      <w:pPr>
        <w:jc w:val="center"/>
        <w:rPr>
          <w:rFonts w:eastAsia="Times New Roman"/>
        </w:rPr>
      </w:pPr>
      <w:r>
        <w:rPr>
          <w:rFonts w:eastAsia="Times New Roman"/>
          <w:i/>
          <w:iCs/>
          <w:color w:val="000000"/>
          <w:sz w:val="20"/>
          <w:szCs w:val="20"/>
        </w:rPr>
        <w:t>(In thousands)</w:t>
      </w:r>
    </w:p>
    <w:p w:rsidR="00000000" w:rsidRDefault="00755199">
      <w:pPr>
        <w:jc w:val="center"/>
        <w:rPr>
          <w:rFonts w:eastAsia="Times New Roman"/>
        </w:rPr>
      </w:pPr>
      <w:r>
        <w:rPr>
          <w:rFonts w:eastAsia="Times New Roman"/>
          <w:i/>
          <w:iCs/>
          <w:color w:val="000000"/>
          <w:sz w:val="20"/>
          <w:szCs w:val="20"/>
        </w:rPr>
        <w:t>(Unaudited)</w:t>
      </w:r>
    </w:p>
    <w:p w:rsidR="00000000" w:rsidRDefault="00755199">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1200"/>
        <w:gridCol w:w="37"/>
        <w:gridCol w:w="36"/>
        <w:gridCol w:w="36"/>
        <w:gridCol w:w="36"/>
        <w:gridCol w:w="60"/>
        <w:gridCol w:w="496"/>
        <w:gridCol w:w="37"/>
        <w:gridCol w:w="36"/>
        <w:gridCol w:w="36"/>
        <w:gridCol w:w="36"/>
        <w:gridCol w:w="111"/>
        <w:gridCol w:w="592"/>
        <w:gridCol w:w="36"/>
        <w:gridCol w:w="36"/>
        <w:gridCol w:w="36"/>
        <w:gridCol w:w="36"/>
        <w:gridCol w:w="60"/>
        <w:gridCol w:w="496"/>
        <w:gridCol w:w="36"/>
        <w:gridCol w:w="36"/>
        <w:gridCol w:w="36"/>
        <w:gridCol w:w="36"/>
        <w:gridCol w:w="111"/>
        <w:gridCol w:w="592"/>
        <w:gridCol w:w="36"/>
        <w:gridCol w:w="36"/>
        <w:gridCol w:w="36"/>
        <w:gridCol w:w="36"/>
        <w:gridCol w:w="111"/>
        <w:gridCol w:w="760"/>
        <w:gridCol w:w="36"/>
        <w:gridCol w:w="36"/>
        <w:gridCol w:w="36"/>
        <w:gridCol w:w="36"/>
        <w:gridCol w:w="113"/>
        <w:gridCol w:w="936"/>
        <w:gridCol w:w="36"/>
        <w:gridCol w:w="36"/>
        <w:gridCol w:w="36"/>
        <w:gridCol w:w="36"/>
        <w:gridCol w:w="127"/>
        <w:gridCol w:w="1051"/>
        <w:gridCol w:w="36"/>
        <w:gridCol w:w="36"/>
        <w:gridCol w:w="36"/>
        <w:gridCol w:w="36"/>
        <w:gridCol w:w="116"/>
        <w:gridCol w:w="963"/>
        <w:gridCol w:w="36"/>
      </w:tblGrid>
      <w:tr w:rsidR="00000000">
        <w:trPr>
          <w:jc w:val="center"/>
        </w:trPr>
        <w:tc>
          <w:tcPr>
            <w:tcW w:w="50" w:type="pct"/>
            <w:vAlign w:val="center"/>
            <w:hideMark/>
          </w:tcPr>
          <w:p w:rsidR="00000000" w:rsidRDefault="00755199">
            <w:pPr>
              <w:jc w:val="center"/>
              <w:rPr>
                <w:rFonts w:eastAsia="Times New Roman"/>
              </w:rPr>
            </w:pPr>
          </w:p>
        </w:tc>
        <w:tc>
          <w:tcPr>
            <w:tcW w:w="100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1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Additional paid-in</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 xml:space="preserve">shareholders’ </w:t>
            </w: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 xml:space="preserve">equity </w:t>
            </w:r>
          </w:p>
        </w:tc>
      </w:tr>
      <w:tr w:rsidR="00755199">
        <w:trPr>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Balance, December 31, 2020</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Impact of the adoption of ASU 2020-0</w:t>
            </w: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13,760 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(12,939)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1,728 </w:t>
            </w:r>
          </w:p>
        </w:tc>
        <w:tc>
          <w:tcPr>
            <w:tcW w:w="0" w:type="auto"/>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755199">
        <w:trPr>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Balance, March 31, 2021</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542,093 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(383,872)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(22,306)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136,504 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Net loss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2,001 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2,001 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755199">
        <w:trPr>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Balance, June 30, 2021</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544,094 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(403,453)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(22,350)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(22,002)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(22,002)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(394)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(394)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62 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2,359 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2,359 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755199">
        <w:trPr>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Balance, September 30, 2021</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58,616 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546,565 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(425,455)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98,957 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center"/>
        <w:rPr>
          <w:rFonts w:eastAsia="Times New Roman"/>
        </w:rPr>
      </w:pPr>
    </w:p>
    <w:p w:rsidR="00000000" w:rsidRDefault="00755199">
      <w:pPr>
        <w:jc w:val="center"/>
        <w:divId w:val="1647465236"/>
        <w:rPr>
          <w:rFonts w:eastAsia="Times New Roman"/>
        </w:rPr>
      </w:pPr>
      <w:r>
        <w:rPr>
          <w:rFonts w:eastAsia="Times New Roman"/>
          <w:color w:val="000000"/>
          <w:sz w:val="20"/>
          <w:szCs w:val="20"/>
        </w:rPr>
        <w:t>- 8 -</w:t>
      </w:r>
    </w:p>
    <w:p w:rsidR="00000000" w:rsidRDefault="00755199">
      <w:pPr>
        <w:rPr>
          <w:rFonts w:eastAsia="Times New Roman"/>
        </w:rPr>
      </w:pPr>
      <w:r>
        <w:rPr>
          <w:rFonts w:eastAsia="Times New Roman"/>
        </w:rPr>
        <w:pict>
          <v:rect id="_x0000_i1033" style="width:0;height:1.5pt" o:hralign="center" o:hrstd="t" o:hr="t" fillcolor="#a0a0a0" stroked="f"/>
        </w:pict>
      </w:r>
    </w:p>
    <w:p w:rsidR="00000000" w:rsidRDefault="00755199">
      <w:pPr>
        <w:divId w:val="1449623115"/>
        <w:rPr>
          <w:rFonts w:eastAsia="Times New Roman"/>
        </w:rPr>
      </w:pPr>
    </w:p>
    <w:p w:rsidR="00000000" w:rsidRDefault="00755199">
      <w:pPr>
        <w:jc w:val="center"/>
        <w:divId w:val="1505050523"/>
        <w:rPr>
          <w:rFonts w:eastAsia="Times New Roman"/>
        </w:rPr>
      </w:pPr>
      <w:r>
        <w:rPr>
          <w:rFonts w:eastAsia="Times New Roman"/>
          <w:b/>
          <w:bCs/>
          <w:color w:val="000000"/>
          <w:sz w:val="20"/>
          <w:szCs w:val="20"/>
        </w:rPr>
        <w:t>AVADEL PHARMACEUTICALS PLC</w:t>
      </w:r>
    </w:p>
    <w:p w:rsidR="00000000" w:rsidRDefault="00755199">
      <w:pPr>
        <w:jc w:val="center"/>
        <w:rPr>
          <w:rFonts w:eastAsia="Times New Roman"/>
        </w:rPr>
      </w:pPr>
      <w:r>
        <w:rPr>
          <w:rFonts w:eastAsia="Times New Roman"/>
          <w:b/>
          <w:bCs/>
          <w:color w:val="000000"/>
          <w:sz w:val="20"/>
          <w:szCs w:val="20"/>
        </w:rPr>
        <w:t>CONDENSED CONSOLIDATED STATEMENTS OF CASH FLOWS</w:t>
      </w:r>
    </w:p>
    <w:p w:rsidR="00000000" w:rsidRDefault="00755199">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p w:rsidR="00000000" w:rsidRDefault="00755199">
      <w:pPr>
        <w:jc w:val="center"/>
        <w:rPr>
          <w:rFonts w:eastAsia="Times New Roman"/>
        </w:rPr>
      </w:pPr>
      <w:r>
        <w:rPr>
          <w:rFonts w:eastAsia="Times New Roman"/>
          <w:i/>
          <w:i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599"/>
        <w:gridCol w:w="39"/>
        <w:gridCol w:w="36"/>
        <w:gridCol w:w="36"/>
        <w:gridCol w:w="36"/>
        <w:gridCol w:w="110"/>
        <w:gridCol w:w="1046"/>
        <w:gridCol w:w="36"/>
        <w:gridCol w:w="36"/>
        <w:gridCol w:w="36"/>
        <w:gridCol w:w="36"/>
        <w:gridCol w:w="110"/>
        <w:gridCol w:w="1048"/>
        <w:gridCol w:w="36"/>
      </w:tblGrid>
      <w:tr w:rsidR="00000000">
        <w:trPr>
          <w:jc w:val="center"/>
        </w:trPr>
        <w:tc>
          <w:tcPr>
            <w:tcW w:w="50" w:type="pct"/>
            <w:vAlign w:val="center"/>
            <w:hideMark/>
          </w:tcPr>
          <w:p w:rsidR="00000000" w:rsidRDefault="00755199">
            <w:pPr>
              <w:jc w:val="center"/>
              <w:rPr>
                <w:rFonts w:eastAsia="Times New Roman"/>
              </w:rPr>
            </w:pPr>
          </w:p>
        </w:tc>
        <w:tc>
          <w:tcPr>
            <w:tcW w:w="340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78"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678"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r>
      <w:tr w:rsidR="00000000">
        <w:trPr>
          <w:jc w:val="center"/>
        </w:trPr>
        <w:tc>
          <w:tcPr>
            <w:tcW w:w="0" w:type="auto"/>
            <w:gridSpan w:val="3"/>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Cash flows from operating activities: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w:t>
            </w:r>
            <w:r>
              <w:rPr>
                <w:rFonts w:eastAsia="Times New Roman"/>
                <w:color w:val="000000"/>
                <w:sz w:val="18"/>
                <w:szCs w:val="18"/>
              </w:rPr>
              <w:t>110,014)</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(55,028)</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Adjustments to reconcile net loss to net cash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907 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614 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4,147 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937 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Change in deferred taxes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25,916 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(11,322)</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5,086 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6,088 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(166)</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adjustments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1,539 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1,056 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changes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vAlign w:val="center"/>
            <w:hideMark/>
          </w:tcPr>
          <w:p w:rsidR="00000000" w:rsidRDefault="00755199">
            <w:pPr>
              <w:spacing w:after="100"/>
              <w:jc w:val="right"/>
              <w:rPr>
                <w:rFonts w:eastAsia="Times New Roman"/>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27,948 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3,079 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Accounts payable &amp;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(11,629)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7"/>
                <w:szCs w:val="17"/>
              </w:rPr>
              <w:t>4,277 </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2,421 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(3,109)</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(2,228)</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(54,804)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(716)</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Proceeds from the 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16,500 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Proceeds from sales of marketable securities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59,873 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83,726 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Purchases of marketable securities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(2,334)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(58,591)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cash provided by investing activities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41,609 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Payments for debt issuance costs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(4,803)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Proceeds from issuance of shares off the at-the-market offering program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10,532 </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Proceeds from stock option exercises and employee share purchase plan</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2,192 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cash provided by financing activities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7,921 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Effect of foreign currency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(621)</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160"/>
          <w:jc w:val="center"/>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change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10,007 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(13,553)</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Cash and cash equivalents at January 1,</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50,708 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71,722 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645280094"/>
              <w:rPr>
                <w:rFonts w:eastAsia="Times New Roman"/>
              </w:rPr>
            </w:pPr>
            <w:r>
              <w:rPr>
                <w:rFonts w:eastAsia="Times New Roman"/>
                <w:color w:val="000000"/>
                <w:sz w:val="18"/>
                <w:szCs w:val="18"/>
              </w:rPr>
              <w:t>Cash and cash equivalents at September 30,</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60,715 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Supplemental disclosures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Interest paid</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9,660 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6,469 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Income taxes (refund) paid</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(32,323)</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center"/>
        <w:rPr>
          <w:rFonts w:eastAsia="Times New Roman"/>
        </w:rPr>
      </w:pPr>
    </w:p>
    <w:p w:rsidR="00000000" w:rsidRDefault="00755199">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755199">
      <w:pPr>
        <w:jc w:val="center"/>
        <w:divId w:val="318922333"/>
        <w:rPr>
          <w:rFonts w:eastAsia="Times New Roman"/>
        </w:rPr>
      </w:pPr>
      <w:r>
        <w:rPr>
          <w:rFonts w:eastAsia="Times New Roman"/>
          <w:color w:val="000000"/>
          <w:sz w:val="20"/>
          <w:szCs w:val="20"/>
        </w:rPr>
        <w:t>- 9 -</w:t>
      </w:r>
    </w:p>
    <w:p w:rsidR="00000000" w:rsidRDefault="00755199">
      <w:pPr>
        <w:rPr>
          <w:rFonts w:eastAsia="Times New Roman"/>
        </w:rPr>
      </w:pPr>
      <w:r>
        <w:rPr>
          <w:rFonts w:eastAsia="Times New Roman"/>
        </w:rPr>
        <w:pict>
          <v:rect id="_x0000_i1034" style="width:0;height:1.5pt" o:hralign="center" o:hrstd="t" o:hr="t" fillcolor="#a0a0a0" stroked="f"/>
        </w:pict>
      </w:r>
    </w:p>
    <w:p w:rsidR="00000000" w:rsidRDefault="00755199">
      <w:pPr>
        <w:divId w:val="1949897420"/>
        <w:rPr>
          <w:rFonts w:eastAsia="Times New Roman"/>
        </w:rPr>
      </w:pPr>
    </w:p>
    <w:p w:rsidR="00000000" w:rsidRDefault="00755199">
      <w:pPr>
        <w:jc w:val="center"/>
        <w:divId w:val="230041351"/>
        <w:rPr>
          <w:rFonts w:eastAsia="Times New Roman"/>
        </w:rPr>
      </w:pPr>
      <w:r>
        <w:rPr>
          <w:rFonts w:eastAsia="Times New Roman"/>
          <w:b/>
          <w:bCs/>
          <w:color w:val="000000"/>
          <w:sz w:val="20"/>
          <w:szCs w:val="20"/>
        </w:rPr>
        <w:t>AVADEL PHARMACEUTICALS PLC</w:t>
      </w:r>
    </w:p>
    <w:p w:rsidR="00000000" w:rsidRDefault="00755199">
      <w:pPr>
        <w:jc w:val="center"/>
        <w:rPr>
          <w:rFonts w:eastAsia="Times New Roman"/>
        </w:rPr>
      </w:pPr>
      <w:r>
        <w:rPr>
          <w:rFonts w:eastAsia="Times New Roman"/>
          <w:b/>
          <w:bCs/>
          <w:color w:val="000000"/>
          <w:sz w:val="20"/>
          <w:szCs w:val="20"/>
        </w:rPr>
        <w:t>NOTES TO THE UNAUDITED CONDENSED CONSOLIDATED FINANCIAL STATEMENTS</w:t>
      </w:r>
    </w:p>
    <w:p w:rsidR="00000000" w:rsidRDefault="00755199">
      <w:pPr>
        <w:jc w:val="center"/>
        <w:rPr>
          <w:rFonts w:eastAsia="Times New Roman"/>
        </w:rPr>
      </w:pPr>
      <w:r>
        <w:rPr>
          <w:rFonts w:eastAsia="Times New Roman"/>
          <w:i/>
          <w:iCs/>
          <w:color w:val="000000"/>
          <w:sz w:val="20"/>
          <w:szCs w:val="20"/>
        </w:rPr>
        <w:t>(In thousands, except per share data) </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Avadel P</w:t>
      </w:r>
      <w:r>
        <w:rPr>
          <w:rFonts w:eastAsia="Times New Roman"/>
          <w:color w:val="000000"/>
          <w:sz w:val="20"/>
          <w:szCs w:val="20"/>
        </w:rPr>
        <w:t>harmaceuticals plc (Nasdaq: AVDL) (“Avadel,” the “Company,” “we,” “our,” or “us”) is a biopharmaceutical company. The Company is registered as an Irish public limited company. The Company’s headquarters are in Dublin, Ireland with operations in Dublin, Ire</w:t>
      </w:r>
      <w:r>
        <w:rPr>
          <w:rFonts w:eastAsia="Times New Roman"/>
          <w:color w:val="000000"/>
          <w:sz w:val="20"/>
          <w:szCs w:val="20"/>
        </w:rPr>
        <w:t>land and St. Louis, Missouri, United States (“U.S.”).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Company’s lead product candidate, LUMRYZ, also known as FT218, is an investigational once-at-bedtime, extended-release formulation of sodium oxybate for the treatment of cataplexy or excessive day</w:t>
      </w:r>
      <w:r>
        <w:rPr>
          <w:rFonts w:eastAsia="Times New Roman"/>
          <w:color w:val="000000"/>
          <w:sz w:val="20"/>
          <w:szCs w:val="20"/>
        </w:rPr>
        <w:t xml:space="preserve">time sleepiness (“EDS”) in adults with narcolepsy. On July 18, 2022, the U.S. Food and Drug Administration (“FDA”) granted tentative approval to LUMRYZ for this indication. Tentative approval indicates that LUMRYZ has met all required quality, safety, and </w:t>
      </w:r>
      <w:r>
        <w:rPr>
          <w:rFonts w:eastAsia="Times New Roman"/>
          <w:color w:val="000000"/>
          <w:sz w:val="20"/>
          <w:szCs w:val="20"/>
        </w:rPr>
        <w:t xml:space="preserve">efficacy standards necessary for approval in the U.S. The Company is primarily focused on obtaining final FDA approval of LUMRYZ.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A decision on final FDA approval of LUMRYZ is pending disposition of U.S. Patent No. 8731963 (the “REMS Patent”), which is </w:t>
      </w:r>
      <w:r>
        <w:rPr>
          <w:rFonts w:eastAsia="Times New Roman"/>
          <w:color w:val="000000"/>
          <w:sz w:val="20"/>
          <w:szCs w:val="20"/>
        </w:rPr>
        <w:t>listed in the FDA’s Orange Book. The decision on final FDA approval could occur on or about the expiration of the REMS Patent on June 17, 2023 or sooner if the patent is earlier removed from the FDA’s Orange Book or a court earlier determines that patent i</w:t>
      </w:r>
      <w:r>
        <w:rPr>
          <w:rFonts w:eastAsia="Times New Roman"/>
          <w:color w:val="000000"/>
          <w:sz w:val="20"/>
          <w:szCs w:val="20"/>
        </w:rPr>
        <w:t>s not infringed, invalid or otherwise unenforceable. The FDA’s tentative approval can be subject to change based on new information that may come to the FDA’s attention between such time as the tentative approval and potential final approval. The Company c</w:t>
      </w:r>
      <w:r>
        <w:rPr>
          <w:rFonts w:eastAsia="Times New Roman"/>
          <w:color w:val="000000"/>
          <w:sz w:val="20"/>
          <w:szCs w:val="20"/>
        </w:rPr>
        <w:t xml:space="preserve">annot legally market LUMRYZ in the U.S. until final approval is granted by the FDA.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Outside of the Company’s lead product candidate, the Company continues to evaluate opportunities to expand its product portfolio. As of the date of this Quarterly Report</w:t>
      </w:r>
      <w:r>
        <w:rPr>
          <w:rFonts w:eastAsia="Times New Roman"/>
          <w:color w:val="000000"/>
          <w:sz w:val="20"/>
          <w:szCs w:val="20"/>
        </w:rPr>
        <w:t>, the Company does not have any commercialized products in its portfolio.</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 xml:space="preserve">Liquidity and Going Concern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accompanying unaudited condensed consolidated financial statements are prepared in accordance with accounting principles generally accepted in th</w:t>
      </w:r>
      <w:r>
        <w:rPr>
          <w:rFonts w:eastAsia="Times New Roman"/>
          <w:color w:val="000000"/>
          <w:sz w:val="20"/>
          <w:szCs w:val="20"/>
        </w:rPr>
        <w:t>e U.S. (“U.S. GAAP”) applicable to a going concern, which contemplates the realization of assets and the satisfaction of liabilities in the normal course of business.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has a recent history of generating losses and negative cash flows from oper</w:t>
      </w:r>
      <w:r>
        <w:rPr>
          <w:rFonts w:eastAsia="Times New Roman"/>
          <w:color w:val="000000"/>
          <w:sz w:val="20"/>
          <w:szCs w:val="20"/>
        </w:rPr>
        <w:t>ations, an accumulated shareholders’ deficit as of the date of these unaudited condensed consolidated financial statements and approximately $60,715 of cash and cash equivalents and $45,760 of marketable securities available for use to fund its operations,</w:t>
      </w:r>
      <w:r>
        <w:rPr>
          <w:rFonts w:eastAsia="Times New Roman"/>
          <w:color w:val="000000"/>
          <w:sz w:val="20"/>
          <w:szCs w:val="20"/>
        </w:rPr>
        <w:t xml:space="preserve"> debt service and capital requirements. The Company’s ability to generate revenue is expected to start following the launch of LUMRYZ, which is dependent, in part, on final approval of LUMRYZ by the FDA. As of September 30, 2022, the Company has $26,375 ag</w:t>
      </w:r>
      <w:r>
        <w:rPr>
          <w:rFonts w:eastAsia="Times New Roman"/>
          <w:color w:val="000000"/>
          <w:sz w:val="20"/>
          <w:szCs w:val="20"/>
        </w:rPr>
        <w:t>gregate principal amount of its 4.50% exchangeable senior notes due February 2023 (the “February 2023 Notes”) and $117,375 aggregate principal amount of its 4.50% exchangeable senior notes due October 2023 (the “October 2023 Notes”) (together, the “2023 No</w:t>
      </w:r>
      <w:r>
        <w:rPr>
          <w:rFonts w:eastAsia="Times New Roman"/>
          <w:color w:val="000000"/>
          <w:sz w:val="20"/>
          <w:szCs w:val="20"/>
        </w:rPr>
        <w:t xml:space="preserve">tes”). The Company does not currently have sufficient available liquidity to repay the outstanding balance of the October 2023 Notes. These conditions and events raise substantial doubt about the Company’s ability to continue as a going concern within one </w:t>
      </w:r>
      <w:r>
        <w:rPr>
          <w:rFonts w:eastAsia="Times New Roman"/>
          <w:color w:val="000000"/>
          <w:sz w:val="20"/>
          <w:szCs w:val="20"/>
        </w:rPr>
        <w:t>year after the date that these unaudited condensed consolidated financial statements are issued.</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response to these conditions and events, the Company is evaluating various financing strategies to obtain sufficient additional liquidity to meet its oper</w:t>
      </w:r>
      <w:r>
        <w:rPr>
          <w:rFonts w:eastAsia="Times New Roman"/>
          <w:color w:val="000000"/>
          <w:sz w:val="20"/>
          <w:szCs w:val="20"/>
        </w:rPr>
        <w:t>ating, debt service and capital requirements for the next twelve months following the date of this Quarterly Report. The potential sources of financing that the Company is evaluating include one or any combination of royalty financing, secured or unsecured</w:t>
      </w:r>
      <w:r>
        <w:rPr>
          <w:rFonts w:eastAsia="Times New Roman"/>
          <w:color w:val="000000"/>
          <w:sz w:val="20"/>
          <w:szCs w:val="20"/>
        </w:rPr>
        <w:t xml:space="preserve"> debt, convertible debt and equity. In addition, the Company’s financing strategy could also include refinancing or negotiating new terms for the 2023 Notes. The Company also currently has authorized and available the use of its at-the-market offering prog</w:t>
      </w:r>
      <w:r>
        <w:rPr>
          <w:rFonts w:eastAsia="Times New Roman"/>
          <w:color w:val="000000"/>
          <w:sz w:val="20"/>
          <w:szCs w:val="20"/>
        </w:rPr>
        <w:t>ram (“ATM Program”), described in more detail below, which could provide the Company up to approximately $135,000 (as of September 30, 2022), net of commissions, if fully utilized. While the Company has the ability to utilize the ATM Program, it intends to</w:t>
      </w:r>
      <w:r>
        <w:rPr>
          <w:rFonts w:eastAsia="Times New Roman"/>
          <w:color w:val="000000"/>
          <w:sz w:val="20"/>
          <w:szCs w:val="20"/>
        </w:rPr>
        <w:t xml:space="preserve"> pursue the other financing strategies described above. Based on the Company’s ability to raise funds through the ATM Program, the Company has determined that it is probable that such proceeds would provide sufficient additional capital to meet the Company</w:t>
      </w:r>
      <w:r>
        <w:rPr>
          <w:rFonts w:eastAsia="Times New Roman"/>
          <w:color w:val="000000"/>
          <w:sz w:val="20"/>
          <w:szCs w:val="20"/>
        </w:rPr>
        <w:t>’s operating, debt service and capital requirements for the next twelve months following the date of this Quarterly Report. As a result, the Company has concluded that management’s plans are probable of being achieved to alleviate the substantial doubt abo</w:t>
      </w:r>
      <w:r>
        <w:rPr>
          <w:rFonts w:eastAsia="Times New Roman"/>
          <w:color w:val="000000"/>
          <w:sz w:val="20"/>
          <w:szCs w:val="20"/>
        </w:rPr>
        <w:t>ut the Company’s ability to continue as a going concern.</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sources of financing described above that could be available to the Company and the timing and probability of obtaining sufficient capital depends, in part, on obtaining final FDA approval of L</w:t>
      </w:r>
      <w:r>
        <w:rPr>
          <w:rFonts w:eastAsia="Times New Roman"/>
          <w:color w:val="000000"/>
          <w:sz w:val="20"/>
          <w:szCs w:val="20"/>
        </w:rPr>
        <w:t>UMRYZ, resolving any legal and regulatory matters that could preclude the Company from launching LUMRYZ and future capital market conditions. If the Company’s current assumptions regarding timing of potential final approval, the timing of the launch of LUM</w:t>
      </w:r>
      <w:r>
        <w:rPr>
          <w:rFonts w:eastAsia="Times New Roman"/>
          <w:color w:val="000000"/>
          <w:sz w:val="20"/>
          <w:szCs w:val="20"/>
        </w:rPr>
        <w:t xml:space="preserve">RYZ or if there are any other changes or differences in our current assumptions that negatively impact our financing strategy, the Company may have to further </w:t>
      </w:r>
    </w:p>
    <w:p w:rsidR="00000000" w:rsidRDefault="00755199">
      <w:pPr>
        <w:jc w:val="center"/>
        <w:divId w:val="1004625877"/>
        <w:rPr>
          <w:rFonts w:eastAsia="Times New Roman"/>
        </w:rPr>
      </w:pPr>
      <w:r>
        <w:rPr>
          <w:rFonts w:eastAsia="Times New Roman"/>
          <w:color w:val="000000"/>
          <w:sz w:val="20"/>
          <w:szCs w:val="20"/>
        </w:rPr>
        <w:t>- 10 -</w:t>
      </w:r>
    </w:p>
    <w:p w:rsidR="00000000" w:rsidRDefault="00755199">
      <w:pPr>
        <w:rPr>
          <w:rFonts w:eastAsia="Times New Roman"/>
        </w:rPr>
      </w:pPr>
      <w:r>
        <w:rPr>
          <w:rFonts w:eastAsia="Times New Roman"/>
        </w:rPr>
        <w:pict>
          <v:rect id="_x0000_i1035" style="width:0;height:1.5pt" o:hralign="center" o:hrstd="t" o:hr="t" fillcolor="#a0a0a0" stroked="f"/>
        </w:pict>
      </w:r>
    </w:p>
    <w:p w:rsidR="00000000" w:rsidRDefault="00755199">
      <w:pPr>
        <w:divId w:val="1769351925"/>
        <w:rPr>
          <w:rFonts w:eastAsia="Times New Roman"/>
        </w:rPr>
      </w:pPr>
    </w:p>
    <w:p w:rsidR="00000000" w:rsidRDefault="00755199">
      <w:pPr>
        <w:jc w:val="both"/>
        <w:rPr>
          <w:rFonts w:eastAsia="Times New Roman"/>
        </w:rPr>
      </w:pPr>
      <w:r>
        <w:rPr>
          <w:rFonts w:eastAsia="Times New Roman"/>
          <w:color w:val="000000"/>
          <w:sz w:val="20"/>
          <w:szCs w:val="20"/>
        </w:rPr>
        <w:t xml:space="preserve">reduce expenditures or significantly delay, scale back or discontinue the development or commercialization of LUMRYZ in order to extend its cash resources. </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At-the-Market Offering Program</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February 5, 2020, the C</w:t>
      </w:r>
      <w:r>
        <w:rPr>
          <w:rFonts w:eastAsia="Times New Roman"/>
          <w:color w:val="000000"/>
          <w:sz w:val="20"/>
          <w:szCs w:val="20"/>
        </w:rPr>
        <w:t>ompany entered into an Open Market Sale Agreemen</w:t>
      </w:r>
      <w:r>
        <w:rPr>
          <w:rFonts w:eastAsia="Times New Roman"/>
          <w:color w:val="000000"/>
          <w:sz w:val="20"/>
          <w:szCs w:val="20"/>
        </w:rPr>
        <w:t>t</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xml:space="preserve"> (the “Sales Agreement”) with Jefferies LLC (“Jefferies”) with respect to an ATM Program under which the Company may offer and sell its American Depositary Shares (“ADSs”, and such ADSs sold under the ATM </w:t>
      </w:r>
      <w:r>
        <w:rPr>
          <w:rFonts w:eastAsia="Times New Roman"/>
          <w:color w:val="000000"/>
          <w:sz w:val="20"/>
          <w:szCs w:val="20"/>
        </w:rPr>
        <w:t>Program, “ATM ADSs”) through Jefferies as its sales agent. The Company agreed to pay Jefferies a commission up to 3.0% of the aggregate gross sales proceeds of such ATM ADSs. The initial aggregate offering price of the ATM Program was up to $50,000 of ADSs</w:t>
      </w:r>
      <w:r>
        <w:rPr>
          <w:rFonts w:eastAsia="Times New Roman"/>
          <w:color w:val="000000"/>
          <w:sz w:val="20"/>
          <w:szCs w:val="20"/>
        </w:rPr>
        <w:t xml:space="preserve"> pursuant to its prospectus, dated February 14, 2020, included with the Company’s Registration Statement on Form S-3 (File No. 333-236258) (the “2020 Prospectus”). In August 2022, the Company filed an additional prospectus, dated September 12, 2022, includ</w:t>
      </w:r>
      <w:r>
        <w:rPr>
          <w:rFonts w:eastAsia="Times New Roman"/>
          <w:color w:val="000000"/>
          <w:sz w:val="20"/>
          <w:szCs w:val="20"/>
        </w:rPr>
        <w:t xml:space="preserve">ed with the Company’s new Registration Statement on Form S-3 (File No. 333-267198) (the “2022 Prospectus”), in order to allocate up to $100,000 in additional ADSs to the ATM Program.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As of September 30, 2022, the Company had issued and sold 1,768 ADSs, </w:t>
      </w:r>
      <w:r>
        <w:rPr>
          <w:rFonts w:eastAsia="Times New Roman"/>
          <w:color w:val="000000"/>
          <w:sz w:val="20"/>
          <w:szCs w:val="20"/>
        </w:rPr>
        <w:t xml:space="preserve">resulting in net proceeds to the Company of approximately $10,532, pursuant to the 2020 Prospectus. The Company may offer and sell up to an additional $39,142 of ADSs under the ATM Program that remain available for sale pursuant to the 2020 Prospectus and </w:t>
      </w:r>
      <w:r>
        <w:rPr>
          <w:rFonts w:eastAsia="Times New Roman"/>
          <w:color w:val="000000"/>
          <w:sz w:val="20"/>
          <w:szCs w:val="20"/>
        </w:rPr>
        <w:t>also up to $100,000 of ADSs available for sale under the ATM Program pursuant to the 2022 Prospectus.</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 unaudited condensed consolidated balance sheet as of September 30, 2022, which is derived from the prior year 2021 audited co</w:t>
      </w:r>
      <w:r>
        <w:rPr>
          <w:rFonts w:eastAsia="Times New Roman"/>
          <w:color w:val="000000"/>
          <w:sz w:val="20"/>
          <w:szCs w:val="20"/>
        </w:rPr>
        <w:t>nsolidated financial statements, and the interim unaudited condensed consolidated financial statements presented herein, have been prepared in accordance with U.S. GAAP, the requirements of Form 10-Q and Article 10 of Regulation S-X and, consequently, do n</w:t>
      </w:r>
      <w:r>
        <w:rPr>
          <w:rFonts w:eastAsia="Times New Roman"/>
          <w:color w:val="000000"/>
          <w:sz w:val="20"/>
          <w:szCs w:val="20"/>
        </w:rPr>
        <w:t>ot include all information or footnotes required by U.S. GAAP for complete financial statements or all the disclosures normally made in an Annual Report on Form 10-K. Accordingly, the unaudited condensed consolidated financial statements included herein sh</w:t>
      </w:r>
      <w:r>
        <w:rPr>
          <w:rFonts w:eastAsia="Times New Roman"/>
          <w:color w:val="000000"/>
          <w:sz w:val="20"/>
          <w:szCs w:val="20"/>
        </w:rPr>
        <w:t>ould be read in conjunction with the audited consolidated financial statements and footnotes included in the Company’s 2021 Annual Report on Form 10-K filed with the United States Securities and Exchange Commission (“SEC”) on March 16, 2022.</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unaudite</w:t>
      </w:r>
      <w:r>
        <w:rPr>
          <w:rFonts w:eastAsia="Times New Roman"/>
          <w:color w:val="000000"/>
          <w:sz w:val="20"/>
          <w:szCs w:val="20"/>
        </w:rPr>
        <w:t>d condensed consolidated financial statements include the accounts of the Company and subsidiaries, and reflect all adjustments (consisting only of normal recurring adjustments) that are, in the opinion of management, necessary for a fair presentation of t</w:t>
      </w:r>
      <w:r>
        <w:rPr>
          <w:rFonts w:eastAsia="Times New Roman"/>
          <w:color w:val="000000"/>
          <w:sz w:val="20"/>
          <w:szCs w:val="20"/>
        </w:rPr>
        <w:t>he Company’s financial position, results of operations and cash flows for the dates and periods presented. All intercompany accounts and transactions have been eliminated. Results for interim periods are not necessarily indicative of the results to be expe</w:t>
      </w:r>
      <w:r>
        <w:rPr>
          <w:rFonts w:eastAsia="Times New Roman"/>
          <w:color w:val="000000"/>
          <w:sz w:val="20"/>
          <w:szCs w:val="20"/>
        </w:rPr>
        <w:t xml:space="preserve">cted during the remainder of the current year or for any future period. </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NOTE 2: Fair Value Measurement</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is required to measure certain assets and liabilities at fair value, either upon initial recognition or for subsequent accounting or rep</w:t>
      </w:r>
      <w:r>
        <w:rPr>
          <w:rFonts w:eastAsia="Times New Roman"/>
          <w:color w:val="000000"/>
          <w:sz w:val="20"/>
          <w:szCs w:val="20"/>
        </w:rPr>
        <w:t>orting. For example, the Company uses fair value extensively when accounting for and reporting certain financial instruments, when measuring certain contingent consideration liabilities and in the initial recognition of net assets acquired in a business co</w:t>
      </w:r>
      <w:r>
        <w:rPr>
          <w:rFonts w:eastAsia="Times New Roman"/>
          <w:color w:val="000000"/>
          <w:sz w:val="20"/>
          <w:szCs w:val="20"/>
        </w:rPr>
        <w:t>mbination. Fair value is estimated by applying the hierarchy described below, which prioritizes the inputs used to measure fair value into three levels and bases the categorization within the hierarchy upon the lowest level of input that is available and s</w:t>
      </w:r>
      <w:r>
        <w:rPr>
          <w:rFonts w:eastAsia="Times New Roman"/>
          <w:color w:val="000000"/>
          <w:sz w:val="20"/>
          <w:szCs w:val="20"/>
        </w:rPr>
        <w:t>ignificant to the fair value measurement.</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ASC 820, </w:t>
      </w:r>
      <w:r>
        <w:rPr>
          <w:rFonts w:eastAsia="Times New Roman"/>
          <w:i/>
          <w:iCs/>
          <w:color w:val="000000"/>
          <w:sz w:val="20"/>
          <w:szCs w:val="20"/>
        </w:rPr>
        <w:t>Fair Value Measurements and Disclosures</w:t>
      </w:r>
      <w:r>
        <w:rPr>
          <w:rFonts w:eastAsia="Times New Roman"/>
          <w:color w:val="000000"/>
          <w:sz w:val="20"/>
          <w:szCs w:val="20"/>
        </w:rPr>
        <w:t>, defines fair value as a market-based measurement that should be determined based on the assumptions that marketplace participants would use in pricing an asset or</w:t>
      </w:r>
      <w:r>
        <w:rPr>
          <w:rFonts w:eastAsia="Times New Roman"/>
          <w:color w:val="000000"/>
          <w:sz w:val="20"/>
          <w:szCs w:val="20"/>
        </w:rPr>
        <w:t xml:space="preserve"> liability. When estimating fair value, depending on the nature and complexity of the asset or liability, the Company may generally use one or each of the following techniques: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•Income approach, which is based on the present value of a future stream of</w:t>
      </w:r>
      <w:r>
        <w:rPr>
          <w:rFonts w:eastAsia="Times New Roman"/>
          <w:color w:val="000000"/>
          <w:sz w:val="20"/>
          <w:szCs w:val="20"/>
        </w:rPr>
        <w:t xml:space="preserve"> net cash flows.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•Market approach, which is based on market prices and other information from market transactions involving identical or comparable assets or liabilities.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As a basis for considering the assumptions used in these techniques, the standar</w:t>
      </w:r>
      <w:r>
        <w:rPr>
          <w:rFonts w:eastAsia="Times New Roman"/>
          <w:color w:val="000000"/>
          <w:sz w:val="20"/>
          <w:szCs w:val="20"/>
        </w:rPr>
        <w:t>d establishes a three-tier fair value hierarchy which prioritizes the inputs used in measuring fair value as follows: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Level 1 - Quoted prices for identical assets or liabilities in active markets. </w:t>
      </w:r>
    </w:p>
    <w:p w:rsidR="00000000" w:rsidRDefault="00755199">
      <w:pPr>
        <w:jc w:val="both"/>
        <w:rPr>
          <w:rFonts w:eastAsia="Times New Roman"/>
        </w:rPr>
      </w:pPr>
    </w:p>
    <w:p w:rsidR="00000000" w:rsidRDefault="00755199">
      <w:pPr>
        <w:jc w:val="center"/>
        <w:divId w:val="28143917"/>
        <w:rPr>
          <w:rFonts w:eastAsia="Times New Roman"/>
        </w:rPr>
      </w:pPr>
      <w:r>
        <w:rPr>
          <w:rFonts w:eastAsia="Times New Roman"/>
          <w:color w:val="000000"/>
          <w:sz w:val="20"/>
          <w:szCs w:val="20"/>
        </w:rPr>
        <w:t>- 11 -</w:t>
      </w:r>
    </w:p>
    <w:p w:rsidR="00000000" w:rsidRDefault="00755199">
      <w:pPr>
        <w:rPr>
          <w:rFonts w:eastAsia="Times New Roman"/>
        </w:rPr>
      </w:pPr>
      <w:r>
        <w:rPr>
          <w:rFonts w:eastAsia="Times New Roman"/>
        </w:rPr>
        <w:pict>
          <v:rect id="_x0000_i1036" style="width:0;height:1.5pt" o:hralign="center" o:hrstd="t" o:hr="t" fillcolor="#a0a0a0" stroked="f"/>
        </w:pict>
      </w:r>
    </w:p>
    <w:p w:rsidR="00000000" w:rsidRDefault="00755199">
      <w:pPr>
        <w:divId w:val="456533981"/>
        <w:rPr>
          <w:rFonts w:eastAsia="Times New Roman"/>
        </w:rPr>
      </w:pPr>
    </w:p>
    <w:p w:rsidR="00000000" w:rsidRDefault="00755199">
      <w:pPr>
        <w:ind w:hanging="360"/>
        <w:jc w:val="both"/>
        <w:rPr>
          <w:rFonts w:eastAsia="Times New Roman"/>
        </w:rPr>
      </w:pPr>
      <w:r>
        <w:rPr>
          <w:rFonts w:eastAsia="Times New Roman"/>
          <w:color w:val="000000"/>
          <w:sz w:val="20"/>
          <w:szCs w:val="20"/>
        </w:rPr>
        <w:t xml:space="preserve">•Level 2 - Quoted prices for similar assets or liabilities in active markets, or quoted prices for identical or similar assets or liabilities in markets that are not active, or inputs other than quoted prices that are </w:t>
      </w:r>
      <w:r>
        <w:rPr>
          <w:rFonts w:eastAsia="Times New Roman"/>
          <w:color w:val="000000"/>
          <w:sz w:val="20"/>
          <w:szCs w:val="20"/>
        </w:rPr>
        <w:t xml:space="preserve">directly or indirectly observable, or inputs that are derived principally from, or corroborated by, observable market data by correlation or other means.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 xml:space="preserve">•Level 3 - Unobservable inputs that reflect estimates and assumptions.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following table summa</w:t>
      </w:r>
      <w:r>
        <w:rPr>
          <w:rFonts w:eastAsia="Times New Roman"/>
          <w:color w:val="000000"/>
          <w:sz w:val="20"/>
          <w:szCs w:val="20"/>
        </w:rPr>
        <w:t>rizes the financial instruments measured at fair value on a recurring basis classified in the fair value hierarchy (Level 1, 2 or 3) based on the inputs used for valuation in the accompanying unaudited condensed consolidated balance sheets:</w:t>
      </w:r>
    </w:p>
    <w:p w:rsidR="00000000" w:rsidRDefault="00755199">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1"/>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trPr>
          <w:divId w:val="1043748551"/>
        </w:trPr>
        <w:tc>
          <w:tcPr>
            <w:tcW w:w="50" w:type="pct"/>
            <w:vAlign w:val="center"/>
            <w:hideMark/>
          </w:tcPr>
          <w:p w:rsidR="00000000" w:rsidRDefault="00755199">
            <w:pPr>
              <w:jc w:val="both"/>
              <w:rPr>
                <w:rFonts w:eastAsia="Times New Roman"/>
              </w:rPr>
            </w:pPr>
          </w:p>
        </w:tc>
        <w:tc>
          <w:tcPr>
            <w:tcW w:w="1782"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1043748551"/>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As of 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As of December 31, 2021</w:t>
            </w:r>
          </w:p>
        </w:tc>
      </w:tr>
      <w:tr w:rsidR="00000000">
        <w:trPr>
          <w:divId w:val="1043748551"/>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Level 3</w:t>
            </w:r>
          </w:p>
        </w:tc>
      </w:tr>
      <w:tr w:rsidR="00000000">
        <w:trPr>
          <w:divId w:val="104374855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043748551"/>
        </w:trPr>
        <w:tc>
          <w:tcPr>
            <w:tcW w:w="0" w:type="auto"/>
            <w:gridSpan w:val="3"/>
            <w:tcMar>
              <w:top w:w="30" w:type="dxa"/>
              <w:left w:w="20" w:type="dxa"/>
              <w:bottom w:w="30" w:type="dxa"/>
              <w:right w:w="20" w:type="dxa"/>
            </w:tcMar>
            <w:vAlign w:val="bottom"/>
            <w:hideMark/>
          </w:tcPr>
          <w:p w:rsidR="00000000" w:rsidRDefault="00755199">
            <w:pPr>
              <w:spacing w:after="100"/>
              <w:divId w:val="812454565"/>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3</w:t>
            </w: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043748551"/>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31,481 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43748551"/>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9,178 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43748551"/>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3,458 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43748551"/>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1,643 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43748551"/>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31,481 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14,279 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78,098 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28,415 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certain financial assets or liabilities. During the p</w:t>
      </w:r>
      <w:r>
        <w:rPr>
          <w:rFonts w:eastAsia="Times New Roman"/>
          <w:color w:val="000000"/>
          <w:sz w:val="20"/>
          <w:szCs w:val="20"/>
        </w:rPr>
        <w:t>eriods ended September 30, 2022 and December 31, 2021, respectively, there were no transfers in and out of Level 3. During the three and nine months ended September 30, 2022 and 2021, respectively, the Company did not recognize any allowances for credit lo</w:t>
      </w:r>
      <w:r>
        <w:rPr>
          <w:rFonts w:eastAsia="Times New Roman"/>
          <w:color w:val="000000"/>
          <w:sz w:val="20"/>
          <w:szCs w:val="20"/>
        </w:rPr>
        <w:t xml:space="preserve">sses.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Some of the Company’s financial instruments, such as cash and cash equivalents and accounts payable, are reflected in the balance sheet at carrying value, which approximates fair value due to their short-term nature. </w:t>
      </w:r>
    </w:p>
    <w:p w:rsidR="00000000" w:rsidRDefault="00755199">
      <w:pPr>
        <w:divId w:val="646712925"/>
        <w:rPr>
          <w:rFonts w:eastAsia="Times New Roman"/>
        </w:rPr>
      </w:pPr>
    </w:p>
    <w:p w:rsidR="00000000" w:rsidRDefault="00755199">
      <w:pPr>
        <w:divId w:val="615327818"/>
        <w:rPr>
          <w:rFonts w:eastAsia="Times New Roman"/>
        </w:rPr>
      </w:pPr>
      <w:r>
        <w:rPr>
          <w:rFonts w:eastAsia="Times New Roman"/>
          <w:b/>
          <w:bCs/>
          <w:i/>
          <w:iCs/>
          <w:color w:val="000000"/>
          <w:sz w:val="20"/>
          <w:szCs w:val="20"/>
        </w:rPr>
        <w:t>Debt</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estimate</w:t>
      </w:r>
      <w:r>
        <w:rPr>
          <w:rFonts w:eastAsia="Times New Roman"/>
          <w:color w:val="000000"/>
          <w:sz w:val="20"/>
          <w:szCs w:val="20"/>
        </w:rPr>
        <w:t>s the fair value of its $26,375 aggregate principal amount of its February 2023 Notes and its $117,375 aggregate principal amount of its October 2023 Notes based on interest rates that would be currently available to the Company for issuance of similar typ</w:t>
      </w:r>
      <w:r>
        <w:rPr>
          <w:rFonts w:eastAsia="Times New Roman"/>
          <w:color w:val="000000"/>
          <w:sz w:val="20"/>
          <w:szCs w:val="20"/>
        </w:rPr>
        <w:t>es of debt instruments with similar terms and remaining maturities or recent trading prices obtained from brokers (a Level 2 input). The estimated fair values of the February 2023 Notes and the October 2023 Notes at September 30, 2022 are $25,584 and $101,</w:t>
      </w:r>
      <w:r>
        <w:rPr>
          <w:rFonts w:eastAsia="Times New Roman"/>
          <w:color w:val="000000"/>
          <w:sz w:val="20"/>
          <w:szCs w:val="20"/>
        </w:rPr>
        <w:t xml:space="preserve">970, respectively. See </w:t>
      </w:r>
      <w:r>
        <w:rPr>
          <w:rFonts w:eastAsia="Times New Roman"/>
          <w:i/>
          <w:iCs/>
          <w:color w:val="000000"/>
          <w:sz w:val="20"/>
          <w:szCs w:val="20"/>
        </w:rPr>
        <w:t>Note 4: Long-Term Debt</w:t>
      </w:r>
      <w:r>
        <w:rPr>
          <w:rFonts w:eastAsia="Times New Roman"/>
          <w:color w:val="000000"/>
          <w:sz w:val="20"/>
          <w:szCs w:val="20"/>
        </w:rPr>
        <w:t xml:space="preserve"> for additional information regarding the Company’s debt obligations.</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NOTE 3:</w:t>
      </w:r>
      <w:r>
        <w:rPr>
          <w:rFonts w:eastAsia="Times New Roman"/>
          <w:color w:val="000000"/>
          <w:sz w:val="20"/>
          <w:szCs w:val="20"/>
        </w:rPr>
        <w:t xml:space="preserve"> </w:t>
      </w:r>
      <w:r>
        <w:rPr>
          <w:rFonts w:eastAsia="Times New Roman"/>
          <w:b/>
          <w:bCs/>
          <w:color w:val="000000"/>
          <w:sz w:val="20"/>
          <w:szCs w:val="20"/>
        </w:rPr>
        <w:t>Marketable Securities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has investments in available-for-sale debt securities which are recorded at fair market value. The change in the fair value of available-for-sale debt investments is recorded as accumulated other comprehensive loss in shareholders’ (deficit) eq</w:t>
      </w:r>
      <w:r>
        <w:rPr>
          <w:rFonts w:eastAsia="Times New Roman"/>
          <w:color w:val="000000"/>
          <w:sz w:val="20"/>
          <w:szCs w:val="20"/>
        </w:rPr>
        <w:t xml:space="preserve">uity, net of income tax effects. As of September 30, 2022, the Company considered any decreases in fair value on its marketable securities to be driven by factors other than credit risk, including market risk. </w:t>
      </w:r>
    </w:p>
    <w:p w:rsidR="00000000" w:rsidRDefault="00755199">
      <w:pPr>
        <w:jc w:val="both"/>
        <w:rPr>
          <w:rFonts w:eastAsia="Times New Roman"/>
        </w:rPr>
      </w:pPr>
    </w:p>
    <w:p w:rsidR="00000000" w:rsidRDefault="00755199">
      <w:pPr>
        <w:jc w:val="center"/>
        <w:divId w:val="989292737"/>
        <w:rPr>
          <w:rFonts w:eastAsia="Times New Roman"/>
        </w:rPr>
      </w:pPr>
      <w:r>
        <w:rPr>
          <w:rFonts w:eastAsia="Times New Roman"/>
          <w:color w:val="000000"/>
          <w:sz w:val="20"/>
          <w:szCs w:val="20"/>
        </w:rPr>
        <w:t>- 12 -</w:t>
      </w:r>
    </w:p>
    <w:p w:rsidR="00000000" w:rsidRDefault="00755199">
      <w:pPr>
        <w:rPr>
          <w:rFonts w:eastAsia="Times New Roman"/>
        </w:rPr>
      </w:pPr>
      <w:r>
        <w:rPr>
          <w:rFonts w:eastAsia="Times New Roman"/>
        </w:rPr>
        <w:pict>
          <v:rect id="_x0000_i1037" style="width:0;height:1.5pt" o:hralign="center" o:hrstd="t" o:hr="t" fillcolor="#a0a0a0" stroked="f"/>
        </w:pict>
      </w:r>
    </w:p>
    <w:p w:rsidR="00000000" w:rsidRDefault="00755199">
      <w:pPr>
        <w:divId w:val="2108652012"/>
        <w:rPr>
          <w:rFonts w:eastAsia="Times New Roman"/>
        </w:rPr>
      </w:pPr>
    </w:p>
    <w:p w:rsidR="00000000" w:rsidRDefault="00755199">
      <w:pPr>
        <w:jc w:val="both"/>
        <w:rPr>
          <w:rFonts w:eastAsia="Times New Roman"/>
        </w:rPr>
      </w:pPr>
      <w:r>
        <w:rPr>
          <w:rFonts w:eastAsia="Times New Roman"/>
          <w:color w:val="000000"/>
          <w:sz w:val="20"/>
          <w:szCs w:val="20"/>
        </w:rPr>
        <w:t>The following tables show the Company’s available-for-sale securities’ adjusted cost, gross unrealized gains, gross unrealized losses and fair value by significant investment category as of September 30, 2022 and December 31, 2021, respectively:</w:t>
      </w:r>
    </w:p>
    <w:p w:rsidR="00000000" w:rsidRDefault="00755199">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1"/>
        <w:gridCol w:w="840"/>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c>
          <w:tcPr>
            <w:tcW w:w="50" w:type="pct"/>
            <w:vAlign w:val="center"/>
            <w:hideMark/>
          </w:tcPr>
          <w:p w:rsidR="00000000" w:rsidRDefault="00755199">
            <w:pPr>
              <w:jc w:val="both"/>
              <w:rPr>
                <w:rFonts w:eastAsia="Times New Roman"/>
              </w:rPr>
            </w:pPr>
          </w:p>
        </w:tc>
        <w:tc>
          <w:tcPr>
            <w:tcW w:w="233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32,922 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(1,661)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31,481 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9,885 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(707)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9,178 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3,827 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(369)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3,458 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1,691 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1,643 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48,325 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(2,785)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45,760 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both"/>
        <w:rPr>
          <w:rFonts w:eastAsia="Times New Roman"/>
          <w:vanish/>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c>
          <w:tcPr>
            <w:tcW w:w="50" w:type="pct"/>
            <w:vAlign w:val="center"/>
            <w:hideMark/>
          </w:tcPr>
          <w:p w:rsidR="00000000" w:rsidRDefault="00755199">
            <w:pPr>
              <w:jc w:val="both"/>
              <w:rPr>
                <w:rFonts w:eastAsia="Times New Roman"/>
              </w:rPr>
            </w:pPr>
          </w:p>
        </w:tc>
        <w:tc>
          <w:tcPr>
            <w:tcW w:w="233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78,331 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(1,046)</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16,478 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9,530 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2,473 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106,812 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106,513 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determines realized gains or losses on the sale of marketable securities on a specific identification method. The Company reflects these gains and losses as a component of investment and other income, ne</w:t>
      </w:r>
      <w:r>
        <w:rPr>
          <w:rFonts w:eastAsia="Times New Roman"/>
          <w:color w:val="000000"/>
          <w:sz w:val="20"/>
          <w:szCs w:val="20"/>
        </w:rPr>
        <w:t>t in the accompanying unaudited condensed consolidated statements of loss.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recognized gross realized gains of $64 and $22 for the three months ended September 30, 2022 and 2021, respectively. These realized gains were offset by gross realized</w:t>
      </w:r>
      <w:r>
        <w:rPr>
          <w:rFonts w:eastAsia="Times New Roman"/>
          <w:color w:val="000000"/>
          <w:sz w:val="20"/>
          <w:szCs w:val="20"/>
        </w:rPr>
        <w:t xml:space="preserve"> losses of $61 and $66 for the three months ended September 30, 2022 and 2021, respectively. We recognized gross realized gains of $372 and $74 for the nine months ended September 30, 2022 and 2021, respectively. These realized gains were offset by gross r</w:t>
      </w:r>
      <w:r>
        <w:rPr>
          <w:rFonts w:eastAsia="Times New Roman"/>
          <w:color w:val="000000"/>
          <w:sz w:val="20"/>
          <w:szCs w:val="20"/>
        </w:rPr>
        <w:t>ealized losses of $1,092 and $173 for the nine months ended September 30, 2022 and 2021, respectively.</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following table summarizes the estimated fair value of the Company’s investments in marketable debt securities, accounted for as available-for-sale</w:t>
      </w:r>
      <w:r>
        <w:rPr>
          <w:rFonts w:eastAsia="Times New Roman"/>
          <w:color w:val="000000"/>
          <w:sz w:val="20"/>
          <w:szCs w:val="20"/>
        </w:rPr>
        <w:t xml:space="preserve"> debt securities and classified by the contractual maturity date of the securities as of September 30, 2022:</w:t>
      </w:r>
    </w:p>
    <w:p w:rsidR="00000000" w:rsidRDefault="00755199">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8"/>
        <w:gridCol w:w="36"/>
        <w:gridCol w:w="36"/>
        <w:gridCol w:w="36"/>
        <w:gridCol w:w="36"/>
        <w:gridCol w:w="111"/>
        <w:gridCol w:w="840"/>
        <w:gridCol w:w="36"/>
        <w:gridCol w:w="36"/>
        <w:gridCol w:w="36"/>
        <w:gridCol w:w="36"/>
        <w:gridCol w:w="111"/>
        <w:gridCol w:w="840"/>
        <w:gridCol w:w="36"/>
        <w:gridCol w:w="36"/>
        <w:gridCol w:w="36"/>
        <w:gridCol w:w="36"/>
        <w:gridCol w:w="110"/>
        <w:gridCol w:w="842"/>
        <w:gridCol w:w="36"/>
      </w:tblGrid>
      <w:tr w:rsidR="00000000">
        <w:tc>
          <w:tcPr>
            <w:tcW w:w="50" w:type="pct"/>
            <w:vAlign w:val="center"/>
            <w:hideMark/>
          </w:tcPr>
          <w:p w:rsidR="00000000" w:rsidRDefault="00755199">
            <w:pPr>
              <w:jc w:val="both"/>
              <w:rPr>
                <w:rFonts w:eastAsia="Times New Roman"/>
              </w:rPr>
            </w:pPr>
          </w:p>
        </w:tc>
        <w:tc>
          <w:tcPr>
            <w:tcW w:w="1677"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2"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Maturities</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Total</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1,602 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7,576 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9,178 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1,992 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866 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3,458 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1,451 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1,643 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14,279 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has classified its investment in available-for-sale marketable debt securities as current assets in the consolidated balance sheets as the securities need to be available for use, if required, to fund curre</w:t>
      </w:r>
      <w:r>
        <w:rPr>
          <w:rFonts w:eastAsia="Times New Roman"/>
          <w:color w:val="000000"/>
          <w:sz w:val="20"/>
          <w:szCs w:val="20"/>
        </w:rPr>
        <w:t>nt operations. There are no restrictions on the sale of any securities in the Company’s investment portfolio.</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The following table shows the gross unrealized losses and fair value of the Company’s available-for-sale debt securities at September 30, 2022. </w:t>
      </w:r>
      <w:r>
        <w:rPr>
          <w:rFonts w:eastAsia="Times New Roman"/>
          <w:color w:val="000000"/>
          <w:sz w:val="20"/>
          <w:szCs w:val="20"/>
        </w:rPr>
        <w:t>The unrealized losses in the table below are driven by factors other than credit risk. The Company does not intend to sell the investments and it is not more likely than not that it will be required to sell the investments before recovery of their amortize</w:t>
      </w:r>
      <w:r>
        <w:rPr>
          <w:rFonts w:eastAsia="Times New Roman"/>
          <w:color w:val="000000"/>
          <w:sz w:val="20"/>
          <w:szCs w:val="20"/>
        </w:rPr>
        <w:t>d cost bases.</w:t>
      </w:r>
    </w:p>
    <w:p w:rsidR="00000000" w:rsidRDefault="00755199">
      <w:pPr>
        <w:jc w:val="both"/>
        <w:rPr>
          <w:rFonts w:eastAsia="Times New Roman"/>
        </w:rPr>
      </w:pPr>
    </w:p>
    <w:p w:rsidR="00000000" w:rsidRDefault="00755199">
      <w:pPr>
        <w:jc w:val="center"/>
        <w:divId w:val="1692224336"/>
        <w:rPr>
          <w:rFonts w:eastAsia="Times New Roman"/>
        </w:rPr>
      </w:pPr>
      <w:r>
        <w:rPr>
          <w:rFonts w:eastAsia="Times New Roman"/>
          <w:color w:val="000000"/>
          <w:sz w:val="20"/>
          <w:szCs w:val="20"/>
        </w:rPr>
        <w:t>- 13 -</w:t>
      </w:r>
    </w:p>
    <w:p w:rsidR="00000000" w:rsidRDefault="00755199">
      <w:pPr>
        <w:rPr>
          <w:rFonts w:eastAsia="Times New Roman"/>
        </w:rPr>
      </w:pPr>
      <w:r>
        <w:rPr>
          <w:rFonts w:eastAsia="Times New Roman"/>
        </w:rPr>
        <w:pict>
          <v:rect id="_x0000_i1038" style="width:0;height:1.5pt" o:hralign="center" o:hrstd="t" o:hr="t" fillcolor="#a0a0a0" stroked="f"/>
        </w:pict>
      </w:r>
    </w:p>
    <w:p w:rsidR="00000000" w:rsidRDefault="00755199">
      <w:pPr>
        <w:divId w:val="12980276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311"/>
        <w:gridCol w:w="37"/>
        <w:gridCol w:w="36"/>
        <w:gridCol w:w="36"/>
        <w:gridCol w:w="36"/>
        <w:gridCol w:w="110"/>
        <w:gridCol w:w="658"/>
        <w:gridCol w:w="36"/>
        <w:gridCol w:w="36"/>
        <w:gridCol w:w="36"/>
        <w:gridCol w:w="36"/>
        <w:gridCol w:w="111"/>
        <w:gridCol w:w="791"/>
        <w:gridCol w:w="36"/>
        <w:gridCol w:w="36"/>
        <w:gridCol w:w="36"/>
        <w:gridCol w:w="36"/>
        <w:gridCol w:w="110"/>
        <w:gridCol w:w="681"/>
        <w:gridCol w:w="36"/>
        <w:gridCol w:w="36"/>
        <w:gridCol w:w="36"/>
        <w:gridCol w:w="36"/>
        <w:gridCol w:w="111"/>
        <w:gridCol w:w="791"/>
        <w:gridCol w:w="36"/>
        <w:gridCol w:w="36"/>
        <w:gridCol w:w="36"/>
        <w:gridCol w:w="36"/>
        <w:gridCol w:w="110"/>
        <w:gridCol w:w="681"/>
        <w:gridCol w:w="36"/>
        <w:gridCol w:w="36"/>
        <w:gridCol w:w="36"/>
        <w:gridCol w:w="36"/>
        <w:gridCol w:w="111"/>
        <w:gridCol w:w="791"/>
        <w:gridCol w:w="36"/>
      </w:tblGrid>
      <w:tr w:rsidR="00000000">
        <w:tc>
          <w:tcPr>
            <w:tcW w:w="50" w:type="pct"/>
            <w:vAlign w:val="center"/>
            <w:hideMark/>
          </w:tcPr>
          <w:p w:rsidR="00000000" w:rsidRDefault="00755199">
            <w:pPr>
              <w:rPr>
                <w:rFonts w:eastAsia="Times New Roman"/>
              </w:rPr>
            </w:pPr>
          </w:p>
        </w:tc>
        <w:tc>
          <w:tcPr>
            <w:tcW w:w="146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9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9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9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9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9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9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Less than 12 months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Greater than 12 months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Total</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Unrealized Losses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Unrealized Losses</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Unrealized Losses</w:t>
            </w:r>
          </w:p>
        </w:tc>
      </w:tr>
      <w:tr w:rsidR="00000000">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2,914 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1,042 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2,416 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306 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3,458 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369 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1,065 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1,643 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8,371 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14,279 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both"/>
        <w:rPr>
          <w:rFonts w:eastAsia="Times New Roman"/>
        </w:rPr>
      </w:pPr>
    </w:p>
    <w:p w:rsidR="00000000" w:rsidRDefault="00755199">
      <w:pPr>
        <w:divId w:val="957874321"/>
        <w:rPr>
          <w:rFonts w:eastAsia="Times New Roman"/>
        </w:rPr>
      </w:pPr>
      <w:r>
        <w:rPr>
          <w:rFonts w:eastAsia="Times New Roman"/>
          <w:b/>
          <w:bCs/>
          <w:color w:val="000000"/>
          <w:sz w:val="20"/>
          <w:szCs w:val="20"/>
        </w:rPr>
        <w:t>NOTE 4: Long-Term Debt</w:t>
      </w:r>
    </w:p>
    <w:p w:rsidR="00000000" w:rsidRDefault="00755199">
      <w:pPr>
        <w:divId w:val="1425421899"/>
        <w:rPr>
          <w:rFonts w:eastAsia="Times New Roman"/>
        </w:rPr>
      </w:pPr>
    </w:p>
    <w:p w:rsidR="00000000" w:rsidRDefault="00755199">
      <w:pPr>
        <w:divId w:val="2019427917"/>
        <w:rPr>
          <w:rFonts w:eastAsia="Times New Roman"/>
        </w:rPr>
      </w:pPr>
      <w:r>
        <w:rPr>
          <w:rFonts w:eastAsia="Times New Roman"/>
          <w:color w:val="000000"/>
          <w:sz w:val="20"/>
          <w:szCs w:val="20"/>
        </w:rPr>
        <w:t>Long-term debt is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4787"/>
        <w:gridCol w:w="36"/>
        <w:gridCol w:w="36"/>
        <w:gridCol w:w="36"/>
        <w:gridCol w:w="36"/>
        <w:gridCol w:w="111"/>
        <w:gridCol w:w="1448"/>
        <w:gridCol w:w="36"/>
        <w:gridCol w:w="36"/>
        <w:gridCol w:w="36"/>
        <w:gridCol w:w="36"/>
        <w:gridCol w:w="111"/>
        <w:gridCol w:w="1448"/>
        <w:gridCol w:w="36"/>
      </w:tblGrid>
      <w:tr w:rsidR="00000000">
        <w:trPr>
          <w:divId w:val="1670400677"/>
          <w:jc w:val="center"/>
        </w:trPr>
        <w:tc>
          <w:tcPr>
            <w:tcW w:w="50" w:type="pct"/>
            <w:vAlign w:val="center"/>
            <w:hideMark/>
          </w:tcPr>
          <w:p w:rsidR="00000000" w:rsidRDefault="00755199">
            <w:pPr>
              <w:rPr>
                <w:rFonts w:eastAsia="Times New Roman"/>
              </w:rPr>
            </w:pPr>
          </w:p>
        </w:tc>
        <w:tc>
          <w:tcPr>
            <w:tcW w:w="2918"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92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921"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1670400677"/>
          <w:jc w:val="center"/>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rPr>
          <w:divId w:val="1670400677"/>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046221250"/>
              <w:rPr>
                <w:rFonts w:eastAsia="Times New Roman"/>
              </w:rPr>
            </w:pPr>
            <w:r>
              <w:rPr>
                <w:rFonts w:eastAsia="Times New Roman"/>
                <w:color w:val="000000"/>
                <w:sz w:val="18"/>
                <w:szCs w:val="18"/>
              </w:rPr>
              <w:t>Principal amount of 4.50% exchangeable senior notes due February 2023</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70400677"/>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1107311528"/>
              <w:rPr>
                <w:rFonts w:eastAsia="Times New Roman"/>
              </w:rPr>
            </w:pPr>
            <w:r>
              <w:rPr>
                <w:rFonts w:eastAsia="Times New Roman"/>
                <w:color w:val="000000"/>
                <w:sz w:val="18"/>
                <w:szCs w:val="18"/>
              </w:rPr>
              <w:t>Principal amount of 4.50% exchangeable senior notes due October 2023</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117,375 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70400677"/>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(7,517)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(1,353)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70400677"/>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carrying amount of debt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136,233 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70400677"/>
          <w:jc w:val="center"/>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divId w:val="1670400677"/>
          <w:jc w:val="center"/>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divId w:val="1670400677"/>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021006871"/>
              <w:rPr>
                <w:rFonts w:eastAsia="Times New Roman"/>
              </w:rPr>
            </w:pPr>
            <w:r>
              <w:rPr>
                <w:rFonts w:eastAsia="Times New Roman"/>
                <w:color w:val="000000"/>
                <w:sz w:val="18"/>
                <w:szCs w:val="18"/>
              </w:rPr>
              <w:t xml:space="preserve">Less: current maturities, net of $76 </w:t>
            </w:r>
            <w:r>
              <w:rPr>
                <w:rFonts w:eastAsia="Times New Roman"/>
                <w:color w:val="000000"/>
                <w:sz w:val="18"/>
                <w:szCs w:val="18"/>
              </w:rPr>
              <w:t>unamortized debt discount and issuance costs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26,299 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70400677"/>
          <w:jc w:val="center"/>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Long-term debt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109,934 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70400677"/>
          <w:jc w:val="center"/>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divId w:val="1670400677"/>
          <w:jc w:val="center"/>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divId w:val="1670400677"/>
          <w:jc w:val="center"/>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bl>
    <w:p w:rsidR="00000000" w:rsidRDefault="00755199">
      <w:pPr>
        <w:jc w:val="center"/>
        <w:rPr>
          <w:rFonts w:eastAsia="Times New Roman"/>
        </w:rPr>
      </w:pPr>
    </w:p>
    <w:p w:rsidR="00000000" w:rsidRDefault="00755199">
      <w:pPr>
        <w:jc w:val="both"/>
        <w:rPr>
          <w:rFonts w:eastAsia="Times New Roman"/>
        </w:rPr>
      </w:pPr>
      <w:r>
        <w:rPr>
          <w:rFonts w:eastAsia="Times New Roman"/>
          <w:color w:val="000000"/>
          <w:sz w:val="20"/>
          <w:szCs w:val="20"/>
        </w:rPr>
        <w:t>For the three months ended September 30, 2022 and 2021, the total interest expense was $3,564 and $1,929, respectively, with coupon interest expense of $1,646 and $1,617 for each period, respectively, and the amortization of debt issuance costs and deb</w:t>
      </w:r>
      <w:r>
        <w:rPr>
          <w:rFonts w:eastAsia="Times New Roman"/>
          <w:color w:val="000000"/>
          <w:sz w:val="20"/>
          <w:szCs w:val="20"/>
        </w:rPr>
        <w:t xml:space="preserve">t discount, totaling $1,918 and $312 for each period, respectively.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For the nine months ended September 30, 2022 and 2021, the total interest expense was $9,087 and $5,788, respectively, with coupon interest expense of $4,852 and $4,851 for each period,</w:t>
      </w:r>
      <w:r>
        <w:rPr>
          <w:rFonts w:eastAsia="Times New Roman"/>
          <w:color w:val="000000"/>
          <w:sz w:val="20"/>
          <w:szCs w:val="20"/>
        </w:rPr>
        <w:t xml:space="preserve"> respectively, and the amortization of debt issuance costs and debt discount of $4,147 and $937 for each period, respectively. Current period interest expense also includes $88 of additional interest expense owed to be in compliance with certain terms of t</w:t>
      </w:r>
      <w:r>
        <w:rPr>
          <w:rFonts w:eastAsia="Times New Roman"/>
          <w:color w:val="000000"/>
          <w:sz w:val="20"/>
          <w:szCs w:val="20"/>
        </w:rPr>
        <w:t xml:space="preserve">he February 2023 Notes indenture and is not applicable to future periods.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February 16, 2018, Avadel Finance Cayman Limited, a Cayman Islands exempted company and an indirect wholly-owned subsidiary of the Company (the “Issuer”), issued $125,000 aggre</w:t>
      </w:r>
      <w:r>
        <w:rPr>
          <w:rFonts w:eastAsia="Times New Roman"/>
          <w:color w:val="000000"/>
          <w:sz w:val="20"/>
          <w:szCs w:val="20"/>
        </w:rPr>
        <w:t>gate principal amount of its February 2023 Notes in a private placement (the “Offering”) to qualified institutional buyers pursuant to Rule 144A under the Securities Act. In connection with the Offering, the Issuer granted the initial purchasers of the Feb</w:t>
      </w:r>
      <w:r>
        <w:rPr>
          <w:rFonts w:eastAsia="Times New Roman"/>
          <w:color w:val="000000"/>
          <w:sz w:val="20"/>
          <w:szCs w:val="20"/>
        </w:rPr>
        <w:t>ruary 2023 Notes a 30-day option to purchase up to an additional $18,750 aggregate principal amount of the February 2023 Notes, which was fully exercised on February 16, 2018. Net proceeds received by the Company, after issuance costs and discounts, were a</w:t>
      </w:r>
      <w:r>
        <w:rPr>
          <w:rFonts w:eastAsia="Times New Roman"/>
          <w:color w:val="000000"/>
          <w:sz w:val="20"/>
          <w:szCs w:val="20"/>
        </w:rPr>
        <w:t>pproximately $137,560. The February 2023 Notes are the Company’s senior unsecured obligations and rank equally in right of payment with all of the Company’s existing and future senior unsecured indebtedness and effectively junior to any of the Company’s ex</w:t>
      </w:r>
      <w:r>
        <w:rPr>
          <w:rFonts w:eastAsia="Times New Roman"/>
          <w:color w:val="000000"/>
          <w:sz w:val="20"/>
          <w:szCs w:val="20"/>
        </w:rPr>
        <w:t>isting and future secured indebtedness, to the extent of the value of the assets securing such indebtedness.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April 5, 2022, the Issuer completed the exchange of $117,375 of its February 2023 Notes for a new series of its October 2023 Notes (the “Excha</w:t>
      </w:r>
      <w:r>
        <w:rPr>
          <w:rFonts w:eastAsia="Times New Roman"/>
          <w:color w:val="000000"/>
          <w:sz w:val="20"/>
          <w:szCs w:val="20"/>
        </w:rPr>
        <w:t>nge Transaction”). The remaining $26,375 aggregate principal amount of the February 2023 Notes were not exchanged and maintain a maturity date of February 1, 2023.</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accounted for the October 2023 Notes as a modification to the February 2023 No</w:t>
      </w:r>
      <w:r>
        <w:rPr>
          <w:rFonts w:eastAsia="Times New Roman"/>
          <w:color w:val="000000"/>
          <w:sz w:val="20"/>
          <w:szCs w:val="20"/>
        </w:rPr>
        <w:t xml:space="preserve">tes. The Company paid $4,804 in fees to note holders of the October 2023 Notes that are amortized over the remaining term of the October 2023 Notes. The Company paid approximately $5,450 in fees to third parties that were expensed as part of the completed </w:t>
      </w:r>
      <w:r>
        <w:rPr>
          <w:rFonts w:eastAsia="Times New Roman"/>
          <w:color w:val="000000"/>
          <w:sz w:val="20"/>
          <w:szCs w:val="20"/>
        </w:rPr>
        <w:t>Exchange Transaction. Additionally, the fair value of the unseparated, embedded conversion feature increased by $5,508, which reduced the carrying amount of the convertible debt instrument as an unamortized debt discount, with a corresponding increase in a</w:t>
      </w:r>
      <w:r>
        <w:rPr>
          <w:rFonts w:eastAsia="Times New Roman"/>
          <w:color w:val="000000"/>
          <w:sz w:val="20"/>
          <w:szCs w:val="20"/>
        </w:rPr>
        <w:t xml:space="preserve">dditional paid-in capital. The $5,508 are amortized over the remaining term of the October 2023 Notes as a component of interest expense.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2023 Notes will be exchangeable at the option of the holders at an initial exchange rate of 92.6956 ADSs per $1</w:t>
      </w:r>
      <w:r>
        <w:rPr>
          <w:rFonts w:eastAsia="Times New Roman"/>
          <w:color w:val="000000"/>
          <w:sz w:val="20"/>
          <w:szCs w:val="20"/>
        </w:rPr>
        <w:t xml:space="preserve"> principal amount of 2023 Notes (so long as the principal amount of such holder’s 2023 Notes not exchanged is at least $200), which is equivalent to an initial exchange price of approximately $10.79 per ADS. Upon the exchange of any 2023 Notes, the Issuer </w:t>
      </w:r>
      <w:r>
        <w:rPr>
          <w:rFonts w:eastAsia="Times New Roman"/>
          <w:color w:val="000000"/>
          <w:sz w:val="20"/>
          <w:szCs w:val="20"/>
        </w:rPr>
        <w:t xml:space="preserve">will pay or cause to be delivered, as the case may be, cash, ADSs or a combination of cash and ADSs, at the Issuer’s election. </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February 2023 Notes</w:t>
      </w:r>
    </w:p>
    <w:p w:rsidR="00000000" w:rsidRDefault="00755199">
      <w:pPr>
        <w:jc w:val="center"/>
        <w:divId w:val="1276863532"/>
        <w:rPr>
          <w:rFonts w:eastAsia="Times New Roman"/>
        </w:rPr>
      </w:pPr>
      <w:r>
        <w:rPr>
          <w:rFonts w:eastAsia="Times New Roman"/>
          <w:color w:val="000000"/>
          <w:sz w:val="20"/>
          <w:szCs w:val="20"/>
        </w:rPr>
        <w:t>- 14 -</w:t>
      </w:r>
    </w:p>
    <w:p w:rsidR="00000000" w:rsidRDefault="00755199">
      <w:pPr>
        <w:rPr>
          <w:rFonts w:eastAsia="Times New Roman"/>
        </w:rPr>
      </w:pPr>
      <w:r>
        <w:rPr>
          <w:rFonts w:eastAsia="Times New Roman"/>
        </w:rPr>
        <w:pict>
          <v:rect id="_x0000_i1039" style="width:0;height:1.5pt" o:hralign="center" o:hrstd="t" o:hr="t" fillcolor="#a0a0a0" stroked="f"/>
        </w:pict>
      </w:r>
    </w:p>
    <w:p w:rsidR="00000000" w:rsidRDefault="00755199">
      <w:pPr>
        <w:divId w:val="709459616"/>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Holders of the February 2023 Notes may convert their Febru</w:t>
      </w:r>
      <w:r>
        <w:rPr>
          <w:rFonts w:eastAsia="Times New Roman"/>
          <w:color w:val="000000"/>
          <w:sz w:val="20"/>
          <w:szCs w:val="20"/>
        </w:rPr>
        <w:t>ary 2023 Notes, at their option, prior to the close of business on the business day immediately preceding the maturity date.</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October 2023 Notes</w:t>
      </w:r>
    </w:p>
    <w:p w:rsidR="00000000" w:rsidRDefault="00755199">
      <w:pPr>
        <w:divId w:val="1834223901"/>
        <w:rPr>
          <w:rFonts w:eastAsia="Times New Roman"/>
        </w:rPr>
      </w:pPr>
    </w:p>
    <w:p w:rsidR="00000000" w:rsidRDefault="00755199">
      <w:pPr>
        <w:jc w:val="both"/>
        <w:rPr>
          <w:rFonts w:eastAsia="Times New Roman"/>
        </w:rPr>
      </w:pPr>
      <w:r>
        <w:rPr>
          <w:rFonts w:eastAsia="Times New Roman"/>
          <w:color w:val="000000"/>
          <w:sz w:val="20"/>
          <w:szCs w:val="20"/>
        </w:rPr>
        <w:t>Holders of the October 2023 Notes may convert their October 2023 Notes, at their option, only under the following circumstances prior to the close of business on the business day immediately preceding May 1, 2023, under the circumstances and during the per</w:t>
      </w:r>
      <w:r>
        <w:rPr>
          <w:rFonts w:eastAsia="Times New Roman"/>
          <w:color w:val="000000"/>
          <w:sz w:val="20"/>
          <w:szCs w:val="20"/>
        </w:rPr>
        <w:t>iods set forth below and regardless of the conditions described below, on or after May 1, 2023 and prior to the close of business on the business day immediately preceding the maturity date:</w:t>
      </w:r>
    </w:p>
    <w:p w:rsidR="00000000" w:rsidRDefault="00755199">
      <w:pPr>
        <w:divId w:val="369107937"/>
        <w:rPr>
          <w:rFonts w:eastAsia="Times New Roman"/>
        </w:rPr>
      </w:pPr>
    </w:p>
    <w:p w:rsidR="00000000" w:rsidRDefault="00755199">
      <w:pPr>
        <w:ind w:hanging="360"/>
        <w:jc w:val="both"/>
        <w:rPr>
          <w:rFonts w:eastAsia="Times New Roman"/>
        </w:rPr>
      </w:pPr>
      <w:r>
        <w:rPr>
          <w:rFonts w:eastAsia="Times New Roman"/>
          <w:color w:val="000000"/>
          <w:sz w:val="20"/>
          <w:szCs w:val="20"/>
        </w:rPr>
        <w:t>•Prior to the close of business on the business day immediately</w:t>
      </w:r>
      <w:r>
        <w:rPr>
          <w:rFonts w:eastAsia="Times New Roman"/>
          <w:color w:val="000000"/>
          <w:sz w:val="20"/>
          <w:szCs w:val="20"/>
        </w:rPr>
        <w:t xml:space="preserve"> preceding May 1, 2023, a holder of the October 2023 Notes may surrender all or any portion of its October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w:t>
      </w:r>
      <w:r>
        <w:rPr>
          <w:rFonts w:eastAsia="Times New Roman"/>
          <w:color w:val="000000"/>
          <w:sz w:val="20"/>
          <w:szCs w:val="20"/>
        </w:rPr>
        <w:t xml:space="preserve">eriod”) in which the trading price per $1 principal amount of October 2023 Notes, as determined following a request by a holder of the October 2023 Notes, for each trading day of the measurement period was less than 98% of the product of the last reported </w:t>
      </w:r>
      <w:r>
        <w:rPr>
          <w:rFonts w:eastAsia="Times New Roman"/>
          <w:color w:val="000000"/>
          <w:sz w:val="20"/>
          <w:szCs w:val="20"/>
        </w:rPr>
        <w:t>sale price of the ADSs and the exchange rate on each such trading day.</w:t>
      </w:r>
    </w:p>
    <w:p w:rsidR="00000000" w:rsidRDefault="00755199">
      <w:pPr>
        <w:divId w:val="1885824867"/>
        <w:rPr>
          <w:rFonts w:eastAsia="Times New Roman"/>
        </w:rPr>
      </w:pPr>
    </w:p>
    <w:p w:rsidR="00000000" w:rsidRDefault="00755199">
      <w:pPr>
        <w:ind w:hanging="360"/>
        <w:jc w:val="both"/>
        <w:rPr>
          <w:rFonts w:eastAsia="Times New Roman"/>
        </w:rPr>
      </w:pPr>
      <w:r>
        <w:rPr>
          <w:rFonts w:eastAsia="Times New Roman"/>
          <w:color w:val="000000"/>
          <w:sz w:val="20"/>
          <w:szCs w:val="20"/>
        </w:rPr>
        <w:t>•If a transaction or event that constitutes a fundamental change or a make-whole fundamental change occurs prior to the close of business on the business day immediately preceding May</w:t>
      </w:r>
      <w:r>
        <w:rPr>
          <w:rFonts w:eastAsia="Times New Roman"/>
          <w:color w:val="000000"/>
          <w:sz w:val="20"/>
          <w:szCs w:val="20"/>
        </w:rPr>
        <w:t xml:space="preserve"> 1, 2023, regardless of whether a holder of the October 2023 Notes has the right to require the Company to repurchase the October 2023 Notes, or if Avadel is a party to a merger event that occurs prior to the close of business on the business day immediate</w:t>
      </w:r>
      <w:r>
        <w:rPr>
          <w:rFonts w:eastAsia="Times New Roman"/>
          <w:color w:val="000000"/>
          <w:sz w:val="20"/>
          <w:szCs w:val="20"/>
        </w:rPr>
        <w:t>ly preceding May 1, 2023, all or any portion of a holder’s October 2023 Notes may be surrendered for exchange at any time from or after the date that is 95 scheduled trading days prior to the anticipated effective date of the transaction (or, if later, the</w:t>
      </w:r>
      <w:r>
        <w:rPr>
          <w:rFonts w:eastAsia="Times New Roman"/>
          <w:color w:val="000000"/>
          <w:sz w:val="20"/>
          <w:szCs w:val="20"/>
        </w:rPr>
        <w:t xml:space="preserve"> earlier of (x) the business day after the Company gives notice of such transaction and (y) the actual effective date of such transaction) until 35 trading days after the actual effective date of such transaction or, if such transaction also constitutes a </w:t>
      </w:r>
      <w:r>
        <w:rPr>
          <w:rFonts w:eastAsia="Times New Roman"/>
          <w:color w:val="000000"/>
          <w:sz w:val="20"/>
          <w:szCs w:val="20"/>
        </w:rPr>
        <w:t xml:space="preserve">fundamental change, until the related fundamental change repurchase date. </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•Prior to the close of business on the business day immediately preceding May 1, 2023, a holder of the October 2023 Notes may surrender all or any portion of its October 2023 Note</w:t>
      </w:r>
      <w:r>
        <w:rPr>
          <w:rFonts w:eastAsia="Times New Roman"/>
          <w:color w:val="000000"/>
          <w:sz w:val="20"/>
          <w:szCs w:val="20"/>
        </w:rPr>
        <w:t>s for exchange at any time during any calendar quarter commencing after the calendar quarter ending on March 31, 2022 (and only during such calendar quarter), if the last reported sale price of the ADSs for at least 20 trading days (whether or not consecut</w:t>
      </w:r>
      <w:r>
        <w:rPr>
          <w:rFonts w:eastAsia="Times New Roman"/>
          <w:color w:val="000000"/>
          <w:sz w:val="20"/>
          <w:szCs w:val="20"/>
        </w:rPr>
        <w:t xml:space="preserve">ive) during the period of 30 consecutive trading days ending on, and including, the last trading day of the immediately preceding calendar quarter is greater than or equal to 130% of the exchange price on each applicable trading day. </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•If the Company cal</w:t>
      </w:r>
      <w:r>
        <w:rPr>
          <w:rFonts w:eastAsia="Times New Roman"/>
          <w:color w:val="000000"/>
          <w:sz w:val="20"/>
          <w:szCs w:val="20"/>
        </w:rPr>
        <w:t>ls the October 2023 Notes for redemption pursuant to Article 16 to the Indenture prior to the close of business on the business day immediately preceding May 1, 2023, then a holder of the October 2023 Notes may surrender all or any portion of its October 2</w:t>
      </w:r>
      <w:r>
        <w:rPr>
          <w:rFonts w:eastAsia="Times New Roman"/>
          <w:color w:val="000000"/>
          <w:sz w:val="20"/>
          <w:szCs w:val="20"/>
        </w:rPr>
        <w:t>023 Notes for exchange at any time prior to the close of business on the second business day prior to the redemption date, even if the October 2023 Notes are not otherwise exchangeable at such time. After that time, the right to exchange shall expire, unle</w:t>
      </w:r>
      <w:r>
        <w:rPr>
          <w:rFonts w:eastAsia="Times New Roman"/>
          <w:color w:val="000000"/>
          <w:sz w:val="20"/>
          <w:szCs w:val="20"/>
        </w:rPr>
        <w:t>ss the Company defaults in the payment of the redemption price, in which case a holder of the October 2023 Notes may exchange its October 2023 Notes until the redemption price has been paid or duly provided for.</w:t>
      </w:r>
    </w:p>
    <w:p w:rsidR="00000000" w:rsidRDefault="00755199">
      <w:pPr>
        <w:divId w:val="1437869925"/>
        <w:rPr>
          <w:rFonts w:eastAsia="Times New Roman"/>
        </w:rPr>
      </w:pPr>
    </w:p>
    <w:p w:rsidR="00000000" w:rsidRDefault="00755199">
      <w:pPr>
        <w:jc w:val="both"/>
        <w:rPr>
          <w:rFonts w:eastAsia="Times New Roman"/>
        </w:rPr>
      </w:pPr>
      <w:r>
        <w:rPr>
          <w:rFonts w:eastAsia="Times New Roman"/>
          <w:color w:val="000000"/>
          <w:sz w:val="20"/>
          <w:szCs w:val="20"/>
        </w:rPr>
        <w:t>The Company, at its option, may redeem for</w:t>
      </w:r>
      <w:r>
        <w:rPr>
          <w:rFonts w:eastAsia="Times New Roman"/>
          <w:color w:val="000000"/>
          <w:sz w:val="20"/>
          <w:szCs w:val="20"/>
        </w:rPr>
        <w:t xml:space="preserve"> cash all of the October 2023 Notes if the last reported sale price (as defined by the indenture) of the ADSs has been at least 130% of the Exchange Price then in effect for at least 20 trading days (whether or not consecutive) during any 30 consecutive tr</w:t>
      </w:r>
      <w:r>
        <w:rPr>
          <w:rFonts w:eastAsia="Times New Roman"/>
          <w:color w:val="000000"/>
          <w:sz w:val="20"/>
          <w:szCs w:val="20"/>
        </w:rPr>
        <w:t xml:space="preserve">ading-day period ending on, and including, the trading day immediately preceding the date on which the Company provides notice to redeem the October 2023 Notes.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The Company considered the guidance in ASC 815-15, </w:t>
      </w:r>
      <w:r>
        <w:rPr>
          <w:rFonts w:eastAsia="Times New Roman"/>
          <w:i/>
          <w:iCs/>
          <w:color w:val="000000"/>
          <w:sz w:val="20"/>
          <w:szCs w:val="20"/>
        </w:rPr>
        <w:t>Embedded Derivatives</w:t>
      </w:r>
      <w:r>
        <w:rPr>
          <w:rFonts w:eastAsia="Times New Roman"/>
          <w:color w:val="000000"/>
          <w:sz w:val="20"/>
          <w:szCs w:val="20"/>
        </w:rPr>
        <w:t>, to determine if thi</w:t>
      </w:r>
      <w:r>
        <w:rPr>
          <w:rFonts w:eastAsia="Times New Roman"/>
          <w:color w:val="000000"/>
          <w:sz w:val="20"/>
          <w:szCs w:val="20"/>
        </w:rPr>
        <w:t>s instrument contains an embedded feature that should be separately accounted for as a derivative. ASC 815 provides for an exception to this rule when convertible notes, as host instruments, are deemed to be conventional, as defined by ASC 815-40. The Comp</w:t>
      </w:r>
      <w:r>
        <w:rPr>
          <w:rFonts w:eastAsia="Times New Roman"/>
          <w:color w:val="000000"/>
          <w:sz w:val="20"/>
          <w:szCs w:val="20"/>
        </w:rPr>
        <w:t xml:space="preserve">any determined that this exception applies due, in part, to the Company’s ability to settle the 2023 Notes in cash, ADSs or a combination of cash and ADSs, at the Company’s option. The Company has therefore applied the guidance provided by ASC 470-20, </w:t>
      </w:r>
      <w:r>
        <w:rPr>
          <w:rFonts w:eastAsia="Times New Roman"/>
          <w:i/>
          <w:iCs/>
          <w:color w:val="000000"/>
          <w:sz w:val="20"/>
          <w:szCs w:val="20"/>
        </w:rPr>
        <w:t>Debt</w:t>
      </w:r>
      <w:r>
        <w:rPr>
          <w:rFonts w:eastAsia="Times New Roman"/>
          <w:i/>
          <w:iCs/>
          <w:color w:val="000000"/>
          <w:sz w:val="20"/>
          <w:szCs w:val="20"/>
        </w:rPr>
        <w:t xml:space="preserve"> with Conversion and Other Options</w:t>
      </w:r>
      <w:r>
        <w:rPr>
          <w:rFonts w:eastAsia="Times New Roman"/>
          <w:color w:val="000000"/>
          <w:sz w:val="20"/>
          <w:szCs w:val="20"/>
        </w:rPr>
        <w:t xml:space="preserve">, as amended by ASU 2020-06. </w:t>
      </w:r>
    </w:p>
    <w:p w:rsidR="00000000" w:rsidRDefault="00755199">
      <w:pPr>
        <w:jc w:val="both"/>
        <w:rPr>
          <w:rFonts w:eastAsia="Times New Roman"/>
        </w:rPr>
      </w:pPr>
    </w:p>
    <w:p w:rsidR="00000000" w:rsidRDefault="00755199">
      <w:pPr>
        <w:jc w:val="center"/>
        <w:divId w:val="1804736459"/>
        <w:rPr>
          <w:rFonts w:eastAsia="Times New Roman"/>
        </w:rPr>
      </w:pPr>
      <w:r>
        <w:rPr>
          <w:rFonts w:eastAsia="Times New Roman"/>
          <w:color w:val="000000"/>
          <w:sz w:val="20"/>
          <w:szCs w:val="20"/>
        </w:rPr>
        <w:t>- 15 -</w:t>
      </w:r>
    </w:p>
    <w:p w:rsidR="00000000" w:rsidRDefault="00755199">
      <w:pPr>
        <w:rPr>
          <w:rFonts w:eastAsia="Times New Roman"/>
        </w:rPr>
      </w:pPr>
      <w:r>
        <w:rPr>
          <w:rFonts w:eastAsia="Times New Roman"/>
        </w:rPr>
        <w:pict>
          <v:rect id="_x0000_i1040" style="width:0;height:1.5pt" o:hralign="center" o:hrstd="t" o:hr="t" fillcolor="#a0a0a0" stroked="f"/>
        </w:pict>
      </w:r>
    </w:p>
    <w:p w:rsidR="00000000" w:rsidRDefault="00755199">
      <w:pPr>
        <w:divId w:val="1233346289"/>
        <w:rPr>
          <w:rFonts w:eastAsia="Times New Roman"/>
        </w:rPr>
      </w:pPr>
    </w:p>
    <w:p w:rsidR="00000000" w:rsidRDefault="00755199">
      <w:pPr>
        <w:divId w:val="1389917891"/>
        <w:rPr>
          <w:rFonts w:eastAsia="Times New Roman"/>
        </w:rPr>
      </w:pPr>
      <w:r>
        <w:rPr>
          <w:rFonts w:eastAsia="Times New Roman"/>
          <w:b/>
          <w:bCs/>
          <w:color w:val="000000"/>
          <w:sz w:val="20"/>
          <w:szCs w:val="20"/>
        </w:rPr>
        <w:t>NOTE 5:</w:t>
      </w:r>
      <w:r>
        <w:rPr>
          <w:rFonts w:eastAsia="Times New Roman"/>
          <w:color w:val="000000"/>
          <w:sz w:val="20"/>
          <w:szCs w:val="20"/>
        </w:rPr>
        <w:t xml:space="preserve"> </w:t>
      </w:r>
      <w:r>
        <w:rPr>
          <w:rFonts w:eastAsia="Times New Roman"/>
          <w:b/>
          <w:bCs/>
          <w:color w:val="000000"/>
          <w:sz w:val="20"/>
          <w:szCs w:val="20"/>
        </w:rPr>
        <w:t xml:space="preserve">Income Taxes </w:t>
      </w:r>
    </w:p>
    <w:p w:rsidR="00000000" w:rsidRDefault="00755199">
      <w:pPr>
        <w:divId w:val="1277257083"/>
        <w:rPr>
          <w:rFonts w:eastAsia="Times New Roman"/>
        </w:rPr>
      </w:pPr>
    </w:p>
    <w:p w:rsidR="00000000" w:rsidRDefault="00755199">
      <w:pPr>
        <w:jc w:val="both"/>
        <w:rPr>
          <w:rFonts w:eastAsia="Times New Roman"/>
        </w:rPr>
      </w:pPr>
      <w:r>
        <w:rPr>
          <w:rFonts w:eastAsia="Times New Roman"/>
          <w:color w:val="000000"/>
          <w:sz w:val="20"/>
          <w:szCs w:val="20"/>
        </w:rPr>
        <w:t>The income tax provision was $70 for the three months ended September </w:t>
      </w:r>
      <w:r>
        <w:rPr>
          <w:rFonts w:eastAsia="Times New Roman"/>
          <w:color w:val="000000"/>
          <w:sz w:val="20"/>
          <w:szCs w:val="20"/>
        </w:rPr>
        <w:t>30, 2022 resulting in an effective tax rate of (0.3)%. The income tax benefit was $5,101 for the three months ended September 30, 2021 resulting in an effective tax rate of 18.8%. The change in the effective income tax rate for the three months ended Septe</w:t>
      </w:r>
      <w:r>
        <w:rPr>
          <w:rFonts w:eastAsia="Times New Roman"/>
          <w:color w:val="000000"/>
          <w:sz w:val="20"/>
          <w:szCs w:val="20"/>
        </w:rPr>
        <w:t>mber 30, 2022, as compared to the prior period in 2021, is primarily due to the valuation allowances that were recorded against the net operating losses during the current period.</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income tax provision was $25,940 for the nine months ended September 3</w:t>
      </w:r>
      <w:r>
        <w:rPr>
          <w:rFonts w:eastAsia="Times New Roman"/>
          <w:color w:val="000000"/>
          <w:sz w:val="20"/>
          <w:szCs w:val="20"/>
        </w:rPr>
        <w:t>0, 2022 resulting in an effective tax rate of (30.9)%. The income tax benefit was $11,473 for the nine months ended September 30, 2021 resulting in an effective tax rate of 17.3%. The change in the effective income tax rate for the nine months ended Septem</w:t>
      </w:r>
      <w:r>
        <w:rPr>
          <w:rFonts w:eastAsia="Times New Roman"/>
          <w:color w:val="000000"/>
          <w:sz w:val="20"/>
          <w:szCs w:val="20"/>
        </w:rPr>
        <w:t xml:space="preserve">ber 30, 2022, as compared to the prior period in 2021, is primarily due to the valuation allowances that were recorded against the deferred tax assets during the current period.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Company's cumulative loss position was significant negative evidence in</w:t>
      </w:r>
      <w:r>
        <w:rPr>
          <w:rFonts w:eastAsia="Times New Roman"/>
          <w:color w:val="000000"/>
          <w:sz w:val="20"/>
          <w:szCs w:val="20"/>
        </w:rPr>
        <w:t xml:space="preserve"> assessing the need for a valuation allowance on its deferred tax assets. Given the weight of objectively verifiable historical losses from operations, the Company recorded a full valuation allowance on its deferred tax assets. The Company will be able to </w:t>
      </w:r>
      <w:r>
        <w:rPr>
          <w:rFonts w:eastAsia="Times New Roman"/>
          <w:color w:val="000000"/>
          <w:sz w:val="20"/>
          <w:szCs w:val="20"/>
        </w:rPr>
        <w:t>reverse the valuation allowance when it has shown its ability to generate taxable income on a consistent basis in future periods. The valuation allowance does not have an impact on the Company's ability to utilize any net operating losses or other tax attr</w:t>
      </w:r>
      <w:r>
        <w:rPr>
          <w:rFonts w:eastAsia="Times New Roman"/>
          <w:color w:val="000000"/>
          <w:sz w:val="20"/>
          <w:szCs w:val="20"/>
        </w:rPr>
        <w:t xml:space="preserve">ibutes to offset cash taxes payable as these items are still eligible to be used.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During the nine months ended September 30, 20</w:t>
      </w:r>
      <w:r>
        <w:rPr>
          <w:rFonts w:eastAsia="Times New Roman"/>
          <w:color w:val="000000"/>
          <w:sz w:val="20"/>
          <w:szCs w:val="20"/>
        </w:rPr>
        <w:t>22, the Company collected all of the outstanding receivables due to the Company related to net operating loss carrybacks under the Coronavirus Aid, Relief, and Economic Security Act for losses incurred during 2019, which were carried back to 2015.</w:t>
      </w:r>
    </w:p>
    <w:p w:rsidR="00000000" w:rsidRDefault="00755199">
      <w:pPr>
        <w:divId w:val="1473138082"/>
        <w:rPr>
          <w:rFonts w:eastAsia="Times New Roman"/>
        </w:rPr>
      </w:pPr>
    </w:p>
    <w:p w:rsidR="00000000" w:rsidRDefault="00755199">
      <w:pPr>
        <w:divId w:val="1735859951"/>
        <w:rPr>
          <w:rFonts w:eastAsia="Times New Roman"/>
        </w:rPr>
      </w:pPr>
      <w:r>
        <w:rPr>
          <w:rFonts w:eastAsia="Times New Roman"/>
          <w:b/>
          <w:bCs/>
          <w:color w:val="000000"/>
          <w:sz w:val="20"/>
          <w:szCs w:val="20"/>
        </w:rPr>
        <w:t>NOTE 6</w:t>
      </w:r>
      <w:r>
        <w:rPr>
          <w:rFonts w:eastAsia="Times New Roman"/>
          <w:b/>
          <w:bCs/>
          <w:color w:val="000000"/>
          <w:sz w:val="20"/>
          <w:szCs w:val="20"/>
        </w:rPr>
        <w:t>:</w:t>
      </w:r>
      <w:r>
        <w:rPr>
          <w:rFonts w:eastAsia="Times New Roman"/>
          <w:color w:val="000000"/>
          <w:sz w:val="20"/>
          <w:szCs w:val="20"/>
        </w:rPr>
        <w:t xml:space="preserve"> </w:t>
      </w:r>
      <w:r>
        <w:rPr>
          <w:rFonts w:eastAsia="Times New Roman"/>
          <w:b/>
          <w:bCs/>
          <w:color w:val="000000"/>
          <w:sz w:val="20"/>
          <w:szCs w:val="20"/>
        </w:rPr>
        <w:t>Other Assets and Liabilities </w:t>
      </w:r>
    </w:p>
    <w:p w:rsidR="00000000" w:rsidRDefault="00755199">
      <w:pPr>
        <w:divId w:val="1144003570"/>
        <w:rPr>
          <w:rFonts w:eastAsia="Times New Roman"/>
        </w:rPr>
      </w:pPr>
    </w:p>
    <w:p w:rsidR="00000000" w:rsidRDefault="00755199">
      <w:pPr>
        <w:divId w:val="700471855"/>
        <w:rPr>
          <w:rFonts w:eastAsia="Times New Roman"/>
        </w:rPr>
      </w:pPr>
      <w:r>
        <w:rPr>
          <w:rFonts w:eastAsia="Times New Roman"/>
          <w:color w:val="000000"/>
          <w:sz w:val="20"/>
          <w:szCs w:val="20"/>
        </w:rPr>
        <w:t>Various other assets and liabilities are summarized as follows:</w:t>
      </w:r>
    </w:p>
    <w:p w:rsidR="00000000" w:rsidRDefault="00755199">
      <w:pPr>
        <w:divId w:val="174857259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053"/>
        <w:gridCol w:w="38"/>
        <w:gridCol w:w="36"/>
        <w:gridCol w:w="36"/>
        <w:gridCol w:w="36"/>
        <w:gridCol w:w="111"/>
        <w:gridCol w:w="1326"/>
        <w:gridCol w:w="36"/>
        <w:gridCol w:w="36"/>
        <w:gridCol w:w="36"/>
        <w:gridCol w:w="36"/>
        <w:gridCol w:w="111"/>
        <w:gridCol w:w="1326"/>
        <w:gridCol w:w="36"/>
      </w:tblGrid>
      <w:tr w:rsidR="00000000">
        <w:trPr>
          <w:divId w:val="1054238216"/>
        </w:trPr>
        <w:tc>
          <w:tcPr>
            <w:tcW w:w="50" w:type="pct"/>
            <w:vAlign w:val="center"/>
            <w:hideMark/>
          </w:tcPr>
          <w:p w:rsidR="00000000" w:rsidRDefault="00755199">
            <w:pPr>
              <w:rPr>
                <w:rFonts w:eastAsia="Times New Roman"/>
              </w:rPr>
            </w:pPr>
          </w:p>
        </w:tc>
        <w:tc>
          <w:tcPr>
            <w:tcW w:w="307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1054238216"/>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Prepaid Expenses and Other Current Assets: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rPr>
          <w:divId w:val="105423821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054238216"/>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Prepaid and other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3,745 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3,179 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54238216"/>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567 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54238216"/>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Guarantee from Armistice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54238216"/>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Income tax receivable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29,097 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54238216"/>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086653060"/>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4,670 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divId w:val="153368411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1"/>
        <w:gridCol w:w="1326"/>
        <w:gridCol w:w="36"/>
        <w:gridCol w:w="36"/>
        <w:gridCol w:w="36"/>
        <w:gridCol w:w="36"/>
        <w:gridCol w:w="111"/>
        <w:gridCol w:w="1326"/>
        <w:gridCol w:w="36"/>
      </w:tblGrid>
      <w:tr w:rsidR="00000000">
        <w:trPr>
          <w:divId w:val="735670223"/>
        </w:trPr>
        <w:tc>
          <w:tcPr>
            <w:tcW w:w="50" w:type="pct"/>
            <w:vAlign w:val="center"/>
            <w:hideMark/>
          </w:tcPr>
          <w:p w:rsidR="00000000" w:rsidRDefault="00755199">
            <w:pPr>
              <w:rPr>
                <w:rFonts w:eastAsia="Times New Roman"/>
              </w:rPr>
            </w:pPr>
          </w:p>
        </w:tc>
        <w:tc>
          <w:tcPr>
            <w:tcW w:w="307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735670223"/>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rPr>
          <w:divId w:val="73567022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735670223"/>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10,979 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8,549 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735670223"/>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Guarantee from Armistice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564 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771 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735670223"/>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735670223"/>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Deferred tax assets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24,128 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735670223"/>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956255352"/>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11,720 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divId w:val="31341352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053"/>
        <w:gridCol w:w="38"/>
        <w:gridCol w:w="36"/>
        <w:gridCol w:w="36"/>
        <w:gridCol w:w="36"/>
        <w:gridCol w:w="111"/>
        <w:gridCol w:w="1326"/>
        <w:gridCol w:w="36"/>
        <w:gridCol w:w="36"/>
        <w:gridCol w:w="36"/>
        <w:gridCol w:w="36"/>
        <w:gridCol w:w="111"/>
        <w:gridCol w:w="1326"/>
        <w:gridCol w:w="36"/>
      </w:tblGrid>
      <w:tr w:rsidR="00000000">
        <w:trPr>
          <w:divId w:val="100028506"/>
        </w:trPr>
        <w:tc>
          <w:tcPr>
            <w:tcW w:w="50" w:type="pct"/>
            <w:vAlign w:val="center"/>
            <w:hideMark/>
          </w:tcPr>
          <w:p w:rsidR="00000000" w:rsidRDefault="00755199">
            <w:pPr>
              <w:rPr>
                <w:rFonts w:eastAsia="Times New Roman"/>
              </w:rPr>
            </w:pPr>
          </w:p>
        </w:tc>
        <w:tc>
          <w:tcPr>
            <w:tcW w:w="307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100028506"/>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 xml:space="preserve">Accrued Expenses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rPr>
          <w:divId w:val="10002850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00028506"/>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Accrued professional fees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4,419 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2,678 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0028506"/>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Accrued restructuring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1,515 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0028506"/>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Accrued compensation</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1,293 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3,167 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0028506"/>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Accrued outsource contract costs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738 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1,048 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0028506"/>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00028506"/>
        </w:trPr>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1863742144"/>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divId w:val="450393879"/>
        <w:rPr>
          <w:rFonts w:eastAsia="Times New Roman"/>
        </w:rPr>
      </w:pPr>
    </w:p>
    <w:p w:rsidR="00000000" w:rsidRDefault="00755199">
      <w:pPr>
        <w:jc w:val="center"/>
        <w:divId w:val="1491362612"/>
        <w:rPr>
          <w:rFonts w:eastAsia="Times New Roman"/>
        </w:rPr>
      </w:pPr>
      <w:r>
        <w:rPr>
          <w:rFonts w:eastAsia="Times New Roman"/>
          <w:color w:val="000000"/>
          <w:sz w:val="20"/>
          <w:szCs w:val="20"/>
        </w:rPr>
        <w:t>-</w:t>
      </w:r>
      <w:r>
        <w:rPr>
          <w:rFonts w:eastAsia="Times New Roman"/>
          <w:color w:val="000000"/>
          <w:sz w:val="20"/>
          <w:szCs w:val="20"/>
        </w:rPr>
        <w:t xml:space="preserve"> 16 -</w:t>
      </w:r>
    </w:p>
    <w:p w:rsidR="00000000" w:rsidRDefault="00755199">
      <w:pPr>
        <w:rPr>
          <w:rFonts w:eastAsia="Times New Roman"/>
        </w:rPr>
      </w:pPr>
      <w:r>
        <w:rPr>
          <w:rFonts w:eastAsia="Times New Roman"/>
        </w:rPr>
        <w:pict>
          <v:rect id="_x0000_i1041" style="width:0;height:1.5pt" o:hralign="center" o:hrstd="t" o:hr="t" fillcolor="#a0a0a0" stroked="f"/>
        </w:pict>
      </w:r>
    </w:p>
    <w:p w:rsidR="00000000" w:rsidRDefault="00755199">
      <w:pPr>
        <w:divId w:val="64292606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1"/>
        <w:gridCol w:w="1326"/>
        <w:gridCol w:w="36"/>
        <w:gridCol w:w="36"/>
        <w:gridCol w:w="36"/>
        <w:gridCol w:w="36"/>
        <w:gridCol w:w="111"/>
        <w:gridCol w:w="1326"/>
        <w:gridCol w:w="36"/>
      </w:tblGrid>
      <w:tr w:rsidR="00000000">
        <w:trPr>
          <w:divId w:val="683241132"/>
        </w:trPr>
        <w:tc>
          <w:tcPr>
            <w:tcW w:w="50" w:type="pct"/>
            <w:vAlign w:val="center"/>
            <w:hideMark/>
          </w:tcPr>
          <w:p w:rsidR="00000000" w:rsidRDefault="00755199">
            <w:pPr>
              <w:rPr>
                <w:rFonts w:eastAsia="Times New Roman"/>
              </w:rPr>
            </w:pPr>
          </w:p>
        </w:tc>
        <w:tc>
          <w:tcPr>
            <w:tcW w:w="307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683241132"/>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rPr>
          <w:divId w:val="68324113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683241132"/>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Income tax payable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3,265 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683241132"/>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683241132"/>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4,920 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683241132"/>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683241132"/>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964532479"/>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3,757 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divId w:val="138578962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053"/>
        <w:gridCol w:w="38"/>
        <w:gridCol w:w="36"/>
        <w:gridCol w:w="36"/>
        <w:gridCol w:w="36"/>
        <w:gridCol w:w="111"/>
        <w:gridCol w:w="1326"/>
        <w:gridCol w:w="36"/>
        <w:gridCol w:w="36"/>
        <w:gridCol w:w="36"/>
        <w:gridCol w:w="36"/>
        <w:gridCol w:w="111"/>
        <w:gridCol w:w="1326"/>
        <w:gridCol w:w="36"/>
      </w:tblGrid>
      <w:tr w:rsidR="00000000">
        <w:trPr>
          <w:divId w:val="1802576711"/>
        </w:trPr>
        <w:tc>
          <w:tcPr>
            <w:tcW w:w="50" w:type="pct"/>
            <w:vAlign w:val="center"/>
            <w:hideMark/>
          </w:tcPr>
          <w:p w:rsidR="00000000" w:rsidRDefault="00755199">
            <w:pPr>
              <w:rPr>
                <w:rFonts w:eastAsia="Times New Roman"/>
              </w:rPr>
            </w:pPr>
          </w:p>
        </w:tc>
        <w:tc>
          <w:tcPr>
            <w:tcW w:w="307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84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1802576711"/>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December 31, 2021</w:t>
            </w:r>
          </w:p>
        </w:tc>
      </w:tr>
      <w:tr w:rsidR="00000000">
        <w:trPr>
          <w:divId w:val="180257671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802576711"/>
        </w:trPr>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Tax liabilities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5,161 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802576711"/>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774 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802576711"/>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108203668"/>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3,917 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divId w:val="1834562140"/>
        <w:rPr>
          <w:rFonts w:eastAsia="Times New Roman"/>
        </w:rPr>
      </w:pPr>
    </w:p>
    <w:p w:rsidR="00000000" w:rsidRDefault="00755199">
      <w:pPr>
        <w:divId w:val="470707023"/>
        <w:rPr>
          <w:rFonts w:eastAsia="Times New Roman"/>
        </w:rPr>
      </w:pPr>
      <w:r>
        <w:rPr>
          <w:rFonts w:eastAsia="Times New Roman"/>
          <w:b/>
          <w:bCs/>
          <w:color w:val="000000"/>
          <w:sz w:val="20"/>
          <w:szCs w:val="20"/>
        </w:rPr>
        <w:t>N</w:t>
      </w:r>
      <w:r>
        <w:rPr>
          <w:rFonts w:eastAsia="Times New Roman"/>
          <w:b/>
          <w:bCs/>
          <w:color w:val="000000"/>
          <w:sz w:val="20"/>
          <w:szCs w:val="20"/>
        </w:rPr>
        <w:t>OTE 7:</w:t>
      </w:r>
      <w:r>
        <w:rPr>
          <w:rFonts w:eastAsia="Times New Roman"/>
          <w:color w:val="000000"/>
          <w:sz w:val="20"/>
          <w:szCs w:val="20"/>
        </w:rPr>
        <w:t xml:space="preserve"> </w:t>
      </w:r>
      <w:r>
        <w:rPr>
          <w:rFonts w:eastAsia="Times New Roman"/>
          <w:b/>
          <w:bCs/>
          <w:color w:val="000000"/>
          <w:sz w:val="20"/>
          <w:szCs w:val="20"/>
        </w:rPr>
        <w:t>Share Based Compensation</w:t>
      </w:r>
    </w:p>
    <w:p w:rsidR="00000000" w:rsidRDefault="00755199">
      <w:pPr>
        <w:divId w:val="1885290469"/>
        <w:rPr>
          <w:rFonts w:eastAsia="Times New Roman"/>
        </w:rPr>
      </w:pPr>
    </w:p>
    <w:p w:rsidR="00000000" w:rsidRDefault="00755199">
      <w:pPr>
        <w:divId w:val="1262882716"/>
        <w:rPr>
          <w:rFonts w:eastAsia="Times New Roman"/>
        </w:rPr>
      </w:pPr>
      <w:r>
        <w:rPr>
          <w:rFonts w:eastAsia="Times New Roman"/>
          <w:i/>
          <w:iCs/>
          <w:color w:val="000000"/>
          <w:sz w:val="20"/>
          <w:szCs w:val="20"/>
        </w:rPr>
        <w:t>2022 Performance-Based Stock Options</w:t>
      </w:r>
    </w:p>
    <w:p w:rsidR="00000000" w:rsidRDefault="00755199">
      <w:pPr>
        <w:divId w:val="1502890109"/>
        <w:rPr>
          <w:rFonts w:eastAsia="Times New Roman"/>
        </w:rPr>
      </w:pPr>
    </w:p>
    <w:p w:rsidR="00000000" w:rsidRDefault="00755199">
      <w:pPr>
        <w:jc w:val="both"/>
        <w:rPr>
          <w:rFonts w:eastAsia="Times New Roman"/>
        </w:rPr>
      </w:pPr>
      <w:r>
        <w:rPr>
          <w:rFonts w:eastAsia="Times New Roman"/>
          <w:color w:val="000000"/>
          <w:sz w:val="20"/>
          <w:szCs w:val="20"/>
        </w:rPr>
        <w:t>In August 2022, the Board of Directors approved the grant of performance-based stock options to certain executive officers and employees. These performance-based stock options vest upon both the achievement of certain commercial milestones and specific ser</w:t>
      </w:r>
      <w:r>
        <w:rPr>
          <w:rFonts w:eastAsia="Times New Roman"/>
          <w:color w:val="000000"/>
          <w:sz w:val="20"/>
          <w:szCs w:val="20"/>
        </w:rPr>
        <w:t>vice conditions. As of September 30, 2022, 2,165 performance-based stock options were outstanding, none of which had vested. The weighted-average grant date fair value of the performance-based stock options was $3.71. The Company has not yet recognized any</w:t>
      </w:r>
      <w:r>
        <w:rPr>
          <w:rFonts w:eastAsia="Times New Roman"/>
          <w:color w:val="000000"/>
          <w:sz w:val="20"/>
          <w:szCs w:val="20"/>
        </w:rPr>
        <w:t xml:space="preserve"> related share-based compensation expense as the commercial milestones have not been met; however, in the event that the performance conditions are met, $8,032 will be recognized by the Company for the performance-based stock options outstanding as of Sept</w:t>
      </w:r>
      <w:r>
        <w:rPr>
          <w:rFonts w:eastAsia="Times New Roman"/>
          <w:color w:val="000000"/>
          <w:sz w:val="20"/>
          <w:szCs w:val="20"/>
        </w:rPr>
        <w:t>ember 30, 2022.</w:t>
      </w:r>
    </w:p>
    <w:p w:rsidR="00000000" w:rsidRDefault="00755199">
      <w:pPr>
        <w:divId w:val="2125230731"/>
        <w:rPr>
          <w:rFonts w:eastAsia="Times New Roman"/>
        </w:rPr>
      </w:pPr>
    </w:p>
    <w:p w:rsidR="00000000" w:rsidRDefault="00755199">
      <w:pPr>
        <w:divId w:val="1685325886"/>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Net Loss Per Share</w:t>
      </w:r>
      <w:r>
        <w:rPr>
          <w:rFonts w:eastAsia="Times New Roman"/>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Basic net loss per share is calculated by dividing net loss by the weighted average number of shares outstanding during each period. Diluted net loss per share is calculated by dividing net loss - diluted by </w:t>
      </w:r>
      <w:r>
        <w:rPr>
          <w:rFonts w:eastAsia="Times New Roman"/>
          <w:color w:val="000000"/>
          <w:sz w:val="20"/>
          <w:szCs w:val="20"/>
        </w:rPr>
        <w:t>the diluted number of shares outstanding during each period. Except where the result would be anti-dilutive to net loss, diluted net loss per share would be calculated assuming the impact of the conversion of the 2023 Notes, the conversion of the Company’s</w:t>
      </w:r>
      <w:r>
        <w:rPr>
          <w:rFonts w:eastAsia="Times New Roman"/>
          <w:color w:val="000000"/>
          <w:sz w:val="20"/>
          <w:szCs w:val="20"/>
        </w:rPr>
        <w:t xml:space="preserve"> preferred shares, the exercise of outstanding equity compensation awards, and ordinary shares expected to be issued under the Company’s Employee Share Purchase Plan (“ESPP”).</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has a choice to settle the conversion obligations under the 2023 N</w:t>
      </w:r>
      <w:r>
        <w:rPr>
          <w:rFonts w:eastAsia="Times New Roman"/>
          <w:color w:val="000000"/>
          <w:sz w:val="20"/>
          <w:szCs w:val="20"/>
        </w:rPr>
        <w:t>otes in cash, shares or any combination of the two. The Company utilizes the if-converted method to reflect the impact of the conversion of the 2023 Notes, unless the result is anti-dilutive. This method assumes the conversion of the 2023 Notes into shares</w:t>
      </w:r>
      <w:r>
        <w:rPr>
          <w:rFonts w:eastAsia="Times New Roman"/>
          <w:color w:val="000000"/>
          <w:sz w:val="20"/>
          <w:szCs w:val="20"/>
        </w:rPr>
        <w:t xml:space="preserve"> of the Company’s ordinary shares and reflects the elimination of the interest expense related to the 2023 Notes.</w:t>
      </w:r>
    </w:p>
    <w:p w:rsidR="00000000" w:rsidRDefault="00755199">
      <w:pPr>
        <w:divId w:val="759258222"/>
        <w:rPr>
          <w:rFonts w:eastAsia="Times New Roman"/>
        </w:rPr>
      </w:pPr>
    </w:p>
    <w:p w:rsidR="00000000" w:rsidRDefault="00755199">
      <w:pPr>
        <w:jc w:val="both"/>
        <w:rPr>
          <w:rFonts w:eastAsia="Times New Roman"/>
        </w:rPr>
      </w:pPr>
      <w:r>
        <w:rPr>
          <w:rFonts w:eastAsia="Times New Roman"/>
          <w:color w:val="000000"/>
          <w:sz w:val="20"/>
          <w:szCs w:val="20"/>
        </w:rPr>
        <w:t>The dilutive effect of the stock options, restricted stock units, preferred shares and ordinary shares expected to be issued under the Compa</w:t>
      </w:r>
      <w:r>
        <w:rPr>
          <w:rFonts w:eastAsia="Times New Roman"/>
          <w:color w:val="000000"/>
          <w:sz w:val="20"/>
          <w:szCs w:val="20"/>
        </w:rPr>
        <w:t>ny’s ESPP has been calculated using the treasury stock method. The dilutive effect of the performance share unit awards (“PSUs”) will be calculated using the treasury stock method, if and when the contingent vesting condition is achieved.</w:t>
      </w:r>
    </w:p>
    <w:p w:rsidR="00000000" w:rsidRDefault="00755199">
      <w:pPr>
        <w:jc w:val="both"/>
        <w:rPr>
          <w:rFonts w:eastAsia="Times New Roman"/>
        </w:rPr>
      </w:pPr>
    </w:p>
    <w:p w:rsidR="00000000" w:rsidRDefault="00755199">
      <w:pPr>
        <w:jc w:val="center"/>
        <w:divId w:val="500388951"/>
        <w:rPr>
          <w:rFonts w:eastAsia="Times New Roman"/>
        </w:rPr>
      </w:pPr>
      <w:r>
        <w:rPr>
          <w:rFonts w:eastAsia="Times New Roman"/>
          <w:color w:val="000000"/>
          <w:sz w:val="20"/>
          <w:szCs w:val="20"/>
        </w:rPr>
        <w:t>- 17 -</w:t>
      </w:r>
    </w:p>
    <w:p w:rsidR="00000000" w:rsidRDefault="00755199">
      <w:pPr>
        <w:rPr>
          <w:rFonts w:eastAsia="Times New Roman"/>
        </w:rPr>
      </w:pPr>
      <w:r>
        <w:rPr>
          <w:rFonts w:eastAsia="Times New Roman"/>
        </w:rPr>
        <w:pict>
          <v:rect id="_x0000_i1042" style="width:0;height:1.5pt" o:hralign="center" o:hrstd="t" o:hr="t" fillcolor="#a0a0a0" stroked="f"/>
        </w:pict>
      </w:r>
    </w:p>
    <w:p w:rsidR="00000000" w:rsidRDefault="00755199">
      <w:pPr>
        <w:divId w:val="1178540516"/>
        <w:rPr>
          <w:rFonts w:eastAsia="Times New Roman"/>
        </w:rPr>
      </w:pPr>
    </w:p>
    <w:p w:rsidR="00000000" w:rsidRDefault="00755199">
      <w:pPr>
        <w:jc w:val="both"/>
        <w:rPr>
          <w:rFonts w:eastAsia="Times New Roman"/>
        </w:rPr>
      </w:pPr>
      <w:r>
        <w:rPr>
          <w:rFonts w:eastAsia="Times New Roman"/>
          <w:color w:val="000000"/>
          <w:sz w:val="20"/>
          <w:szCs w:val="20"/>
        </w:rPr>
        <w:t>A reconciliation of basic and diluted net loss per share, together with the related shares outstanding, in thousands, is as follows: </w:t>
      </w:r>
    </w:p>
    <w:p w:rsidR="00000000" w:rsidRDefault="0075519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787"/>
        <w:gridCol w:w="38"/>
        <w:gridCol w:w="36"/>
        <w:gridCol w:w="36"/>
        <w:gridCol w:w="36"/>
        <w:gridCol w:w="110"/>
        <w:gridCol w:w="860"/>
        <w:gridCol w:w="36"/>
        <w:gridCol w:w="36"/>
        <w:gridCol w:w="36"/>
        <w:gridCol w:w="36"/>
        <w:gridCol w:w="110"/>
        <w:gridCol w:w="860"/>
        <w:gridCol w:w="36"/>
        <w:gridCol w:w="36"/>
        <w:gridCol w:w="36"/>
        <w:gridCol w:w="36"/>
        <w:gridCol w:w="110"/>
        <w:gridCol w:w="860"/>
        <w:gridCol w:w="36"/>
        <w:gridCol w:w="36"/>
        <w:gridCol w:w="36"/>
        <w:gridCol w:w="36"/>
        <w:gridCol w:w="110"/>
        <w:gridCol w:w="846"/>
        <w:gridCol w:w="36"/>
      </w:tblGrid>
      <w:tr w:rsidR="00000000">
        <w:trPr>
          <w:divId w:val="1620523810"/>
        </w:trPr>
        <w:tc>
          <w:tcPr>
            <w:tcW w:w="50" w:type="pct"/>
            <w:vAlign w:val="center"/>
            <w:hideMark/>
          </w:tcPr>
          <w:p w:rsidR="00000000" w:rsidRDefault="00755199">
            <w:pPr>
              <w:jc w:val="both"/>
              <w:rPr>
                <w:rFonts w:eastAsia="Times New Roman"/>
              </w:rPr>
            </w:pPr>
          </w:p>
        </w:tc>
        <w:tc>
          <w:tcPr>
            <w:tcW w:w="23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5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5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1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59"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88"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1620523810"/>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r>
      <w:tr w:rsidR="00000000">
        <w:trPr>
          <w:divId w:val="162052381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Net Loss Per Share:</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r>
      <w:tr w:rsidR="00000000">
        <w:trPr>
          <w:divId w:val="162052381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620523810"/>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(20,146)</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(22,002)</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(110,014)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(55,028)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20523810"/>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divId w:val="1620523810"/>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divId w:val="1620523810"/>
          <w:trHeight w:val="280"/>
        </w:trPr>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620523810"/>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620523810"/>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60,201 </w:t>
            </w:r>
          </w:p>
        </w:tc>
        <w:tc>
          <w:tcPr>
            <w:tcW w:w="0" w:type="auto"/>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58,585 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59,359 </w:t>
            </w:r>
          </w:p>
        </w:tc>
        <w:tc>
          <w:tcPr>
            <w:tcW w:w="0" w:type="auto"/>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58,506 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20523810"/>
        </w:trPr>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Effect of dilutive securities—employee and director equity awards outstanding, preferred shares and 2023 Notes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20523810"/>
        </w:trPr>
        <w:tc>
          <w:tcPr>
            <w:tcW w:w="0" w:type="auto"/>
            <w:gridSpan w:val="3"/>
            <w:vAlign w:val="center"/>
            <w:hideMark/>
          </w:tcPr>
          <w:p w:rsidR="00000000" w:rsidRDefault="00755199">
            <w:pPr>
              <w:spacing w:after="100"/>
              <w:jc w:val="right"/>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rPr>
          <w:divId w:val="1620523810"/>
        </w:trPr>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60,201 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59,359 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58,506 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20523810"/>
          <w:trHeight w:val="300"/>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1620523810"/>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 per share - basic</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(0.33)</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(0.38)</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(1.85)</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(0.94)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divId w:val="1620523810"/>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2088991492"/>
              <w:rPr>
                <w:rFonts w:eastAsia="Times New Roman"/>
              </w:rPr>
            </w:pPr>
            <w:r>
              <w:rPr>
                <w:rFonts w:eastAsia="Times New Roman"/>
                <w:color w:val="000000"/>
                <w:sz w:val="18"/>
                <w:szCs w:val="18"/>
              </w:rPr>
              <w:t xml:space="preserve">Net loss per share - diluted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(1.85)</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(0.94)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Potential ordinary shares of 18,722 and 15,684 were excluded from the calculation of weighted average shares for the th</w:t>
      </w:r>
      <w:r>
        <w:rPr>
          <w:rFonts w:eastAsia="Times New Roman"/>
          <w:color w:val="000000"/>
          <w:sz w:val="20"/>
          <w:szCs w:val="20"/>
        </w:rPr>
        <w:t>ree months ended September 30, 2022 and 2021, respectively, and potential ordinary shares of 18,925 and 15,497 were excluded from the calculation of weighted average shares for the nine months ended September 30, 2022 and 2021 because either their effect w</w:t>
      </w:r>
      <w:r>
        <w:rPr>
          <w:rFonts w:eastAsia="Times New Roman"/>
          <w:color w:val="000000"/>
          <w:sz w:val="20"/>
          <w:szCs w:val="20"/>
        </w:rPr>
        <w:t>as considered to be anti-dilutive or they were related to shares from PSUs for which the contingent vesting condition had not been achieved. For the three and nine months ended September 30, 2022 and 2021, the effects of dilutive securities were entirely e</w:t>
      </w:r>
      <w:r>
        <w:rPr>
          <w:rFonts w:eastAsia="Times New Roman"/>
          <w:color w:val="000000"/>
          <w:sz w:val="20"/>
          <w:szCs w:val="20"/>
        </w:rPr>
        <w:t>xcluded from the calculation of net loss per share as a net loss was reported in these periods. </w:t>
      </w:r>
    </w:p>
    <w:p w:rsidR="00000000" w:rsidRDefault="00755199">
      <w:pPr>
        <w:jc w:val="both"/>
        <w:rPr>
          <w:rFonts w:eastAsia="Times New Roman"/>
        </w:rPr>
      </w:pPr>
    </w:p>
    <w:p w:rsidR="00000000" w:rsidRDefault="00755199">
      <w:pPr>
        <w:divId w:val="455178039"/>
        <w:rPr>
          <w:rFonts w:eastAsia="Times New Roman"/>
        </w:rPr>
      </w:pPr>
      <w:r>
        <w:rPr>
          <w:rFonts w:eastAsia="Times New Roman"/>
          <w:b/>
          <w:bCs/>
          <w:color w:val="000000"/>
          <w:sz w:val="20"/>
          <w:szCs w:val="20"/>
        </w:rPr>
        <w:t>NOTE 9:</w:t>
      </w:r>
      <w:r>
        <w:rPr>
          <w:rFonts w:eastAsia="Times New Roman"/>
          <w:color w:val="000000"/>
          <w:sz w:val="20"/>
          <w:szCs w:val="20"/>
        </w:rPr>
        <w:t xml:space="preserve"> </w:t>
      </w:r>
      <w:r>
        <w:rPr>
          <w:rFonts w:eastAsia="Times New Roman"/>
          <w:b/>
          <w:bCs/>
          <w:color w:val="000000"/>
          <w:sz w:val="20"/>
          <w:szCs w:val="20"/>
        </w:rPr>
        <w:t>Comprehensive Loss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following table shows the components of accumulated other comprehensive loss for the three and nine months ended September </w:t>
      </w:r>
      <w:r>
        <w:rPr>
          <w:rFonts w:eastAsia="Times New Roman"/>
          <w:color w:val="000000"/>
          <w:sz w:val="20"/>
          <w:szCs w:val="20"/>
        </w:rPr>
        <w:t>30, 2022 and 2021, respectively, net of tax effects: </w:t>
      </w:r>
    </w:p>
    <w:p w:rsidR="00000000" w:rsidRDefault="00755199">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845"/>
        <w:gridCol w:w="37"/>
        <w:gridCol w:w="36"/>
        <w:gridCol w:w="36"/>
        <w:gridCol w:w="36"/>
        <w:gridCol w:w="110"/>
        <w:gridCol w:w="853"/>
        <w:gridCol w:w="36"/>
        <w:gridCol w:w="36"/>
        <w:gridCol w:w="36"/>
        <w:gridCol w:w="36"/>
        <w:gridCol w:w="110"/>
        <w:gridCol w:w="855"/>
        <w:gridCol w:w="36"/>
        <w:gridCol w:w="36"/>
        <w:gridCol w:w="36"/>
        <w:gridCol w:w="36"/>
        <w:gridCol w:w="110"/>
        <w:gridCol w:w="855"/>
        <w:gridCol w:w="36"/>
        <w:gridCol w:w="36"/>
        <w:gridCol w:w="36"/>
        <w:gridCol w:w="36"/>
        <w:gridCol w:w="110"/>
        <w:gridCol w:w="807"/>
        <w:gridCol w:w="36"/>
      </w:tblGrid>
      <w:tr w:rsidR="00000000">
        <w:tc>
          <w:tcPr>
            <w:tcW w:w="50" w:type="pct"/>
            <w:vAlign w:val="center"/>
            <w:hideMark/>
          </w:tcPr>
          <w:p w:rsidR="00000000" w:rsidRDefault="00755199">
            <w:pPr>
              <w:jc w:val="both"/>
              <w:rPr>
                <w:rFonts w:eastAsia="Times New Roman"/>
              </w:rPr>
            </w:pPr>
          </w:p>
        </w:tc>
        <w:tc>
          <w:tcPr>
            <w:tcW w:w="2342"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37"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(24,697)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(23,229)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(23,855)</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(22,627)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(647)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(1,489)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(839)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782307306"/>
              <w:rPr>
                <w:rFonts w:eastAsia="Times New Roman"/>
              </w:rPr>
            </w:pPr>
            <w:r>
              <w:rPr>
                <w:rFonts w:eastAsia="Times New Roman"/>
                <w:color w:val="000000"/>
                <w:sz w:val="18"/>
                <w:szCs w:val="18"/>
              </w:rPr>
              <w:t>Balance at September 30,</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(25,344)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(23,466)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(25,344)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(23,466)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rPr>
          <w:trHeight w:val="280"/>
        </w:trPr>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Unrealized (loss) gain on marketable debt securities, net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(1,631)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879 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(85)</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1,576 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2707406"/>
              <w:rPr>
                <w:rFonts w:eastAsia="Times New Roman"/>
              </w:rPr>
            </w:pPr>
            <w:r>
              <w:rPr>
                <w:rFonts w:eastAsia="Times New Roman"/>
                <w:color w:val="000000"/>
                <w:sz w:val="18"/>
                <w:szCs w:val="18"/>
              </w:rPr>
              <w:t>Net other comprehensive loss, net of income tax benefit of $—, $59, $— and $220, respectively</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(934)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(2,480)</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(854)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Balance at September 30,</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686949301"/>
              <w:rPr>
                <w:rFonts w:eastAsia="Times New Roman"/>
              </w:rPr>
            </w:pPr>
            <w:r>
              <w:rPr>
                <w:rFonts w:eastAsia="Times New Roman"/>
                <w:color w:val="000000"/>
                <w:sz w:val="18"/>
                <w:szCs w:val="18"/>
              </w:rPr>
              <w:t>Accumulated other comprehensive loss at September 30,</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(27,909)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(27,909)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(22,744)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effect on the Company’</w:t>
      </w:r>
      <w:r>
        <w:rPr>
          <w:rFonts w:eastAsia="Times New Roman"/>
          <w:color w:val="000000"/>
          <w:sz w:val="20"/>
          <w:szCs w:val="20"/>
        </w:rPr>
        <w:t>s unaudited condensed consolidated financial statements of amounts reclassified out of accumulated other comprehensive loss was immaterial for all periods presented.</w:t>
      </w:r>
    </w:p>
    <w:p w:rsidR="00000000" w:rsidRDefault="00755199">
      <w:pPr>
        <w:jc w:val="both"/>
        <w:rPr>
          <w:rFonts w:eastAsia="Times New Roman"/>
        </w:rPr>
      </w:pPr>
    </w:p>
    <w:p w:rsidR="00000000" w:rsidRDefault="00755199">
      <w:pPr>
        <w:divId w:val="1905869620"/>
        <w:rPr>
          <w:rFonts w:eastAsia="Times New Roman"/>
        </w:rPr>
      </w:pPr>
      <w:r>
        <w:rPr>
          <w:rFonts w:eastAsia="Times New Roman"/>
          <w:b/>
          <w:bCs/>
          <w:color w:val="000000"/>
          <w:sz w:val="20"/>
          <w:szCs w:val="20"/>
        </w:rPr>
        <w:t>NOTE 10:</w:t>
      </w:r>
      <w:r>
        <w:rPr>
          <w:rFonts w:eastAsia="Times New Roman"/>
          <w:color w:val="000000"/>
          <w:sz w:val="20"/>
          <w:szCs w:val="20"/>
        </w:rPr>
        <w:t xml:space="preserve"> </w:t>
      </w:r>
      <w:r>
        <w:rPr>
          <w:rFonts w:eastAsia="Times New Roman"/>
          <w:b/>
          <w:bCs/>
          <w:color w:val="000000"/>
          <w:sz w:val="20"/>
          <w:szCs w:val="20"/>
        </w:rPr>
        <w:t>Commitments and Contingencies</w:t>
      </w:r>
      <w:r>
        <w:rPr>
          <w:rFonts w:eastAsia="Times New Roman"/>
          <w:color w:val="000000"/>
          <w:sz w:val="20"/>
          <w:szCs w:val="20"/>
        </w:rPr>
        <w:t> </w:t>
      </w:r>
    </w:p>
    <w:p w:rsidR="00000000" w:rsidRDefault="00755199">
      <w:pPr>
        <w:divId w:val="1190220980"/>
        <w:rPr>
          <w:rFonts w:eastAsia="Times New Roman"/>
        </w:rPr>
      </w:pPr>
    </w:p>
    <w:p w:rsidR="00000000" w:rsidRDefault="00755199">
      <w:pPr>
        <w:divId w:val="404037949"/>
        <w:rPr>
          <w:rFonts w:eastAsia="Times New Roman"/>
        </w:rPr>
      </w:pPr>
      <w:r>
        <w:rPr>
          <w:rFonts w:eastAsia="Times New Roman"/>
          <w:b/>
          <w:bCs/>
          <w:i/>
          <w:iCs/>
          <w:color w:val="000000"/>
          <w:sz w:val="20"/>
          <w:szCs w:val="20"/>
        </w:rPr>
        <w:t>Litigation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 is subject to poten</w:t>
      </w:r>
      <w:r>
        <w:rPr>
          <w:rFonts w:eastAsia="Times New Roman"/>
          <w:color w:val="000000"/>
          <w:sz w:val="20"/>
          <w:szCs w:val="20"/>
        </w:rPr>
        <w:t xml:space="preserve">tial liabilities generally incidental to the Company’s business arising out of present and future lawsuits and claims related to product liability, personal injury, contract, commercial, intellectual property, tax, employment, compliance and other matters </w:t>
      </w:r>
      <w:r>
        <w:rPr>
          <w:rFonts w:eastAsia="Times New Roman"/>
          <w:color w:val="000000"/>
          <w:sz w:val="20"/>
          <w:szCs w:val="20"/>
        </w:rPr>
        <w:t>that arise in the ordinary course of business. The Company accrues for potential liabilities when it is probable that future costs (including legal fees and expenses) will be incurred and such costs can be reasonably estimated. At September 30, 2022 and De</w:t>
      </w:r>
      <w:r>
        <w:rPr>
          <w:rFonts w:eastAsia="Times New Roman"/>
          <w:color w:val="000000"/>
          <w:sz w:val="20"/>
          <w:szCs w:val="20"/>
        </w:rPr>
        <w:t xml:space="preserve">cember 31, 2021, there were no contingent liabilities with respect to any litigation, arbitration or </w:t>
      </w:r>
    </w:p>
    <w:p w:rsidR="00000000" w:rsidRDefault="00755199">
      <w:pPr>
        <w:jc w:val="center"/>
        <w:divId w:val="578758846"/>
        <w:rPr>
          <w:rFonts w:eastAsia="Times New Roman"/>
        </w:rPr>
      </w:pPr>
      <w:r>
        <w:rPr>
          <w:rFonts w:eastAsia="Times New Roman"/>
          <w:color w:val="000000"/>
          <w:sz w:val="20"/>
          <w:szCs w:val="20"/>
        </w:rPr>
        <w:t>- 18 -</w:t>
      </w:r>
    </w:p>
    <w:p w:rsidR="00000000" w:rsidRDefault="00755199">
      <w:pPr>
        <w:rPr>
          <w:rFonts w:eastAsia="Times New Roman"/>
        </w:rPr>
      </w:pPr>
      <w:r>
        <w:rPr>
          <w:rFonts w:eastAsia="Times New Roman"/>
        </w:rPr>
        <w:pict>
          <v:rect id="_x0000_i1043" style="width:0;height:1.5pt" o:hralign="center" o:hrstd="t" o:hr="t" fillcolor="#a0a0a0" stroked="f"/>
        </w:pict>
      </w:r>
    </w:p>
    <w:p w:rsidR="00000000" w:rsidRDefault="00755199">
      <w:pPr>
        <w:divId w:val="1042754631"/>
        <w:rPr>
          <w:rFonts w:eastAsia="Times New Roman"/>
        </w:rPr>
      </w:pPr>
    </w:p>
    <w:p w:rsidR="00000000" w:rsidRDefault="00755199">
      <w:pPr>
        <w:jc w:val="both"/>
        <w:rPr>
          <w:rFonts w:eastAsia="Times New Roman"/>
        </w:rPr>
      </w:pPr>
      <w:r>
        <w:rPr>
          <w:rFonts w:eastAsia="Times New Roman"/>
          <w:color w:val="000000"/>
          <w:sz w:val="20"/>
          <w:szCs w:val="20"/>
        </w:rPr>
        <w:t>administrative or other proceeding that are reasonably likely to have a material adverse effect on the Compa</w:t>
      </w:r>
      <w:r>
        <w:rPr>
          <w:rFonts w:eastAsia="Times New Roman"/>
          <w:color w:val="000000"/>
          <w:sz w:val="20"/>
          <w:szCs w:val="20"/>
        </w:rPr>
        <w:t xml:space="preserve">ny’s consolidated financial position, results of operations, cash flows or liquidity. </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First Jazz Complaint</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On May 12, 2021, Jazz Pharmaceuticals, Inc. (“Jazz”) filed a formal complaint (the “First Complaint”) initiating a lawsuit in the United States </w:t>
      </w:r>
      <w:r>
        <w:rPr>
          <w:rFonts w:eastAsia="Times New Roman"/>
          <w:color w:val="000000"/>
          <w:sz w:val="20"/>
          <w:szCs w:val="20"/>
        </w:rPr>
        <w:t>District Court for the District of Delaware (the “Court”) against Avadel Pharmaceuticals plc, Avadel US Holdings, Inc., Avadel Management Corporation, Avadel Legacy Pharmaceuticals, LLC, Avadel Specialty Pharmaceuticals, LLC, and Avadel CNS Pharmaceuticals</w:t>
      </w:r>
      <w:r>
        <w:rPr>
          <w:rFonts w:eastAsia="Times New Roman"/>
          <w:color w:val="000000"/>
          <w:sz w:val="20"/>
          <w:szCs w:val="20"/>
        </w:rPr>
        <w:t>, LLC (collectively, the “Avadel Parties”). In the First Complaint, Jazz alleges the sodium oxybate product (“Proposed Product”) described in the NDA owned by Avadel CNS Pharmaceuticals, LLC (“Avadel CNS”) will infringe at least one claim of U.S. Patent No</w:t>
      </w:r>
      <w:r>
        <w:rPr>
          <w:rFonts w:eastAsia="Times New Roman"/>
          <w:color w:val="000000"/>
          <w:sz w:val="20"/>
          <w:szCs w:val="20"/>
        </w:rPr>
        <w:t>. 8731963, 10758488, 10813885, 10959956 and/or 10966931 (collectively, the “patents-in-suit”). The First Complaint further includes typical relief requests such as preliminary and permanent injunctive relief, monetary damages and attorneys’ fees, costs and</w:t>
      </w:r>
      <w:r>
        <w:rPr>
          <w:rFonts w:eastAsia="Times New Roman"/>
          <w:color w:val="000000"/>
          <w:sz w:val="20"/>
          <w:szCs w:val="20"/>
        </w:rPr>
        <w:t xml:space="preserve"> expenses.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June 3, 2021, the Avadel Parties timely filed their Answer and Counterclaims (the “Avadel Answer”</w:t>
      </w:r>
      <w:r>
        <w:rPr>
          <w:rFonts w:eastAsia="Times New Roman"/>
          <w:color w:val="000000"/>
          <w:sz w:val="20"/>
          <w:szCs w:val="20"/>
        </w:rPr>
        <w:t>) with the Court in response to the First Complaint. The Avadel Answer generally denies the allegations set forth in the First Complaint, includes numerous affirmative defenses (including, but not limited to, non-infringement and invalidity of the patents-</w:t>
      </w:r>
      <w:r>
        <w:rPr>
          <w:rFonts w:eastAsia="Times New Roman"/>
          <w:color w:val="000000"/>
          <w:sz w:val="20"/>
          <w:szCs w:val="20"/>
        </w:rPr>
        <w:t>in-suit), and asserts a number of counterclaims seeking i) a declaratory judgment of non-infringement of each patent-in-suit, and ii) a declaratory judgment of invalidity of each patent-in-suit.</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June 18, 2021, Jazz filed its Answer (“Jazz Answer”) wit</w:t>
      </w:r>
      <w:r>
        <w:rPr>
          <w:rFonts w:eastAsia="Times New Roman"/>
          <w:color w:val="000000"/>
          <w:sz w:val="20"/>
          <w:szCs w:val="20"/>
        </w:rPr>
        <w:t>h the Court in response to the Avadel Answer. The Jazz Answer generally denies the allegations set forth in the Avadel Answer and sets forth a single affirmative defense asserting that Avadel has failed to state a claim for which relief can be granted.</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w:t>
      </w:r>
      <w:r>
        <w:rPr>
          <w:rFonts w:eastAsia="Times New Roman"/>
          <w:color w:val="000000"/>
          <w:sz w:val="20"/>
          <w:szCs w:val="20"/>
        </w:rPr>
        <w:t>n June 21, 2021, the Court issued an oral order requiring the parties to i) confer regarding proposed dates to be included in the Court’s scheduling order for the case, and ii) submit a proposed order, including a proposal for the length and timing of tria</w:t>
      </w:r>
      <w:r>
        <w:rPr>
          <w:rFonts w:eastAsia="Times New Roman"/>
          <w:color w:val="000000"/>
          <w:sz w:val="20"/>
          <w:szCs w:val="20"/>
        </w:rPr>
        <w:t>l, to the Court by no later than July 21, 2021.</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July 30, 2021, the Court issued a scheduling order establishing timing for litigation events including i) a claim construction hearing date of August 2, 2022, and ii) a trial date of October 30, 2023.</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October 18, 2021, consistent with the scheduling order, Jazz filed a status update with the Court indicating that Jazz did not intend to file a preliminary injunction with the Court at this time. Jazz further indicated that it would provide the Court wi</w:t>
      </w:r>
      <w:r>
        <w:rPr>
          <w:rFonts w:eastAsia="Times New Roman"/>
          <w:color w:val="000000"/>
          <w:sz w:val="20"/>
          <w:szCs w:val="20"/>
        </w:rPr>
        <w:t>th an update regarding whether preliminary injunction proceedings may be necessary after receiving further information regarding the FDA’s action on Avadel CNS’s NDA.</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January 4, 2022, the Court entered an agreed order dismissing this case with respect</w:t>
      </w:r>
      <w:r>
        <w:rPr>
          <w:rFonts w:eastAsia="Times New Roman"/>
          <w:color w:val="000000"/>
          <w:sz w:val="20"/>
          <w:szCs w:val="20"/>
        </w:rPr>
        <w:t xml:space="preserve"> to Avadel Pharmaceuticals plc, Avadel US Holdings, Inc., Avadel Specialty Pharmaceuticals, LLC, Avadel Legacy Pharmaceuticals, LLC, and Avadel Management Corporation. A corresponding order was entered in the two below cases on the same day.</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February 25, 2022, Jazz filed an amended Answer to the Avadel Parties’ Counterclaims (“the Jazz First Amended Answer”). The Jazz First Amended Answer is substantially similar to the Jazz Answer except insofar as it adds an affirmative defense for judici</w:t>
      </w:r>
      <w:r>
        <w:rPr>
          <w:rFonts w:eastAsia="Times New Roman"/>
          <w:color w:val="000000"/>
          <w:sz w:val="20"/>
          <w:szCs w:val="20"/>
        </w:rPr>
        <w:t>al estoppel and unclean hands. Corresponding amended answers were filed in the two below cases on the same day.</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June 23, 2022, Avadel CNS filed a Renewed Motion for Judgment on the Pleadings, with respect to its counterclaim against Jazz seeking to ha</w:t>
      </w:r>
      <w:r>
        <w:rPr>
          <w:rFonts w:eastAsia="Times New Roman"/>
          <w:color w:val="000000"/>
          <w:sz w:val="20"/>
          <w:szCs w:val="20"/>
        </w:rPr>
        <w:t xml:space="preserve">ve U.S. Patent No. 8731963 (the “REMS Patent”) de-listed from the Orange Book and seeking to have the motion resolved concurrent with the parties’ </w:t>
      </w:r>
      <w:r>
        <w:rPr>
          <w:rFonts w:eastAsia="Times New Roman"/>
          <w:i/>
          <w:iCs/>
          <w:color w:val="000000"/>
          <w:sz w:val="20"/>
          <w:szCs w:val="20"/>
        </w:rPr>
        <w:t>Markman</w:t>
      </w:r>
      <w:r>
        <w:rPr>
          <w:rFonts w:eastAsia="Times New Roman"/>
          <w:color w:val="000000"/>
          <w:sz w:val="20"/>
          <w:szCs w:val="20"/>
        </w:rPr>
        <w:t xml:space="preserve"> hearing on August 31, 2022. On July 7, 2022, Jazz filed a response it styled as Objections to Avadel </w:t>
      </w:r>
      <w:r>
        <w:rPr>
          <w:rFonts w:eastAsia="Times New Roman"/>
          <w:color w:val="000000"/>
          <w:sz w:val="20"/>
          <w:szCs w:val="20"/>
        </w:rPr>
        <w:t xml:space="preserve">CNS’ Motion for Judgment on the Pleadings. On July 14, 2022, Avadel CNS replied to Jazz’s response, and on July 21, 2022, Avadel CNS requested oral argument on its delisting motion simultaneous with the </w:t>
      </w:r>
      <w:r>
        <w:rPr>
          <w:rFonts w:eastAsia="Times New Roman"/>
          <w:i/>
          <w:iCs/>
          <w:color w:val="000000"/>
          <w:sz w:val="20"/>
          <w:szCs w:val="20"/>
        </w:rPr>
        <w:t>Markman</w:t>
      </w:r>
      <w:r>
        <w:rPr>
          <w:rFonts w:eastAsia="Times New Roman"/>
          <w:color w:val="000000"/>
          <w:sz w:val="20"/>
          <w:szCs w:val="20"/>
        </w:rPr>
        <w:t xml:space="preserve"> hearing. On August 24, 2022, the Court ordere</w:t>
      </w:r>
      <w:r>
        <w:rPr>
          <w:rFonts w:eastAsia="Times New Roman"/>
          <w:color w:val="000000"/>
          <w:sz w:val="20"/>
          <w:szCs w:val="20"/>
        </w:rPr>
        <w:t>d Jazz to respond substantively to Avadel CNS’ motion, which Jazz did on August 26, 2022. Avadel CNS filed its reply on August 28, 2022.</w:t>
      </w:r>
    </w:p>
    <w:p w:rsidR="00000000" w:rsidRDefault="00755199">
      <w:pPr>
        <w:divId w:val="204828920"/>
        <w:rPr>
          <w:rFonts w:eastAsia="Times New Roman"/>
        </w:rPr>
      </w:pPr>
    </w:p>
    <w:p w:rsidR="00000000" w:rsidRDefault="00755199">
      <w:pPr>
        <w:jc w:val="both"/>
        <w:rPr>
          <w:rFonts w:eastAsia="Times New Roman"/>
        </w:rPr>
      </w:pPr>
      <w:r>
        <w:rPr>
          <w:rFonts w:eastAsia="Times New Roman"/>
          <w:color w:val="000000"/>
          <w:sz w:val="20"/>
          <w:szCs w:val="20"/>
        </w:rPr>
        <w:t xml:space="preserve">On August 23, 2022, the </w:t>
      </w:r>
      <w:r>
        <w:rPr>
          <w:rFonts w:eastAsia="Times New Roman"/>
          <w:i/>
          <w:iCs/>
          <w:color w:val="000000"/>
          <w:sz w:val="20"/>
          <w:szCs w:val="20"/>
        </w:rPr>
        <w:t>Markman</w:t>
      </w:r>
      <w:r>
        <w:rPr>
          <w:rFonts w:eastAsia="Times New Roman"/>
          <w:color w:val="000000"/>
          <w:sz w:val="20"/>
          <w:szCs w:val="20"/>
        </w:rPr>
        <w:t xml:space="preserve"> hearing was postponed. On September 7, 2022, the case was reassigned to a new judge, </w:t>
      </w:r>
      <w:r>
        <w:rPr>
          <w:rFonts w:eastAsia="Times New Roman"/>
          <w:color w:val="000000"/>
          <w:sz w:val="20"/>
          <w:szCs w:val="20"/>
        </w:rPr>
        <w:t xml:space="preserve">and the </w:t>
      </w:r>
      <w:r>
        <w:rPr>
          <w:rFonts w:eastAsia="Times New Roman"/>
          <w:i/>
          <w:iCs/>
          <w:color w:val="000000"/>
          <w:sz w:val="20"/>
          <w:szCs w:val="20"/>
        </w:rPr>
        <w:t>Markman</w:t>
      </w:r>
      <w:r>
        <w:rPr>
          <w:rFonts w:eastAsia="Times New Roman"/>
          <w:color w:val="000000"/>
          <w:sz w:val="20"/>
          <w:szCs w:val="20"/>
        </w:rPr>
        <w:t xml:space="preserve"> hearing was held on October 25, 2022. At the </w:t>
      </w:r>
      <w:r>
        <w:rPr>
          <w:rFonts w:eastAsia="Times New Roman"/>
          <w:i/>
          <w:iCs/>
          <w:color w:val="000000"/>
          <w:sz w:val="20"/>
          <w:szCs w:val="20"/>
        </w:rPr>
        <w:t>Markman</w:t>
      </w:r>
      <w:r>
        <w:rPr>
          <w:rFonts w:eastAsia="Times New Roman"/>
          <w:color w:val="000000"/>
          <w:sz w:val="20"/>
          <w:szCs w:val="20"/>
        </w:rPr>
        <w:t xml:space="preserve"> hearing, Avadel CNS reiterated its request for an expedited hearing on the Renewed Motion for Judgment on the Pleadings for the de-listing of the REMS Patent. On October 28, 2022, the Cou</w:t>
      </w:r>
      <w:r>
        <w:rPr>
          <w:rFonts w:eastAsia="Times New Roman"/>
          <w:color w:val="000000"/>
          <w:sz w:val="20"/>
          <w:szCs w:val="20"/>
        </w:rPr>
        <w:t>rt granted Avadel CNS’ request and scheduled the hearing for November 15, 2022.</w:t>
      </w:r>
    </w:p>
    <w:p w:rsidR="00000000" w:rsidRDefault="00755199">
      <w:pPr>
        <w:jc w:val="both"/>
        <w:rPr>
          <w:rFonts w:eastAsia="Times New Roman"/>
        </w:rPr>
      </w:pPr>
    </w:p>
    <w:p w:rsidR="00000000" w:rsidRDefault="00755199">
      <w:pPr>
        <w:jc w:val="center"/>
        <w:divId w:val="310326097"/>
        <w:rPr>
          <w:rFonts w:eastAsia="Times New Roman"/>
        </w:rPr>
      </w:pPr>
      <w:r>
        <w:rPr>
          <w:rFonts w:eastAsia="Times New Roman"/>
          <w:color w:val="000000"/>
          <w:sz w:val="20"/>
          <w:szCs w:val="20"/>
        </w:rPr>
        <w:t>- 19 -</w:t>
      </w:r>
    </w:p>
    <w:p w:rsidR="00000000" w:rsidRDefault="00755199">
      <w:pPr>
        <w:rPr>
          <w:rFonts w:eastAsia="Times New Roman"/>
        </w:rPr>
      </w:pPr>
      <w:r>
        <w:rPr>
          <w:rFonts w:eastAsia="Times New Roman"/>
        </w:rPr>
        <w:pict>
          <v:rect id="_x0000_i1044" style="width:0;height:1.5pt" o:hralign="center" o:hrstd="t" o:hr="t" fillcolor="#a0a0a0" stroked="f"/>
        </w:pict>
      </w:r>
    </w:p>
    <w:p w:rsidR="00000000" w:rsidRDefault="00755199">
      <w:pPr>
        <w:divId w:val="992762315"/>
        <w:rPr>
          <w:rFonts w:eastAsia="Times New Roman"/>
        </w:rPr>
      </w:pPr>
    </w:p>
    <w:p w:rsidR="00000000" w:rsidRDefault="00755199">
      <w:pPr>
        <w:jc w:val="both"/>
        <w:rPr>
          <w:rFonts w:eastAsia="Times New Roman"/>
        </w:rPr>
      </w:pPr>
      <w:r>
        <w:rPr>
          <w:rFonts w:eastAsia="Times New Roman"/>
          <w:i/>
          <w:iCs/>
          <w:color w:val="000000"/>
          <w:sz w:val="20"/>
          <w:szCs w:val="20"/>
        </w:rPr>
        <w:t xml:space="preserve">Second Jazz Complaint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August 4, 2021, Jazz filed another formal complaint (the “Second Complaint”) initiating a lawsuit in</w:t>
      </w:r>
      <w:r>
        <w:rPr>
          <w:rFonts w:eastAsia="Times New Roman"/>
          <w:color w:val="000000"/>
          <w:sz w:val="20"/>
          <w:szCs w:val="20"/>
        </w:rPr>
        <w:t xml:space="preserve"> the Court against the Avadel Parties. In the Second Complaint, Jazz alleges the Proposed Product described in the NDA owned by Avadel CNS will infringe at least one claim of U.S. Patent No. 11077079. The Second Complaint further includes typical relief re</w:t>
      </w:r>
      <w:r>
        <w:rPr>
          <w:rFonts w:eastAsia="Times New Roman"/>
          <w:color w:val="000000"/>
          <w:sz w:val="20"/>
          <w:szCs w:val="20"/>
        </w:rPr>
        <w:t>quests such as preliminary and permanent injunctive relief, monetary damages and attorneys’ fees, costs and expenses.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September 9, 2021, the Avadel Parties timely filed their Answer and Counterclaims (the “Second Avadel Answer”) with the Court in resp</w:t>
      </w:r>
      <w:r>
        <w:rPr>
          <w:rFonts w:eastAsia="Times New Roman"/>
          <w:color w:val="000000"/>
          <w:sz w:val="20"/>
          <w:szCs w:val="20"/>
        </w:rPr>
        <w:t>onse to the Second Complaint. The Second Avadel Answer generally denies the allegations set forth in the Second Complaint, includes numerous affirmative defenses (including, but not limited to, non-infringement and invalidity of the patent-in-suit), and as</w:t>
      </w:r>
      <w:r>
        <w:rPr>
          <w:rFonts w:eastAsia="Times New Roman"/>
          <w:color w:val="000000"/>
          <w:sz w:val="20"/>
          <w:szCs w:val="20"/>
        </w:rPr>
        <w:t>serts a number of counterclaims seeking i) a declaratory judgment of non-infringement of the patent-in-suit, and ii) a declaratory judgment of invalidity of the patent-in-suit.</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October 22, 2021, the Court issued an oral order stating that this case sh</w:t>
      </w:r>
      <w:r>
        <w:rPr>
          <w:rFonts w:eastAsia="Times New Roman"/>
          <w:color w:val="000000"/>
          <w:sz w:val="20"/>
          <w:szCs w:val="20"/>
        </w:rPr>
        <w:t>ould proceed on the same schedule as the case filed on May 12, 2021.</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September 7, 2022, the case was reassigned to a new judge.</w:t>
      </w:r>
    </w:p>
    <w:p w:rsidR="00000000" w:rsidRDefault="00755199">
      <w:pPr>
        <w:jc w:val="both"/>
        <w:rPr>
          <w:rFonts w:eastAsia="Times New Roman"/>
        </w:rPr>
      </w:pPr>
    </w:p>
    <w:p w:rsidR="00000000" w:rsidRDefault="00755199">
      <w:pPr>
        <w:divId w:val="1048069720"/>
        <w:rPr>
          <w:rFonts w:eastAsia="Times New Roman"/>
        </w:rPr>
      </w:pPr>
      <w:r>
        <w:rPr>
          <w:rFonts w:eastAsia="Times New Roman"/>
          <w:i/>
          <w:iCs/>
          <w:color w:val="000000"/>
          <w:sz w:val="20"/>
          <w:szCs w:val="20"/>
        </w:rPr>
        <w:t>Third Jazz Complaint</w:t>
      </w:r>
    </w:p>
    <w:p w:rsidR="00000000" w:rsidRDefault="00755199">
      <w:pPr>
        <w:divId w:val="1114440987"/>
        <w:rPr>
          <w:rFonts w:eastAsia="Times New Roman"/>
        </w:rPr>
      </w:pPr>
    </w:p>
    <w:p w:rsidR="00000000" w:rsidRDefault="00755199">
      <w:pPr>
        <w:jc w:val="both"/>
        <w:rPr>
          <w:rFonts w:eastAsia="Times New Roman"/>
        </w:rPr>
      </w:pPr>
      <w:r>
        <w:rPr>
          <w:rFonts w:eastAsia="Times New Roman"/>
          <w:color w:val="000000"/>
          <w:sz w:val="20"/>
          <w:szCs w:val="20"/>
        </w:rPr>
        <w:t>On November 10, 2021, Jazz filed another formal complaint (the “Third Complaint”) initiating a law</w:t>
      </w:r>
      <w:r>
        <w:rPr>
          <w:rFonts w:eastAsia="Times New Roman"/>
          <w:color w:val="000000"/>
          <w:sz w:val="20"/>
          <w:szCs w:val="20"/>
        </w:rPr>
        <w:t>suit in the Court against the Avadel Parties. In the Third Complaint, Jazz alleges the Proposed Product described in the NDA owned by Avadel CNS will infringe at least one claim of U.S. Patent No. 11147782. The Third Complaint further includes typical reli</w:t>
      </w:r>
      <w:r>
        <w:rPr>
          <w:rFonts w:eastAsia="Times New Roman"/>
          <w:color w:val="000000"/>
          <w:sz w:val="20"/>
          <w:szCs w:val="20"/>
        </w:rPr>
        <w:t>ef requests such as preliminary and permanent injunctive relief, monetary damages and attorneys’ fees, costs and expenses. This case will proceed on the same schedule as the cases associated with the First and Second Complaints above.</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December 21, 202</w:t>
      </w:r>
      <w:r>
        <w:rPr>
          <w:rFonts w:eastAsia="Times New Roman"/>
          <w:color w:val="000000"/>
          <w:sz w:val="20"/>
          <w:szCs w:val="20"/>
        </w:rPr>
        <w:t xml:space="preserve">1, the Court entered a revised schedule for the First, Second and Third Complaints, setting a new claim construction date of August 31, 2022.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January 7, 2022, Avadel CNS timely filed its Answer and Counterclaims (the “Third Avadel Answer”) with the C</w:t>
      </w:r>
      <w:r>
        <w:rPr>
          <w:rFonts w:eastAsia="Times New Roman"/>
          <w:color w:val="000000"/>
          <w:sz w:val="20"/>
          <w:szCs w:val="20"/>
        </w:rPr>
        <w:t>ourt in response to the Third Complaint. The Third Avadel Answer generally denies the allegations set forth in the Third Complaint, includes numerous affirmative defenses (including, but not limited to, non-infringement and invalidity of the patent-in-suit</w:t>
      </w:r>
      <w:r>
        <w:rPr>
          <w:rFonts w:eastAsia="Times New Roman"/>
          <w:color w:val="000000"/>
          <w:sz w:val="20"/>
          <w:szCs w:val="20"/>
        </w:rPr>
        <w:t>), and asserts a number of counterclaims seeking i) a declaratory judgment of non-infringement of the patent-in-suit, and ii) a declaratory judgment of invalidity/unenforceability of the patent-in-suit.</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On September 7, 2022, the case was reassigned to a </w:t>
      </w:r>
      <w:r>
        <w:rPr>
          <w:rFonts w:eastAsia="Times New Roman"/>
          <w:color w:val="000000"/>
          <w:sz w:val="20"/>
          <w:szCs w:val="20"/>
        </w:rPr>
        <w:t>new judge.</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Fourth Jazz Complaint</w:t>
      </w:r>
    </w:p>
    <w:p w:rsidR="00000000" w:rsidRDefault="00755199">
      <w:pPr>
        <w:divId w:val="1593120613"/>
        <w:rPr>
          <w:rFonts w:eastAsia="Times New Roman"/>
        </w:rPr>
      </w:pPr>
    </w:p>
    <w:p w:rsidR="00000000" w:rsidRDefault="00755199">
      <w:pPr>
        <w:jc w:val="both"/>
        <w:rPr>
          <w:rFonts w:eastAsia="Times New Roman"/>
        </w:rPr>
      </w:pPr>
      <w:r>
        <w:rPr>
          <w:rFonts w:eastAsia="Times New Roman"/>
          <w:color w:val="000000"/>
          <w:sz w:val="20"/>
          <w:szCs w:val="20"/>
        </w:rPr>
        <w:t>On July 15, 2022, Jazz filed another formal complaint (the “Fourth Complaint”</w:t>
      </w:r>
      <w:r>
        <w:rPr>
          <w:rFonts w:eastAsia="Times New Roman"/>
          <w:color w:val="000000"/>
          <w:sz w:val="20"/>
          <w:szCs w:val="20"/>
        </w:rPr>
        <w:t xml:space="preserve">) initiating a lawsuit in the Court against Avadel CNS. In the Fourth Complaint, Jazz alleges the Proposed Product described in the NDA owned by Avadel CNS will infringe at least one claim of the REMS Patent, which was asserted in the First Complaint. The </w:t>
      </w:r>
      <w:r>
        <w:rPr>
          <w:rFonts w:eastAsia="Times New Roman"/>
          <w:color w:val="000000"/>
          <w:sz w:val="20"/>
          <w:szCs w:val="20"/>
        </w:rPr>
        <w:t xml:space="preserve">FDA required Avadel CNS to file a Paragraph IV certification against the REMS Patent, which Avadel CNS did under protest, consistent with its Renewed Motion for Judgment on the Pleadings for the de-listing of the REMS Patent from the Orange Book, which is </w:t>
      </w:r>
      <w:r>
        <w:rPr>
          <w:rFonts w:eastAsia="Times New Roman"/>
          <w:color w:val="000000"/>
          <w:sz w:val="20"/>
          <w:szCs w:val="20"/>
        </w:rPr>
        <w:t>pending in response to the above First Jazz Complaint action. Avadel CNS provided the required notice of its Paragraph IV certification to Jazz, and Jazz reasserted the REMS Patent in a separate action following receipt of that notice. The Fourth Complaint</w:t>
      </w:r>
      <w:r>
        <w:rPr>
          <w:rFonts w:eastAsia="Times New Roman"/>
          <w:color w:val="000000"/>
          <w:sz w:val="20"/>
          <w:szCs w:val="20"/>
        </w:rPr>
        <w:t xml:space="preserve"> further includes typical relief requests such as preliminary and permanent injunctive relief, monetary damages and attorneys’ fees, costs and expenses.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September 7, 2022, the case was reassigned to a new judge.</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September 21, 2022, Jazz served t</w:t>
      </w:r>
      <w:r>
        <w:rPr>
          <w:rFonts w:eastAsia="Times New Roman"/>
          <w:color w:val="000000"/>
          <w:sz w:val="20"/>
          <w:szCs w:val="20"/>
        </w:rPr>
        <w:t>he Fourth Complaint.</w:t>
      </w:r>
      <w:r>
        <w:rPr>
          <w:rFonts w:eastAsia="Times New Roman"/>
          <w:color w:val="000000"/>
        </w:rPr>
        <w:t xml:space="preserve"> </w:t>
      </w:r>
      <w:r>
        <w:rPr>
          <w:rFonts w:eastAsia="Times New Roman"/>
          <w:color w:val="000000"/>
          <w:sz w:val="20"/>
          <w:szCs w:val="20"/>
        </w:rPr>
        <w:t>On October 21, 2022, Avadel CNS timely filed its Answer and Counterclaims (the “Fourth Avadel Answer”) with the Court in response to the Fourth Complaint.</w:t>
      </w:r>
      <w:r>
        <w:rPr>
          <w:rFonts w:eastAsia="Times New Roman"/>
          <w:color w:val="000000"/>
        </w:rPr>
        <w:t xml:space="preserve"> </w:t>
      </w:r>
      <w:r>
        <w:rPr>
          <w:rFonts w:eastAsia="Times New Roman"/>
          <w:color w:val="000000"/>
          <w:sz w:val="20"/>
          <w:szCs w:val="20"/>
        </w:rPr>
        <w:t>The Fourth Avadel Answer generally denies the allegations set forth in the Fourt</w:t>
      </w:r>
      <w:r>
        <w:rPr>
          <w:rFonts w:eastAsia="Times New Roman"/>
          <w:color w:val="000000"/>
          <w:sz w:val="20"/>
          <w:szCs w:val="20"/>
        </w:rPr>
        <w:t>h Complaint, includes numerous affirmative defenses (including, but not limited to, non-infringement and invalidity of the patent-in-suit), and asserts a number of counterclaims for i) a declaratory judgment of non-infringement of the patent-in-suit,</w:t>
      </w:r>
      <w:r>
        <w:rPr>
          <w:rFonts w:eastAsia="Times New Roman"/>
          <w:color w:val="000000"/>
        </w:rPr>
        <w:t xml:space="preserve"> </w:t>
      </w:r>
      <w:r>
        <w:rPr>
          <w:rFonts w:eastAsia="Times New Roman"/>
          <w:color w:val="000000"/>
          <w:sz w:val="20"/>
          <w:szCs w:val="20"/>
        </w:rPr>
        <w:t>ii) a</w:t>
      </w:r>
      <w:r>
        <w:rPr>
          <w:rFonts w:eastAsia="Times New Roman"/>
          <w:color w:val="000000"/>
          <w:sz w:val="20"/>
          <w:szCs w:val="20"/>
        </w:rPr>
        <w:t xml:space="preserve"> declaratory judgment of invalidity/unenforceability of the patent-in-suit, iii) de-listing of the patent-in-suit from the Orange Book; iv) monopolization under the Sherman Antitrust Act of 1890 (the “Sherman Act”); and v) attempted monopolization under th</w:t>
      </w:r>
      <w:r>
        <w:rPr>
          <w:rFonts w:eastAsia="Times New Roman"/>
          <w:color w:val="000000"/>
          <w:sz w:val="20"/>
          <w:szCs w:val="20"/>
        </w:rPr>
        <w:t>e Sherman Act.</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Avadel Complaint</w:t>
      </w:r>
      <w:r>
        <w:rPr>
          <w:rFonts w:eastAsia="Times New Roman"/>
          <w:color w:val="000000"/>
          <w:sz w:val="20"/>
          <w:szCs w:val="20"/>
        </w:rPr>
        <w:t xml:space="preserve"> </w:t>
      </w:r>
    </w:p>
    <w:p w:rsidR="00000000" w:rsidRDefault="00755199">
      <w:pPr>
        <w:jc w:val="center"/>
        <w:divId w:val="2110807107"/>
        <w:rPr>
          <w:rFonts w:eastAsia="Times New Roman"/>
        </w:rPr>
      </w:pPr>
      <w:r>
        <w:rPr>
          <w:rFonts w:eastAsia="Times New Roman"/>
          <w:color w:val="000000"/>
          <w:sz w:val="20"/>
          <w:szCs w:val="20"/>
        </w:rPr>
        <w:t>- 20 -</w:t>
      </w:r>
    </w:p>
    <w:p w:rsidR="00000000" w:rsidRDefault="00755199">
      <w:pPr>
        <w:rPr>
          <w:rFonts w:eastAsia="Times New Roman"/>
        </w:rPr>
      </w:pPr>
      <w:r>
        <w:rPr>
          <w:rFonts w:eastAsia="Times New Roman"/>
        </w:rPr>
        <w:pict>
          <v:rect id="_x0000_i1045" style="width:0;height:1.5pt" o:hralign="center" o:hrstd="t" o:hr="t" fillcolor="#a0a0a0" stroked="f"/>
        </w:pict>
      </w:r>
    </w:p>
    <w:p w:rsidR="00000000" w:rsidRDefault="00755199">
      <w:pPr>
        <w:divId w:val="1565136615"/>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On April 14, 2022, Avadel CNS and Avadel Pharmaceuticals plc (collectively the “Avadel Plaintiffs”) filed a formal complaint (the “Avadel Complaint”) initiating a lawsuit in </w:t>
      </w:r>
      <w:r>
        <w:rPr>
          <w:rFonts w:eastAsia="Times New Roman"/>
          <w:color w:val="000000"/>
          <w:sz w:val="20"/>
          <w:szCs w:val="20"/>
        </w:rPr>
        <w:t xml:space="preserve">the Court against Jazz and Jazz Pharmaceuticals Ireland Ltd. (collectively, the “Jazz Parties”). In the Avadel Complaint, the Avadel Plaintiffs allege that the Jazz Parties breached certain confidential disclosure agreements and misappropriated certain of </w:t>
      </w:r>
      <w:r>
        <w:rPr>
          <w:rFonts w:eastAsia="Times New Roman"/>
          <w:color w:val="000000"/>
          <w:sz w:val="20"/>
          <w:szCs w:val="20"/>
        </w:rPr>
        <w:t xml:space="preserve">the Avadel Plaintiffs’ trade secrets. The Avadel Complaint further includes typical relief requests such as injunctive relief, monetary damages and attorneys’ fees, costs and expenses, as well as seeking correction of inventorship of certain Jazz patents, </w:t>
      </w:r>
      <w:r>
        <w:rPr>
          <w:rFonts w:eastAsia="Times New Roman"/>
          <w:color w:val="000000"/>
          <w:sz w:val="20"/>
          <w:szCs w:val="20"/>
        </w:rPr>
        <w:t>for which the Jazz Parties claim ownership, to include former Avadel Plaintiffs’ scientists.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June 2, 2022, Jazz answered the Avadel Complaint. The Answer generally denies the allegations set forth in the Avadel Complaint and includes various affirmati</w:t>
      </w:r>
      <w:r>
        <w:rPr>
          <w:rFonts w:eastAsia="Times New Roman"/>
          <w:color w:val="000000"/>
          <w:sz w:val="20"/>
          <w:szCs w:val="20"/>
        </w:rPr>
        <w:t>ve defenses.</w:t>
      </w:r>
    </w:p>
    <w:p w:rsidR="00000000" w:rsidRDefault="00755199">
      <w:pPr>
        <w:divId w:val="1409116900"/>
        <w:rPr>
          <w:rFonts w:eastAsia="Times New Roman"/>
        </w:rPr>
      </w:pPr>
    </w:p>
    <w:p w:rsidR="00000000" w:rsidRDefault="00755199">
      <w:pPr>
        <w:jc w:val="both"/>
        <w:rPr>
          <w:rFonts w:eastAsia="Times New Roman"/>
        </w:rPr>
      </w:pPr>
      <w:r>
        <w:rPr>
          <w:rFonts w:eastAsia="Times New Roman"/>
          <w:color w:val="000000"/>
          <w:sz w:val="20"/>
          <w:szCs w:val="20"/>
        </w:rPr>
        <w:t>On July 8, 2022, Jazz filed a Motion for Judgment on the Pleadings seeking to have all Counts dismissed for failure to state a claim upon which relief can be granted. The Avadel Plaintiffs’ response to that Motion was filed with the Court on</w:t>
      </w:r>
      <w:r>
        <w:rPr>
          <w:rFonts w:eastAsia="Times New Roman"/>
          <w:color w:val="000000"/>
          <w:sz w:val="20"/>
          <w:szCs w:val="20"/>
        </w:rPr>
        <w:t xml:space="preserve"> July 29, 2022. Jazz’s reply was filed with the Court on August 5, 2022.</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September 7, 2022, the case was reassigned to a new judge.</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Administrative Procedure Act</w:t>
      </w:r>
      <w:r>
        <w:rPr>
          <w:rFonts w:eastAsia="Times New Roman"/>
          <w:i/>
          <w:iCs/>
          <w:color w:val="0D0D0D"/>
          <w:sz w:val="20"/>
          <w:szCs w:val="20"/>
        </w:rPr>
        <w:t xml:space="preserve"> Complaint</w:t>
      </w:r>
    </w:p>
    <w:p w:rsidR="00000000" w:rsidRDefault="00755199">
      <w:pPr>
        <w:divId w:val="1572497623"/>
        <w:rPr>
          <w:rFonts w:eastAsia="Times New Roman"/>
        </w:rPr>
      </w:pPr>
    </w:p>
    <w:p w:rsidR="00000000" w:rsidRDefault="00755199">
      <w:pPr>
        <w:jc w:val="both"/>
        <w:rPr>
          <w:rFonts w:eastAsia="Times New Roman"/>
        </w:rPr>
      </w:pPr>
      <w:r>
        <w:rPr>
          <w:rFonts w:eastAsia="Times New Roman"/>
          <w:color w:val="000000"/>
          <w:sz w:val="20"/>
          <w:szCs w:val="20"/>
        </w:rPr>
        <w:t>On July 21, 2022, Avadel CNS filed an Administrative Procedure Act suit against the FDA, the U.S. Department of Health and Human Services, the Secretary of Health and Human Services and the Commissioner of Food and Drugs (the “Federal Defendants”) in the U</w:t>
      </w:r>
      <w:r>
        <w:rPr>
          <w:rFonts w:eastAsia="Times New Roman"/>
          <w:color w:val="000000"/>
          <w:sz w:val="20"/>
          <w:szCs w:val="20"/>
        </w:rPr>
        <w:t>nited States District Court for the District of Columbia (the “DC Court”) related to the NDA for LUMRYZ (sodium oxybate). This suit alleges that the FDA’s decision requiring Avadel CNS to file a patent certification concerning the REMS Patent was arbitrary</w:t>
      </w:r>
      <w:r>
        <w:rPr>
          <w:rFonts w:eastAsia="Times New Roman"/>
          <w:color w:val="000000"/>
          <w:sz w:val="20"/>
          <w:szCs w:val="20"/>
        </w:rPr>
        <w:t>, capricious and contrary to law and asks the DC Court to vacate the FDA’s decision and order the FDA to take final action on the LUMRYZ NDA. On July 28, 2022, the DC Court granted Jazz’s unopposed motion to intervene in the case to defend the FDA’s decisi</w:t>
      </w:r>
      <w:r>
        <w:rPr>
          <w:rFonts w:eastAsia="Times New Roman"/>
          <w:color w:val="000000"/>
          <w:sz w:val="20"/>
          <w:szCs w:val="20"/>
        </w:rPr>
        <w:t xml:space="preserve">on. The DC Court also entered an expedited briefing schedule governing Avadel CNS’s motion for preliminary injunction or, in the alternative, summary judgment, and the Federal Defendant’s and Jazz’s oppositions to that motion and anticipated cross-motions </w:t>
      </w:r>
      <w:r>
        <w:rPr>
          <w:rFonts w:eastAsia="Times New Roman"/>
          <w:color w:val="000000"/>
          <w:sz w:val="20"/>
          <w:szCs w:val="20"/>
        </w:rPr>
        <w:t>for summary judgment. On August 19, 2022, the Federal Defendants and Jazz filed their combined oppositions to Avadel CNS’s motion for preliminary injunction or, in the alternative, summary judgment, and cross-motions for summary judgment. On September 2, 2</w:t>
      </w:r>
      <w:r>
        <w:rPr>
          <w:rFonts w:eastAsia="Times New Roman"/>
          <w:color w:val="000000"/>
          <w:sz w:val="20"/>
          <w:szCs w:val="20"/>
        </w:rPr>
        <w:t>022, Avadel CNS filed its combined reply in support of its motion for preliminary injunction or, in the alternative, summary judgment, and opposition to the cross-motions for summary judgment. On September 14, 2022, the Federal Defendants and Jazz filed th</w:t>
      </w:r>
      <w:r>
        <w:rPr>
          <w:rFonts w:eastAsia="Times New Roman"/>
          <w:color w:val="000000"/>
          <w:sz w:val="20"/>
          <w:szCs w:val="20"/>
        </w:rPr>
        <w:t>eir replies in support of their cross-motions for summary judgment. On October 7, 2022, the DC Court heard oral arguments of Avadel CNS’s motion and the Federal Defendants and Jazz’s cross-motions. On November 3, 2022, the DC Court issued its opinion deter</w:t>
      </w:r>
      <w:r>
        <w:rPr>
          <w:rFonts w:eastAsia="Times New Roman"/>
          <w:color w:val="000000"/>
          <w:sz w:val="20"/>
          <w:szCs w:val="20"/>
        </w:rPr>
        <w:t>mining that Avadel CNS is not entitled to seek relief under the APA because of the availability of adequate alternative relief in the Court, specifically, in the form of its counterclaim to have the REMS Patent de-listed from the FDA’s Orange Book describe</w:t>
      </w:r>
      <w:r>
        <w:rPr>
          <w:rFonts w:eastAsia="Times New Roman"/>
          <w:color w:val="000000"/>
          <w:sz w:val="20"/>
          <w:szCs w:val="20"/>
        </w:rPr>
        <w:t>d above in the section regarding the First Jazz Complaint.</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 xml:space="preserve">Material Commitments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Other than commitments disclosed in </w:t>
      </w:r>
      <w:r>
        <w:rPr>
          <w:rFonts w:eastAsia="Times New Roman"/>
          <w:i/>
          <w:iCs/>
          <w:color w:val="000000"/>
          <w:sz w:val="20"/>
          <w:szCs w:val="20"/>
        </w:rPr>
        <w:t>Note 15: Contingent Liabilities and Commitments</w:t>
      </w:r>
      <w:r>
        <w:rPr>
          <w:rFonts w:eastAsia="Times New Roman"/>
          <w:color w:val="000000"/>
          <w:sz w:val="20"/>
          <w:szCs w:val="20"/>
        </w:rPr>
        <w:t xml:space="preserve"> </w:t>
      </w:r>
      <w:r>
        <w:rPr>
          <w:rFonts w:eastAsia="Times New Roman"/>
          <w:color w:val="000000"/>
          <w:sz w:val="20"/>
          <w:szCs w:val="20"/>
        </w:rPr>
        <w:t xml:space="preserve">to the Company's consolidated financial statements included in the 2021 Annual Report on Form 10-K, there were no other material commitments outside of the normal course of business. </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Guarantees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fair values of the Company’s guarantee to Deerfield C</w:t>
      </w:r>
      <w:r>
        <w:rPr>
          <w:rFonts w:eastAsia="Times New Roman"/>
          <w:color w:val="000000"/>
          <w:sz w:val="20"/>
          <w:szCs w:val="20"/>
        </w:rPr>
        <w:t>apital L.P. (“Deerfield”) and the guarantee received by the Company from Armistice Capital Master Fund, Ltd. largely offset and when combined are not material.</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Deerfield Guarantee</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connection with the Company’s February 2018 divestiture of the Compan</w:t>
      </w:r>
      <w:r>
        <w:rPr>
          <w:rFonts w:eastAsia="Times New Roman"/>
          <w:color w:val="000000"/>
          <w:sz w:val="20"/>
          <w:szCs w:val="20"/>
        </w:rPr>
        <w:t>y’s pediatric assets, the Company guaranteed to Deerfield the quarterly royalty payment of 15% on net sales of the FSC products through February 6, 2026 (“FSC Product Royalties”), in an aggregate amount of up to approximately $10,300. Given the Company’s e</w:t>
      </w:r>
      <w:r>
        <w:rPr>
          <w:rFonts w:eastAsia="Times New Roman"/>
          <w:color w:val="000000"/>
          <w:sz w:val="20"/>
          <w:szCs w:val="20"/>
        </w:rPr>
        <w:t>xplicit guarantee to Deerfield, the Company recorded the guarantee in accordance with ASC 460. The balance of this guarantee liability was $844 at September 30, 2022. This liability is being amortized proportionately based on undiscounted cash outflows thr</w:t>
      </w:r>
      <w:r>
        <w:rPr>
          <w:rFonts w:eastAsia="Times New Roman"/>
          <w:color w:val="000000"/>
          <w:sz w:val="20"/>
          <w:szCs w:val="20"/>
        </w:rPr>
        <w:t>ough the remainder of the contract with Deerfield.</w:t>
      </w:r>
    </w:p>
    <w:p w:rsidR="00000000" w:rsidRDefault="00755199">
      <w:pPr>
        <w:divId w:val="904027083"/>
        <w:rPr>
          <w:rFonts w:eastAsia="Times New Roman"/>
        </w:rPr>
      </w:pPr>
    </w:p>
    <w:p w:rsidR="00000000" w:rsidRDefault="00755199">
      <w:pPr>
        <w:jc w:val="both"/>
        <w:rPr>
          <w:rFonts w:eastAsia="Times New Roman"/>
        </w:rPr>
      </w:pPr>
      <w:r>
        <w:rPr>
          <w:rFonts w:eastAsia="Times New Roman"/>
          <w:i/>
          <w:iCs/>
          <w:color w:val="000000"/>
          <w:sz w:val="20"/>
          <w:szCs w:val="20"/>
        </w:rPr>
        <w:t>Armistice Guarantee</w:t>
      </w:r>
    </w:p>
    <w:p w:rsidR="00000000" w:rsidRDefault="00755199">
      <w:pPr>
        <w:jc w:val="center"/>
        <w:divId w:val="503665394"/>
        <w:rPr>
          <w:rFonts w:eastAsia="Times New Roman"/>
        </w:rPr>
      </w:pPr>
      <w:r>
        <w:rPr>
          <w:rFonts w:eastAsia="Times New Roman"/>
          <w:color w:val="000000"/>
          <w:sz w:val="20"/>
          <w:szCs w:val="20"/>
        </w:rPr>
        <w:t>- 21 -</w:t>
      </w:r>
    </w:p>
    <w:p w:rsidR="00000000" w:rsidRDefault="00755199">
      <w:pPr>
        <w:rPr>
          <w:rFonts w:eastAsia="Times New Roman"/>
        </w:rPr>
      </w:pPr>
      <w:r>
        <w:rPr>
          <w:rFonts w:eastAsia="Times New Roman"/>
        </w:rPr>
        <w:pict>
          <v:rect id="_x0000_i1046" style="width:0;height:1.5pt" o:hralign="center" o:hrstd="t" o:hr="t" fillcolor="#a0a0a0" stroked="f"/>
        </w:pict>
      </w:r>
    </w:p>
    <w:p w:rsidR="00000000" w:rsidRDefault="00755199">
      <w:pPr>
        <w:divId w:val="331882283"/>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connection with the Company’s February 2018 divestiture of the pediatric assets, Armistice Capital Master Fund, Ltd., the majority sh</w:t>
      </w:r>
      <w:r>
        <w:rPr>
          <w:rFonts w:eastAsia="Times New Roman"/>
          <w:color w:val="000000"/>
          <w:sz w:val="20"/>
          <w:szCs w:val="20"/>
        </w:rPr>
        <w:t>areholder of Cerecor, Inc., guaranteed to the Company the FSC Product Royalties. The Company recorded the guarantee in accordance with ASC 460. The balance of this guarantee asset was $841 at September 30, 2022. This asset is being amortized proportionatel</w:t>
      </w:r>
      <w:r>
        <w:rPr>
          <w:rFonts w:eastAsia="Times New Roman"/>
          <w:color w:val="000000"/>
          <w:sz w:val="20"/>
          <w:szCs w:val="20"/>
        </w:rPr>
        <w:t>y based on undiscounted cash outflows through the remainder of the contract with Deerfield.</w:t>
      </w:r>
    </w:p>
    <w:p w:rsidR="00000000" w:rsidRDefault="00755199">
      <w:pPr>
        <w:jc w:val="both"/>
        <w:rPr>
          <w:rFonts w:eastAsia="Times New Roman"/>
        </w:rPr>
      </w:pPr>
    </w:p>
    <w:p w:rsidR="00000000" w:rsidRDefault="00755199">
      <w:pPr>
        <w:divId w:val="1874078562"/>
        <w:rPr>
          <w:rFonts w:eastAsia="Times New Roman"/>
        </w:rPr>
      </w:pPr>
      <w:r>
        <w:rPr>
          <w:rFonts w:eastAsia="Times New Roman"/>
          <w:b/>
          <w:bCs/>
          <w:i/>
          <w:iCs/>
          <w:color w:val="000000"/>
          <w:sz w:val="20"/>
          <w:szCs w:val="20"/>
        </w:rPr>
        <w:t>Off-Balance Sheet Arrangements</w:t>
      </w:r>
    </w:p>
    <w:p w:rsidR="00000000" w:rsidRDefault="00755199">
      <w:pPr>
        <w:divId w:val="1901863569"/>
        <w:rPr>
          <w:rFonts w:eastAsia="Times New Roman"/>
        </w:rPr>
      </w:pPr>
    </w:p>
    <w:p w:rsidR="00000000" w:rsidRDefault="00755199">
      <w:pPr>
        <w:jc w:val="both"/>
        <w:rPr>
          <w:rFonts w:eastAsia="Times New Roman"/>
        </w:rPr>
      </w:pPr>
      <w:r>
        <w:rPr>
          <w:rFonts w:eastAsia="Times New Roman"/>
          <w:color w:val="000000"/>
          <w:sz w:val="20"/>
          <w:szCs w:val="20"/>
        </w:rPr>
        <w:t>As of September 30, 2022, the Company did not have any off-balance sheet arrangements, as defined in Item 303(a)(4)(ii) of Regula</w:t>
      </w:r>
      <w:r>
        <w:rPr>
          <w:rFonts w:eastAsia="Times New Roman"/>
          <w:color w:val="000000"/>
          <w:sz w:val="20"/>
          <w:szCs w:val="20"/>
        </w:rPr>
        <w:t>tion S-K.</w:t>
      </w:r>
    </w:p>
    <w:p w:rsidR="00000000" w:rsidRDefault="00755199">
      <w:pPr>
        <w:jc w:val="both"/>
        <w:rPr>
          <w:rFonts w:eastAsia="Times New Roman"/>
        </w:rPr>
      </w:pPr>
    </w:p>
    <w:p w:rsidR="00000000" w:rsidRDefault="00755199">
      <w:pPr>
        <w:jc w:val="both"/>
        <w:divId w:val="649677781"/>
        <w:rPr>
          <w:rFonts w:eastAsia="Times New Roman"/>
        </w:rPr>
      </w:pPr>
      <w:r>
        <w:rPr>
          <w:rFonts w:eastAsia="Times New Roman"/>
          <w:b/>
          <w:bCs/>
          <w:color w:val="000000"/>
          <w:sz w:val="20"/>
          <w:szCs w:val="20"/>
        </w:rPr>
        <w:t>NOTE 11: Restructuring Costs</w:t>
      </w:r>
    </w:p>
    <w:p w:rsidR="00000000" w:rsidRDefault="00755199">
      <w:pPr>
        <w:jc w:val="both"/>
        <w:divId w:val="947078161"/>
        <w:rPr>
          <w:rFonts w:eastAsia="Times New Roman"/>
        </w:rPr>
      </w:pPr>
      <w:r>
        <w:rPr>
          <w:rFonts w:eastAsia="Times New Roman"/>
          <w:i/>
          <w:iCs/>
          <w:color w:val="000000"/>
          <w:sz w:val="20"/>
          <w:szCs w:val="20"/>
        </w:rPr>
        <w:t>2022 Corporate Restructuring Plan</w:t>
      </w:r>
    </w:p>
    <w:p w:rsidR="00000000" w:rsidRDefault="00755199">
      <w:pPr>
        <w:jc w:val="both"/>
        <w:rPr>
          <w:rFonts w:eastAsia="Times New Roman"/>
        </w:rPr>
      </w:pPr>
      <w:r>
        <w:rPr>
          <w:rFonts w:eastAsia="Times New Roman"/>
          <w:color w:val="000000"/>
          <w:sz w:val="20"/>
          <w:szCs w:val="20"/>
        </w:rPr>
        <w:t xml:space="preserve">In June 2022, the Company announced a plan to optimize its cost structure to reduce total quarterly cash operating expenses, excluding inventory purchases.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Company’s cost str</w:t>
      </w:r>
      <w:r>
        <w:rPr>
          <w:rFonts w:eastAsia="Times New Roman"/>
          <w:color w:val="000000"/>
          <w:sz w:val="20"/>
          <w:szCs w:val="20"/>
        </w:rPr>
        <w:t>ucture optimization efforts included a nearly 50% reduction in its workforce that was completed at the end of August 2022 (the “2022 Corporate Restructuring Plan”). Restructuring income of $69 associated with this plan, comprised primarily of adjustments t</w:t>
      </w:r>
      <w:r>
        <w:rPr>
          <w:rFonts w:eastAsia="Times New Roman"/>
          <w:color w:val="000000"/>
          <w:sz w:val="20"/>
          <w:szCs w:val="20"/>
        </w:rPr>
        <w:t>o the estimate of severance related costs, were recorded in the three months ended September 30, 2022. Restructuring charges of $3,523 associated with this plan, comprised primarily of severance related costs, were recorded in the nine months ended Septemb</w:t>
      </w:r>
      <w:r>
        <w:rPr>
          <w:rFonts w:eastAsia="Times New Roman"/>
          <w:color w:val="000000"/>
          <w:sz w:val="20"/>
          <w:szCs w:val="20"/>
        </w:rPr>
        <w:t>er 30, 2022.</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following table sets forth activities for the Company’s 2022 Corporate Restructuring Plan obligations as of September 30, 2022:</w:t>
      </w:r>
    </w:p>
    <w:p w:rsidR="00000000" w:rsidRDefault="00755199">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979"/>
        <w:gridCol w:w="36"/>
        <w:gridCol w:w="36"/>
        <w:gridCol w:w="36"/>
        <w:gridCol w:w="36"/>
        <w:gridCol w:w="110"/>
        <w:gridCol w:w="917"/>
        <w:gridCol w:w="36"/>
        <w:gridCol w:w="36"/>
        <w:gridCol w:w="36"/>
      </w:tblGrid>
      <w:tr w:rsidR="00000000">
        <w:trPr>
          <w:jc w:val="center"/>
        </w:trPr>
        <w:tc>
          <w:tcPr>
            <w:tcW w:w="50" w:type="pct"/>
            <w:vAlign w:val="center"/>
            <w:hideMark/>
          </w:tcPr>
          <w:p w:rsidR="00000000" w:rsidRDefault="00755199">
            <w:pPr>
              <w:jc w:val="both"/>
              <w:rPr>
                <w:rFonts w:eastAsia="Times New Roman"/>
              </w:rPr>
            </w:pPr>
          </w:p>
        </w:tc>
        <w:tc>
          <w:tcPr>
            <w:tcW w:w="4257"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9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2022 Corporate Restructuring Plan Obligation:</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vAlign w:val="center"/>
            <w:hideMark/>
          </w:tcPr>
          <w:p w:rsidR="00000000" w:rsidRDefault="00755199">
            <w:pPr>
              <w:spacing w:after="100"/>
              <w:jc w:val="center"/>
              <w:rPr>
                <w:rFonts w:eastAsia="Times New Roman"/>
              </w:rPr>
            </w:pPr>
          </w:p>
        </w:tc>
        <w:tc>
          <w:tcPr>
            <w:tcW w:w="0" w:type="auto"/>
            <w:vAlign w:val="center"/>
            <w:hideMark/>
          </w:tcPr>
          <w:p w:rsidR="00000000" w:rsidRDefault="00755199">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Balance of 2022 Corporate Restructuring Plan accrual at January 1,</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vAlign w:val="center"/>
            <w:hideMark/>
          </w:tcPr>
          <w:p w:rsidR="00000000" w:rsidRDefault="00755199">
            <w:pPr>
              <w:spacing w:after="100"/>
              <w:jc w:val="right"/>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3,592 </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vAlign w:val="center"/>
            <w:hideMark/>
          </w:tcPr>
          <w:p w:rsidR="00000000" w:rsidRDefault="00755199">
            <w:pPr>
              <w:spacing w:after="100"/>
              <w:jc w:val="right"/>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(2,043)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vAlign w:val="center"/>
            <w:hideMark/>
          </w:tcPr>
          <w:p w:rsidR="00000000" w:rsidRDefault="00755199">
            <w:pPr>
              <w:spacing w:after="100"/>
              <w:jc w:val="right"/>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Other adjustments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vAlign w:val="center"/>
            <w:hideMark/>
          </w:tcPr>
          <w:p w:rsidR="00000000" w:rsidRDefault="00755199">
            <w:pPr>
              <w:spacing w:after="100"/>
              <w:jc w:val="right"/>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Balance of 2022 Corporate Restructuring Plan accrual at September 30,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vAlign w:val="center"/>
            <w:hideMark/>
          </w:tcPr>
          <w:p w:rsidR="00000000" w:rsidRDefault="00755199">
            <w:pPr>
              <w:spacing w:after="100"/>
              <w:jc w:val="right"/>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bl>
    <w:p w:rsidR="00000000" w:rsidRDefault="00755199">
      <w:pPr>
        <w:divId w:val="550699075"/>
        <w:rPr>
          <w:rFonts w:eastAsia="Times New Roman"/>
        </w:rPr>
      </w:pPr>
    </w:p>
    <w:p w:rsidR="00000000" w:rsidRDefault="00755199">
      <w:pPr>
        <w:jc w:val="both"/>
        <w:rPr>
          <w:rFonts w:eastAsia="Times New Roman"/>
        </w:rPr>
      </w:pPr>
      <w:r>
        <w:rPr>
          <w:rFonts w:eastAsia="Times New Roman"/>
          <w:color w:val="000000"/>
          <w:sz w:val="20"/>
          <w:szCs w:val="20"/>
        </w:rPr>
        <w:t xml:space="preserve">The 2022 Corporate Restructuring Plan liabilities of $1,480 </w:t>
      </w:r>
      <w:r>
        <w:rPr>
          <w:rFonts w:eastAsia="Times New Roman"/>
          <w:color w:val="000000"/>
          <w:sz w:val="20"/>
          <w:szCs w:val="20"/>
        </w:rPr>
        <w:t>are included in the unaudited condensed consolidated balance sheet in accrued expenses at September 30, 2022.</w:t>
      </w:r>
    </w:p>
    <w:p w:rsidR="00000000" w:rsidRDefault="00755199">
      <w:pPr>
        <w:jc w:val="both"/>
        <w:rPr>
          <w:rFonts w:eastAsia="Times New Roman"/>
        </w:rPr>
      </w:pPr>
    </w:p>
    <w:p w:rsidR="00000000" w:rsidRDefault="00755199">
      <w:pPr>
        <w:divId w:val="225991113"/>
        <w:rPr>
          <w:rFonts w:eastAsia="Times New Roman"/>
        </w:rPr>
      </w:pPr>
      <w:r>
        <w:rPr>
          <w:rFonts w:eastAsia="Times New Roman"/>
          <w:b/>
          <w:bCs/>
          <w:color w:val="000000"/>
          <w:sz w:val="20"/>
          <w:szCs w:val="20"/>
        </w:rPr>
        <w:t>NOTE 12: Subsequent Events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November 4, 2022, the Company repurchased $8,875 of its February 2023 Notes for $8,653 of cash consideration thr</w:t>
      </w:r>
      <w:r>
        <w:rPr>
          <w:rFonts w:eastAsia="Times New Roman"/>
          <w:color w:val="000000"/>
          <w:sz w:val="20"/>
          <w:szCs w:val="20"/>
        </w:rPr>
        <w:t xml:space="preserve">ough an open market purchase. </w:t>
      </w:r>
    </w:p>
    <w:p w:rsidR="00000000" w:rsidRDefault="00755199">
      <w:pPr>
        <w:jc w:val="both"/>
        <w:rPr>
          <w:rFonts w:eastAsia="Times New Roman"/>
        </w:rPr>
      </w:pPr>
    </w:p>
    <w:p w:rsidR="00000000" w:rsidRDefault="00755199">
      <w:pPr>
        <w:jc w:val="both"/>
        <w:rPr>
          <w:rFonts w:eastAsia="Times New Roman"/>
        </w:rPr>
      </w:pPr>
    </w:p>
    <w:p w:rsidR="00000000" w:rsidRDefault="00755199">
      <w:pPr>
        <w:jc w:val="both"/>
        <w:rPr>
          <w:rFonts w:eastAsia="Times New Roman"/>
        </w:rPr>
      </w:pPr>
    </w:p>
    <w:p w:rsidR="00000000" w:rsidRDefault="00755199">
      <w:pPr>
        <w:jc w:val="both"/>
        <w:rPr>
          <w:rFonts w:eastAsia="Times New Roman"/>
        </w:rPr>
      </w:pPr>
    </w:p>
    <w:p w:rsidR="00000000" w:rsidRDefault="00755199">
      <w:pPr>
        <w:jc w:val="both"/>
        <w:rPr>
          <w:rFonts w:eastAsia="Times New Roman"/>
        </w:rPr>
      </w:pPr>
    </w:p>
    <w:p w:rsidR="00000000" w:rsidRDefault="00755199">
      <w:pPr>
        <w:jc w:val="both"/>
        <w:rPr>
          <w:rFonts w:eastAsia="Times New Roman"/>
        </w:rPr>
      </w:pPr>
    </w:p>
    <w:p w:rsidR="00000000" w:rsidRDefault="00755199">
      <w:pPr>
        <w:jc w:val="center"/>
        <w:divId w:val="350643188"/>
        <w:rPr>
          <w:rFonts w:eastAsia="Times New Roman"/>
        </w:rPr>
      </w:pPr>
      <w:r>
        <w:rPr>
          <w:rFonts w:eastAsia="Times New Roman"/>
          <w:color w:val="000000"/>
          <w:sz w:val="20"/>
          <w:szCs w:val="20"/>
        </w:rPr>
        <w:t>- 22 -</w:t>
      </w:r>
    </w:p>
    <w:p w:rsidR="00000000" w:rsidRDefault="00755199">
      <w:pPr>
        <w:rPr>
          <w:rFonts w:eastAsia="Times New Roman"/>
        </w:rPr>
      </w:pPr>
      <w:r>
        <w:rPr>
          <w:rFonts w:eastAsia="Times New Roman"/>
        </w:rPr>
        <w:pict>
          <v:rect id="_x0000_i1047" style="width:0;height:1.5pt" o:hralign="center" o:hrstd="t" o:hr="t" fillcolor="#a0a0a0" stroked="f"/>
        </w:pict>
      </w:r>
    </w:p>
    <w:p w:rsidR="00000000" w:rsidRDefault="00755199">
      <w:pPr>
        <w:divId w:val="753361983"/>
        <w:rPr>
          <w:rFonts w:eastAsia="Times New Roman"/>
        </w:rPr>
      </w:pPr>
    </w:p>
    <w:p w:rsidR="00000000" w:rsidRDefault="00755199">
      <w:pPr>
        <w:divId w:val="1450516340"/>
        <w:rPr>
          <w:rFonts w:eastAsia="Times New Roman"/>
        </w:rPr>
      </w:pPr>
      <w:r>
        <w:rPr>
          <w:rFonts w:eastAsia="Times New Roman"/>
          <w:b/>
          <w:bCs/>
          <w:color w:val="000000"/>
          <w:sz w:val="20"/>
          <w:szCs w:val="20"/>
        </w:rPr>
        <w:t>ITEM 2.        MANAGEMENT’S DISCUSSION AND ANALYSIS OF FINANCIAL CONDITION AND RESULTS OF OPERATIONS </w:t>
      </w:r>
    </w:p>
    <w:p w:rsidR="00000000" w:rsidRDefault="00755199">
      <w:pPr>
        <w:jc w:val="center"/>
        <w:rPr>
          <w:rFonts w:eastAsia="Times New Roman"/>
        </w:rPr>
      </w:pPr>
    </w:p>
    <w:p w:rsidR="00000000" w:rsidRDefault="00755199">
      <w:pPr>
        <w:jc w:val="center"/>
        <w:rPr>
          <w:rFonts w:eastAsia="Times New Roman"/>
        </w:rPr>
      </w:pPr>
      <w:r>
        <w:rPr>
          <w:rFonts w:eastAsia="Times New Roman"/>
          <w:b/>
          <w:bCs/>
          <w:color w:val="000000"/>
          <w:sz w:val="20"/>
          <w:szCs w:val="20"/>
        </w:rPr>
        <w:t>Management’s Discussion and Analysis</w:t>
      </w:r>
    </w:p>
    <w:p w:rsidR="00000000" w:rsidRDefault="00755199">
      <w:pPr>
        <w:jc w:val="center"/>
        <w:rPr>
          <w:rFonts w:eastAsia="Times New Roman"/>
        </w:rPr>
      </w:pPr>
      <w:r>
        <w:rPr>
          <w:rFonts w:eastAsia="Times New Roman"/>
          <w:i/>
          <w:iCs/>
          <w:color w:val="000000"/>
          <w:sz w:val="20"/>
          <w:szCs w:val="20"/>
        </w:rPr>
        <w:t>(In thousands, except per share data)</w:t>
      </w:r>
    </w:p>
    <w:p w:rsidR="00000000" w:rsidRDefault="00755199">
      <w:pPr>
        <w:jc w:val="center"/>
        <w:rPr>
          <w:rFonts w:eastAsia="Times New Roman"/>
        </w:rPr>
      </w:pPr>
      <w:r>
        <w:rPr>
          <w:rFonts w:eastAsia="Times New Roman"/>
          <w:i/>
          <w:iCs/>
          <w:color w:val="000000"/>
          <w:sz w:val="20"/>
          <w:szCs w:val="20"/>
        </w:rPr>
        <w:t>(Unaudited)</w:t>
      </w:r>
    </w:p>
    <w:p w:rsidR="00000000" w:rsidRDefault="00755199">
      <w:pPr>
        <w:ind w:firstLine="720"/>
        <w:jc w:val="center"/>
        <w:rPr>
          <w:rFonts w:eastAsia="Times New Roman"/>
        </w:rPr>
      </w:pPr>
      <w:r>
        <w:rPr>
          <w:rFonts w:eastAsia="Times New Roman"/>
          <w:color w:val="000000"/>
          <w:sz w:val="20"/>
          <w:szCs w:val="20"/>
        </w:rPr>
        <w:t> </w:t>
      </w:r>
    </w:p>
    <w:p w:rsidR="00000000" w:rsidRDefault="00755199">
      <w:pPr>
        <w:jc w:val="both"/>
        <w:rPr>
          <w:rFonts w:eastAsia="Times New Roman"/>
        </w:rPr>
      </w:pPr>
      <w:r>
        <w:rPr>
          <w:rFonts w:eastAsia="Times New Roman"/>
          <w:b/>
          <w:bCs/>
          <w:i/>
          <w:iCs/>
          <w:color w:val="000000"/>
          <w:sz w:val="20"/>
          <w:szCs w:val="20"/>
        </w:rPr>
        <w:t>You should read the discu</w:t>
      </w:r>
      <w:r>
        <w:rPr>
          <w:rFonts w:eastAsia="Times New Roman"/>
          <w:b/>
          <w:bCs/>
          <w:i/>
          <w:iCs/>
          <w:color w:val="000000"/>
          <w:sz w:val="20"/>
          <w:szCs w:val="20"/>
        </w:rPr>
        <w:t>ssion and analysis of our financial condition and results of operations set forth in this Item 2 together with our unaudited condensed consolidated financial statements and the related notes appearing elsewhere in this Quarterly Report on Form 10-Q. Some o</w:t>
      </w:r>
      <w:r>
        <w:rPr>
          <w:rFonts w:eastAsia="Times New Roman"/>
          <w:b/>
          <w:bCs/>
          <w:i/>
          <w:iCs/>
          <w:color w:val="000000"/>
          <w:sz w:val="20"/>
          <w:szCs w:val="20"/>
        </w:rPr>
        <w:t>f the information contained in this discussion and analysis or set forth elsewhere in this Quarterly Report on Form 10-Q, including information with respect to our plans and strategy for our business and related financing, includes forward-looking statemen</w:t>
      </w:r>
      <w:r>
        <w:rPr>
          <w:rFonts w:eastAsia="Times New Roman"/>
          <w:b/>
          <w:bCs/>
          <w:i/>
          <w:iCs/>
          <w:color w:val="000000"/>
          <w:sz w:val="20"/>
          <w:szCs w:val="20"/>
        </w:rPr>
        <w:t xml:space="preserve">ts that involve risks and uncertainties, and reference is made to the “Cautionary Note Regarding Forward-Looking Statements” set forth immediately following the Table of Contents of this Quarterly Report on Form 10-Q for further information on the forward </w:t>
      </w:r>
      <w:r>
        <w:rPr>
          <w:rFonts w:eastAsia="Times New Roman"/>
          <w:b/>
          <w:bCs/>
          <w:i/>
          <w:iCs/>
          <w:color w:val="000000"/>
          <w:sz w:val="20"/>
          <w:szCs w:val="20"/>
        </w:rPr>
        <w:t xml:space="preserve">looking statements herein. In addition, you should read the “Risk Factors” section in Part I, Item 1A of our Annual Report on Form 10-K filed with the U.S. Securities and Exchange Commission (“SEC”) on March 16, 2022 and Part II, Item 1A in this Quarterly </w:t>
      </w:r>
      <w:r>
        <w:rPr>
          <w:rFonts w:eastAsia="Times New Roman"/>
          <w:b/>
          <w:bCs/>
          <w:i/>
          <w:iCs/>
          <w:color w:val="000000"/>
          <w:sz w:val="20"/>
          <w:szCs w:val="20"/>
        </w:rPr>
        <w:t>Report on Form 10-Q for a discussion of additional important factors that could cause actual results to differ materially from the results described in or implied by the forward-looking statements contained in the following discussion and analysis and else</w:t>
      </w:r>
      <w:r>
        <w:rPr>
          <w:rFonts w:eastAsia="Times New Roman"/>
          <w:b/>
          <w:bCs/>
          <w:i/>
          <w:iCs/>
          <w:color w:val="000000"/>
          <w:sz w:val="20"/>
          <w:szCs w:val="20"/>
        </w:rPr>
        <w:t>where in this Quarterly Report.</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u w:val="single"/>
        </w:rPr>
        <w:t>Overview</w:t>
      </w:r>
      <w:r>
        <w:rPr>
          <w:rFonts w:eastAsia="Times New Roman"/>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General Overview</w:t>
      </w:r>
      <w:r>
        <w:rPr>
          <w:rFonts w:eastAsia="Times New Roman"/>
          <w:color w:val="000000"/>
          <w:sz w:val="20"/>
          <w:szCs w:val="20"/>
        </w:rPr>
        <w:t xml:space="preserve">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Avadel Pharmaceuticals plc (Nasdaq: AVDL) (“Avadel,” the “Company,” “we,” “our,” or “us”) is a biopharmaceutical company. Our lead product candidate, LUMRYZ, also known as FT218, is an inves</w:t>
      </w:r>
      <w:r>
        <w:rPr>
          <w:rFonts w:eastAsia="Times New Roman"/>
          <w:color w:val="000000"/>
          <w:sz w:val="20"/>
          <w:szCs w:val="20"/>
        </w:rPr>
        <w:t>tigational once-at-bedtime, extended-release formulation of sodium oxybate for the treatment of cataplexy or excessive daytime sleepiness (“EDS”) in adults with narcolepsy. We are primarily focused on obtaining final United States (“U.S.”) Food and Drug Ad</w:t>
      </w:r>
      <w:r>
        <w:rPr>
          <w:rFonts w:eastAsia="Times New Roman"/>
          <w:color w:val="000000"/>
          <w:sz w:val="20"/>
          <w:szCs w:val="20"/>
        </w:rPr>
        <w:t xml:space="preserve">ministration (“FDA”) approval of LUMRYZ. </w:t>
      </w:r>
    </w:p>
    <w:p w:rsidR="00000000" w:rsidRDefault="00755199">
      <w:pPr>
        <w:divId w:val="1030106714"/>
        <w:rPr>
          <w:rFonts w:eastAsia="Times New Roman"/>
        </w:rPr>
      </w:pPr>
    </w:p>
    <w:p w:rsidR="00000000" w:rsidRDefault="00755199">
      <w:pPr>
        <w:jc w:val="both"/>
        <w:rPr>
          <w:rFonts w:eastAsia="Times New Roman"/>
        </w:rPr>
      </w:pPr>
      <w:r>
        <w:rPr>
          <w:rFonts w:eastAsia="Times New Roman"/>
          <w:color w:val="000000"/>
          <w:sz w:val="20"/>
          <w:szCs w:val="20"/>
        </w:rPr>
        <w:t>Outside of our lead product candidate, we continue to evaluate opportunities to expand our product portfolio. As of the date of this Quarterly Report, we do not have any commercialized products in our portfolio.</w:t>
      </w:r>
    </w:p>
    <w:p w:rsidR="00000000" w:rsidRDefault="00755199">
      <w:pPr>
        <w:divId w:val="1354964638"/>
        <w:rPr>
          <w:rFonts w:eastAsia="Times New Roman"/>
        </w:rPr>
      </w:pPr>
    </w:p>
    <w:p w:rsidR="00000000" w:rsidRDefault="00755199">
      <w:pPr>
        <w:divId w:val="861238078"/>
        <w:rPr>
          <w:rFonts w:eastAsia="Times New Roman"/>
        </w:rPr>
      </w:pPr>
      <w:r>
        <w:rPr>
          <w:rFonts w:eastAsia="Times New Roman"/>
          <w:b/>
          <w:bCs/>
          <w:i/>
          <w:iCs/>
          <w:color w:val="000000"/>
          <w:sz w:val="20"/>
          <w:szCs w:val="20"/>
        </w:rPr>
        <w:t>LUMRYZ</w:t>
      </w:r>
    </w:p>
    <w:p w:rsidR="00000000" w:rsidRDefault="00755199">
      <w:pPr>
        <w:divId w:val="1120953483"/>
        <w:rPr>
          <w:rFonts w:eastAsia="Times New Roman"/>
        </w:rPr>
      </w:pPr>
    </w:p>
    <w:p w:rsidR="00000000" w:rsidRDefault="00755199">
      <w:pPr>
        <w:jc w:val="both"/>
        <w:rPr>
          <w:rFonts w:eastAsia="Times New Roman"/>
        </w:rPr>
      </w:pPr>
      <w:r>
        <w:rPr>
          <w:rFonts w:eastAsia="Times New Roman"/>
          <w:color w:val="000000"/>
          <w:sz w:val="20"/>
          <w:szCs w:val="20"/>
        </w:rPr>
        <w:t>LUMRYZ is an investigational once-at-bedtime formulation of sodium oxybate that uses our proprietary drug-delivery technology for the treatment of cataplexy or EDS in adults suffering from narcolepsy. Sodium oxybate is the sodium salt of gamma h</w:t>
      </w:r>
      <w:r>
        <w:rPr>
          <w:rFonts w:eastAsia="Times New Roman"/>
          <w:color w:val="000000"/>
          <w:sz w:val="20"/>
          <w:szCs w:val="20"/>
        </w:rPr>
        <w:t xml:space="preserve">ydroxybutyrate, an endogenous compound and metabolite of the neurotransmitter gamma-aminobutyric acid. Immediate release sodium oxybate is approved in the U.S. for the treatment of cataplexy or EDS in patients with narcolepsy and is approved in Europe for </w:t>
      </w:r>
      <w:r>
        <w:rPr>
          <w:rFonts w:eastAsia="Times New Roman"/>
          <w:color w:val="000000"/>
          <w:sz w:val="20"/>
          <w:szCs w:val="20"/>
        </w:rPr>
        <w:t>the treatment of cataplexy in patients with narcolepsy. Since 2002, sodium oxybate has only been available as an immediate-release formulation that must be taken twice nightly, first at bedtime, and then again 2.5 to 4 hours later.</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On July 18, 2022, the FDA granted tentative approval to LUMRYZ for the treatment of cataplexy or EDS in adults suffering from narcolepsy. Tentative approval indicates that LUMRYZ has met all required quality, safety, and efficacy standards necessary for ap</w:t>
      </w:r>
      <w:r>
        <w:rPr>
          <w:rFonts w:eastAsia="Times New Roman"/>
          <w:color w:val="000000"/>
          <w:sz w:val="20"/>
          <w:szCs w:val="20"/>
        </w:rPr>
        <w:t>proval in the U.S.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 decision on final FDA approval of LUMRYZ is pending disposition of U.S. Patent No. 8731963 (the “REMS Patent”), which is listed in the FDA’</w:t>
      </w:r>
      <w:r>
        <w:rPr>
          <w:rFonts w:eastAsia="Times New Roman"/>
          <w:color w:val="000000"/>
          <w:sz w:val="20"/>
          <w:szCs w:val="20"/>
        </w:rPr>
        <w:t>s Orange Book. The decision on final FDA approval could occur on or about the expiration of the REMS Patent on June 17, 2023 or sooner if the patent is earlier removed from the FDA’s Orange Book, a court earlier determines that the REMS Patent is not infri</w:t>
      </w:r>
      <w:r>
        <w:rPr>
          <w:rFonts w:eastAsia="Times New Roman"/>
          <w:color w:val="000000"/>
          <w:sz w:val="20"/>
          <w:szCs w:val="20"/>
        </w:rPr>
        <w:t>nged, invalid or otherwise unenforceable, or a court determines that the FDA erred in requiring certification. The FDA’s tentative approval can be subject to change based on new information that may come to the FDA’s attention between such time as the tent</w:t>
      </w:r>
      <w:r>
        <w:rPr>
          <w:rFonts w:eastAsia="Times New Roman"/>
          <w:color w:val="000000"/>
          <w:sz w:val="20"/>
          <w:szCs w:val="20"/>
        </w:rPr>
        <w:t>ative approval and potential final approval. We cannot legally market LUMRYZ in the U.S. until final approval is granted by the FDA. In an effort to expedite the time between a potential final approval of LUMYRZ and product availability, we are advancing o</w:t>
      </w:r>
      <w:r>
        <w:rPr>
          <w:rFonts w:eastAsia="Times New Roman"/>
          <w:color w:val="000000"/>
          <w:sz w:val="20"/>
          <w:szCs w:val="20"/>
        </w:rPr>
        <w:t>ur preparations for the commercial launch of LUMRYZ, which, assuming final FDA approval in June 2023, is anticipated to occur in the third quarter of 2023.</w:t>
      </w:r>
    </w:p>
    <w:p w:rsidR="00000000" w:rsidRDefault="00755199">
      <w:pPr>
        <w:divId w:val="1152910003"/>
        <w:rPr>
          <w:rFonts w:eastAsia="Times New Roman"/>
        </w:rPr>
      </w:pPr>
    </w:p>
    <w:p w:rsidR="00000000" w:rsidRDefault="00755199">
      <w:pPr>
        <w:jc w:val="both"/>
        <w:rPr>
          <w:rFonts w:eastAsia="Times New Roman"/>
        </w:rPr>
      </w:pPr>
    </w:p>
    <w:p w:rsidR="00000000" w:rsidRDefault="00755199">
      <w:pPr>
        <w:jc w:val="center"/>
        <w:divId w:val="648823650"/>
        <w:rPr>
          <w:rFonts w:eastAsia="Times New Roman"/>
        </w:rPr>
      </w:pPr>
      <w:r>
        <w:rPr>
          <w:rFonts w:eastAsia="Times New Roman"/>
          <w:color w:val="000000"/>
          <w:sz w:val="20"/>
          <w:szCs w:val="20"/>
        </w:rPr>
        <w:t>- 23 -</w:t>
      </w:r>
    </w:p>
    <w:p w:rsidR="00000000" w:rsidRDefault="00755199">
      <w:pPr>
        <w:rPr>
          <w:rFonts w:eastAsia="Times New Roman"/>
        </w:rPr>
      </w:pPr>
      <w:r>
        <w:rPr>
          <w:rFonts w:eastAsia="Times New Roman"/>
        </w:rPr>
        <w:pict>
          <v:rect id="_x0000_i1048" style="width:0;height:1.5pt" o:hralign="center" o:hrstd="t" o:hr="t" fillcolor="#a0a0a0" stroked="f"/>
        </w:pict>
      </w:r>
    </w:p>
    <w:p w:rsidR="00000000" w:rsidRDefault="00755199">
      <w:pPr>
        <w:divId w:val="496115884"/>
        <w:rPr>
          <w:rFonts w:eastAsia="Times New Roman"/>
        </w:rPr>
      </w:pPr>
    </w:p>
    <w:p w:rsidR="00000000" w:rsidRDefault="00755199">
      <w:pPr>
        <w:jc w:val="both"/>
        <w:rPr>
          <w:rFonts w:eastAsia="Times New Roman"/>
        </w:rPr>
      </w:pPr>
      <w:r>
        <w:rPr>
          <w:rFonts w:eastAsia="Times New Roman"/>
          <w:color w:val="000000"/>
          <w:sz w:val="20"/>
          <w:szCs w:val="20"/>
        </w:rPr>
        <w:t>With respect to clinical data generated for LUMRYZ</w:t>
      </w:r>
      <w:r>
        <w:rPr>
          <w:rFonts w:eastAsia="Times New Roman"/>
          <w:color w:val="000000"/>
          <w:sz w:val="20"/>
          <w:szCs w:val="20"/>
        </w:rPr>
        <w:t xml:space="preserve">, we conducted a Phase 3 clinical trial of LUMRYZ, the REST-ON trial, which was a randomized, double-blind, placebo-controlled study that enrolled 212 patients who received at least one dose of LUMRYZ or placebo, and was conducted in clinical sites in the </w:t>
      </w:r>
      <w:r>
        <w:rPr>
          <w:rFonts w:eastAsia="Times New Roman"/>
          <w:color w:val="000000"/>
          <w:sz w:val="20"/>
          <w:szCs w:val="20"/>
        </w:rPr>
        <w:t>U.S., Canada, Western Europe and Australia. The last patient and last visit was completed at the end of the first quarter of 2020, and positive top line data from the REST-ON trial was announced on April 27, 2020. Patients who received 9 g of once-at-bedti</w:t>
      </w:r>
      <w:r>
        <w:rPr>
          <w:rFonts w:eastAsia="Times New Roman"/>
          <w:color w:val="000000"/>
          <w:sz w:val="20"/>
          <w:szCs w:val="20"/>
        </w:rPr>
        <w:t>me LUMRYZ, the highest dose administered in the trial, demonstrated statistically significant and clinically meaningful improvement compared to placebo across the three co-primary endpoints of the trial: maintenance of wakefulness test (“MWT”), clinical gl</w:t>
      </w:r>
      <w:r>
        <w:rPr>
          <w:rFonts w:eastAsia="Times New Roman"/>
          <w:color w:val="000000"/>
          <w:sz w:val="20"/>
          <w:szCs w:val="20"/>
        </w:rPr>
        <w:t>obal impression-improvement (“CGI-I”), and mean weekly cataplexy attacks. The lower doses assessed, 6 g and 7.5 g also demonstrated statistically significant and clinically meaningful improvement on all three co-primary endpoints compared to placebo. We ob</w:t>
      </w:r>
      <w:r>
        <w:rPr>
          <w:rFonts w:eastAsia="Times New Roman"/>
          <w:color w:val="000000"/>
          <w:sz w:val="20"/>
          <w:szCs w:val="20"/>
        </w:rPr>
        <w:t>served the 9 g dose of once-at-bedtime LUMRYZ to be generally well tolerated. Adverse reactions commonly associated with sodium oxybate were observed in a small number of patients (nausea 1.3%, vomiting 5.2%, decreased appetite 2.6%, dizziness 5.2%, somnol</w:t>
      </w:r>
      <w:r>
        <w:rPr>
          <w:rFonts w:eastAsia="Times New Roman"/>
          <w:color w:val="000000"/>
          <w:sz w:val="20"/>
          <w:szCs w:val="20"/>
        </w:rPr>
        <w:t>ence 3.9%, tremor 1.3% and enuresis 9%), and 3.9% of the patients who received 9 g of LUMRYZ discontinued the trial due to adverse reactions.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January 2018, the FDA granted LUMRYZ orphan drug designation for the treatment of narcolepsy, which makes LUM</w:t>
      </w:r>
      <w:r>
        <w:rPr>
          <w:rFonts w:eastAsia="Times New Roman"/>
          <w:color w:val="000000"/>
          <w:sz w:val="20"/>
          <w:szCs w:val="20"/>
        </w:rPr>
        <w:t xml:space="preserve">RYZ potentially eligible for certain development and commercial incentives, including potential U.S. market exclusivity for up to seven years. Additionally, several LUMRYZ-related U.S. patents have been issued, and there are additional patent applications </w:t>
      </w:r>
      <w:r>
        <w:rPr>
          <w:rFonts w:eastAsia="Times New Roman"/>
          <w:color w:val="000000"/>
          <w:sz w:val="20"/>
          <w:szCs w:val="20"/>
        </w:rPr>
        <w:t>currently in development and/or pending at the U.S. Patent and Trademark Office (“USPTO”), as well as foreign patent offices.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July 2020, we announced that the first patient was dosed in our open-label extension (“OLE”)/switch study of LUMRYZ as a pote</w:t>
      </w:r>
      <w:r>
        <w:rPr>
          <w:rFonts w:eastAsia="Times New Roman"/>
          <w:color w:val="000000"/>
          <w:sz w:val="20"/>
          <w:szCs w:val="20"/>
        </w:rPr>
        <w:t xml:space="preserve">ntial treatment for cataplexy or EDS in patients with narcolepsy (the “RESTORE study”). The RESTORE study is examining the long-term safety and maintenance of efficacy of LUMRYZ in patients with narcolepsy who participated in the REST-ON study, as well as </w:t>
      </w:r>
      <w:r>
        <w:rPr>
          <w:rFonts w:eastAsia="Times New Roman"/>
          <w:color w:val="000000"/>
          <w:sz w:val="20"/>
          <w:szCs w:val="20"/>
        </w:rPr>
        <w:t>dosing and preference data for patients switching from twice-nightly sodium oxybate to once-at-bedtime LUMRYZ, regardless of whether they participated in REST-ON. In May 2021, inclusion criteria were expanded to allow for oxybate naïve patients to enter th</w:t>
      </w:r>
      <w:r>
        <w:rPr>
          <w:rFonts w:eastAsia="Times New Roman"/>
          <w:color w:val="000000"/>
          <w:sz w:val="20"/>
          <w:szCs w:val="20"/>
        </w:rPr>
        <w:t>e study.</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New secondary endpoints from the REST-ON trial were presented at the American Academy of Neurology, beginning April 17, 2021. The first poster described LUMRYZ improvements in disturbed nocturnal sleep (“DNS”), defined in REST-ON as the number o</w:t>
      </w:r>
      <w:r>
        <w:rPr>
          <w:rFonts w:eastAsia="Times New Roman"/>
          <w:color w:val="000000"/>
          <w:sz w:val="20"/>
          <w:szCs w:val="20"/>
        </w:rPr>
        <w:t>f shifts from stages N1, N2, N3, and rapid eye movement (“REM”) sleep to wake and from stages N2, N3, and REM sleep to stage N1. LUMRYZ also decreased the number of nocturnal arousals as measured on polysomnography. Improvements in DNS were further support</w:t>
      </w:r>
      <w:r>
        <w:rPr>
          <w:rFonts w:eastAsia="Times New Roman"/>
          <w:color w:val="000000"/>
          <w:sz w:val="20"/>
          <w:szCs w:val="20"/>
        </w:rPr>
        <w:t>ed by post-hoc analyses demonstrating increased time in deep sleep (N3, also known as slow wave sleep), and less time in N1. A second poster described the statistically significant improvements in the Epworth Sleepiness Scale (“ESS”), both the quality of s</w:t>
      </w:r>
      <w:r>
        <w:rPr>
          <w:rFonts w:eastAsia="Times New Roman"/>
          <w:color w:val="000000"/>
          <w:sz w:val="20"/>
          <w:szCs w:val="20"/>
        </w:rPr>
        <w:t>leep and the refreshing nature of sleep, and a decrease in sleep paralysis. These clinically relevant improvements were observed for all doses, beginning at week 3, for the lowest 6 g dose, compared to placebo. LUMRYZ did not demonstrate significant improv</w:t>
      </w:r>
      <w:r>
        <w:rPr>
          <w:rFonts w:eastAsia="Times New Roman"/>
          <w:color w:val="000000"/>
          <w:sz w:val="20"/>
          <w:szCs w:val="20"/>
        </w:rPr>
        <w:t>ement for hypnagogic hallucinations compared to placebo.</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Additional data supportive of the efficacy findings in REST-ON were presented at the 35th Annual Meeting of the Associated Professional Sleep Societies, a joint meeting of the American Academy of S</w:t>
      </w:r>
      <w:r>
        <w:rPr>
          <w:rFonts w:eastAsia="Times New Roman"/>
          <w:color w:val="000000"/>
          <w:sz w:val="20"/>
          <w:szCs w:val="20"/>
        </w:rPr>
        <w:t xml:space="preserve">leep Medicine and the Sleep Research Society, also known as SLEEP 2021, beginning June 10, 2021. New data included post-hoc analyses demonstrating endpoints improvements, regardless of concomitant stimulant use, in both narcolepsy Type 1 (“NT1”) or Type 2 </w:t>
      </w:r>
      <w:r>
        <w:rPr>
          <w:rFonts w:eastAsia="Times New Roman"/>
          <w:color w:val="000000"/>
          <w:sz w:val="20"/>
          <w:szCs w:val="20"/>
        </w:rPr>
        <w:t>(“NT2”). Additionally, a post-hoc analysis showed that LUMRYZ was associated with decreased body mass index compared to placebo, which may be relevant as people with narcolepsy often have co-morbid obesity. In August 2021, the primary results from the REST</w:t>
      </w:r>
      <w:r>
        <w:rPr>
          <w:rFonts w:eastAsia="Times New Roman"/>
          <w:color w:val="000000"/>
          <w:sz w:val="20"/>
          <w:szCs w:val="20"/>
        </w:rPr>
        <w:t xml:space="preserve">-ON trial were published by Kushida et al. in the journal SLEEP.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New data was presented at the American College of Chest Physicians annual meeting (“CHEST”), beginning October 17, 2021, including additional post-hoc analyses from the REST-ON trial, demo</w:t>
      </w:r>
      <w:r>
        <w:rPr>
          <w:rFonts w:eastAsia="Times New Roman"/>
          <w:color w:val="000000"/>
          <w:sz w:val="20"/>
          <w:szCs w:val="20"/>
        </w:rPr>
        <w:t>nstrating a greater proportion of patients receiving LUMRYZ experienced reductions in weekly cataplexy attacks and improvement in mean sleep latency compared to placebo, as well as the results of a discrete choice experiment, indicating that the overall dr</w:t>
      </w:r>
      <w:r>
        <w:rPr>
          <w:rFonts w:eastAsia="Times New Roman"/>
          <w:color w:val="000000"/>
          <w:sz w:val="20"/>
          <w:szCs w:val="20"/>
        </w:rPr>
        <w:t xml:space="preserve">iver of patient preference between sodium oxybate treatments is a once-at-bedtime, versus twice-nightly, formulation.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New data was presented at World Sleep 2022 congress, which was held March 11 through 16, 2022 in Rome, Italy. A total of eight posters </w:t>
      </w:r>
      <w:r>
        <w:rPr>
          <w:rFonts w:eastAsia="Times New Roman"/>
          <w:color w:val="000000"/>
          <w:sz w:val="20"/>
          <w:szCs w:val="20"/>
        </w:rPr>
        <w:t>were presented, including five new post-hoc analyses from the REST-ON trial. Most notably, the post-hoc analyses showed that LUMRYZ demonstrated improvement in subjective measures of daytime sleepiness, sleep quality and refreshing nature of sleep as early</w:t>
      </w:r>
      <w:r>
        <w:rPr>
          <w:rFonts w:eastAsia="Times New Roman"/>
          <w:color w:val="000000"/>
          <w:sz w:val="20"/>
          <w:szCs w:val="20"/>
        </w:rPr>
        <w:t xml:space="preserve"> as week 1 with the 4.5 g starting dose, with even greater improvement at week 2 soon after starting the 6 g dose compared to placebo. Additional post-hoc analyses, stratified by narcolepsy type, as well as concomitant stimulant use, or without stimulants,</w:t>
      </w:r>
      <w:r>
        <w:rPr>
          <w:rFonts w:eastAsia="Times New Roman"/>
          <w:color w:val="000000"/>
          <w:sz w:val="20"/>
          <w:szCs w:val="20"/>
        </w:rPr>
        <w:t xml:space="preserve"> demonstrated positive results that are generally consistent with previously reported positive endpoints from REST-ON and add to the existing body of evidence for LUMRYZ.</w:t>
      </w:r>
    </w:p>
    <w:p w:rsidR="00000000" w:rsidRDefault="00755199">
      <w:pPr>
        <w:jc w:val="both"/>
        <w:rPr>
          <w:rFonts w:eastAsia="Times New Roman"/>
        </w:rPr>
      </w:pPr>
    </w:p>
    <w:p w:rsidR="00000000" w:rsidRDefault="00755199">
      <w:pPr>
        <w:jc w:val="center"/>
        <w:divId w:val="868689877"/>
        <w:rPr>
          <w:rFonts w:eastAsia="Times New Roman"/>
        </w:rPr>
      </w:pPr>
      <w:r>
        <w:rPr>
          <w:rFonts w:eastAsia="Times New Roman"/>
          <w:color w:val="000000"/>
          <w:sz w:val="20"/>
          <w:szCs w:val="20"/>
        </w:rPr>
        <w:t>- 24 -</w:t>
      </w:r>
    </w:p>
    <w:p w:rsidR="00000000" w:rsidRDefault="00755199">
      <w:pPr>
        <w:rPr>
          <w:rFonts w:eastAsia="Times New Roman"/>
        </w:rPr>
      </w:pPr>
      <w:r>
        <w:rPr>
          <w:rFonts w:eastAsia="Times New Roman"/>
        </w:rPr>
        <w:pict>
          <v:rect id="_x0000_i1049" style="width:0;height:1.5pt" o:hralign="center" o:hrstd="t" o:hr="t" fillcolor="#a0a0a0" stroked="f"/>
        </w:pict>
      </w:r>
    </w:p>
    <w:p w:rsidR="00000000" w:rsidRDefault="00755199">
      <w:pPr>
        <w:divId w:val="640963839"/>
        <w:rPr>
          <w:rFonts w:eastAsia="Times New Roman"/>
        </w:rPr>
      </w:pPr>
    </w:p>
    <w:p w:rsidR="00000000" w:rsidRDefault="00755199">
      <w:pPr>
        <w:jc w:val="both"/>
        <w:rPr>
          <w:rFonts w:eastAsia="Times New Roman"/>
        </w:rPr>
      </w:pPr>
      <w:r>
        <w:rPr>
          <w:rFonts w:eastAsia="Times New Roman"/>
          <w:color w:val="000000"/>
          <w:sz w:val="20"/>
          <w:szCs w:val="20"/>
        </w:rPr>
        <w:t>In addition, the results of a discrete</w:t>
      </w:r>
      <w:r>
        <w:rPr>
          <w:rFonts w:eastAsia="Times New Roman"/>
          <w:color w:val="000000"/>
          <w:sz w:val="20"/>
          <w:szCs w:val="20"/>
        </w:rPr>
        <w:t xml:space="preserve"> choice experiment (“DCE”) were presented, which confirmed that once-at-bedtime dosing, when compared to twice-nightly dosing, was the most important attribute driving both patient and clinician preference for overall oxybate product choice, as well as pat</w:t>
      </w:r>
      <w:r>
        <w:rPr>
          <w:rFonts w:eastAsia="Times New Roman"/>
          <w:color w:val="000000"/>
          <w:sz w:val="20"/>
          <w:szCs w:val="20"/>
        </w:rPr>
        <w:t>ient quality of life and reduction of patient anxiety/stress; dosing frequency (twice-nightly versus once-at-bedtime) was also viewed as a more important attribute as compared to other attributes assessed, including sodium content. Accompanying the DCE was</w:t>
      </w:r>
      <w:r>
        <w:rPr>
          <w:rFonts w:eastAsia="Times New Roman"/>
          <w:color w:val="000000"/>
          <w:sz w:val="20"/>
          <w:szCs w:val="20"/>
        </w:rPr>
        <w:t xml:space="preserve"> a background survey for both patients and clinicians, which showed that dosing frequency was noted as a significant stressor by both patients and clinicians. The World Sleep 2022 presentations also included the first presentation of an interim safety anal</w:t>
      </w:r>
      <w:r>
        <w:rPr>
          <w:rFonts w:eastAsia="Times New Roman"/>
          <w:color w:val="000000"/>
          <w:sz w:val="20"/>
          <w:szCs w:val="20"/>
        </w:rPr>
        <w:t xml:space="preserve">ysis from the ongoing RESTORE study, which showed that LUMRYZ has generally been well-tolerated, with some patients receiving therapy for more than 18 months. No new safety signals have been observed as of October 21, 2022.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Additional peer-reviewed publ</w:t>
      </w:r>
      <w:r>
        <w:rPr>
          <w:rFonts w:eastAsia="Times New Roman"/>
          <w:color w:val="000000"/>
          <w:sz w:val="20"/>
          <w:szCs w:val="20"/>
        </w:rPr>
        <w:t>ications have included the improvement on DNS, the first DCE and a Plain Language Summary reviewing sodium oxybate and cardiovascular health, which did not identify a signal of cardiovascular disease in the twenty years that sodium oxybate has been availab</w:t>
      </w:r>
      <w:r>
        <w:rPr>
          <w:rFonts w:eastAsia="Times New Roman"/>
          <w:color w:val="000000"/>
          <w:sz w:val="20"/>
          <w:szCs w:val="20"/>
        </w:rPr>
        <w:t xml:space="preserve">le. At the annual SLEEP Congress in June 2022, nine posters were presented, including five post-hoc analyses from REST-ON of the following: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Analysis showing a low number-needed-to-treat to achieve effectiveness across all three evaluated doses, as well as effect sizes, showing a moderate-to-high effect for improving MWT, ESS, and number of cataplexy attacks;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•Confirmation via various statis</w:t>
      </w:r>
      <w:r>
        <w:rPr>
          <w:rFonts w:eastAsia="Times New Roman"/>
          <w:color w:val="000000"/>
          <w:sz w:val="20"/>
          <w:szCs w:val="20"/>
        </w:rPr>
        <w:t xml:space="preserve">tical methods to handle missing data that LUMRYZ improved EDS and cataplexy symptoms versus placebo;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 xml:space="preserve">•Confirmation of benefit for NT1 and NT2 for DNS and ESS;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•Confirmation of benefit for subgroups taking stimulants and those without stimulants for D</w:t>
      </w:r>
      <w:r>
        <w:rPr>
          <w:rFonts w:eastAsia="Times New Roman"/>
          <w:color w:val="000000"/>
          <w:sz w:val="20"/>
          <w:szCs w:val="20"/>
        </w:rPr>
        <w:t xml:space="preserve">NS and ESS; and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 xml:space="preserve">•Early efficacy (Week 1 and Week 2) for ESS, refreshing nature of sleep and quality of sleep.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addition, interim data from RESTORE were presented demonstrating that a high proportion of patients switching from twice-nightly sodium o</w:t>
      </w:r>
      <w:r>
        <w:rPr>
          <w:rFonts w:eastAsia="Times New Roman"/>
          <w:color w:val="000000"/>
          <w:sz w:val="20"/>
          <w:szCs w:val="20"/>
        </w:rPr>
        <w:t xml:space="preserve">xybate formulations had difficulty in taking the second dose, with a high proportion (92.5%) stating a preference for the once-at-bedtime dosing regimen and that most participants (62%) switching from twice-nightly sodium oxybate formulations had a stable </w:t>
      </w:r>
      <w:r>
        <w:rPr>
          <w:rFonts w:eastAsia="Times New Roman"/>
          <w:color w:val="000000"/>
          <w:sz w:val="20"/>
          <w:szCs w:val="20"/>
        </w:rPr>
        <w:t xml:space="preserve">dose equal to their starting dose; participants not currently taking sodium oxybate formulations or oxybate naive reached a stable dose with 2–4 dose titrations within 4 weeks.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We believe LUMRYZ has the potential to demonstrate improved dosing complianc</w:t>
      </w:r>
      <w:r>
        <w:rPr>
          <w:rFonts w:eastAsia="Times New Roman"/>
          <w:color w:val="000000"/>
          <w:sz w:val="20"/>
          <w:szCs w:val="20"/>
        </w:rPr>
        <w:t>e, safety and patient satisfaction over the current standards of care for cataplexy or EDS in patients with narcolepsy.</w:t>
      </w:r>
    </w:p>
    <w:p w:rsidR="00000000" w:rsidRDefault="00755199">
      <w:pPr>
        <w:divId w:val="737674299"/>
        <w:rPr>
          <w:rFonts w:eastAsia="Times New Roman"/>
        </w:rPr>
      </w:pPr>
    </w:p>
    <w:p w:rsidR="00000000" w:rsidRDefault="00755199">
      <w:pPr>
        <w:divId w:val="1133526852"/>
        <w:rPr>
          <w:rFonts w:eastAsia="Times New Roman"/>
        </w:rPr>
      </w:pPr>
      <w:r>
        <w:rPr>
          <w:rFonts w:eastAsia="Times New Roman"/>
          <w:b/>
          <w:bCs/>
          <w:i/>
          <w:iCs/>
          <w:color w:val="000000"/>
          <w:sz w:val="20"/>
          <w:szCs w:val="20"/>
        </w:rPr>
        <w:t>MICROPUMP Drug-Delivery Technology</w:t>
      </w:r>
    </w:p>
    <w:p w:rsidR="00000000" w:rsidRDefault="00755199">
      <w:pPr>
        <w:divId w:val="913664640"/>
        <w:rPr>
          <w:rFonts w:eastAsia="Times New Roman"/>
        </w:rPr>
      </w:pPr>
    </w:p>
    <w:p w:rsidR="00000000" w:rsidRDefault="00755199">
      <w:pPr>
        <w:jc w:val="both"/>
        <w:rPr>
          <w:rFonts w:eastAsia="Times New Roman"/>
        </w:rPr>
      </w:pPr>
      <w:r>
        <w:rPr>
          <w:rFonts w:eastAsia="Times New Roman"/>
          <w:color w:val="000000"/>
          <w:sz w:val="20"/>
          <w:szCs w:val="20"/>
        </w:rPr>
        <w:t>Our MICROPUMP drug-delivery technology allows for the controlled delivery of small molecule drugs</w:t>
      </w:r>
      <w:r>
        <w:rPr>
          <w:rFonts w:eastAsia="Times New Roman"/>
          <w:color w:val="000000"/>
          <w:sz w:val="20"/>
          <w:szCs w:val="20"/>
        </w:rPr>
        <w:t xml:space="preserve"> taken orally, which has the potential to improve dosing compliance, reduce toxicity and improve patient compliance. We believe there could be product development opportunities for our MICROPUMP drug-delivery technology, representing either life cycle oppo</w:t>
      </w:r>
      <w:r>
        <w:rPr>
          <w:rFonts w:eastAsia="Times New Roman"/>
          <w:color w:val="000000"/>
          <w:sz w:val="20"/>
          <w:szCs w:val="20"/>
        </w:rPr>
        <w:t>rtunities, whereby additional intellectual property can be added to a pharmaceutical product to extend the commercial viability of a currently marketed product, or innovative formulation opportunities for new chemical entities.</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Key Business Trends and Hi</w:t>
      </w:r>
      <w:r>
        <w:rPr>
          <w:rFonts w:eastAsia="Times New Roman"/>
          <w:b/>
          <w:bCs/>
          <w:i/>
          <w:iCs/>
          <w:color w:val="000000"/>
          <w:sz w:val="20"/>
          <w:szCs w:val="20"/>
        </w:rPr>
        <w:t>ghlights</w:t>
      </w:r>
      <w:r>
        <w:rPr>
          <w:rFonts w:eastAsia="Times New Roman"/>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operating our business and monitoring our performance, we consider a number of performance measures, as well as trends affecting our industry as a whole, which include the following: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xml:space="preserve">: Various health care </w:t>
      </w:r>
      <w:r>
        <w:rPr>
          <w:rFonts w:eastAsia="Times New Roman"/>
          <w:color w:val="000000"/>
          <w:sz w:val="20"/>
          <w:szCs w:val="20"/>
        </w:rPr>
        <w:t>reform laws in the U.S. may impact our ability to successfully commercialize our products and technologies. The success of our commercialization efforts may depend on the extent to which the government health administration authorities, the health insuranc</w:t>
      </w:r>
      <w:r>
        <w:rPr>
          <w:rFonts w:eastAsia="Times New Roman"/>
          <w:color w:val="000000"/>
          <w:sz w:val="20"/>
          <w:szCs w:val="20"/>
        </w:rPr>
        <w:t>e funds in the E.U. Member States, private health insurers and other third-party payers in the U.S. will reimburse consumers for the cost of healthcare products and services.</w:t>
      </w:r>
    </w:p>
    <w:p w:rsidR="00000000" w:rsidRDefault="00755199">
      <w:pPr>
        <w:jc w:val="both"/>
        <w:rPr>
          <w:rFonts w:eastAsia="Times New Roman"/>
        </w:rPr>
      </w:pPr>
    </w:p>
    <w:p w:rsidR="00000000" w:rsidRDefault="00755199">
      <w:pPr>
        <w:jc w:val="center"/>
        <w:divId w:val="1658722461"/>
        <w:rPr>
          <w:rFonts w:eastAsia="Times New Roman"/>
        </w:rPr>
      </w:pPr>
      <w:r>
        <w:rPr>
          <w:rFonts w:eastAsia="Times New Roman"/>
          <w:color w:val="000000"/>
          <w:sz w:val="20"/>
          <w:szCs w:val="20"/>
        </w:rPr>
        <w:t>- 25 -</w:t>
      </w:r>
    </w:p>
    <w:p w:rsidR="00000000" w:rsidRDefault="00755199">
      <w:pPr>
        <w:rPr>
          <w:rFonts w:eastAsia="Times New Roman"/>
        </w:rPr>
      </w:pPr>
      <w:r>
        <w:rPr>
          <w:rFonts w:eastAsia="Times New Roman"/>
        </w:rPr>
        <w:pict>
          <v:rect id="_x0000_i1050" style="width:0;height:1.5pt" o:hralign="center" o:hrstd="t" o:hr="t" fillcolor="#a0a0a0" stroked="f"/>
        </w:pict>
      </w:r>
    </w:p>
    <w:p w:rsidR="00000000" w:rsidRDefault="00755199">
      <w:pPr>
        <w:divId w:val="1610165020"/>
        <w:rPr>
          <w:rFonts w:eastAsia="Times New Roman"/>
        </w:rPr>
      </w:pPr>
    </w:p>
    <w:p w:rsidR="00000000" w:rsidRDefault="00755199">
      <w:pPr>
        <w:ind w:hanging="360"/>
        <w:jc w:val="both"/>
        <w:rPr>
          <w:rFonts w:eastAsia="Times New Roman"/>
        </w:rPr>
      </w:pPr>
      <w:r>
        <w:rPr>
          <w:rFonts w:eastAsia="Times New Roman"/>
          <w:b/>
          <w:bCs/>
          <w:color w:val="000000"/>
          <w:sz w:val="20"/>
          <w:szCs w:val="20"/>
        </w:rPr>
        <w:t>•</w:t>
      </w: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Competition in the pharmaceutical and biotechnology industry continues to be intense and is expected to increase. We compete with other pharmaceutical and biotechnology companies. Furthermore, major technological chang</w:t>
      </w:r>
      <w:r>
        <w:rPr>
          <w:rFonts w:eastAsia="Times New Roman"/>
          <w:color w:val="000000"/>
          <w:sz w:val="20"/>
          <w:szCs w:val="20"/>
        </w:rPr>
        <w:t xml:space="preserve">es can happen quickly in the pharmaceutical and biotechnology industries. Such rapid technological change, or the development by our competitors of technologically improved or differentiated products, could render our products, product candidates, or drug </w:t>
      </w:r>
      <w:r>
        <w:rPr>
          <w:rFonts w:eastAsia="Times New Roman"/>
          <w:color w:val="000000"/>
          <w:sz w:val="20"/>
          <w:szCs w:val="20"/>
        </w:rPr>
        <w:t>delivery platforms obsolete or noncompetitive.</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political spotlight in the U.S. As a result, the need to obtain and maintain appropriate pricing for pharmaceutical pr</w:t>
      </w:r>
      <w:r>
        <w:rPr>
          <w:rFonts w:eastAsia="Times New Roman"/>
          <w:color w:val="000000"/>
          <w:sz w:val="20"/>
          <w:szCs w:val="20"/>
        </w:rPr>
        <w:t>oducts may become more challenging due to, among other things, the attention being paid to healthcare cost containment and other austerity measures in the U.S. and worldwide.</w:t>
      </w:r>
    </w:p>
    <w:p w:rsidR="00000000" w:rsidRDefault="00755199">
      <w:pPr>
        <w:jc w:val="both"/>
        <w:rPr>
          <w:rFonts w:eastAsia="Times New Roman"/>
        </w:rPr>
      </w:pPr>
    </w:p>
    <w:p w:rsidR="00000000" w:rsidRDefault="00755199">
      <w:pPr>
        <w:ind w:hanging="360"/>
        <w:jc w:val="both"/>
        <w:rPr>
          <w:rFonts w:eastAsia="Times New Roman"/>
        </w:rPr>
      </w:pPr>
      <w:r>
        <w:rPr>
          <w:rFonts w:ascii="Calibri" w:eastAsia="Times New Roman" w:hAnsi="Calibri" w:cs="Calibri"/>
          <w:color w:val="000000"/>
          <w:sz w:val="22"/>
          <w:szCs w:val="22"/>
        </w:rPr>
        <w:t>•</w:t>
      </w:r>
      <w:r>
        <w:rPr>
          <w:rFonts w:eastAsia="Times New Roman"/>
          <w:b/>
          <w:bCs/>
          <w:color w:val="000000"/>
          <w:sz w:val="20"/>
          <w:szCs w:val="20"/>
        </w:rPr>
        <w:t>Generics Playing a Larger Role in Healthcare:</w:t>
      </w:r>
      <w:r>
        <w:rPr>
          <w:rFonts w:eastAsia="Times New Roman"/>
          <w:color w:val="000000"/>
          <w:sz w:val="20"/>
          <w:szCs w:val="20"/>
        </w:rPr>
        <w:t xml:space="preserve"> </w:t>
      </w:r>
      <w:r>
        <w:rPr>
          <w:rFonts w:eastAsia="Times New Roman"/>
          <w:color w:val="000000"/>
          <w:sz w:val="20"/>
          <w:szCs w:val="20"/>
        </w:rPr>
        <w:t>Generic pharmaceutical products will continue to play a large role in the U.S. healthcare system. As such, we expect to see generic competition for our products in the future. If LUMRYZ receives final FDA approval, we anticipate LUMRYZ may face competition</w:t>
      </w:r>
      <w:r>
        <w:rPr>
          <w:rFonts w:eastAsia="Times New Roman"/>
          <w:color w:val="000000"/>
          <w:sz w:val="20"/>
          <w:szCs w:val="20"/>
        </w:rPr>
        <w:t xml:space="preserve"> from manufacturers of generic twice-nightly sodium oxybate formulations, who have reached settlement agreements with the current marketer, which allows for entry of an authorized generic in 2023, or earlier under certain circumstances. For example, Hikma </w:t>
      </w:r>
      <w:r>
        <w:rPr>
          <w:rFonts w:eastAsia="Times New Roman"/>
          <w:color w:val="000000"/>
          <w:sz w:val="20"/>
          <w:szCs w:val="20"/>
        </w:rPr>
        <w:t>Pharmaceuticals plc is expected to launch an authorized generic version of sodium oxybate in 2023 or earlier, depending on certain circumstances. Beyond the potential of an authorized generic from Hikma Pharmaceuticals plc, there are other potential future</w:t>
      </w:r>
      <w:r>
        <w:rPr>
          <w:rFonts w:eastAsia="Times New Roman"/>
          <w:color w:val="000000"/>
          <w:sz w:val="20"/>
          <w:szCs w:val="20"/>
        </w:rPr>
        <w:t xml:space="preserve"> competitive products and additional generic twice-nightly sodium oxybate formulations that could impact the marketplace. </w:t>
      </w:r>
    </w:p>
    <w:p w:rsidR="00000000" w:rsidRDefault="00755199">
      <w:pPr>
        <w:ind w:hanging="1080"/>
        <w:divId w:val="1811704094"/>
        <w:rPr>
          <w:rFonts w:eastAsia="Times New Roman"/>
        </w:rPr>
      </w:pPr>
    </w:p>
    <w:p w:rsidR="00000000" w:rsidRDefault="00755199">
      <w:pPr>
        <w:ind w:hanging="360"/>
        <w:jc w:val="both"/>
        <w:rPr>
          <w:rFonts w:eastAsia="Times New Roman"/>
        </w:rPr>
      </w:pPr>
      <w:r>
        <w:rPr>
          <w:rFonts w:eastAsia="Times New Roman"/>
          <w:b/>
          <w:bCs/>
          <w:color w:val="000000"/>
          <w:sz w:val="20"/>
          <w:szCs w:val="20"/>
        </w:rPr>
        <w:t>•Access to and Cost of Capital</w:t>
      </w:r>
      <w:r>
        <w:rPr>
          <w:rFonts w:eastAsia="Times New Roman"/>
          <w:color w:val="000000"/>
          <w:sz w:val="20"/>
          <w:szCs w:val="20"/>
        </w:rPr>
        <w:t>: We have a recent history of generating losses from operations and expect to continue generating los</w:t>
      </w:r>
      <w:r>
        <w:rPr>
          <w:rFonts w:eastAsia="Times New Roman"/>
          <w:color w:val="000000"/>
          <w:sz w:val="20"/>
          <w:szCs w:val="20"/>
        </w:rPr>
        <w:t>ses until we are able to launch LUMRYZ, if final FDA approval is obtained, and generate revenues sufficient to generate positive cash flow from operations. Similar to other businesses in our industry and at our stage of development, we will continue to rel</w:t>
      </w:r>
      <w:r>
        <w:rPr>
          <w:rFonts w:eastAsia="Times New Roman"/>
          <w:color w:val="000000"/>
          <w:sz w:val="20"/>
          <w:szCs w:val="20"/>
        </w:rPr>
        <w:t>y on external sources of capital to fund our business. The process of raising capital and associated cost of such capital for a company of our financial profile can be difficult and potentially expensive. If the need were to arise to raise additional capit</w:t>
      </w:r>
      <w:r>
        <w:rPr>
          <w:rFonts w:eastAsia="Times New Roman"/>
          <w:color w:val="000000"/>
          <w:sz w:val="20"/>
          <w:szCs w:val="20"/>
        </w:rPr>
        <w:t>al, access to that capital may be difficult, expensive and/or dilutive and, as a result, could create liquidity challenges for us.</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2022</w:t>
      </w:r>
      <w:r>
        <w:rPr>
          <w:rFonts w:eastAsia="Times New Roman"/>
          <w:color w:val="000000"/>
          <w:sz w:val="20"/>
          <w:szCs w:val="20"/>
        </w:rPr>
        <w:t>: We do not have any commercialized products in our portfolio. We will incur substantial e</w:t>
      </w:r>
      <w:r>
        <w:rPr>
          <w:rFonts w:eastAsia="Times New Roman"/>
          <w:color w:val="000000"/>
          <w:sz w:val="20"/>
          <w:szCs w:val="20"/>
        </w:rPr>
        <w:t>xpenses to further the clinical development of and continue our preparations for the commercial launch of LUMRYZ, which, assuming final FDA approval in June 2023, is anticipated to occur in the third quarter of 2023.</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 xml:space="preserve">Impact of COVID-19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Since early 202</w:t>
      </w:r>
      <w:r>
        <w:rPr>
          <w:rFonts w:eastAsia="Times New Roman"/>
          <w:color w:val="000000"/>
          <w:sz w:val="20"/>
          <w:szCs w:val="20"/>
        </w:rPr>
        <w:t xml:space="preserve">0, we have seen the profound impact that the coronavirus (“COVID-19”) pandemic is having on human health, the global economy and society at large. We have continued to actively monitor the COVID-19 pandemic, as well as new variants of the virus and recent </w:t>
      </w:r>
      <w:r>
        <w:rPr>
          <w:rFonts w:eastAsia="Times New Roman"/>
          <w:color w:val="000000"/>
          <w:sz w:val="20"/>
          <w:szCs w:val="20"/>
        </w:rPr>
        <w:t>increases in case numbers, and have taken measures to mitigate the potential impacts to our employees and business, such as continuing to offer a work from home policy. We believe the ongoing impact of COVID-19 and measures to prevent its spread could impa</w:t>
      </w:r>
      <w:r>
        <w:rPr>
          <w:rFonts w:eastAsia="Times New Roman"/>
          <w:color w:val="000000"/>
          <w:sz w:val="20"/>
          <w:szCs w:val="20"/>
        </w:rPr>
        <w:t>ct our business in a number of ways, including: i) possibly delaying our ongoing RESTORE study; ii) disruptions to our supply chain and third parties; iii) allowing our employees to work from home for an extended period of time; and iv) hindering sales eff</w:t>
      </w:r>
      <w:r>
        <w:rPr>
          <w:rFonts w:eastAsia="Times New Roman"/>
          <w:color w:val="000000"/>
          <w:sz w:val="20"/>
          <w:szCs w:val="20"/>
        </w:rPr>
        <w:t>orts for LUMRYZ, if final FDA approval is obtained. An extended period of global supply chain and economic disruption could materially affect our business, results of operations, access to sources of liquidity and financial condition. Despite vaccination e</w:t>
      </w:r>
      <w:r>
        <w:rPr>
          <w:rFonts w:eastAsia="Times New Roman"/>
          <w:color w:val="000000"/>
          <w:sz w:val="20"/>
          <w:szCs w:val="20"/>
        </w:rPr>
        <w:t>fforts, future developments and impact on our operations remain uncertain and cannot be predicted with confidence, including the duration of the COVID-19 pandemic, new variants of the virus, new information which may emerge concerning the severity of the C</w:t>
      </w:r>
      <w:r>
        <w:rPr>
          <w:rFonts w:eastAsia="Times New Roman"/>
          <w:color w:val="000000"/>
          <w:sz w:val="20"/>
          <w:szCs w:val="20"/>
        </w:rPr>
        <w:t>OVID-19 pandemic, and any additional preventative and protective actions that governments, or we, may direct, which may result in extending continued business disruptions.</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2022 Corporate Restructuring Plan</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In June 2022, we announced a plan to optimize </w:t>
      </w:r>
      <w:r>
        <w:rPr>
          <w:rFonts w:eastAsia="Times New Roman"/>
          <w:color w:val="000000"/>
          <w:sz w:val="20"/>
          <w:szCs w:val="20"/>
        </w:rPr>
        <w:t xml:space="preserve">our cost structure to reduce total quarterly cash operating expenses to between $12,000 and $14,000, excluding inventory purchases. The targeted reduction in cash operating expenses, together with cash, cash equivalents and marketable securities currently </w:t>
      </w:r>
      <w:r>
        <w:rPr>
          <w:rFonts w:eastAsia="Times New Roman"/>
          <w:color w:val="000000"/>
          <w:sz w:val="20"/>
          <w:szCs w:val="20"/>
        </w:rPr>
        <w:t xml:space="preserve">on hand, is expected to extend our cash runway to the middle of 2023 and the FDA’s decision regarding final approval of LUMRYZ, which could occur in June 2023 or possibly sooner. </w:t>
      </w:r>
    </w:p>
    <w:p w:rsidR="00000000" w:rsidRDefault="00755199">
      <w:pPr>
        <w:divId w:val="1271205507"/>
        <w:rPr>
          <w:rFonts w:eastAsia="Times New Roman"/>
        </w:rPr>
      </w:pPr>
    </w:p>
    <w:p w:rsidR="00000000" w:rsidRDefault="00755199">
      <w:pPr>
        <w:jc w:val="both"/>
        <w:rPr>
          <w:rFonts w:eastAsia="Times New Roman"/>
        </w:rPr>
      </w:pPr>
      <w:r>
        <w:rPr>
          <w:rFonts w:eastAsia="Times New Roman"/>
          <w:color w:val="000000"/>
          <w:sz w:val="20"/>
          <w:szCs w:val="20"/>
        </w:rPr>
        <w:t>Our cost structure optimization efforts included a nearly 50% reduction in</w:t>
      </w:r>
      <w:r>
        <w:rPr>
          <w:rFonts w:eastAsia="Times New Roman"/>
          <w:color w:val="000000"/>
          <w:sz w:val="20"/>
          <w:szCs w:val="20"/>
        </w:rPr>
        <w:t xml:space="preserve"> our workforce (the “2022 Corporate Restructuring Plan”). See </w:t>
      </w:r>
      <w:r>
        <w:rPr>
          <w:rFonts w:eastAsia="Times New Roman"/>
          <w:i/>
          <w:iCs/>
          <w:color w:val="000000"/>
          <w:sz w:val="20"/>
          <w:szCs w:val="20"/>
        </w:rPr>
        <w:t xml:space="preserve">Note 11: Restructuring Costs </w:t>
      </w:r>
      <w:r>
        <w:rPr>
          <w:rFonts w:eastAsia="Times New Roman"/>
          <w:color w:val="000000"/>
          <w:sz w:val="20"/>
          <w:szCs w:val="20"/>
        </w:rPr>
        <w:t xml:space="preserve">to our unaudited condensed consolidated financial statements included in Part I, Item 1 of this Quarterly Report on Form 10-Q for more information. </w:t>
      </w:r>
    </w:p>
    <w:p w:rsidR="00000000" w:rsidRDefault="00755199">
      <w:pPr>
        <w:jc w:val="center"/>
        <w:divId w:val="1248999957"/>
        <w:rPr>
          <w:rFonts w:eastAsia="Times New Roman"/>
        </w:rPr>
      </w:pPr>
      <w:r>
        <w:rPr>
          <w:rFonts w:eastAsia="Times New Roman"/>
          <w:color w:val="000000"/>
          <w:sz w:val="20"/>
          <w:szCs w:val="20"/>
        </w:rPr>
        <w:t>- 26 -</w:t>
      </w:r>
    </w:p>
    <w:p w:rsidR="00000000" w:rsidRDefault="00755199">
      <w:pPr>
        <w:rPr>
          <w:rFonts w:eastAsia="Times New Roman"/>
        </w:rPr>
      </w:pPr>
      <w:r>
        <w:rPr>
          <w:rFonts w:eastAsia="Times New Roman"/>
        </w:rPr>
        <w:pict>
          <v:rect id="_x0000_i1051" style="width:0;height:1.5pt" o:hralign="center" o:hrstd="t" o:hr="t" fillcolor="#a0a0a0" stroked="f"/>
        </w:pict>
      </w:r>
    </w:p>
    <w:p w:rsidR="00000000" w:rsidRDefault="00755199">
      <w:pPr>
        <w:divId w:val="579868185"/>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At-the-Market Offering Program</w:t>
      </w:r>
    </w:p>
    <w:p w:rsidR="00000000" w:rsidRDefault="00755199">
      <w:pPr>
        <w:divId w:val="1609771271"/>
        <w:rPr>
          <w:rFonts w:eastAsia="Times New Roman"/>
        </w:rPr>
      </w:pPr>
    </w:p>
    <w:p w:rsidR="00000000" w:rsidRDefault="00755199">
      <w:pPr>
        <w:jc w:val="both"/>
        <w:rPr>
          <w:rFonts w:eastAsia="Times New Roman"/>
        </w:rPr>
      </w:pPr>
      <w:r>
        <w:rPr>
          <w:rFonts w:eastAsia="Times New Roman"/>
          <w:color w:val="000000"/>
          <w:sz w:val="20"/>
          <w:szCs w:val="20"/>
        </w:rPr>
        <w:t>On February 5, 2020, we entered into an Open Market Sale Agreemen</w:t>
      </w:r>
      <w:r>
        <w:rPr>
          <w:rFonts w:eastAsia="Times New Roman"/>
          <w:color w:val="000000"/>
          <w:sz w:val="20"/>
          <w:szCs w:val="20"/>
        </w:rPr>
        <w:t>t</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xml:space="preserve"> (the “Sales Agreement”) with Jefferies LLC (“Jefferies”) with respect to an at-the-market offering program (“ATM Program”)</w:t>
      </w:r>
      <w:r>
        <w:rPr>
          <w:rFonts w:eastAsia="Times New Roman"/>
          <w:color w:val="000000"/>
          <w:sz w:val="20"/>
          <w:szCs w:val="20"/>
        </w:rPr>
        <w:t xml:space="preserve"> under which we may offer and sell our American Depositary Shares (“ADSs”, and such ADSs sold under the ATM Program, “ATM ADSs”) through Jefferies as our sales agent. We agreed to pay Jefferies a commission up to 3.0% of the aggregate gross sales proceeds </w:t>
      </w:r>
      <w:r>
        <w:rPr>
          <w:rFonts w:eastAsia="Times New Roman"/>
          <w:color w:val="000000"/>
          <w:sz w:val="20"/>
          <w:szCs w:val="20"/>
        </w:rPr>
        <w:t xml:space="preserve">of such ATM ADSs. The initial aggregate offering price of the ATM Program was up to $50,000 of ADSs pursuant to its prospectus, dated February 14, 2020, included with our Registration Statement on Form S-3 (File No. 333-236258) (the “2020 Prospectus”). In </w:t>
      </w:r>
      <w:r>
        <w:rPr>
          <w:rFonts w:eastAsia="Times New Roman"/>
          <w:color w:val="000000"/>
          <w:sz w:val="20"/>
          <w:szCs w:val="20"/>
        </w:rPr>
        <w:t xml:space="preserve">August 2022, we filed an additional prospectus, dated September 12, 2022, included with our new Registration Statement on Form S-3 (File No. 333-267198) (the “2022 Prospectus”), in order to allocate up to $100,000 in additional ADSs to the ATM Program.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As of September 30, 2022, we had issued and sold 1,768 ADSs, resulting in net proceeds to us of approximately $10,532, pursuant to the 2020 Prospectus. We may offer and sell up to an additional $39,142 of ADSs under the ATM Program that remain available f</w:t>
      </w:r>
      <w:r>
        <w:rPr>
          <w:rFonts w:eastAsia="Times New Roman"/>
          <w:color w:val="000000"/>
          <w:sz w:val="20"/>
          <w:szCs w:val="20"/>
        </w:rPr>
        <w:t>or sale pursuant to the 2020 Prospectus and also up to $100,000 of ADSs available for sale under the ATM Program pursuant to the 2022 Prospectus.</w:t>
      </w:r>
    </w:p>
    <w:p w:rsidR="00000000" w:rsidRDefault="00755199">
      <w:pPr>
        <w:jc w:val="both"/>
        <w:rPr>
          <w:rFonts w:eastAsia="Times New Roman"/>
        </w:rPr>
      </w:pPr>
    </w:p>
    <w:p w:rsidR="00000000" w:rsidRDefault="00755199">
      <w:pPr>
        <w:divId w:val="2112891356"/>
        <w:rPr>
          <w:rFonts w:eastAsia="Times New Roman"/>
        </w:rPr>
      </w:pPr>
      <w:r>
        <w:rPr>
          <w:rFonts w:eastAsia="Times New Roman"/>
          <w:b/>
          <w:bCs/>
          <w:i/>
          <w:iCs/>
          <w:color w:val="000000"/>
          <w:sz w:val="20"/>
          <w:szCs w:val="20"/>
        </w:rPr>
        <w:t>Financial Highlights</w:t>
      </w:r>
    </w:p>
    <w:p w:rsidR="00000000" w:rsidRDefault="00755199">
      <w:pPr>
        <w:divId w:val="74323576"/>
        <w:rPr>
          <w:rFonts w:eastAsia="Times New Roman"/>
        </w:rPr>
      </w:pPr>
    </w:p>
    <w:p w:rsidR="00000000" w:rsidRDefault="00755199">
      <w:pPr>
        <w:divId w:val="2106609483"/>
        <w:rPr>
          <w:rFonts w:eastAsia="Times New Roman"/>
        </w:rPr>
      </w:pPr>
      <w:r>
        <w:rPr>
          <w:rFonts w:eastAsia="Times New Roman"/>
          <w:color w:val="000000"/>
          <w:sz w:val="20"/>
          <w:szCs w:val="20"/>
        </w:rPr>
        <w:t>Highlights of our consolidated results for the three and nine months ended September </w:t>
      </w:r>
      <w:r>
        <w:rPr>
          <w:rFonts w:eastAsia="Times New Roman"/>
          <w:color w:val="000000"/>
          <w:sz w:val="20"/>
          <w:szCs w:val="20"/>
        </w:rPr>
        <w:t>30, 2022 are as follows: </w:t>
      </w:r>
    </w:p>
    <w:p w:rsidR="00000000" w:rsidRDefault="00755199">
      <w:pPr>
        <w:divId w:val="381178706"/>
        <w:rPr>
          <w:rFonts w:eastAsia="Times New Roman"/>
        </w:rPr>
      </w:pPr>
    </w:p>
    <w:p w:rsidR="00000000" w:rsidRDefault="00755199">
      <w:pPr>
        <w:ind w:hanging="360"/>
        <w:jc w:val="both"/>
        <w:rPr>
          <w:rFonts w:eastAsia="Times New Roman"/>
        </w:rPr>
      </w:pPr>
      <w:r>
        <w:rPr>
          <w:rFonts w:eastAsia="Times New Roman"/>
          <w:color w:val="000000"/>
          <w:sz w:val="20"/>
          <w:szCs w:val="20"/>
        </w:rPr>
        <w:t>•Operating loss was $16,960 and $75,523 for the three and nine months ended September 30, 2022, respectively, compared to operating loss of $25,663 and $62,410 for the three and nine months ended September 30, 2021, respectively</w:t>
      </w:r>
      <w:r>
        <w:rPr>
          <w:rFonts w:eastAsia="Times New Roman"/>
          <w:color w:val="000000"/>
          <w:sz w:val="20"/>
          <w:szCs w:val="20"/>
        </w:rPr>
        <w:t>. Selling, general and administrative expenses increased during the nine months ended September 30, 2022 by $10,066, driven by the increased legal and compensation spend of approximately $7,400 and $2,800, respectively, as well as approximately $5,450 of d</w:t>
      </w:r>
      <w:r>
        <w:rPr>
          <w:rFonts w:eastAsia="Times New Roman"/>
          <w:color w:val="000000"/>
          <w:sz w:val="20"/>
          <w:szCs w:val="20"/>
        </w:rPr>
        <w:t>ebt issuance costs as part of the exchange of $117,375 of our 4.50% exchangeable senior notes due February 2023 (the “February 2023 Notes”) for a new series of 4.50% exchangeable senior notes due October 2023 (the “October 2023 Notes”, together with the Fe</w:t>
      </w:r>
      <w:r>
        <w:rPr>
          <w:rFonts w:eastAsia="Times New Roman"/>
          <w:color w:val="000000"/>
          <w:sz w:val="20"/>
          <w:szCs w:val="20"/>
        </w:rPr>
        <w:t xml:space="preserve">bruary 2023 Notes, the “2023 Notes”) (the “Exchange Transaction”), offset by lower commercial spend.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 xml:space="preserve">•Net loss was $20,146 and $110,014 for the three and nine months ended September 30, 2022, respectively, compared to net loss of $22,002 and $55,028 in </w:t>
      </w:r>
      <w:r>
        <w:rPr>
          <w:rFonts w:eastAsia="Times New Roman"/>
          <w:color w:val="000000"/>
          <w:sz w:val="20"/>
          <w:szCs w:val="20"/>
        </w:rPr>
        <w:t>the same periods last year, respectively.</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•Diluted net loss per share was $0.33 and $1.85 for the three and nine months ended September 30, 2022, respectively, compared to diluted net loss per share of $0.38 and $0.94 in the same period last year, respec</w:t>
      </w:r>
      <w:r>
        <w:rPr>
          <w:rFonts w:eastAsia="Times New Roman"/>
          <w:color w:val="000000"/>
          <w:sz w:val="20"/>
          <w:szCs w:val="20"/>
        </w:rPr>
        <w:t>tively.</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•Cash and marketable securities decreased $50,746 to $106,475 at September 30, 2022, from $157,221 at December 31, 2021. The decrease in cash during the nine months ended September 30, 2022 was driven primarily by net cash used in operating activ</w:t>
      </w:r>
      <w:r>
        <w:rPr>
          <w:rFonts w:eastAsia="Times New Roman"/>
          <w:color w:val="000000"/>
          <w:sz w:val="20"/>
          <w:szCs w:val="20"/>
        </w:rPr>
        <w:t xml:space="preserve">ities of $54,938, which included $9,660 of interest payments, approximately $5,450 of fees paid to third parties that were expensed as part of the completed Exchange Transaction and approximately $4,800 of insurance premiums. The decrease in cash was also </w:t>
      </w:r>
      <w:r>
        <w:rPr>
          <w:rFonts w:eastAsia="Times New Roman"/>
          <w:color w:val="000000"/>
          <w:sz w:val="20"/>
          <w:szCs w:val="20"/>
        </w:rPr>
        <w:t>due to the payment of approximately $4,800 in fees to note holders of the October 2023 Notes that are amortized as interest expense over the remaining term of the October 2023 Notes. The uses of cash described above were offset by the receipt of approximat</w:t>
      </w:r>
      <w:r>
        <w:rPr>
          <w:rFonts w:eastAsia="Times New Roman"/>
          <w:color w:val="000000"/>
          <w:sz w:val="20"/>
          <w:szCs w:val="20"/>
        </w:rPr>
        <w:t>ely $32,323 of tax refund claims associated with the carry-back of 2019 losses and net proceeds of $10,532 from the sale and issuance of ADSs under the ATM Program.</w:t>
      </w:r>
    </w:p>
    <w:p w:rsidR="00000000" w:rsidRDefault="00755199">
      <w:pPr>
        <w:jc w:val="both"/>
        <w:rPr>
          <w:rFonts w:eastAsia="Times New Roman"/>
        </w:rPr>
      </w:pPr>
    </w:p>
    <w:p w:rsidR="00000000" w:rsidRDefault="00755199">
      <w:pPr>
        <w:divId w:val="217133089"/>
        <w:rPr>
          <w:rFonts w:eastAsia="Times New Roman"/>
        </w:rPr>
      </w:pPr>
      <w:r>
        <w:rPr>
          <w:rFonts w:eastAsia="Times New Roman"/>
          <w:b/>
          <w:bCs/>
          <w:color w:val="000000"/>
          <w:sz w:val="20"/>
          <w:szCs w:val="20"/>
          <w:u w:val="single"/>
        </w:rPr>
        <w:t>Critical Accounting Estimates</w:t>
      </w:r>
      <w:r>
        <w:rPr>
          <w:rFonts w:eastAsia="Times New Roman"/>
          <w:b/>
          <w:bCs/>
          <w:i/>
          <w:iCs/>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Our unaudited condensed consolidated financial statement</w:t>
      </w:r>
      <w:r>
        <w:rPr>
          <w:rFonts w:eastAsia="Times New Roman"/>
          <w:color w:val="000000"/>
          <w:sz w:val="20"/>
          <w:szCs w:val="20"/>
        </w:rPr>
        <w:t>s have been prepared in accordance with accounting principles generally accepted in the United States of America. To prepare these financial statements, management makes estimates and assumptions that affect the reported amounts of assets, liabilities, rev</w:t>
      </w:r>
      <w:r>
        <w:rPr>
          <w:rFonts w:eastAsia="Times New Roman"/>
          <w:color w:val="000000"/>
          <w:sz w:val="20"/>
          <w:szCs w:val="20"/>
        </w:rPr>
        <w:t>enues and expenses, as well as the disclosures of contingent assets and liabilities. Actual results could be significantly different from these estimates.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Our significant accounting policies are described in Note 1 of the audited consolidated financial </w:t>
      </w:r>
      <w:r>
        <w:rPr>
          <w:rFonts w:eastAsia="Times New Roman"/>
          <w:color w:val="000000"/>
          <w:sz w:val="20"/>
          <w:szCs w:val="20"/>
        </w:rPr>
        <w:t>statements included in our Annual Report on Form 10-K for the year ended December 31, 2021 (the “2021 Form 10-K”). The SEC suggests companies provide additional disclosure on those accounting policies considered most critical. The SEC considers an accounti</w:t>
      </w:r>
      <w:r>
        <w:rPr>
          <w:rFonts w:eastAsia="Times New Roman"/>
          <w:color w:val="000000"/>
          <w:sz w:val="20"/>
          <w:szCs w:val="20"/>
        </w:rPr>
        <w:t>ng policy to be critical if it is important to our financial condition and results of operations and requires significant judgments and estimates on the part of management in its application. Our estimates are often based on complex judgments, probabilitie</w:t>
      </w:r>
      <w:r>
        <w:rPr>
          <w:rFonts w:eastAsia="Times New Roman"/>
          <w:color w:val="000000"/>
          <w:sz w:val="20"/>
          <w:szCs w:val="20"/>
        </w:rPr>
        <w:t>s and assumptions that management believes to be reasonable, but that are inherently uncertain and unpredictable. It is also possible that other professionals, applying reasonable judgment to the same facts and circumstances, could develop and support a ra</w:t>
      </w:r>
      <w:r>
        <w:rPr>
          <w:rFonts w:eastAsia="Times New Roman"/>
          <w:color w:val="000000"/>
          <w:sz w:val="20"/>
          <w:szCs w:val="20"/>
        </w:rPr>
        <w:t xml:space="preserve">nge </w:t>
      </w:r>
    </w:p>
    <w:p w:rsidR="00000000" w:rsidRDefault="00755199">
      <w:pPr>
        <w:jc w:val="center"/>
        <w:divId w:val="1707632887"/>
        <w:rPr>
          <w:rFonts w:eastAsia="Times New Roman"/>
        </w:rPr>
      </w:pPr>
      <w:r>
        <w:rPr>
          <w:rFonts w:eastAsia="Times New Roman"/>
          <w:color w:val="000000"/>
          <w:sz w:val="20"/>
          <w:szCs w:val="20"/>
        </w:rPr>
        <w:t>- 27 -</w:t>
      </w:r>
    </w:p>
    <w:p w:rsidR="00000000" w:rsidRDefault="00755199">
      <w:pPr>
        <w:rPr>
          <w:rFonts w:eastAsia="Times New Roman"/>
        </w:rPr>
      </w:pPr>
      <w:r>
        <w:rPr>
          <w:rFonts w:eastAsia="Times New Roman"/>
        </w:rPr>
        <w:pict>
          <v:rect id="_x0000_i1052" style="width:0;height:1.5pt" o:hralign="center" o:hrstd="t" o:hr="t" fillcolor="#a0a0a0" stroked="f"/>
        </w:pict>
      </w:r>
    </w:p>
    <w:p w:rsidR="00000000" w:rsidRDefault="00755199">
      <w:pPr>
        <w:divId w:val="342782412"/>
        <w:rPr>
          <w:rFonts w:eastAsia="Times New Roman"/>
        </w:rPr>
      </w:pPr>
    </w:p>
    <w:p w:rsidR="00000000" w:rsidRDefault="00755199">
      <w:pPr>
        <w:jc w:val="both"/>
        <w:rPr>
          <w:rFonts w:eastAsia="Times New Roman"/>
        </w:rPr>
      </w:pPr>
      <w:r>
        <w:rPr>
          <w:rFonts w:eastAsia="Times New Roman"/>
          <w:color w:val="000000"/>
          <w:sz w:val="20"/>
          <w:szCs w:val="20"/>
        </w:rPr>
        <w:t xml:space="preserve">of alternative estimated amounts. For a complete discussion of our critical accounting policies, see the “Critical Accounting Policies” section of the Management’s Discussion &amp; Analysis in our 2021 Form 10-K. </w:t>
      </w:r>
    </w:p>
    <w:p w:rsidR="00000000" w:rsidRDefault="00755199">
      <w:pPr>
        <w:jc w:val="both"/>
        <w:rPr>
          <w:rFonts w:eastAsia="Times New Roman"/>
        </w:rPr>
      </w:pPr>
    </w:p>
    <w:p w:rsidR="00000000" w:rsidRDefault="00755199">
      <w:pPr>
        <w:divId w:val="1293830161"/>
        <w:rPr>
          <w:rFonts w:eastAsia="Times New Roman"/>
        </w:rPr>
      </w:pPr>
      <w:r>
        <w:rPr>
          <w:rFonts w:eastAsia="Times New Roman"/>
          <w:b/>
          <w:bCs/>
          <w:color w:val="000000"/>
          <w:sz w:val="20"/>
          <w:szCs w:val="20"/>
          <w:u w:val="single"/>
        </w:rPr>
        <w:t>Results of Operations</w:t>
      </w:r>
      <w:r>
        <w:rPr>
          <w:rFonts w:eastAsia="Times New Roman"/>
          <w:color w:val="000000"/>
          <w:sz w:val="20"/>
          <w:szCs w:val="20"/>
        </w:rPr>
        <w:t> </w:t>
      </w:r>
    </w:p>
    <w:p w:rsidR="00000000" w:rsidRDefault="00755199">
      <w:pPr>
        <w:divId w:val="1182816994"/>
        <w:rPr>
          <w:rFonts w:eastAsia="Times New Roman"/>
        </w:rPr>
      </w:pPr>
    </w:p>
    <w:p w:rsidR="00000000" w:rsidRDefault="00755199">
      <w:pPr>
        <w:jc w:val="both"/>
        <w:rPr>
          <w:rFonts w:eastAsia="Times New Roman"/>
        </w:rPr>
      </w:pPr>
      <w:r>
        <w:rPr>
          <w:rFonts w:eastAsia="Times New Roman"/>
          <w:color w:val="000000"/>
          <w:sz w:val="20"/>
          <w:szCs w:val="20"/>
        </w:rPr>
        <w:t>The following is a summary of our financial results (in thousands, except per share amounts) for the three months ended September 30, 2022 and 2021, respectively:</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9"/>
        <w:gridCol w:w="823"/>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Comparative Statements of Loss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2,933 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4,380 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(1,447)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(33.0)</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14,096 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21,283 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(7,187)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Restructuring income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(8,703)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(16,960)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(25,663)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8,703 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489 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(3,564)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(1,929)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(1,635)</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(84.8)</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vAlign w:val="center"/>
            <w:hideMark/>
          </w:tcPr>
          <w:p w:rsidR="00000000" w:rsidRDefault="00755199">
            <w:pPr>
              <w:spacing w:after="100"/>
              <w:jc w:val="right"/>
              <w:rPr>
                <w:rFonts w:eastAsia="Times New Roman"/>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(20,076)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(27,103)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divId w:val="1059744085"/>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(5,101)</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5,171 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101.4 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(20,146)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(22,002)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 per share - diluted</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(0.38)</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0.05 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following is a summary of our financial results (in thousands, except per share amounts) for the nine months ended September 30, 2022 and 2021, respectively:</w:t>
      </w: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50"/>
        <w:gridCol w:w="812"/>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 xml:space="preserve">Nine Months Ended </w:t>
            </w:r>
            <w:r>
              <w:rPr>
                <w:rFonts w:eastAsia="Times New Roman"/>
                <w:b/>
                <w:bCs/>
                <w:color w:val="000000"/>
                <w:sz w:val="18"/>
                <w:szCs w:val="18"/>
              </w:rPr>
              <w:br/>
              <w:t>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Comparative Statements of Loss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14,465 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(529)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(3.5)</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57,535 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47,469 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10,066 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3,523 </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3,576 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6,747.2 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xml:space="preserve">Total operating expense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75,523 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62,410 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13,113 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(75,523)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(62,410)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(13,113)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(21.0)</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503 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1,531 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(1,028)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(67.1)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(9,087)</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(5,788)</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(3,299)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(57.0)</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(80.1)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(84,074)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(66,501)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(17,573)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(26.4)</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755199">
            <w:pPr>
              <w:spacing w:after="100"/>
              <w:divId w:val="78870801"/>
              <w:rPr>
                <w:rFonts w:eastAsia="Times New Roman"/>
              </w:rPr>
            </w:pPr>
            <w:r>
              <w:rPr>
                <w:rFonts w:eastAsia="Times New Roman"/>
                <w:color w:val="000000"/>
                <w:sz w:val="18"/>
                <w:szCs w:val="18"/>
              </w:rPr>
              <w:t xml:space="preserve">Income tax provision (benefit) </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25,940 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(11,473)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37,413 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326.1 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(110,014)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(55,028)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(54,986)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(99.9)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(0.94)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(0.91)</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(96.8)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2,933 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4,380 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(1,447)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(33.0)</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center"/>
        <w:divId w:val="41756966"/>
        <w:rPr>
          <w:rFonts w:eastAsia="Times New Roman"/>
        </w:rPr>
      </w:pPr>
      <w:r>
        <w:rPr>
          <w:rFonts w:eastAsia="Times New Roman"/>
          <w:color w:val="000000"/>
          <w:sz w:val="20"/>
          <w:szCs w:val="20"/>
        </w:rPr>
        <w:t>- 28 -</w:t>
      </w:r>
    </w:p>
    <w:p w:rsidR="00000000" w:rsidRDefault="00755199">
      <w:pPr>
        <w:rPr>
          <w:rFonts w:eastAsia="Times New Roman"/>
        </w:rPr>
      </w:pPr>
      <w:r>
        <w:rPr>
          <w:rFonts w:eastAsia="Times New Roman"/>
        </w:rPr>
        <w:pict>
          <v:rect id="_x0000_i1053" style="width:0;height:1.5pt" o:hralign="center" o:hrstd="t" o:hr="t" fillcolor="#a0a0a0" stroked="f"/>
        </w:pict>
      </w:r>
    </w:p>
    <w:p w:rsidR="00000000" w:rsidRDefault="00755199">
      <w:pPr>
        <w:divId w:val="1006372322"/>
        <w:rPr>
          <w:rFonts w:eastAsia="Times New Roman"/>
        </w:rPr>
      </w:pPr>
    </w:p>
    <w:p w:rsidR="00000000" w:rsidRDefault="00755199">
      <w:pPr>
        <w:jc w:val="both"/>
        <w:rPr>
          <w:rFonts w:eastAsia="Times New Roman"/>
        </w:rPr>
      </w:pPr>
      <w:r>
        <w:rPr>
          <w:rFonts w:eastAsia="Times New Roman"/>
          <w:color w:val="000000"/>
          <w:sz w:val="20"/>
          <w:szCs w:val="20"/>
        </w:rPr>
        <w:t>Research and development expenses decreased $1,447 or 33.0% during the three months en</w:t>
      </w:r>
      <w:r>
        <w:rPr>
          <w:rFonts w:eastAsia="Times New Roman"/>
          <w:color w:val="000000"/>
          <w:sz w:val="20"/>
          <w:szCs w:val="20"/>
        </w:rPr>
        <w:t>ded September 30, 2022 as compared to the same period in the prior year. This decrease was driven by lower research and development production costs during the current period of approximately $1,100 and lower compensation related costs of approximately $40</w:t>
      </w:r>
      <w:r>
        <w:rPr>
          <w:rFonts w:eastAsia="Times New Roman"/>
          <w:color w:val="000000"/>
          <w:sz w:val="20"/>
          <w:szCs w:val="20"/>
        </w:rPr>
        <w:t xml:space="preserve">0 due to decreased headcount as a result of employees affected by the 2022 Corporate Restructuring Plan. </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14,465 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14,994 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(529)</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Research and development expenses decreased $529 or 3.5% during the nine months ended September 30, 2022 as compared to the same per</w:t>
      </w:r>
      <w:r>
        <w:rPr>
          <w:rFonts w:eastAsia="Times New Roman"/>
          <w:color w:val="000000"/>
          <w:sz w:val="20"/>
          <w:szCs w:val="20"/>
        </w:rPr>
        <w:t>iod in the prior year. This decrease was driven by lower research and development production costs during the current period of approximately $1,300 and share-based compensation costs of approximately $400, partially offset by higher API purchases of $1,20</w:t>
      </w:r>
      <w:r>
        <w:rPr>
          <w:rFonts w:eastAsia="Times New Roman"/>
          <w:color w:val="000000"/>
          <w:sz w:val="20"/>
          <w:szCs w:val="20"/>
        </w:rPr>
        <w:t>0, the majority of which were purchased in the three months ended March 31, 2022.</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8"/>
        <w:gridCol w:w="825"/>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14,096 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21,283 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(7,187)</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(33.8)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Selling, general and administrative expenses decreased $7,187 or 33.8% during the three months ended September 30, 2022 as compared </w:t>
      </w:r>
      <w:r>
        <w:rPr>
          <w:rFonts w:eastAsia="Times New Roman"/>
          <w:color w:val="000000"/>
          <w:sz w:val="20"/>
          <w:szCs w:val="20"/>
        </w:rPr>
        <w:t>to the same period in the prior year, driven by lower marketing and market access activities of approximately $5,400, lower compensation costs of approximately $1,400, lower medical affairs activities of approximately $1,000, and lower consulting fees of $</w:t>
      </w:r>
      <w:r>
        <w:rPr>
          <w:rFonts w:eastAsia="Times New Roman"/>
          <w:color w:val="000000"/>
          <w:sz w:val="20"/>
          <w:szCs w:val="20"/>
        </w:rPr>
        <w:t>600. These costs were partially offset by higher legal costs of approximately $1,200.</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7"/>
        <w:gridCol w:w="826"/>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57,535 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47,469 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10,066 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21.2 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Selling, general and administrative expenses increased $10,066 or 21.2% during the nine months ended September 30, 2022 as compared </w:t>
      </w:r>
      <w:r>
        <w:rPr>
          <w:rFonts w:eastAsia="Times New Roman"/>
          <w:color w:val="000000"/>
          <w:sz w:val="20"/>
          <w:szCs w:val="20"/>
        </w:rPr>
        <w:t>to the same period in the prior year, driven by higher legal costs of approximately $7,400, debt issuance costs of approximately $5,450 related to the Exchange Transaction, higher compensation costs of $2,800, and higher public relationship activities of $</w:t>
      </w:r>
      <w:r>
        <w:rPr>
          <w:rFonts w:eastAsia="Times New Roman"/>
          <w:color w:val="000000"/>
          <w:sz w:val="20"/>
          <w:szCs w:val="20"/>
        </w:rPr>
        <w:t xml:space="preserve">1,100. The increase in selling, general and administrative expense was offset by lower marketing and market access activities of approximately $3,500, lower medical affairs activities of $1,700, and lower other consulting fees of $1,600. </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50"/>
        <w:gridCol w:w="813"/>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Restructuring Expense (Income)</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Restructuring expense (income)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3,523 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3,576 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6,747.2 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Restructuring expense (income) increased $3,576 or 6,747.2% during the nine months ended September 30, 2022 as compared to the same </w:t>
      </w:r>
      <w:r>
        <w:rPr>
          <w:rFonts w:eastAsia="Times New Roman"/>
          <w:color w:val="000000"/>
          <w:sz w:val="20"/>
          <w:szCs w:val="20"/>
        </w:rPr>
        <w:t xml:space="preserve">period in the prior year, driven by the 2022 Corporate Restructuring Plan, which was announced in June 2022. See </w:t>
      </w:r>
      <w:r>
        <w:rPr>
          <w:rFonts w:eastAsia="Times New Roman"/>
          <w:i/>
          <w:iCs/>
          <w:color w:val="000000"/>
          <w:sz w:val="20"/>
          <w:szCs w:val="20"/>
        </w:rPr>
        <w:t xml:space="preserve">Note 11: Restructuring Costs </w:t>
      </w:r>
      <w:r>
        <w:rPr>
          <w:rFonts w:eastAsia="Times New Roman"/>
          <w:color w:val="000000"/>
          <w:sz w:val="20"/>
          <w:szCs w:val="20"/>
        </w:rPr>
        <w:t>to our unaudited condensed consolidated financial statements included in Part 1, Item 1 of this Quarterly Report o</w:t>
      </w:r>
      <w:r>
        <w:rPr>
          <w:rFonts w:eastAsia="Times New Roman"/>
          <w:color w:val="000000"/>
          <w:sz w:val="20"/>
          <w:szCs w:val="20"/>
        </w:rPr>
        <w:t>n Form 10-Q for further details for further details.</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Investment and Other Income, net</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503 </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18"/>
                <w:szCs w:val="18"/>
              </w:rPr>
              <w:t>1,531 </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(1,028)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(67.1)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center"/>
        <w:rPr>
          <w:rFonts w:eastAsia="Times New Roman"/>
        </w:rPr>
      </w:pPr>
    </w:p>
    <w:p w:rsidR="00000000" w:rsidRDefault="00755199">
      <w:pPr>
        <w:jc w:val="center"/>
        <w:divId w:val="390545803"/>
        <w:rPr>
          <w:rFonts w:eastAsia="Times New Roman"/>
        </w:rPr>
      </w:pPr>
      <w:r>
        <w:rPr>
          <w:rFonts w:eastAsia="Times New Roman"/>
          <w:color w:val="000000"/>
          <w:sz w:val="20"/>
          <w:szCs w:val="20"/>
        </w:rPr>
        <w:t>- 29 -</w:t>
      </w:r>
    </w:p>
    <w:p w:rsidR="00000000" w:rsidRDefault="00755199">
      <w:pPr>
        <w:rPr>
          <w:rFonts w:eastAsia="Times New Roman"/>
        </w:rPr>
      </w:pPr>
      <w:r>
        <w:rPr>
          <w:rFonts w:eastAsia="Times New Roman"/>
        </w:rPr>
        <w:pict>
          <v:rect id="_x0000_i1054" style="width:0;height:1.5pt" o:hralign="center" o:hrstd="t" o:hr="t" fillcolor="#a0a0a0" stroked="f"/>
        </w:pict>
      </w:r>
    </w:p>
    <w:p w:rsidR="00000000" w:rsidRDefault="00755199">
      <w:pPr>
        <w:divId w:val="1716543674"/>
        <w:rPr>
          <w:rFonts w:eastAsia="Times New Roman"/>
        </w:rPr>
      </w:pPr>
    </w:p>
    <w:p w:rsidR="00000000" w:rsidRDefault="00755199">
      <w:pPr>
        <w:jc w:val="both"/>
        <w:rPr>
          <w:rFonts w:eastAsia="Times New Roman"/>
        </w:rPr>
      </w:pPr>
      <w:r>
        <w:rPr>
          <w:rFonts w:eastAsia="Times New Roman"/>
          <w:color w:val="000000"/>
          <w:sz w:val="20"/>
          <w:szCs w:val="20"/>
        </w:rPr>
        <w:t>Investment and other income, net decreased $1,028 or 67.1% during the nine months ended September </w:t>
      </w:r>
      <w:r>
        <w:rPr>
          <w:rFonts w:eastAsia="Times New Roman"/>
          <w:color w:val="000000"/>
          <w:sz w:val="20"/>
          <w:szCs w:val="20"/>
        </w:rPr>
        <w:t>30, 2022 as compared to the same period in the prior year. This decrease was driven by higher net realized losses on our marketable securities of approximately $400 and less interest received on our marketable securities of approximately $800 in comparison</w:t>
      </w:r>
      <w:r>
        <w:rPr>
          <w:rFonts w:eastAsia="Times New Roman"/>
          <w:color w:val="000000"/>
          <w:sz w:val="20"/>
          <w:szCs w:val="20"/>
        </w:rPr>
        <w:t xml:space="preserve"> to the prior period.</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0"/>
        <w:gridCol w:w="37"/>
        <w:gridCol w:w="36"/>
        <w:gridCol w:w="36"/>
        <w:gridCol w:w="36"/>
        <w:gridCol w:w="120"/>
        <w:gridCol w:w="827"/>
        <w:gridCol w:w="36"/>
        <w:gridCol w:w="36"/>
        <w:gridCol w:w="36"/>
        <w:gridCol w:w="36"/>
        <w:gridCol w:w="120"/>
        <w:gridCol w:w="827"/>
        <w:gridCol w:w="36"/>
        <w:gridCol w:w="36"/>
        <w:gridCol w:w="36"/>
        <w:gridCol w:w="36"/>
        <w:gridCol w:w="110"/>
        <w:gridCol w:w="829"/>
        <w:gridCol w:w="36"/>
        <w:gridCol w:w="36"/>
        <w:gridCol w:w="36"/>
        <w:gridCol w:w="36"/>
        <w:gridCol w:w="37"/>
        <w:gridCol w:w="820"/>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20"/>
                <w:szCs w:val="20"/>
              </w:rPr>
              <w:t>3,564 </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20"/>
                <w:szCs w:val="20"/>
              </w:rPr>
              <w:t>1,929 </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1,635 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84.8 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Interest expense increased $1,635 or 84.8% during the three months ended September 30, 2022 as compared to the same period in the prior year. In</w:t>
      </w:r>
      <w:r>
        <w:rPr>
          <w:rFonts w:eastAsia="Times New Roman"/>
          <w:color w:val="000000"/>
          <w:sz w:val="20"/>
          <w:szCs w:val="20"/>
        </w:rPr>
        <w:t>terest expense increased by approximately $900 due to non-cash amortization of the $5,500 of debt discount related to the change in the fair value of the conversion feature of the October 2023 Notes. In addition, interest expense increased by $700 due to n</w:t>
      </w:r>
      <w:r>
        <w:rPr>
          <w:rFonts w:eastAsia="Times New Roman"/>
          <w:color w:val="000000"/>
          <w:sz w:val="20"/>
          <w:szCs w:val="20"/>
        </w:rPr>
        <w:t xml:space="preserve">on-cash amortization of the $4,800 of debt issuance fees paid to note holders that participated in the Exchange Transaction in April 2022. These fees are amortized over the life of the October 2023 Notes. See </w:t>
      </w:r>
      <w:r>
        <w:rPr>
          <w:rFonts w:eastAsia="Times New Roman"/>
          <w:i/>
          <w:iCs/>
          <w:color w:val="000000"/>
          <w:sz w:val="20"/>
          <w:szCs w:val="20"/>
        </w:rPr>
        <w:t>Note 4: Long-Term Debt</w:t>
      </w:r>
      <w:r>
        <w:rPr>
          <w:rFonts w:eastAsia="Times New Roman"/>
          <w:color w:val="000000"/>
          <w:sz w:val="20"/>
          <w:szCs w:val="20"/>
        </w:rPr>
        <w:t xml:space="preserve"> to our unaudited condens</w:t>
      </w:r>
      <w:r>
        <w:rPr>
          <w:rFonts w:eastAsia="Times New Roman"/>
          <w:color w:val="000000"/>
          <w:sz w:val="20"/>
          <w:szCs w:val="20"/>
        </w:rPr>
        <w:t xml:space="preserve">ed consolidated financial statements included in Part 1, Item 1 of this Quarterly Report on Form 10-Q for further details for further details. </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0"/>
        <w:gridCol w:w="37"/>
        <w:gridCol w:w="36"/>
        <w:gridCol w:w="36"/>
        <w:gridCol w:w="36"/>
        <w:gridCol w:w="120"/>
        <w:gridCol w:w="827"/>
        <w:gridCol w:w="36"/>
        <w:gridCol w:w="36"/>
        <w:gridCol w:w="36"/>
        <w:gridCol w:w="36"/>
        <w:gridCol w:w="120"/>
        <w:gridCol w:w="827"/>
        <w:gridCol w:w="36"/>
        <w:gridCol w:w="36"/>
        <w:gridCol w:w="36"/>
        <w:gridCol w:w="36"/>
        <w:gridCol w:w="110"/>
        <w:gridCol w:w="829"/>
        <w:gridCol w:w="36"/>
        <w:gridCol w:w="36"/>
        <w:gridCol w:w="36"/>
        <w:gridCol w:w="36"/>
        <w:gridCol w:w="37"/>
        <w:gridCol w:w="820"/>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20"/>
                <w:szCs w:val="20"/>
              </w:rPr>
              <w:t>9,087 </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5519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55199">
            <w:pPr>
              <w:spacing w:after="100"/>
              <w:jc w:val="right"/>
              <w:rPr>
                <w:rFonts w:eastAsia="Times New Roman"/>
              </w:rPr>
            </w:pPr>
            <w:r>
              <w:rPr>
                <w:rFonts w:eastAsia="Times New Roman"/>
                <w:color w:val="000000"/>
                <w:sz w:val="20"/>
                <w:szCs w:val="20"/>
              </w:rPr>
              <w:t>5,788 </w:t>
            </w:r>
          </w:p>
        </w:tc>
        <w:tc>
          <w:tcPr>
            <w:tcW w:w="0" w:type="auto"/>
            <w:shd w:val="clear" w:color="auto" w:fill="CCEEFF"/>
            <w:tcMar>
              <w:top w:w="30" w:type="dxa"/>
              <w:left w:w="0" w:type="dxa"/>
              <w:bottom w:w="3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3,299 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57.0 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jc w:val="center"/>
        <w:rPr>
          <w:rFonts w:eastAsia="Times New Roman"/>
        </w:rPr>
      </w:pPr>
    </w:p>
    <w:p w:rsidR="00000000" w:rsidRDefault="00755199">
      <w:pPr>
        <w:jc w:val="both"/>
        <w:rPr>
          <w:rFonts w:eastAsia="Times New Roman"/>
        </w:rPr>
      </w:pPr>
      <w:r>
        <w:rPr>
          <w:rFonts w:eastAsia="Times New Roman"/>
          <w:color w:val="000000"/>
          <w:sz w:val="20"/>
          <w:szCs w:val="20"/>
        </w:rPr>
        <w:t>Interest expense increased $3,299 or 57.0% during the nine months ended September 30, 2022 as compared to the same period in the prior year. Int</w:t>
      </w:r>
      <w:r>
        <w:rPr>
          <w:rFonts w:eastAsia="Times New Roman"/>
          <w:color w:val="000000"/>
          <w:sz w:val="20"/>
          <w:szCs w:val="20"/>
        </w:rPr>
        <w:t>erest expense increased by approximately $1,800 due to non-cash amortization of the $5,500 of debt discount related to the change in the fair value of the conversion feature of the October 2023 Notes. In addition, interest expense increased by $1,400 due t</w:t>
      </w:r>
      <w:r>
        <w:rPr>
          <w:rFonts w:eastAsia="Times New Roman"/>
          <w:color w:val="000000"/>
          <w:sz w:val="20"/>
          <w:szCs w:val="20"/>
        </w:rPr>
        <w:t xml:space="preserve">o amortization of the $4,800 of debt issuance fees paid to note holders that participated in the Exchange Transaction in April 2022. These fees are amortized over the life of the October 2023 Notes. See </w:t>
      </w:r>
      <w:r>
        <w:rPr>
          <w:rFonts w:eastAsia="Times New Roman"/>
          <w:i/>
          <w:iCs/>
          <w:color w:val="000000"/>
          <w:sz w:val="20"/>
          <w:szCs w:val="20"/>
        </w:rPr>
        <w:t>Note 4: Long-Term Debt</w:t>
      </w:r>
      <w:r>
        <w:rPr>
          <w:rFonts w:eastAsia="Times New Roman"/>
          <w:color w:val="000000"/>
          <w:sz w:val="20"/>
          <w:szCs w:val="20"/>
        </w:rPr>
        <w:t xml:space="preserve"> to our unaudited condensed con</w:t>
      </w:r>
      <w:r>
        <w:rPr>
          <w:rFonts w:eastAsia="Times New Roman"/>
          <w:color w:val="000000"/>
          <w:sz w:val="20"/>
          <w:szCs w:val="20"/>
        </w:rPr>
        <w:t xml:space="preserve">solidated financial statements included in Part 1, Item 1 of this Quarterly Report on Form 10-Q for further details for further details. </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1"/>
        <w:gridCol w:w="782"/>
        <w:gridCol w:w="170"/>
        <w:gridCol w:w="36"/>
        <w:gridCol w:w="36"/>
        <w:gridCol w:w="36"/>
        <w:gridCol w:w="110"/>
        <w:gridCol w:w="783"/>
        <w:gridCol w:w="170"/>
        <w:gridCol w:w="36"/>
        <w:gridCol w:w="36"/>
        <w:gridCol w:w="36"/>
        <w:gridCol w:w="110"/>
        <w:gridCol w:w="783"/>
        <w:gridCol w:w="36"/>
        <w:gridCol w:w="36"/>
        <w:gridCol w:w="36"/>
        <w:gridCol w:w="36"/>
        <w:gridCol w:w="39"/>
        <w:gridCol w:w="749"/>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Income Tax Provision (Benefit):</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(5,101)</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5,171 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101.4 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Percentage of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bl>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income tax provision was $70 for the three months ended September 30, 2022 resulting in an effective tax rat</w:t>
      </w:r>
      <w:r>
        <w:rPr>
          <w:rFonts w:eastAsia="Times New Roman"/>
          <w:color w:val="000000"/>
          <w:sz w:val="20"/>
          <w:szCs w:val="20"/>
        </w:rPr>
        <w:t>e of (0.3)%. The income tax benefit was $5,101 for the three months ended September 30, 2021 resulting in an effective tax rate of 18.8%. The change in the effective tax rate for the three months ended September 30, 2022 is primarily due to the valuation a</w:t>
      </w:r>
      <w:r>
        <w:rPr>
          <w:rFonts w:eastAsia="Times New Roman"/>
          <w:color w:val="000000"/>
          <w:sz w:val="20"/>
          <w:szCs w:val="20"/>
        </w:rPr>
        <w:t xml:space="preserve">llowances that were recorded against the net operating losses generated during the period. </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3723"/>
        <w:gridCol w:w="38"/>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9"/>
        <w:gridCol w:w="749"/>
        <w:gridCol w:w="170"/>
      </w:tblGrid>
      <w:tr w:rsidR="00000000">
        <w:trPr>
          <w:divId w:val="32971819"/>
        </w:trPr>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32971819"/>
        </w:trPr>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divId w:val="32971819"/>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divId w:val="32971819"/>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rPr>
          <w:divId w:val="32971819"/>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Income Tax Provision (Benefit):</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divId w:val="3297181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32971819"/>
        </w:trPr>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25,940 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(11,473)</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37,413 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326.1 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rPr>
          <w:divId w:val="32971819"/>
        </w:trPr>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Percentage of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(30.9)</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17.3 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 </w:t>
            </w:r>
          </w:p>
        </w:tc>
      </w:tr>
    </w:tbl>
    <w:p w:rsidR="00000000" w:rsidRDefault="00755199">
      <w:pPr>
        <w:divId w:val="813066767"/>
        <w:rPr>
          <w:rFonts w:eastAsia="Times New Roman"/>
        </w:rPr>
      </w:pPr>
    </w:p>
    <w:p w:rsidR="00000000" w:rsidRDefault="00755199">
      <w:pPr>
        <w:jc w:val="both"/>
        <w:rPr>
          <w:rFonts w:eastAsia="Times New Roman"/>
        </w:rPr>
      </w:pPr>
      <w:r>
        <w:rPr>
          <w:rFonts w:eastAsia="Times New Roman"/>
          <w:color w:val="000000"/>
          <w:sz w:val="20"/>
          <w:szCs w:val="20"/>
        </w:rPr>
        <w:t xml:space="preserve">The income tax provision was $25,940 for the nine months ended September 30, 2022 resulting in an effective tax </w:t>
      </w:r>
      <w:r>
        <w:rPr>
          <w:rFonts w:eastAsia="Times New Roman"/>
          <w:color w:val="000000"/>
          <w:sz w:val="20"/>
          <w:szCs w:val="20"/>
        </w:rPr>
        <w:t>rate of (30.9)%. The income tax benefit was $11,473 for the nine months ended September 30, 2021 resulting in an effective tax rate of 17.3%. The change in the effective tax rate for the nine months ended September 30, 2022 is primarily driven by the valua</w:t>
      </w:r>
      <w:r>
        <w:rPr>
          <w:rFonts w:eastAsia="Times New Roman"/>
          <w:color w:val="000000"/>
          <w:sz w:val="20"/>
          <w:szCs w:val="20"/>
        </w:rPr>
        <w:t xml:space="preserve">tion allowances recorded against our deferred tax assets during the period. </w:t>
      </w:r>
    </w:p>
    <w:p w:rsidR="00000000" w:rsidRDefault="00755199">
      <w:pPr>
        <w:jc w:val="center"/>
        <w:divId w:val="2004889346"/>
        <w:rPr>
          <w:rFonts w:eastAsia="Times New Roman"/>
        </w:rPr>
      </w:pPr>
      <w:r>
        <w:rPr>
          <w:rFonts w:eastAsia="Times New Roman"/>
          <w:color w:val="000000"/>
          <w:sz w:val="20"/>
          <w:szCs w:val="20"/>
        </w:rPr>
        <w:t>- 30 -</w:t>
      </w:r>
    </w:p>
    <w:p w:rsidR="00000000" w:rsidRDefault="00755199">
      <w:pPr>
        <w:rPr>
          <w:rFonts w:eastAsia="Times New Roman"/>
        </w:rPr>
      </w:pPr>
      <w:r>
        <w:rPr>
          <w:rFonts w:eastAsia="Times New Roman"/>
        </w:rPr>
        <w:pict>
          <v:rect id="_x0000_i1055" style="width:0;height:1.5pt" o:hralign="center" o:hrstd="t" o:hr="t" fillcolor="#a0a0a0" stroked="f"/>
        </w:pict>
      </w:r>
    </w:p>
    <w:p w:rsidR="00000000" w:rsidRDefault="00755199">
      <w:pPr>
        <w:divId w:val="1617712643"/>
        <w:rPr>
          <w:rFonts w:eastAsia="Times New Roman"/>
        </w:rPr>
      </w:pPr>
    </w:p>
    <w:p w:rsidR="00000000" w:rsidRDefault="00755199">
      <w:pPr>
        <w:jc w:val="both"/>
        <w:rPr>
          <w:rFonts w:eastAsia="Times New Roman"/>
        </w:rPr>
      </w:pPr>
    </w:p>
    <w:p w:rsidR="00000000" w:rsidRDefault="00755199">
      <w:pPr>
        <w:divId w:val="1090197618"/>
        <w:rPr>
          <w:rFonts w:eastAsia="Times New Roman"/>
        </w:rPr>
      </w:pPr>
      <w:r>
        <w:rPr>
          <w:rFonts w:eastAsia="Times New Roman"/>
          <w:b/>
          <w:bCs/>
          <w:color w:val="000000"/>
          <w:sz w:val="20"/>
          <w:szCs w:val="20"/>
          <w:u w:val="single"/>
        </w:rPr>
        <w:t>Liquidity and Capital Resources</w:t>
      </w:r>
      <w:r>
        <w:rPr>
          <w:rFonts w:eastAsia="Times New Roman"/>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Our cash flows from operating, investing and financing activities, as reflected in the unaudited </w:t>
      </w:r>
      <w:r>
        <w:rPr>
          <w:rFonts w:eastAsia="Times New Roman"/>
          <w:color w:val="000000"/>
          <w:sz w:val="20"/>
          <w:szCs w:val="20"/>
        </w:rPr>
        <w:t>condensed consolidated statements of cash flows, are summarized in the following table: </w:t>
      </w:r>
    </w:p>
    <w:p w:rsidR="00000000" w:rsidRDefault="00755199">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1"/>
        <w:gridCol w:w="831"/>
        <w:gridCol w:w="36"/>
        <w:gridCol w:w="36"/>
        <w:gridCol w:w="36"/>
        <w:gridCol w:w="36"/>
        <w:gridCol w:w="50"/>
        <w:gridCol w:w="812"/>
        <w:gridCol w:w="170"/>
      </w:tblGrid>
      <w:tr w:rsidR="00000000">
        <w:tc>
          <w:tcPr>
            <w:tcW w:w="50" w:type="pct"/>
            <w:vAlign w:val="center"/>
            <w:hideMark/>
          </w:tcPr>
          <w:p w:rsidR="00000000" w:rsidRDefault="00755199">
            <w:pPr>
              <w:jc w:val="both"/>
              <w:rPr>
                <w:rFonts w:eastAsia="Times New Roman"/>
              </w:rPr>
            </w:pPr>
          </w:p>
        </w:tc>
        <w:tc>
          <w:tcPr>
            <w:tcW w:w="232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2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56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gridSpan w:val="3"/>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c>
          <w:tcPr>
            <w:tcW w:w="0" w:type="auto"/>
            <w:vAlign w:val="center"/>
            <w:hideMark/>
          </w:tcPr>
          <w:p w:rsidR="00000000" w:rsidRDefault="00755199">
            <w:pPr>
              <w:spacing w:after="100"/>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Change</w:t>
            </w:r>
          </w:p>
        </w:tc>
      </w:tr>
      <w:tr w:rsidR="00000000">
        <w:trPr>
          <w:trHeight w:val="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9"/>
            <w:vMerge/>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 vs. 2021</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18"/>
                <w:szCs w:val="18"/>
              </w:rPr>
              <w:t>Net cash (used in) provided by:</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(54,938)</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(54,804)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5519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(134)</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56,823 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41,609 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15,214 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36.6 </w:t>
            </w:r>
          </w:p>
        </w:tc>
        <w:tc>
          <w:tcPr>
            <w:tcW w:w="0" w:type="auto"/>
            <w:shd w:val="clear" w:color="auto" w:fill="FFFF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755199">
            <w:pPr>
              <w:spacing w:after="100"/>
              <w:rPr>
                <w:rFonts w:eastAsia="Times New Roman"/>
              </w:rPr>
            </w:pPr>
            <w:r>
              <w:rPr>
                <w:rFonts w:eastAsia="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7,921 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7,658 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5519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55199">
            <w:pPr>
              <w:spacing w:after="100"/>
              <w:jc w:val="right"/>
              <w:rPr>
                <w:rFonts w:eastAsia="Times New Roman"/>
              </w:rPr>
            </w:pPr>
            <w:r>
              <w:rPr>
                <w:rFonts w:eastAsia="Times New Roman"/>
                <w:color w:val="000000"/>
                <w:sz w:val="18"/>
                <w:szCs w:val="18"/>
              </w:rPr>
              <w:t>2,911.8 </w:t>
            </w:r>
          </w:p>
        </w:tc>
        <w:tc>
          <w:tcPr>
            <w:tcW w:w="0" w:type="auto"/>
            <w:shd w:val="clear" w:color="auto" w:fill="CCEEFF"/>
            <w:tcMar>
              <w:top w:w="30" w:type="dxa"/>
              <w:left w:w="0" w:type="dxa"/>
              <w:bottom w:w="30" w:type="dxa"/>
              <w:right w:w="20" w:type="dxa"/>
            </w:tcMar>
            <w:vAlign w:val="bottom"/>
            <w:hideMark/>
          </w:tcPr>
          <w:p w:rsidR="00000000" w:rsidRDefault="00755199">
            <w:pPr>
              <w:spacing w:after="100"/>
              <w:jc w:val="right"/>
              <w:rPr>
                <w:rFonts w:eastAsia="Times New Roman"/>
              </w:rPr>
            </w:pPr>
            <w:r>
              <w:rPr>
                <w:rFonts w:eastAsia="Times New Roman"/>
                <w:color w:val="000000"/>
                <w:sz w:val="18"/>
                <w:szCs w:val="18"/>
              </w:rPr>
              <w:t>%</w:t>
            </w:r>
          </w:p>
        </w:tc>
      </w:tr>
    </w:tbl>
    <w:p w:rsidR="00000000" w:rsidRDefault="00755199">
      <w:pPr>
        <w:divId w:val="2100638525"/>
        <w:rPr>
          <w:rFonts w:eastAsia="Times New Roman"/>
        </w:rPr>
      </w:pPr>
    </w:p>
    <w:p w:rsidR="00000000" w:rsidRDefault="00755199">
      <w:pPr>
        <w:divId w:val="1265725027"/>
        <w:rPr>
          <w:rFonts w:eastAsia="Times New Roman"/>
        </w:rPr>
      </w:pPr>
      <w:r>
        <w:rPr>
          <w:rFonts w:eastAsia="Times New Roman"/>
          <w:b/>
          <w:bCs/>
          <w:i/>
          <w:iCs/>
          <w:color w:val="000000"/>
          <w:sz w:val="20"/>
          <w:szCs w:val="20"/>
        </w:rPr>
        <w:t>Operating Activities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Net cash used in operating activities was $54,938 and $54,804 for the nine months ended September 30, 2022 and 2021, respectively. Net cash used in operating activities for the nine months ended September 30, 2022 was dr</w:t>
      </w:r>
      <w:r>
        <w:rPr>
          <w:rFonts w:eastAsia="Times New Roman"/>
          <w:color w:val="000000"/>
          <w:sz w:val="20"/>
          <w:szCs w:val="20"/>
        </w:rPr>
        <w:t>iven by net loss of $110,014, partially offset by favorable non-cash adjustments of $37,562 and favorable changes in working capital of $17,514. For the nine months ended September 30, 2021, net cash used in operating activities was driven by net loss of $</w:t>
      </w:r>
      <w:r>
        <w:rPr>
          <w:rFonts w:eastAsia="Times New Roman"/>
          <w:color w:val="000000"/>
          <w:sz w:val="20"/>
          <w:szCs w:val="20"/>
        </w:rPr>
        <w:t xml:space="preserve">55,028, unfavorable change in non-cash adjustments of $2,793, and favorable changes in working capital of $3,017.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September 30, 2022 net favorable change in working capital was driven by the receipt of $32,323 of refund claims associated with the ca</w:t>
      </w:r>
      <w:r>
        <w:rPr>
          <w:rFonts w:eastAsia="Times New Roman"/>
          <w:color w:val="000000"/>
          <w:sz w:val="20"/>
          <w:szCs w:val="20"/>
        </w:rPr>
        <w:t>rryback of 2019 losses during the nine months ended September 30, 2022, of which $3,265 is an overpayment that will be repaid to the Internal Revenue Service. This was offset by the timing of payments made related to our accounts payable and accrual balanc</w:t>
      </w:r>
      <w:r>
        <w:rPr>
          <w:rFonts w:eastAsia="Times New Roman"/>
          <w:color w:val="000000"/>
          <w:sz w:val="20"/>
          <w:szCs w:val="20"/>
        </w:rPr>
        <w:t xml:space="preserve">es. </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Investing Activities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Net cash provided by investing activities was $56,823 and $41,609 for the nine months ended September 30, 2022 and 2021, respectively. Net cash provided by investing activities for the nine months ended September 30, 2022 was</w:t>
      </w:r>
      <w:r>
        <w:rPr>
          <w:rFonts w:eastAsia="Times New Roman"/>
          <w:color w:val="000000"/>
          <w:sz w:val="20"/>
          <w:szCs w:val="20"/>
        </w:rPr>
        <w:t xml:space="preserve"> due to net proceeds received from the excess of sales over purchases of marketable securities of $57,539. Net cash provided by investing activities for the nine months ended September 30, 2021 was driven by proceeds from the disposition of the hospital pr</w:t>
      </w:r>
      <w:r>
        <w:rPr>
          <w:rFonts w:eastAsia="Times New Roman"/>
          <w:color w:val="000000"/>
          <w:sz w:val="20"/>
          <w:szCs w:val="20"/>
        </w:rPr>
        <w:t>oducts of $16,500, as well as net proceeds received from the excess of sales over purchases of marketable securities of $25,135.</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Financing Activities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Net cash provided by financing activities for the nine months ended September 30, 2022 was $7,921, driven by the sale of ADSs through the ATM Program, resulting in net proceeds to us of approximately $10,532, and by $2,192 of proceeds from stock option exe</w:t>
      </w:r>
      <w:r>
        <w:rPr>
          <w:rFonts w:eastAsia="Times New Roman"/>
          <w:color w:val="000000"/>
          <w:sz w:val="20"/>
          <w:szCs w:val="20"/>
        </w:rPr>
        <w:t>rcises and employee share purchase plan (“ESPP”) issuances, offset by the payment of $4,803 of debt issuance fees associated with the Exchange Transaction. Net cash provided by financing activities for the nine months ended September 30, 2021 of $263 relat</w:t>
      </w:r>
      <w:r>
        <w:rPr>
          <w:rFonts w:eastAsia="Times New Roman"/>
          <w:color w:val="000000"/>
          <w:sz w:val="20"/>
          <w:szCs w:val="20"/>
        </w:rPr>
        <w:t>ed to proceeds from stock option exercises and ESPP issuances.</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Risk Management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The adequacy of our cash resources depends on the outcome of certain business conditions including the cost of our LUMRYZ clinical development, commercial launch plans and </w:t>
      </w:r>
      <w:r>
        <w:rPr>
          <w:rFonts w:eastAsia="Times New Roman"/>
          <w:color w:val="000000"/>
          <w:sz w:val="20"/>
          <w:szCs w:val="20"/>
        </w:rPr>
        <w:t>the FDA’s decision regarding final approval of LUMRYZ, our cost structure, and other factors set forth in “Risk Factors” within Part I, Item 1A of our Annual Report on Form 10-K filed with the SEC on March 16, 2022. To complete the LUMRYZ clinical developm</w:t>
      </w:r>
      <w:r>
        <w:rPr>
          <w:rFonts w:eastAsia="Times New Roman"/>
          <w:color w:val="000000"/>
          <w:sz w:val="20"/>
          <w:szCs w:val="20"/>
        </w:rPr>
        <w:t>ent and commercial launch plans we will need to commit substantial resources, which could result in future losses or otherwise limit our opportunities or affect our ability to operate our business. Our assumptions concerning the outcome of certain business</w:t>
      </w:r>
      <w:r>
        <w:rPr>
          <w:rFonts w:eastAsia="Times New Roman"/>
          <w:color w:val="000000"/>
          <w:sz w:val="20"/>
          <w:szCs w:val="20"/>
        </w:rPr>
        <w:t xml:space="preserve"> conditions may prove to be wrong or other factors may adversely affect our business, and as a result we could exhaust or significantly decrease our available cash and marketable securities balances which could, among other things, force us to raise additi</w:t>
      </w:r>
      <w:r>
        <w:rPr>
          <w:rFonts w:eastAsia="Times New Roman"/>
          <w:color w:val="000000"/>
          <w:sz w:val="20"/>
          <w:szCs w:val="20"/>
        </w:rPr>
        <w:t>onal funds and/or force us to reduce our expenses, either of which could have a material adverse effect on our business. Additionally, we are unable to estimate the near- or long-term impacts of COVID-19 and inflation, which may have a material adverse imp</w:t>
      </w:r>
      <w:r>
        <w:rPr>
          <w:rFonts w:eastAsia="Times New Roman"/>
          <w:color w:val="000000"/>
          <w:sz w:val="20"/>
          <w:szCs w:val="20"/>
        </w:rPr>
        <w:t>act on our business.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In June 2022, we announced a plan to optimize our cost structure to reduce total quarterly cash operating expenses to between $12,000 and $14,000, excluding inventory purchases. </w:t>
      </w:r>
    </w:p>
    <w:p w:rsidR="00000000" w:rsidRDefault="00755199">
      <w:pPr>
        <w:jc w:val="center"/>
        <w:divId w:val="2099980817"/>
        <w:rPr>
          <w:rFonts w:eastAsia="Times New Roman"/>
        </w:rPr>
      </w:pPr>
      <w:r>
        <w:rPr>
          <w:rFonts w:eastAsia="Times New Roman"/>
          <w:color w:val="000000"/>
          <w:sz w:val="20"/>
          <w:szCs w:val="20"/>
        </w:rPr>
        <w:t>- 31 -</w:t>
      </w:r>
    </w:p>
    <w:p w:rsidR="00000000" w:rsidRDefault="00755199">
      <w:pPr>
        <w:rPr>
          <w:rFonts w:eastAsia="Times New Roman"/>
        </w:rPr>
      </w:pPr>
      <w:r>
        <w:rPr>
          <w:rFonts w:eastAsia="Times New Roman"/>
        </w:rPr>
        <w:pict>
          <v:rect id="_x0000_i1056" style="width:0;height:1.5pt" o:hralign="center" o:hrstd="t" o:hr="t" fillcolor="#a0a0a0" stroked="f"/>
        </w:pict>
      </w:r>
    </w:p>
    <w:p w:rsidR="00000000" w:rsidRDefault="00755199">
      <w:pPr>
        <w:divId w:val="215318267"/>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We hav</w:t>
      </w:r>
      <w:r>
        <w:rPr>
          <w:rFonts w:eastAsia="Times New Roman"/>
          <w:color w:val="000000"/>
          <w:sz w:val="20"/>
          <w:szCs w:val="20"/>
        </w:rPr>
        <w:t>e a recent history of generating losses and negative cash flows from operations, an accumulated shareholders’ deficit as of the date of the unaudited condensed consolidated financial statements included in this Quarterly Report on Form 10-Q and approximate</w:t>
      </w:r>
      <w:r>
        <w:rPr>
          <w:rFonts w:eastAsia="Times New Roman"/>
          <w:color w:val="000000"/>
          <w:sz w:val="20"/>
          <w:szCs w:val="20"/>
        </w:rPr>
        <w:t>ly $60,715 of cash and cash equivalents and $45,760 of marketable securities available for use to fund our operations, debt service and capital requirements. Our ability to generate revenue is expected to start following the launch of LUMRYZ, which is depe</w:t>
      </w:r>
      <w:r>
        <w:rPr>
          <w:rFonts w:eastAsia="Times New Roman"/>
          <w:color w:val="000000"/>
          <w:sz w:val="20"/>
          <w:szCs w:val="20"/>
        </w:rPr>
        <w:t>ndent, in part, on final approval of LUMRYZ by the FDA. As of September 30, 2022, we have $26,375 aggregate principal amount of the February 2023 Notes and $117,375 aggregate principal amount of the October 2023 Notes. We do not currently have sufficient a</w:t>
      </w:r>
      <w:r>
        <w:rPr>
          <w:rFonts w:eastAsia="Times New Roman"/>
          <w:color w:val="000000"/>
          <w:sz w:val="20"/>
          <w:szCs w:val="20"/>
        </w:rPr>
        <w:t>vailable liquidity to repay the outstanding balance of the October 2023 Notes. These conditions and events raise substantial doubt about our ability to continue as a going concern within one year after the date that the unaudited condensed consolidated fin</w:t>
      </w:r>
      <w:r>
        <w:rPr>
          <w:rFonts w:eastAsia="Times New Roman"/>
          <w:color w:val="000000"/>
          <w:sz w:val="20"/>
          <w:szCs w:val="20"/>
        </w:rPr>
        <w:t>ancial statements are issued.</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In response to these conditions and events, we are evaluating various financing strategies to obtain sufficient additional liquidity to meet its operating, debt service and capital requirements for the next twelve months fol</w:t>
      </w:r>
      <w:r>
        <w:rPr>
          <w:rFonts w:eastAsia="Times New Roman"/>
          <w:color w:val="000000"/>
          <w:sz w:val="20"/>
          <w:szCs w:val="20"/>
        </w:rPr>
        <w:t xml:space="preserve">lowing the date of this Quarterly Report. The potential sources of financing that we are evaluating include one or any combination of royalty financing, secured or unsecured debt, convertible debt and equity. In addition, our financing strategy could also </w:t>
      </w:r>
      <w:r>
        <w:rPr>
          <w:rFonts w:eastAsia="Times New Roman"/>
          <w:color w:val="000000"/>
          <w:sz w:val="20"/>
          <w:szCs w:val="20"/>
        </w:rPr>
        <w:t>include refinancing or negotiating new terms for the 2023 Notes. We also currently have authorized and available the use of our ATM Program, described in more detail below, which could provide us up to approximately $135,000 (as of September 30, 2022), net</w:t>
      </w:r>
      <w:r>
        <w:rPr>
          <w:rFonts w:eastAsia="Times New Roman"/>
          <w:color w:val="000000"/>
          <w:sz w:val="20"/>
          <w:szCs w:val="20"/>
        </w:rPr>
        <w:t xml:space="preserve"> of commissions, if fully utilized. While we have the ability to utilize the ATM Program, we intend to pursue the other financing strategies described above. Based on our ability to raise funds through the ATM Program, we have determined that it is probabl</w:t>
      </w:r>
      <w:r>
        <w:rPr>
          <w:rFonts w:eastAsia="Times New Roman"/>
          <w:color w:val="000000"/>
          <w:sz w:val="20"/>
          <w:szCs w:val="20"/>
        </w:rPr>
        <w:t>e that such proceeds would provide sufficient additional capital to meet our operating, debt service and capital requirements for the next twelve months following the date of this Quarterly Report. As a result, we have concluded that that management’s plan</w:t>
      </w:r>
      <w:r>
        <w:rPr>
          <w:rFonts w:eastAsia="Times New Roman"/>
          <w:color w:val="000000"/>
          <w:sz w:val="20"/>
          <w:szCs w:val="20"/>
        </w:rPr>
        <w:t>s are probable of being achieved to alleviate the substantial doubt about our ability to continue as a going concern.</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sources of financing described above that could be available to us and the timing and probability of obtaining sufficient capital de</w:t>
      </w:r>
      <w:r>
        <w:rPr>
          <w:rFonts w:eastAsia="Times New Roman"/>
          <w:color w:val="000000"/>
          <w:sz w:val="20"/>
          <w:szCs w:val="20"/>
        </w:rPr>
        <w:t>pends, in part, on obtaining final FDA approval of LUMRYZ, resolving any legal and regulatory matters that could preclude us from launching LUMRYZ and future capital market conditions. If our current assumptions regarding timing of potential final approval</w:t>
      </w:r>
      <w:r>
        <w:rPr>
          <w:rFonts w:eastAsia="Times New Roman"/>
          <w:color w:val="000000"/>
          <w:sz w:val="20"/>
          <w:szCs w:val="20"/>
        </w:rPr>
        <w:t>, the timing of the launch of LUMRYZ or if there are any other changes or differences in our current assumptions that negatively impact our financing strategy, we may have to further reduce expenditures or significantly delay, scale back or discontinue the</w:t>
      </w:r>
      <w:r>
        <w:rPr>
          <w:rFonts w:eastAsia="Times New Roman"/>
          <w:color w:val="000000"/>
          <w:sz w:val="20"/>
          <w:szCs w:val="20"/>
        </w:rPr>
        <w:t xml:space="preserve"> development or commercialization of LUMRYZ in order to extend our cash resources. </w:t>
      </w:r>
    </w:p>
    <w:p w:rsidR="00000000" w:rsidRDefault="00755199">
      <w:pPr>
        <w:jc w:val="both"/>
        <w:rPr>
          <w:rFonts w:eastAsia="Times New Roman"/>
        </w:rPr>
      </w:pPr>
    </w:p>
    <w:p w:rsidR="00000000" w:rsidRDefault="00755199">
      <w:pPr>
        <w:jc w:val="both"/>
        <w:rPr>
          <w:rFonts w:eastAsia="Times New Roman"/>
        </w:rPr>
      </w:pPr>
      <w:r>
        <w:rPr>
          <w:rFonts w:eastAsia="Times New Roman"/>
          <w:i/>
          <w:iCs/>
          <w:color w:val="000000"/>
          <w:sz w:val="20"/>
          <w:szCs w:val="20"/>
        </w:rPr>
        <w:t>At-the-Market Offering Program</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As of September 30, 2022, we had issued and sold 1,768 ADSs, resulting in net proceeds to us of approximately $10,532, pursuant to the 2020 Prospectus. We may offer and sell up to an additional $39,142 of ADSs under the ATM Program that remain available fo</w:t>
      </w:r>
      <w:r>
        <w:rPr>
          <w:rFonts w:eastAsia="Times New Roman"/>
          <w:color w:val="000000"/>
          <w:sz w:val="20"/>
          <w:szCs w:val="20"/>
        </w:rPr>
        <w:t>r sale pursuant to the 2020 Prospectus and also up to $100,000 of ADSs available for sale under the ATM Program pursuant to the 2022 Prospectus.</w:t>
      </w:r>
    </w:p>
    <w:p w:rsidR="00000000" w:rsidRDefault="00755199">
      <w:pPr>
        <w:jc w:val="both"/>
        <w:rPr>
          <w:rFonts w:eastAsia="Times New Roman"/>
        </w:rPr>
      </w:pPr>
    </w:p>
    <w:p w:rsidR="00000000" w:rsidRDefault="00755199">
      <w:pPr>
        <w:jc w:val="both"/>
        <w:rPr>
          <w:rFonts w:eastAsia="Times New Roman"/>
        </w:rPr>
      </w:pPr>
    </w:p>
    <w:p w:rsidR="00000000" w:rsidRDefault="00755199">
      <w:pPr>
        <w:divId w:val="1748645931"/>
        <w:rPr>
          <w:rFonts w:eastAsia="Times New Roman"/>
        </w:rPr>
      </w:pPr>
      <w:r>
        <w:rPr>
          <w:rFonts w:eastAsia="Times New Roman"/>
          <w:b/>
          <w:bCs/>
          <w:color w:val="000000"/>
          <w:sz w:val="20"/>
          <w:szCs w:val="20"/>
          <w:u w:val="single"/>
        </w:rPr>
        <w:t>Other Matters</w:t>
      </w:r>
      <w:r>
        <w:rPr>
          <w:rFonts w:eastAsia="Times New Roman"/>
          <w:b/>
          <w:bCs/>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 xml:space="preserve">Litigation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We are subject to potential liabilities generally incidental to our business arising out of present and future lawsuits and claims related to product liability, personal injury, contract, commercial, intellectual property, tax, employment, compliance and o</w:t>
      </w:r>
      <w:r>
        <w:rPr>
          <w:rFonts w:eastAsia="Times New Roman"/>
          <w:color w:val="000000"/>
          <w:sz w:val="20"/>
          <w:szCs w:val="20"/>
        </w:rPr>
        <w:t>ther matters that arise in the ordinary course of business. We accrue for potential liabilities when it is probable that future costs (including legal fees and expenses) will be incurred and such costs can be reasonably estimated. At September 30, 2022 and</w:t>
      </w:r>
      <w:r>
        <w:rPr>
          <w:rFonts w:eastAsia="Times New Roman"/>
          <w:color w:val="000000"/>
          <w:sz w:val="20"/>
          <w:szCs w:val="20"/>
        </w:rPr>
        <w:t xml:space="preserve"> December 31, 2021, there were no contingent liabilities with respect to any litigation, arbitration or administrative or other proceeding that are reasonably likely to have a material adverse effect on our consolidated financial position, results of opera</w:t>
      </w:r>
      <w:r>
        <w:rPr>
          <w:rFonts w:eastAsia="Times New Roman"/>
          <w:color w:val="000000"/>
          <w:sz w:val="20"/>
          <w:szCs w:val="20"/>
        </w:rPr>
        <w:t xml:space="preserve">tions, cash flows or liquidity. For information regarding legal proceedings we are involved in, see </w:t>
      </w:r>
      <w:r>
        <w:rPr>
          <w:rFonts w:eastAsia="Times New Roman"/>
          <w:i/>
          <w:iCs/>
          <w:color w:val="000000"/>
          <w:sz w:val="20"/>
          <w:szCs w:val="20"/>
        </w:rPr>
        <w:t xml:space="preserve">Note 10: Commitments and Contingencies - Litigation </w:t>
      </w:r>
      <w:r>
        <w:rPr>
          <w:rFonts w:eastAsia="Times New Roman"/>
          <w:color w:val="000000"/>
          <w:sz w:val="20"/>
          <w:szCs w:val="20"/>
        </w:rPr>
        <w:t>to our unaudited condensed consolidated financial statements included in Part I, Item 1 of this Quarterl</w:t>
      </w:r>
      <w:r>
        <w:rPr>
          <w:rFonts w:eastAsia="Times New Roman"/>
          <w:color w:val="000000"/>
          <w:sz w:val="20"/>
          <w:szCs w:val="20"/>
        </w:rPr>
        <w:t>y Report on Form 10-Q.</w:t>
      </w:r>
    </w:p>
    <w:p w:rsidR="00000000" w:rsidRDefault="00755199">
      <w:pPr>
        <w:jc w:val="both"/>
        <w:rPr>
          <w:rFonts w:eastAsia="Times New Roman"/>
        </w:rPr>
      </w:pPr>
    </w:p>
    <w:p w:rsidR="00000000" w:rsidRDefault="00755199">
      <w:pPr>
        <w:ind w:hanging="360"/>
        <w:divId w:val="1554190499"/>
        <w:rPr>
          <w:rFonts w:eastAsia="Times New Roman"/>
        </w:rPr>
      </w:pPr>
      <w:r>
        <w:rPr>
          <w:rFonts w:eastAsia="Times New Roman"/>
          <w:b/>
          <w:bCs/>
          <w:color w:val="000000"/>
          <w:sz w:val="20"/>
          <w:szCs w:val="20"/>
        </w:rPr>
        <w:t>ITEM 3.    QUANTITATIVE AND QUALITATIVE DISCLOSURES ABOUT MARKET RISK.</w:t>
      </w:r>
      <w:r>
        <w:rPr>
          <w:rFonts w:eastAsia="Times New Roman"/>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u w:val="single"/>
        </w:rPr>
        <w:t>Interest Rate Risk</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We are subject to interest rate risk as a result of our portfolio of marketable securities. The primary objectives of our investment pol</w:t>
      </w:r>
      <w:r>
        <w:rPr>
          <w:rFonts w:eastAsia="Times New Roman"/>
          <w:color w:val="000000"/>
          <w:sz w:val="20"/>
          <w:szCs w:val="20"/>
        </w:rPr>
        <w:t>icy are as follows: safety and preservation of principal and diversification of risk; liquidity of investments sufficient to meet cash flow requirements; and competitive yield. Although our investments are subject to market risk, our investment policy spec</w:t>
      </w:r>
      <w:r>
        <w:rPr>
          <w:rFonts w:eastAsia="Times New Roman"/>
          <w:color w:val="000000"/>
          <w:sz w:val="20"/>
          <w:szCs w:val="20"/>
        </w:rPr>
        <w:t xml:space="preserve">ifies credit quality standards for our investments and limits the amount of credit exposure from any single issue, issuer or certain types of investment. Our investment policy allows us to maintain a portfolio of cash equivalents and marketable </w:t>
      </w:r>
    </w:p>
    <w:p w:rsidR="00000000" w:rsidRDefault="00755199">
      <w:pPr>
        <w:jc w:val="center"/>
        <w:divId w:val="1212964200"/>
        <w:rPr>
          <w:rFonts w:eastAsia="Times New Roman"/>
        </w:rPr>
      </w:pPr>
      <w:r>
        <w:rPr>
          <w:rFonts w:eastAsia="Times New Roman"/>
          <w:color w:val="000000"/>
          <w:sz w:val="20"/>
          <w:szCs w:val="20"/>
        </w:rPr>
        <w:t>- 32 -</w:t>
      </w:r>
    </w:p>
    <w:p w:rsidR="00000000" w:rsidRDefault="00755199">
      <w:pPr>
        <w:rPr>
          <w:rFonts w:eastAsia="Times New Roman"/>
        </w:rPr>
      </w:pPr>
      <w:r>
        <w:rPr>
          <w:rFonts w:eastAsia="Times New Roman"/>
        </w:rPr>
        <w:pict>
          <v:rect id="_x0000_i1057" style="width:0;height:1.5pt" o:hralign="center" o:hrstd="t" o:hr="t" fillcolor="#a0a0a0" stroked="f"/>
        </w:pict>
      </w:r>
    </w:p>
    <w:p w:rsidR="00000000" w:rsidRDefault="00755199">
      <w:pPr>
        <w:divId w:val="583487992"/>
        <w:rPr>
          <w:rFonts w:eastAsia="Times New Roman"/>
        </w:rPr>
      </w:pPr>
    </w:p>
    <w:p w:rsidR="00000000" w:rsidRDefault="00755199">
      <w:pPr>
        <w:jc w:val="both"/>
        <w:rPr>
          <w:rFonts w:eastAsia="Times New Roman"/>
        </w:rPr>
      </w:pPr>
      <w:r>
        <w:rPr>
          <w:rFonts w:eastAsia="Times New Roman"/>
          <w:color w:val="000000"/>
          <w:sz w:val="20"/>
          <w:szCs w:val="20"/>
        </w:rPr>
        <w:t>securities in a variety of instruments, including U.S. federal government and federal agency securities, European Government bonds, corporate bonds or commercial paper issued by U.S. or European corporations, money marke</w:t>
      </w:r>
      <w:r>
        <w:rPr>
          <w:rFonts w:eastAsia="Times New Roman"/>
          <w:color w:val="000000"/>
          <w:sz w:val="20"/>
          <w:szCs w:val="20"/>
        </w:rPr>
        <w:t>t instruments, certain qualifying money market mutual funds, certain repurchase agreements, tax-exempt obligations of states, agencies, and municipalities in the U.S and Europe, and equities.</w:t>
      </w:r>
      <w:r>
        <w:rPr>
          <w:rFonts w:eastAsia="Times New Roman"/>
          <w:b/>
          <w:bCs/>
          <w:color w:val="000000"/>
          <w:sz w:val="20"/>
          <w:szCs w:val="20"/>
        </w:rPr>
        <w:t> </w:t>
      </w:r>
      <w:r>
        <w:rPr>
          <w:rFonts w:eastAsia="Times New Roman"/>
          <w:color w:val="000000"/>
          <w:sz w:val="20"/>
          <w:szCs w:val="20"/>
        </w:rPr>
        <w:t>A hypothetical 50 basis point change in interest rates would not</w:t>
      </w:r>
      <w:r>
        <w:rPr>
          <w:rFonts w:eastAsia="Times New Roman"/>
          <w:color w:val="000000"/>
          <w:sz w:val="20"/>
          <w:szCs w:val="20"/>
        </w:rPr>
        <w:t xml:space="preserve"> result in a material decrease or increase in the fair value of our securities due to the general short-term nature of our investment portfolio.</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u w:val="single"/>
        </w:rPr>
        <w:t>Foreign Exchange Risk</w:t>
      </w:r>
    </w:p>
    <w:p w:rsidR="00000000" w:rsidRDefault="00755199">
      <w:pPr>
        <w:divId w:val="2077891230"/>
        <w:rPr>
          <w:rFonts w:eastAsia="Times New Roman"/>
        </w:rPr>
      </w:pPr>
    </w:p>
    <w:p w:rsidR="00000000" w:rsidRDefault="00755199">
      <w:pPr>
        <w:jc w:val="both"/>
        <w:rPr>
          <w:rFonts w:eastAsia="Times New Roman"/>
        </w:rPr>
      </w:pPr>
      <w:r>
        <w:rPr>
          <w:rFonts w:eastAsia="Times New Roman"/>
          <w:color w:val="000000"/>
          <w:sz w:val="20"/>
          <w:szCs w:val="20"/>
        </w:rPr>
        <w:t>We are exposed to foreign currency exchange risk as the functional currency financial</w:t>
      </w:r>
      <w:r>
        <w:rPr>
          <w:rFonts w:eastAsia="Times New Roman"/>
          <w:color w:val="000000"/>
          <w:sz w:val="20"/>
          <w:szCs w:val="20"/>
        </w:rPr>
        <w:t xml:space="preserve"> statements of a non-U.S. subsidiary is translated to U.S. dollars. The assets and liabilities of this non-U.S. subsidiary having a functional currency other than the U.S. dollar is translated into U.S. dollars at the exchange rate prevailing at the balanc</w:t>
      </w:r>
      <w:r>
        <w:rPr>
          <w:rFonts w:eastAsia="Times New Roman"/>
          <w:color w:val="000000"/>
          <w:sz w:val="20"/>
          <w:szCs w:val="20"/>
        </w:rPr>
        <w:t>e sheet date, and at the average exchange rate for the reporting period for revenue and expense accounts. The cumulative foreign currency translation adjustment is recorded as a component of accumulated other comprehensive loss in shareholders’ (deficit) e</w:t>
      </w:r>
      <w:r>
        <w:rPr>
          <w:rFonts w:eastAsia="Times New Roman"/>
          <w:color w:val="000000"/>
          <w:sz w:val="20"/>
          <w:szCs w:val="20"/>
        </w:rPr>
        <w:t>quity. The reported results of this non-U.S. subsidiary will be influenced by their translation into U.S. dollars by currency movements against the U.S. dollar. Our primary currency translation exposure is related to one subsidiary that has functional curr</w:t>
      </w:r>
      <w:r>
        <w:rPr>
          <w:rFonts w:eastAsia="Times New Roman"/>
          <w:color w:val="000000"/>
          <w:sz w:val="20"/>
          <w:szCs w:val="20"/>
        </w:rPr>
        <w:t>encies denominated in euro. A 10% strengthening/weakening in the rates used to translate the results of our non-U.S. subsidiaries that have functional currencies denominated in euro as of September 30, 2022 would have had an immaterial impact on net loss f</w:t>
      </w:r>
      <w:r>
        <w:rPr>
          <w:rFonts w:eastAsia="Times New Roman"/>
          <w:color w:val="000000"/>
          <w:sz w:val="20"/>
          <w:szCs w:val="20"/>
        </w:rPr>
        <w:t>or the three and nine months ended September 30, 2022.</w:t>
      </w:r>
    </w:p>
    <w:p w:rsidR="00000000" w:rsidRDefault="00755199">
      <w:pPr>
        <w:divId w:val="1079451195"/>
        <w:rPr>
          <w:rFonts w:eastAsia="Times New Roman"/>
        </w:rPr>
      </w:pPr>
    </w:p>
    <w:p w:rsidR="00000000" w:rsidRDefault="00755199">
      <w:pPr>
        <w:jc w:val="both"/>
        <w:rPr>
          <w:rFonts w:eastAsia="Times New Roman"/>
        </w:rPr>
      </w:pPr>
      <w:r>
        <w:rPr>
          <w:rFonts w:eastAsia="Times New Roman"/>
          <w:color w:val="000000"/>
          <w:sz w:val="20"/>
          <w:szCs w:val="20"/>
        </w:rPr>
        <w:t>Transactional exposure arises where transactions occur in currencies other than the functional currency. Transactions in foreign currencies are recorded at the exchange rate prevailing at the date of</w:t>
      </w:r>
      <w:r>
        <w:rPr>
          <w:rFonts w:eastAsia="Times New Roman"/>
          <w:color w:val="000000"/>
          <w:sz w:val="20"/>
          <w:szCs w:val="20"/>
        </w:rPr>
        <w:t xml:space="preserve"> the transaction. The resulting monetary assets and liabilities are translated into the appropriate functional currency at exchange rates prevailing at the balance sheet date and the resulting gains and losses are reported in investment and other income, n</w:t>
      </w:r>
      <w:r>
        <w:rPr>
          <w:rFonts w:eastAsia="Times New Roman"/>
          <w:color w:val="000000"/>
          <w:sz w:val="20"/>
          <w:szCs w:val="20"/>
        </w:rPr>
        <w:t>et in the condensed consolidated statements of loss. As of September 30, 2022, our primary exposure is to transaction risk related to euro net monetary assets and liabilities held by subsidiaries with a U.S. dollar functional currency. Realized and unreali</w:t>
      </w:r>
      <w:r>
        <w:rPr>
          <w:rFonts w:eastAsia="Times New Roman"/>
          <w:color w:val="000000"/>
          <w:sz w:val="20"/>
          <w:szCs w:val="20"/>
        </w:rPr>
        <w:t>zed foreign exchange gains and losses resulting from transactional exposure were immaterial for the three and nine months ended September 30, 2022.</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u w:val="single"/>
        </w:rPr>
        <w:t>Inflation Risk</w:t>
      </w:r>
    </w:p>
    <w:p w:rsidR="00000000" w:rsidRDefault="00755199">
      <w:pPr>
        <w:divId w:val="1144467880"/>
        <w:rPr>
          <w:rFonts w:eastAsia="Times New Roman"/>
        </w:rPr>
      </w:pPr>
    </w:p>
    <w:p w:rsidR="00000000" w:rsidRDefault="00755199">
      <w:pPr>
        <w:jc w:val="both"/>
        <w:rPr>
          <w:rFonts w:eastAsia="Times New Roman"/>
        </w:rPr>
      </w:pPr>
      <w:r>
        <w:rPr>
          <w:rFonts w:eastAsia="Times New Roman"/>
          <w:color w:val="000000"/>
          <w:sz w:val="20"/>
          <w:szCs w:val="20"/>
        </w:rPr>
        <w:t>Inflation generally affects us by increasing our costs of labor and supplies and the cost</w:t>
      </w:r>
      <w:r>
        <w:rPr>
          <w:rFonts w:eastAsia="Times New Roman"/>
          <w:color w:val="000000"/>
          <w:sz w:val="20"/>
          <w:szCs w:val="20"/>
        </w:rPr>
        <w:t>s of our third parties we rely on for the development, manufacture and supply of our product candidates. We do not believe that inflation had a material effect on our business, financial condition or results of operations during the three and nine months e</w:t>
      </w:r>
      <w:r>
        <w:rPr>
          <w:rFonts w:eastAsia="Times New Roman"/>
          <w:color w:val="000000"/>
          <w:sz w:val="20"/>
          <w:szCs w:val="20"/>
        </w:rPr>
        <w:t>nded September 30, 2022. Although we do not believe that inflation has had a material impact on our financial position or results of operations to date, we may experience some effect in the near future (especially if inflation rates continue to rise) due t</w:t>
      </w:r>
      <w:r>
        <w:rPr>
          <w:rFonts w:eastAsia="Times New Roman"/>
          <w:color w:val="000000"/>
          <w:sz w:val="20"/>
          <w:szCs w:val="20"/>
        </w:rPr>
        <w:t xml:space="preserve">o an impact on the costs to conduct clinical trials, the costs to prepare for the potential commercialization of LUMRYZ, labor costs we incur to attract and retain qualified personnel, and other operational costs. Inflationary costs could adversely affect </w:t>
      </w:r>
      <w:r>
        <w:rPr>
          <w:rFonts w:eastAsia="Times New Roman"/>
          <w:color w:val="000000"/>
          <w:sz w:val="20"/>
          <w:szCs w:val="20"/>
        </w:rPr>
        <w:t>our business, financial condition and results of operations.</w:t>
      </w:r>
    </w:p>
    <w:p w:rsidR="00000000" w:rsidRDefault="00755199">
      <w:pPr>
        <w:divId w:val="453258074"/>
        <w:rPr>
          <w:rFonts w:eastAsia="Times New Roman"/>
        </w:rPr>
      </w:pPr>
    </w:p>
    <w:p w:rsidR="00000000" w:rsidRDefault="00755199">
      <w:pPr>
        <w:ind w:hanging="360"/>
        <w:divId w:val="778985362"/>
        <w:rPr>
          <w:rFonts w:eastAsia="Times New Roman"/>
        </w:rPr>
      </w:pPr>
      <w:r>
        <w:rPr>
          <w:rFonts w:eastAsia="Times New Roman"/>
          <w:b/>
          <w:bCs/>
          <w:color w:val="000000"/>
          <w:sz w:val="20"/>
          <w:szCs w:val="20"/>
        </w:rPr>
        <w:t>ITEM 4.    CONTROLS AND PROCEDURES.</w:t>
      </w:r>
      <w:r>
        <w:rPr>
          <w:rFonts w:eastAsia="Times New Roman"/>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u w:val="single"/>
        </w:rPr>
        <w:t>Evaluation of Disclosure Controls and Procedures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Management of the Company, with the participation of its Chief Executive Officer and Chief Financial Officer, evaluated the effectiveness of the Company’s disclosure controls and procedures as of September 30, 2022, the end of the period covered by this Qu</w:t>
      </w:r>
      <w:r>
        <w:rPr>
          <w:rFonts w:eastAsia="Times New Roman"/>
          <w:color w:val="000000"/>
          <w:sz w:val="20"/>
          <w:szCs w:val="20"/>
        </w:rPr>
        <w:t>arterly Report on Form 10-Q. The term “disclosure controls and procedures,” as defined in Rules 13a-15(e) and 15d-15(e) under the Securities Exchange Act of 1934, as amended (“Exchange Act”), means controls and other procedures of a company that are design</w:t>
      </w:r>
      <w:r>
        <w:rPr>
          <w:rFonts w:eastAsia="Times New Roman"/>
          <w:color w:val="000000"/>
          <w:sz w:val="20"/>
          <w:szCs w:val="20"/>
        </w:rPr>
        <w:t xml:space="preserve">ed to provide reasonable assurance that information required to be disclosed by the Company in the reports it files or submits under the Exchange Act is recorded, processed, summarized and reported, within the time periods specified in the SEC’s rules and </w:t>
      </w:r>
      <w:r>
        <w:rPr>
          <w:rFonts w:eastAsia="Times New Roman"/>
          <w:color w:val="000000"/>
          <w:sz w:val="20"/>
          <w:szCs w:val="20"/>
        </w:rPr>
        <w:t>forms. Disclosure controls and procedures are also designed to provide reasonable assurance that such information is accumulated and communicated to the Company’s management, including its Chief Executive Officer and Chief Financial Officer, to allow timel</w:t>
      </w:r>
      <w:r>
        <w:rPr>
          <w:rFonts w:eastAsia="Times New Roman"/>
          <w:color w:val="000000"/>
          <w:sz w:val="20"/>
          <w:szCs w:val="20"/>
        </w:rPr>
        <w:t xml:space="preserve">y decisions regarding required disclosure. Based on their evaluation, as of the end of the period covered by this Quarterly Report on Form 10-Q, the Company’s Chief Executive Officer and Chief Financial Officer have concluded that the Company’s disclosure </w:t>
      </w:r>
      <w:r>
        <w:rPr>
          <w:rFonts w:eastAsia="Times New Roman"/>
          <w:color w:val="000000"/>
          <w:sz w:val="20"/>
          <w:szCs w:val="20"/>
        </w:rPr>
        <w:t>controls and procedures (as defined in Rules 13a-15(e) and 15d-15(e) under the Securities Exchange Act of 1934, as amended) were effective as of September 30, 2022.</w:t>
      </w:r>
    </w:p>
    <w:p w:rsidR="00000000" w:rsidRDefault="00755199">
      <w:pPr>
        <w:jc w:val="both"/>
        <w:rPr>
          <w:rFonts w:eastAsia="Times New Roman"/>
        </w:rPr>
      </w:pPr>
      <w:r>
        <w:rPr>
          <w:rFonts w:eastAsia="Times New Roman"/>
          <w:color w:val="000000"/>
          <w:sz w:val="20"/>
          <w:szCs w:val="20"/>
        </w:rPr>
        <w:t> </w:t>
      </w:r>
    </w:p>
    <w:p w:rsidR="00000000" w:rsidRDefault="00755199">
      <w:pPr>
        <w:jc w:val="both"/>
        <w:rPr>
          <w:rFonts w:eastAsia="Times New Roman"/>
        </w:rPr>
      </w:pPr>
      <w:r>
        <w:rPr>
          <w:rFonts w:eastAsia="Times New Roman"/>
          <w:b/>
          <w:bCs/>
          <w:color w:val="000000"/>
          <w:sz w:val="20"/>
          <w:szCs w:val="20"/>
        </w:rPr>
        <w:t>Material Weakness</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u w:val="single"/>
        </w:rPr>
        <w:t>Remediation of Previously Reported Material Weakness</w:t>
      </w:r>
    </w:p>
    <w:p w:rsidR="00000000" w:rsidRDefault="00755199">
      <w:pPr>
        <w:jc w:val="center"/>
        <w:divId w:val="2081905005"/>
        <w:rPr>
          <w:rFonts w:eastAsia="Times New Roman"/>
        </w:rPr>
      </w:pPr>
      <w:r>
        <w:rPr>
          <w:rFonts w:eastAsia="Times New Roman"/>
          <w:color w:val="000000"/>
          <w:sz w:val="20"/>
          <w:szCs w:val="20"/>
        </w:rPr>
        <w:t>- 33 -</w:t>
      </w:r>
    </w:p>
    <w:p w:rsidR="00000000" w:rsidRDefault="00755199">
      <w:pPr>
        <w:rPr>
          <w:rFonts w:eastAsia="Times New Roman"/>
        </w:rPr>
      </w:pPr>
      <w:r>
        <w:rPr>
          <w:rFonts w:eastAsia="Times New Roman"/>
        </w:rPr>
        <w:pict>
          <v:rect id="_x0000_i1058" style="width:0;height:1.5pt" o:hralign="center" o:hrstd="t" o:hr="t" fillcolor="#a0a0a0" stroked="f"/>
        </w:pict>
      </w:r>
    </w:p>
    <w:p w:rsidR="00000000" w:rsidRDefault="00755199">
      <w:pPr>
        <w:divId w:val="355039017"/>
        <w:rPr>
          <w:rFonts w:eastAsia="Times New Roman"/>
        </w:rPr>
      </w:pPr>
    </w:p>
    <w:p w:rsidR="00000000" w:rsidRDefault="00755199">
      <w:pPr>
        <w:divId w:val="1387989562"/>
        <w:rPr>
          <w:rFonts w:eastAsia="Times New Roman"/>
        </w:rPr>
      </w:pPr>
    </w:p>
    <w:p w:rsidR="00000000" w:rsidRDefault="00755199">
      <w:pPr>
        <w:jc w:val="both"/>
        <w:rPr>
          <w:rFonts w:eastAsia="Times New Roman"/>
        </w:rPr>
      </w:pPr>
      <w:r>
        <w:rPr>
          <w:rFonts w:eastAsia="Times New Roman"/>
          <w:color w:val="000000"/>
          <w:sz w:val="20"/>
          <w:szCs w:val="20"/>
        </w:rPr>
        <w:t>As previously described in the Company’s Annual Report on Form 10-K for the year ended December 31, 2021, management had identified a material weakness in the Company’s internal controls over financial reporting specifically</w:t>
      </w:r>
      <w:r>
        <w:rPr>
          <w:rFonts w:eastAsia="Times New Roman"/>
          <w:color w:val="000000"/>
          <w:sz w:val="20"/>
          <w:szCs w:val="20"/>
        </w:rPr>
        <w:t xml:space="preserve"> related to its February 2023 Notes indenture. The Company is committed to maintaining a strong internal control environment and implemented measures in the first quarter of 2022 to remediate the control deficiency contributing to the material weakness. Sp</w:t>
      </w:r>
      <w:r>
        <w:rPr>
          <w:rFonts w:eastAsia="Times New Roman"/>
          <w:color w:val="000000"/>
          <w:sz w:val="20"/>
          <w:szCs w:val="20"/>
        </w:rPr>
        <w:t>ecifically, management implemented a remediation plan that included:</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•Adoption of additional control procedures surrounding timely and periodic evaluation of all terms of the Company’s debt agreements and the associated calculation of interest expense in</w:t>
      </w:r>
      <w:r>
        <w:rPr>
          <w:rFonts w:eastAsia="Times New Roman"/>
          <w:color w:val="000000"/>
          <w:sz w:val="20"/>
          <w:szCs w:val="20"/>
        </w:rPr>
        <w:t xml:space="preserve"> accordance with the terms of any such debt agreement. </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•A review of all Company contractual and debt agreements for potential terms or tentative conditions that could impact the calculation of interest expense similar to those terms underlying the contr</w:t>
      </w:r>
      <w:r>
        <w:rPr>
          <w:rFonts w:eastAsia="Times New Roman"/>
          <w:color w:val="000000"/>
          <w:sz w:val="20"/>
          <w:szCs w:val="20"/>
        </w:rPr>
        <w:t>ol deficiency alongside the Exchange Transaction on April 5, 2022, noting none.</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Management believes these additional internal controls and procedures will ensure the completeness and accuracy of the calculation and timely payment of interest expense, cla</w:t>
      </w:r>
      <w:r>
        <w:rPr>
          <w:rFonts w:eastAsia="Times New Roman"/>
          <w:color w:val="000000"/>
          <w:sz w:val="20"/>
          <w:szCs w:val="20"/>
        </w:rPr>
        <w:t xml:space="preserve">ssification of debt and compliance with terms of the Company’s debt agreements.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Management evaluated the design and operational effectiveness of the remediation activities and concluded that there is sufficient evidence that the previously reported mate</w:t>
      </w:r>
      <w:r>
        <w:rPr>
          <w:rFonts w:eastAsia="Times New Roman"/>
          <w:color w:val="000000"/>
          <w:sz w:val="20"/>
          <w:szCs w:val="20"/>
        </w:rPr>
        <w:t>rial weakness pertaining to the February 2023 Notes indenture had been remediated as of June 30, 2022.</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Other Changes in Internal Controls</w:t>
      </w:r>
    </w:p>
    <w:p w:rsidR="00000000" w:rsidRDefault="00755199">
      <w:pPr>
        <w:divId w:val="1701280151"/>
        <w:rPr>
          <w:rFonts w:eastAsia="Times New Roman"/>
        </w:rPr>
      </w:pPr>
    </w:p>
    <w:p w:rsidR="00000000" w:rsidRDefault="00755199">
      <w:pPr>
        <w:jc w:val="both"/>
        <w:rPr>
          <w:rFonts w:eastAsia="Times New Roman"/>
        </w:rPr>
      </w:pPr>
      <w:r>
        <w:rPr>
          <w:rFonts w:eastAsia="Times New Roman"/>
          <w:color w:val="000000"/>
          <w:sz w:val="20"/>
          <w:szCs w:val="20"/>
        </w:rPr>
        <w:t>There were no changes in our internal control over financial reporting identified in connection with the evaluation required by paragraph (d) of Exchange Act Rule 13a-15 or 15d-15 that occurred during the three months ended September 30, 2022 that have mat</w:t>
      </w:r>
      <w:r>
        <w:rPr>
          <w:rFonts w:eastAsia="Times New Roman"/>
          <w:color w:val="000000"/>
          <w:sz w:val="20"/>
          <w:szCs w:val="20"/>
        </w:rPr>
        <w:t xml:space="preserve">erially affected, or are reasonably likely to materially affect, our internal controls over financial reporting. </w:t>
      </w:r>
    </w:p>
    <w:p w:rsidR="00000000" w:rsidRDefault="00755199">
      <w:pPr>
        <w:jc w:val="both"/>
        <w:rPr>
          <w:rFonts w:eastAsia="Times New Roman"/>
        </w:rPr>
      </w:pPr>
    </w:p>
    <w:p w:rsidR="00000000" w:rsidRDefault="00755199">
      <w:pPr>
        <w:jc w:val="both"/>
        <w:rPr>
          <w:rFonts w:eastAsia="Times New Roman"/>
        </w:rPr>
      </w:pPr>
    </w:p>
    <w:p w:rsidR="00000000" w:rsidRDefault="00755199">
      <w:pPr>
        <w:jc w:val="center"/>
        <w:divId w:val="1135489275"/>
        <w:rPr>
          <w:rFonts w:eastAsia="Times New Roman"/>
        </w:rPr>
      </w:pPr>
      <w:r>
        <w:rPr>
          <w:rFonts w:eastAsia="Times New Roman"/>
          <w:b/>
          <w:bCs/>
          <w:color w:val="000000"/>
          <w:sz w:val="20"/>
          <w:szCs w:val="20"/>
        </w:rPr>
        <w:t>PART II – OTHER INFORMATION</w:t>
      </w:r>
      <w:r>
        <w:rPr>
          <w:rFonts w:eastAsia="Times New Roman"/>
          <w:color w:val="000000"/>
          <w:sz w:val="20"/>
          <w:szCs w:val="20"/>
        </w:rPr>
        <w:t> </w:t>
      </w:r>
    </w:p>
    <w:p w:rsidR="00000000" w:rsidRDefault="00755199">
      <w:pPr>
        <w:ind w:hanging="360"/>
        <w:divId w:val="361441308"/>
        <w:rPr>
          <w:rFonts w:eastAsia="Times New Roman"/>
        </w:rPr>
      </w:pPr>
      <w:r>
        <w:rPr>
          <w:rFonts w:eastAsia="Times New Roman"/>
          <w:b/>
          <w:bCs/>
          <w:color w:val="000000"/>
          <w:sz w:val="20"/>
          <w:szCs w:val="20"/>
        </w:rPr>
        <w:t>ITEM 1.    LEGAL PROCEEDINGS.</w:t>
      </w:r>
      <w:r>
        <w:rPr>
          <w:rFonts w:eastAsia="Times New Roman"/>
          <w:color w:val="000000"/>
          <w:sz w:val="20"/>
          <w:szCs w:val="20"/>
        </w:rPr>
        <w:t> </w:t>
      </w:r>
    </w:p>
    <w:p w:rsidR="00000000" w:rsidRDefault="00755199">
      <w:pPr>
        <w:ind w:hanging="360"/>
        <w:divId w:val="1150058488"/>
        <w:rPr>
          <w:rFonts w:eastAsia="Times New Roman"/>
        </w:rPr>
      </w:pPr>
    </w:p>
    <w:p w:rsidR="00000000" w:rsidRDefault="00755199">
      <w:pPr>
        <w:jc w:val="both"/>
        <w:rPr>
          <w:rFonts w:eastAsia="Times New Roman"/>
        </w:rPr>
      </w:pPr>
      <w:r>
        <w:rPr>
          <w:rFonts w:eastAsia="Times New Roman"/>
          <w:color w:val="000000"/>
          <w:sz w:val="20"/>
          <w:szCs w:val="20"/>
        </w:rPr>
        <w:t xml:space="preserve">The information contained in </w:t>
      </w:r>
      <w:r>
        <w:rPr>
          <w:rFonts w:eastAsia="Times New Roman"/>
          <w:i/>
          <w:iCs/>
          <w:color w:val="000000"/>
          <w:sz w:val="20"/>
          <w:szCs w:val="20"/>
        </w:rPr>
        <w:t xml:space="preserve">Note 10: Commitments and Contingencies - Litigation </w:t>
      </w:r>
      <w:r>
        <w:rPr>
          <w:rFonts w:eastAsia="Times New Roman"/>
          <w:color w:val="000000"/>
          <w:sz w:val="20"/>
          <w:szCs w:val="20"/>
        </w:rPr>
        <w:t>to the Company’s unaudited condensed consolidated financial statements included in Part I, Item 1 of this Quarterly Report on Form 10-Q is incorporated by reference herein.</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ITEM 1A.    RISK FACTORS.</w:t>
      </w:r>
      <w:r>
        <w:rPr>
          <w:rFonts w:eastAsia="Times New Roman"/>
          <w:color w:val="000000"/>
          <w:sz w:val="20"/>
          <w:szCs w:val="20"/>
        </w:rPr>
        <w:t> </w:t>
      </w:r>
    </w:p>
    <w:p w:rsidR="00000000" w:rsidRDefault="00755199">
      <w:pPr>
        <w:divId w:val="1959406232"/>
        <w:rPr>
          <w:rFonts w:eastAsia="Times New Roman"/>
        </w:rPr>
      </w:pPr>
    </w:p>
    <w:p w:rsidR="00000000" w:rsidRDefault="00755199">
      <w:pPr>
        <w:divId w:val="270478823"/>
        <w:rPr>
          <w:rFonts w:eastAsia="Times New Roman"/>
        </w:rPr>
      </w:pPr>
      <w:r>
        <w:rPr>
          <w:rFonts w:eastAsia="Times New Roman"/>
          <w:color w:val="000000"/>
          <w:sz w:val="20"/>
          <w:szCs w:val="20"/>
        </w:rPr>
        <w:t>Except as set forth below, there have been no material changes in our risk factors from those disclosed in our Annual Report on Form 10-K for the year ended December 31, 2021 filed with the SEC on March 16, 2022.</w:t>
      </w:r>
    </w:p>
    <w:p w:rsidR="00000000" w:rsidRDefault="00755199">
      <w:pPr>
        <w:divId w:val="279191681"/>
        <w:rPr>
          <w:rFonts w:eastAsia="Times New Roman"/>
        </w:rPr>
      </w:pPr>
    </w:p>
    <w:p w:rsidR="00000000" w:rsidRDefault="00755199">
      <w:pPr>
        <w:jc w:val="both"/>
        <w:rPr>
          <w:rFonts w:eastAsia="Times New Roman"/>
        </w:rPr>
      </w:pPr>
      <w:r>
        <w:rPr>
          <w:rFonts w:eastAsia="Times New Roman"/>
          <w:b/>
          <w:bCs/>
          <w:color w:val="000000"/>
          <w:sz w:val="20"/>
          <w:szCs w:val="20"/>
        </w:rPr>
        <w:t>Risks Related to Our Lead Product Candida</w:t>
      </w:r>
      <w:r>
        <w:rPr>
          <w:rFonts w:eastAsia="Times New Roman"/>
          <w:b/>
          <w:bCs/>
          <w:color w:val="000000"/>
          <w:sz w:val="20"/>
          <w:szCs w:val="20"/>
        </w:rPr>
        <w:t>te, Future Product Candidates Clinical Development and Commercialization</w:t>
      </w:r>
    </w:p>
    <w:p w:rsidR="00000000" w:rsidRDefault="00755199">
      <w:pPr>
        <w:divId w:val="59256532"/>
        <w:rPr>
          <w:rFonts w:eastAsia="Times New Roman"/>
        </w:rPr>
      </w:pPr>
    </w:p>
    <w:p w:rsidR="00000000" w:rsidRDefault="00755199">
      <w:pPr>
        <w:jc w:val="both"/>
        <w:rPr>
          <w:rFonts w:eastAsia="Times New Roman"/>
        </w:rPr>
      </w:pPr>
      <w:r>
        <w:rPr>
          <w:rFonts w:eastAsia="Times New Roman"/>
          <w:b/>
          <w:bCs/>
          <w:i/>
          <w:iCs/>
          <w:color w:val="000000"/>
          <w:sz w:val="20"/>
          <w:szCs w:val="20"/>
        </w:rPr>
        <w:t>We cannot be certain that our lead product candidate or future product candidates will receive marketing approval. Without marketing approval, we will not be able to commercialize o</w:t>
      </w:r>
      <w:r>
        <w:rPr>
          <w:rFonts w:eastAsia="Times New Roman"/>
          <w:b/>
          <w:bCs/>
          <w:i/>
          <w:iCs/>
          <w:color w:val="000000"/>
          <w:sz w:val="20"/>
          <w:szCs w:val="20"/>
        </w:rPr>
        <w:t>ur lead product candidate or future product candidates.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We have devoted significant financial resources and business efforts to the development of our lead product candidate. We cannot be certain that our lead product candidate or future product candidat</w:t>
      </w:r>
      <w:r>
        <w:rPr>
          <w:rFonts w:eastAsia="Times New Roman"/>
          <w:color w:val="000000"/>
          <w:sz w:val="20"/>
          <w:szCs w:val="20"/>
        </w:rPr>
        <w:t>es will receive marketing approval.</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development of a product candidate and issues relating to its approval and marketing are subject to extensive regulation by the FDA in the U.S. and by comparable regulatory authorities in other countries. We are no</w:t>
      </w:r>
      <w:r>
        <w:rPr>
          <w:rFonts w:eastAsia="Times New Roman"/>
          <w:color w:val="000000"/>
          <w:sz w:val="20"/>
          <w:szCs w:val="20"/>
        </w:rPr>
        <w:t>t permitted to market our lead product candidate or future product candidates in the U.S. until we receive approval of an NDA by the FDA. The time required to obtain approval by the FDA and comparable foreign authorities is unpredictable but typically take</w:t>
      </w:r>
      <w:r>
        <w:rPr>
          <w:rFonts w:eastAsia="Times New Roman"/>
          <w:color w:val="000000"/>
          <w:sz w:val="20"/>
          <w:szCs w:val="20"/>
        </w:rPr>
        <w:t xml:space="preserve">s many years following the commencement of clinical trials and depends upon numerous factors, including the substantial discretion of regulatory authorities. In addition, approval policies, regulations, or the type and amount of clinical data necessary to </w:t>
      </w:r>
      <w:r>
        <w:rPr>
          <w:rFonts w:eastAsia="Times New Roman"/>
          <w:color w:val="000000"/>
          <w:sz w:val="20"/>
          <w:szCs w:val="20"/>
        </w:rPr>
        <w:t>gain approval may change during the course of a product candidate’s clinical development and may vary among jurisdictions.</w:t>
      </w:r>
    </w:p>
    <w:p w:rsidR="00000000" w:rsidRDefault="00755199">
      <w:pPr>
        <w:jc w:val="center"/>
        <w:divId w:val="554589938"/>
        <w:rPr>
          <w:rFonts w:eastAsia="Times New Roman"/>
        </w:rPr>
      </w:pPr>
      <w:r>
        <w:rPr>
          <w:rFonts w:eastAsia="Times New Roman"/>
          <w:color w:val="000000"/>
          <w:sz w:val="20"/>
          <w:szCs w:val="20"/>
        </w:rPr>
        <w:t>- 34 -</w:t>
      </w:r>
    </w:p>
    <w:p w:rsidR="00000000" w:rsidRDefault="00755199">
      <w:pPr>
        <w:rPr>
          <w:rFonts w:eastAsia="Times New Roman"/>
        </w:rPr>
      </w:pPr>
      <w:r>
        <w:rPr>
          <w:rFonts w:eastAsia="Times New Roman"/>
        </w:rPr>
        <w:pict>
          <v:rect id="_x0000_i1059" style="width:0;height:1.5pt" o:hralign="center" o:hrstd="t" o:hr="t" fillcolor="#a0a0a0" stroked="f"/>
        </w:pict>
      </w:r>
    </w:p>
    <w:p w:rsidR="00000000" w:rsidRDefault="00755199">
      <w:pPr>
        <w:divId w:val="1810898133"/>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An NDA must include extensive preclinical and clinical data and supporting information</w:t>
      </w:r>
      <w:r>
        <w:rPr>
          <w:rFonts w:eastAsia="Times New Roman"/>
          <w:color w:val="000000"/>
          <w:sz w:val="20"/>
          <w:szCs w:val="20"/>
        </w:rPr>
        <w:t xml:space="preserve"> to establish the product candidate’s safety and effectiveness for each desired indication. An NDA must also include significant information regarding the chemistry, manufacturing and controls for the product. Obtaining approval of an NDA is a lengthy, exp</w:t>
      </w:r>
      <w:r>
        <w:rPr>
          <w:rFonts w:eastAsia="Times New Roman"/>
          <w:color w:val="000000"/>
          <w:sz w:val="20"/>
          <w:szCs w:val="20"/>
        </w:rPr>
        <w:t>ensive and uncertain process, and we may not be successful in obtaining approval. For example, we submitted an NDA to the FDA for LUMRYZ, also known as FT218, for the treatment of cataplexy or EDS in adults with narcolepsy to the FDA in December 2020 throu</w:t>
      </w:r>
      <w:r>
        <w:rPr>
          <w:rFonts w:eastAsia="Times New Roman"/>
          <w:color w:val="000000"/>
          <w:sz w:val="20"/>
          <w:szCs w:val="20"/>
        </w:rPr>
        <w:t>gh the Section 505(b)(2) regulatory pathway. In February 2021, the FDA assigned LUMRYZ a PDUFA target action date of October 15, 2021. In October 2021, the FDA notified us that its review was still ongoing and action would not be taken by the PDUFA date.</w:t>
      </w:r>
      <w:r>
        <w:rPr>
          <w:rFonts w:eastAsia="Times New Roman"/>
          <w:color w:val="000000"/>
        </w:rPr>
        <w:t xml:space="preserve"> </w:t>
      </w:r>
      <w:r>
        <w:rPr>
          <w:rFonts w:eastAsia="Times New Roman"/>
          <w:color w:val="000000"/>
          <w:sz w:val="20"/>
          <w:szCs w:val="20"/>
        </w:rPr>
        <w:t>O</w:t>
      </w:r>
      <w:r>
        <w:rPr>
          <w:rFonts w:eastAsia="Times New Roman"/>
          <w:color w:val="000000"/>
          <w:sz w:val="20"/>
          <w:szCs w:val="20"/>
        </w:rPr>
        <w:t>n May 24, 2022, we were notified by the FDA that the LUMRYZ NDA patent statement pertaining to the REMS Patent was deemed inappropriate. As such, the FDA requested the Company add a certification to the REMS Patent to its NDA. On June 29, 2022, we announce</w:t>
      </w:r>
      <w:r>
        <w:rPr>
          <w:rFonts w:eastAsia="Times New Roman"/>
          <w:color w:val="000000"/>
          <w:sz w:val="20"/>
          <w:szCs w:val="20"/>
        </w:rPr>
        <w:t>d that we had submitted a Paragraph IV patent certification pertaining to the REMS Patent to LUMRYZ’s NDA. On July 15, 2022, Jazz filed a patent infringement suit in the U.S. District of Delaware asserting that LUMRYZ will infringe at least one claim of th</w:t>
      </w:r>
      <w:r>
        <w:rPr>
          <w:rFonts w:eastAsia="Times New Roman"/>
          <w:color w:val="000000"/>
          <w:sz w:val="20"/>
          <w:szCs w:val="20"/>
        </w:rPr>
        <w:t>at patent. The filing of that lawsuit triggers a regulatory stay on FDA approval of LUMRYZ. On July 18, 2022, we received tentative approval from the FDA for LUMRYZ for the treatment of cataplexy or EDS in adults suffering from narcolepsy. As such, we anti</w:t>
      </w:r>
      <w:r>
        <w:rPr>
          <w:rFonts w:eastAsia="Times New Roman"/>
          <w:color w:val="000000"/>
          <w:sz w:val="20"/>
          <w:szCs w:val="20"/>
        </w:rPr>
        <w:t>cipate a decision regarding the final approval of LUMRYZ from the FDA on or about the expiration of the REMS Patent on June 17, 2023 or sooner if the patent is earlier removed from the FDA’s Orange Book or a court earlier determines the patent is not infri</w:t>
      </w:r>
      <w:r>
        <w:rPr>
          <w:rFonts w:eastAsia="Times New Roman"/>
          <w:color w:val="000000"/>
          <w:sz w:val="20"/>
          <w:szCs w:val="20"/>
        </w:rPr>
        <w:t>nged, invalid or otherwise unenforceable. Our receipt of tentative approval does not mean we will receive final FDA approval for the LUMRYZ NDA in a timely manner or at all. In addition, a drug product that is granted tentative approval, like LUMRYZ, may b</w:t>
      </w:r>
      <w:r>
        <w:rPr>
          <w:rFonts w:eastAsia="Times New Roman"/>
          <w:color w:val="000000"/>
          <w:sz w:val="20"/>
          <w:szCs w:val="20"/>
        </w:rPr>
        <w:t>e subject to additional review before final approval. The FDA’s tentative approval of LUMRYZ was based on information available to the FDA at the time of the tentative approval letter (i.e., information in the application and the status of current good man</w:t>
      </w:r>
      <w:r>
        <w:rPr>
          <w:rFonts w:eastAsia="Times New Roman"/>
          <w:color w:val="000000"/>
          <w:sz w:val="20"/>
          <w:szCs w:val="20"/>
        </w:rPr>
        <w:t xml:space="preserve">ufacturing practices of the facilities used in the manufacturing and testing of the drug product) and is therefore subject to change on the basis of new information that may come to the FDA’s attention. We cannot legally market LUMRYZ in the U.S. until we </w:t>
      </w:r>
      <w:r>
        <w:rPr>
          <w:rFonts w:eastAsia="Times New Roman"/>
          <w:color w:val="000000"/>
          <w:sz w:val="20"/>
          <w:szCs w:val="20"/>
        </w:rPr>
        <w:t>obtain final approval from the FDA. Any delay or setback in obtaining final approval or the commercialization of our lead product candidate will adversely affect our business.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FDA has substantial discretion in the drug approval process, including the</w:t>
      </w:r>
      <w:r>
        <w:rPr>
          <w:rFonts w:eastAsia="Times New Roman"/>
          <w:color w:val="000000"/>
          <w:sz w:val="20"/>
          <w:szCs w:val="20"/>
        </w:rPr>
        <w:t xml:space="preserve"> ability to delay, limit or deny approval of a product candidate for many reasons. For example, the FDA:</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    could determine that we cannot rely on the Section 505(b)(2) regulatory pathway or other pathways we have selected, as applicable, for our produ</w:t>
      </w:r>
      <w:r>
        <w:rPr>
          <w:rFonts w:eastAsia="Times New Roman"/>
          <w:color w:val="000000"/>
          <w:sz w:val="20"/>
          <w:szCs w:val="20"/>
        </w:rPr>
        <w:t>ct candidate;</w:t>
      </w:r>
    </w:p>
    <w:p w:rsidR="00000000" w:rsidRDefault="00755199">
      <w:pPr>
        <w:jc w:val="both"/>
        <w:rPr>
          <w:rFonts w:eastAsia="Times New Roman"/>
        </w:rPr>
      </w:pPr>
    </w:p>
    <w:p w:rsidR="00000000" w:rsidRDefault="00755199">
      <w:pPr>
        <w:ind w:hanging="360"/>
        <w:jc w:val="both"/>
        <w:rPr>
          <w:rFonts w:eastAsia="Times New Roman"/>
        </w:rPr>
      </w:pPr>
      <w:r>
        <w:rPr>
          <w:rFonts w:eastAsia="Times New Roman"/>
          <w:color w:val="000000"/>
          <w:sz w:val="20"/>
          <w:szCs w:val="20"/>
        </w:rPr>
        <w:t>•    could determine that the information provided by us was inadequate, contained clinical deficiencies or otherwise failed to demonstrate the safety and effectiveness of our product candidate for any indication;</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w:t>
      </w:r>
      <w:r>
        <w:rPr>
          <w:rFonts w:eastAsia="Times New Roman"/>
          <w:color w:val="000000"/>
          <w:sz w:val="20"/>
          <w:szCs w:val="20"/>
        </w:rPr>
        <w:t>may not find the data from bioequivalence studies and/or clinical trials sufficient to support the submission of an NDA or to obtain marketing approval in the U.S., including any findings that the clinical and other benefits of our product candidate outwei</w:t>
      </w:r>
      <w:r>
        <w:rPr>
          <w:rFonts w:eastAsia="Times New Roman"/>
          <w:color w:val="000000"/>
          <w:sz w:val="20"/>
          <w:szCs w:val="20"/>
        </w:rPr>
        <w:t>gh their safety risks;</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xml:space="preserve">•    may disagree with our trial design or our interpretation of data from preclinical studies, bioequivalence studies and/or clinical trials, or may change the requirements for approval even after it has reviewed and commented on </w:t>
      </w:r>
      <w:r>
        <w:rPr>
          <w:rFonts w:eastAsia="Times New Roman"/>
          <w:color w:val="000000"/>
          <w:sz w:val="20"/>
          <w:szCs w:val="20"/>
        </w:rPr>
        <w:t>the design for our trials;</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may determine that we have identified the wrong listed drug or drugs or that approval of our Section 505(b)(2) application for our product candidate is blocked by patent or non-patent exclusivity of the listed drug or drug</w:t>
      </w:r>
      <w:r>
        <w:rPr>
          <w:rFonts w:eastAsia="Times New Roman"/>
          <w:color w:val="000000"/>
          <w:sz w:val="20"/>
          <w:szCs w:val="20"/>
        </w:rPr>
        <w:t>s or of other previously approved drugs with the same conditions of approval as our product candidate, as applicable;</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may identify deficiencies in the manufacturing processes or facilities of third-party manufacturers with which we enter into agreem</w:t>
      </w:r>
      <w:r>
        <w:rPr>
          <w:rFonts w:eastAsia="Times New Roman"/>
          <w:color w:val="000000"/>
          <w:sz w:val="20"/>
          <w:szCs w:val="20"/>
        </w:rPr>
        <w:t>ents for the manufacturing of our product candidate;</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may audit some or all of our clinical research study sites to determine the integrity of our data and may reject any or all of such data;</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may approve our lead product candidate for fewer or</w:t>
      </w:r>
      <w:r>
        <w:rPr>
          <w:rFonts w:eastAsia="Times New Roman"/>
          <w:color w:val="000000"/>
          <w:sz w:val="20"/>
          <w:szCs w:val="20"/>
        </w:rPr>
        <w:t xml:space="preserve"> more limited indications than we request, or may grant approval contingent on the performance of costly post-approval clinical trials;</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may change its approval policies or adopt new regulations; or</w:t>
      </w:r>
    </w:p>
    <w:p w:rsidR="00000000" w:rsidRDefault="00755199">
      <w:pPr>
        <w:ind w:hanging="360"/>
        <w:jc w:val="both"/>
        <w:rPr>
          <w:rFonts w:eastAsia="Times New Roman"/>
        </w:rPr>
      </w:pPr>
    </w:p>
    <w:p w:rsidR="00000000" w:rsidRDefault="00755199">
      <w:pPr>
        <w:ind w:hanging="360"/>
        <w:jc w:val="both"/>
        <w:rPr>
          <w:rFonts w:eastAsia="Times New Roman"/>
        </w:rPr>
      </w:pPr>
      <w:r>
        <w:rPr>
          <w:rFonts w:eastAsia="Times New Roman"/>
          <w:color w:val="000000"/>
          <w:sz w:val="20"/>
          <w:szCs w:val="20"/>
        </w:rPr>
        <w:t xml:space="preserve">•    may not approve the labeling claims that we </w:t>
      </w:r>
      <w:r>
        <w:rPr>
          <w:rFonts w:eastAsia="Times New Roman"/>
          <w:color w:val="000000"/>
          <w:sz w:val="20"/>
          <w:szCs w:val="20"/>
        </w:rPr>
        <w:t xml:space="preserve">believe are necessary or desirable for the successful commercialization of our lead product candidate. </w:t>
      </w:r>
    </w:p>
    <w:p w:rsidR="00000000" w:rsidRDefault="00755199">
      <w:pPr>
        <w:jc w:val="center"/>
        <w:divId w:val="479154364"/>
        <w:rPr>
          <w:rFonts w:eastAsia="Times New Roman"/>
        </w:rPr>
      </w:pPr>
      <w:r>
        <w:rPr>
          <w:rFonts w:eastAsia="Times New Roman"/>
          <w:color w:val="000000"/>
          <w:sz w:val="20"/>
          <w:szCs w:val="20"/>
        </w:rPr>
        <w:t>- 35 -</w:t>
      </w:r>
    </w:p>
    <w:p w:rsidR="00000000" w:rsidRDefault="00755199">
      <w:pPr>
        <w:rPr>
          <w:rFonts w:eastAsia="Times New Roman"/>
        </w:rPr>
      </w:pPr>
      <w:r>
        <w:rPr>
          <w:rFonts w:eastAsia="Times New Roman"/>
        </w:rPr>
        <w:pict>
          <v:rect id="_x0000_i1060" style="width:0;height:1.5pt" o:hralign="center" o:hrstd="t" o:hr="t" fillcolor="#a0a0a0" stroked="f"/>
        </w:pict>
      </w:r>
    </w:p>
    <w:p w:rsidR="00000000" w:rsidRDefault="00755199">
      <w:pPr>
        <w:divId w:val="1726484233"/>
        <w:rPr>
          <w:rFonts w:eastAsia="Times New Roman"/>
        </w:rPr>
      </w:pP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Even if a product is approved, the FDA may limit the indications for which the product may be marketed, </w:t>
      </w:r>
      <w:r>
        <w:rPr>
          <w:rFonts w:eastAsia="Times New Roman"/>
          <w:color w:val="000000"/>
          <w:sz w:val="20"/>
          <w:szCs w:val="20"/>
        </w:rPr>
        <w:t>require extensive warnings on the product labeling and/or require expensive and time-consuming clinical trials and/or reporting as conditions of approval. Regulators of other countries and jurisdictions have their own procedures for the approval of product</w:t>
      </w:r>
      <w:r>
        <w:rPr>
          <w:rFonts w:eastAsia="Times New Roman"/>
          <w:color w:val="000000"/>
          <w:sz w:val="20"/>
          <w:szCs w:val="20"/>
        </w:rPr>
        <w:t xml:space="preserve"> candidates with which we must comply prior to marketing in those countries or jurisdictions.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We have submitted an NDA for LUMRYZ in the U.S. and will evaluate filing potentially elsewhere. We have determined, following FDA consultation, that the 505(b)(</w:t>
      </w:r>
      <w:r>
        <w:rPr>
          <w:rFonts w:eastAsia="Times New Roman"/>
          <w:color w:val="000000"/>
          <w:sz w:val="20"/>
          <w:szCs w:val="20"/>
        </w:rPr>
        <w:t>2) approval pathway, which permits an NDA applicant to rely on the FDA’s previous findings of safety or effectiveness and data from studies that were not conducted by or for the applicant and for which the applicant has not obtained a right of reference, i</w:t>
      </w:r>
      <w:r>
        <w:rPr>
          <w:rFonts w:eastAsia="Times New Roman"/>
          <w:color w:val="000000"/>
          <w:sz w:val="20"/>
          <w:szCs w:val="20"/>
        </w:rPr>
        <w:t>s the appropriate pathway for a LUMRYZ NDA. There can be no assurances, however, that the 505(b)(2) approval pathway in the U.S., or similar approval pathways outside of the U.S., will be available for our product candidate or that the FDA or other regulat</w:t>
      </w:r>
      <w:r>
        <w:rPr>
          <w:rFonts w:eastAsia="Times New Roman"/>
          <w:color w:val="000000"/>
          <w:sz w:val="20"/>
          <w:szCs w:val="20"/>
        </w:rPr>
        <w:t>ory authorities will approve our product candidate through an application based on such pathways.</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 xml:space="preserve">Obtaining regulatory approval for marketing of a product candidate in one country does not ensure that we will be able to obtain regulatory approval in any </w:t>
      </w:r>
      <w:r>
        <w:rPr>
          <w:rFonts w:eastAsia="Times New Roman"/>
          <w:color w:val="000000"/>
          <w:sz w:val="20"/>
          <w:szCs w:val="20"/>
        </w:rPr>
        <w:t>other country. In addition, delays in approvals or rejections of marketing applications in the U.S. or other countries may be based upon many factors, including regulatory requests for additional analyses, reports, data, preclinical studies and clinical tr</w:t>
      </w:r>
      <w:r>
        <w:rPr>
          <w:rFonts w:eastAsia="Times New Roman"/>
          <w:color w:val="000000"/>
          <w:sz w:val="20"/>
          <w:szCs w:val="20"/>
        </w:rPr>
        <w:t>ials, regulatory questions regarding different interpretations of data and results, changes in regulatory policy during the period of product development and the emergence of new information regarding our product candidate.</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Risks Related to Our Financial</w:t>
      </w:r>
      <w:r>
        <w:rPr>
          <w:rFonts w:eastAsia="Times New Roman"/>
          <w:b/>
          <w:bCs/>
          <w:color w:val="000000"/>
          <w:sz w:val="20"/>
          <w:szCs w:val="20"/>
        </w:rPr>
        <w:t xml:space="preserve"> Position and Capital Requirements</w:t>
      </w:r>
    </w:p>
    <w:p w:rsidR="00000000" w:rsidRDefault="00755199">
      <w:pPr>
        <w:divId w:val="935091770"/>
        <w:rPr>
          <w:rFonts w:eastAsia="Times New Roman"/>
        </w:rPr>
      </w:pPr>
    </w:p>
    <w:p w:rsidR="00000000" w:rsidRDefault="00755199">
      <w:pPr>
        <w:divId w:val="1822425931"/>
        <w:rPr>
          <w:rFonts w:eastAsia="Times New Roman"/>
        </w:rPr>
      </w:pPr>
      <w:r>
        <w:rPr>
          <w:rFonts w:eastAsia="Times New Roman"/>
          <w:b/>
          <w:bCs/>
          <w:i/>
          <w:iCs/>
          <w:color w:val="000000"/>
          <w:sz w:val="20"/>
          <w:szCs w:val="20"/>
        </w:rPr>
        <w:t xml:space="preserve">Uncertainties relating to our ability to procure additional debt, equity or other financing prior to the maturity of our outstanding exchangeable senior notes raises substantial doubt about our ability to continue as a going concern. </w:t>
      </w:r>
    </w:p>
    <w:p w:rsidR="00000000" w:rsidRDefault="00755199">
      <w:pPr>
        <w:divId w:val="1760054764"/>
        <w:rPr>
          <w:rFonts w:eastAsia="Times New Roman"/>
        </w:rPr>
      </w:pPr>
    </w:p>
    <w:p w:rsidR="00000000" w:rsidRDefault="00755199">
      <w:pPr>
        <w:jc w:val="both"/>
        <w:rPr>
          <w:rFonts w:eastAsia="Times New Roman"/>
        </w:rPr>
      </w:pPr>
      <w:r>
        <w:rPr>
          <w:rFonts w:eastAsia="Times New Roman"/>
          <w:color w:val="000000"/>
          <w:sz w:val="20"/>
          <w:szCs w:val="20"/>
        </w:rPr>
        <w:t>As of September 30, 2022, we had an accumulated shareholders’ deficit of approximately $12.4 million and approximately $60.7 million of cash and cash equivalents and $45.8 million of marketable securities available for use to fund our operations and capita</w:t>
      </w:r>
      <w:r>
        <w:rPr>
          <w:rFonts w:eastAsia="Times New Roman"/>
          <w:color w:val="000000"/>
          <w:sz w:val="20"/>
          <w:szCs w:val="20"/>
        </w:rPr>
        <w:t xml:space="preserve">l requirements. Within twelve months of the date of this Quarterly Report, our interest and principal payments of $143.8 million aggregate principal amount of our outstanding exchangeable senior notes will fall due. Consequently, absent further actions by </w:t>
      </w:r>
      <w:r>
        <w:rPr>
          <w:rFonts w:eastAsia="Times New Roman"/>
          <w:color w:val="000000"/>
          <w:sz w:val="20"/>
          <w:szCs w:val="20"/>
        </w:rPr>
        <w:t>the Company, these matters raise substantial doubt about our ability to continue as a going concern within one year after the date that the financial statements in this Quarterly Report on Form 10-Q are issued.</w:t>
      </w:r>
    </w:p>
    <w:p w:rsidR="00000000" w:rsidRDefault="00755199">
      <w:pPr>
        <w:divId w:val="1976523848"/>
        <w:rPr>
          <w:rFonts w:eastAsia="Times New Roman"/>
        </w:rPr>
      </w:pPr>
    </w:p>
    <w:p w:rsidR="00000000" w:rsidRDefault="00755199">
      <w:pPr>
        <w:jc w:val="both"/>
        <w:rPr>
          <w:rFonts w:eastAsia="Times New Roman"/>
        </w:rPr>
      </w:pPr>
      <w:r>
        <w:rPr>
          <w:rFonts w:eastAsia="Times New Roman"/>
          <w:color w:val="000000"/>
          <w:sz w:val="20"/>
          <w:szCs w:val="20"/>
        </w:rPr>
        <w:t>We have a recent history of generating loss</w:t>
      </w:r>
      <w:r>
        <w:rPr>
          <w:rFonts w:eastAsia="Times New Roman"/>
          <w:color w:val="000000"/>
          <w:sz w:val="20"/>
          <w:szCs w:val="20"/>
        </w:rPr>
        <w:t>es and negative cash flows from operations. Our ability to generate revenue is expected to start following the launch of LUMRYZ, which is dependent, in part, on final approval of LUMRYZ by the FDA. Our unaudited financial statements have been prepared unde</w:t>
      </w:r>
      <w:r>
        <w:rPr>
          <w:rFonts w:eastAsia="Times New Roman"/>
          <w:color w:val="000000"/>
          <w:sz w:val="20"/>
          <w:szCs w:val="20"/>
        </w:rPr>
        <w:t>r the assumption that we will continue as a going concern for the next twelve months. Our ability to continue as a going concern is dependent upon our ability to obtain additional debt, equity or other financing or otherwise address the upcoming maturities</w:t>
      </w:r>
      <w:r>
        <w:rPr>
          <w:rFonts w:eastAsia="Times New Roman"/>
          <w:color w:val="000000"/>
          <w:sz w:val="20"/>
          <w:szCs w:val="20"/>
        </w:rPr>
        <w:t xml:space="preserve"> of our outstanding exchangeable senior notes. If we are not able to resolve the going concern prior to the issuance of our financial statements for the fiscal year ending December 31, 2022, the reaction of investors to the inclusion of a going concern sta</w:t>
      </w:r>
      <w:r>
        <w:rPr>
          <w:rFonts w:eastAsia="Times New Roman"/>
          <w:color w:val="000000"/>
          <w:sz w:val="20"/>
          <w:szCs w:val="20"/>
        </w:rPr>
        <w:t>tement by our auditors, and our potential inability to continue as a going concern in future years could materially adversely affect our share price and our ability to raise new capital or enter into strategic alliances. Furthermore, we also could be requi</w:t>
      </w:r>
      <w:r>
        <w:rPr>
          <w:rFonts w:eastAsia="Times New Roman"/>
          <w:color w:val="000000"/>
          <w:sz w:val="20"/>
          <w:szCs w:val="20"/>
        </w:rPr>
        <w:t>red to seek funds through arrangements with collaborative partners or otherwise that may require us to relinquish rights to some of our intellectual property or product candidates or otherwise agree to terms unfavorable to us.</w:t>
      </w:r>
    </w:p>
    <w:p w:rsidR="00000000" w:rsidRDefault="00755199">
      <w:pPr>
        <w:divId w:val="1398940294"/>
        <w:rPr>
          <w:rFonts w:eastAsia="Times New Roman"/>
        </w:rPr>
      </w:pPr>
    </w:p>
    <w:p w:rsidR="00000000" w:rsidRDefault="00755199">
      <w:pPr>
        <w:jc w:val="both"/>
        <w:rPr>
          <w:rFonts w:eastAsia="Times New Roman"/>
        </w:rPr>
      </w:pPr>
      <w:r>
        <w:rPr>
          <w:rFonts w:eastAsia="Times New Roman"/>
          <w:b/>
          <w:bCs/>
          <w:color w:val="000000"/>
          <w:sz w:val="20"/>
          <w:szCs w:val="20"/>
        </w:rPr>
        <w:t>Risks Related to Regulation</w:t>
      </w:r>
    </w:p>
    <w:p w:rsidR="00000000" w:rsidRDefault="00755199">
      <w:pPr>
        <w:divId w:val="2011253679"/>
        <w:rPr>
          <w:rFonts w:eastAsia="Times New Roman"/>
        </w:rPr>
      </w:pPr>
    </w:p>
    <w:p w:rsidR="00000000" w:rsidRDefault="00755199">
      <w:pPr>
        <w:jc w:val="both"/>
        <w:rPr>
          <w:rFonts w:eastAsia="Times New Roman"/>
        </w:rPr>
      </w:pPr>
      <w:r>
        <w:rPr>
          <w:rFonts w:eastAsia="Times New Roman"/>
          <w:b/>
          <w:bCs/>
          <w:i/>
          <w:iCs/>
          <w:color w:val="000000"/>
          <w:sz w:val="20"/>
          <w:szCs w:val="20"/>
        </w:rPr>
        <w:t>We will need to obtain regulatory approval of any proposed product names for our product candidates, and any failure or delay associated with such approval may adversely impact our business.</w:t>
      </w:r>
    </w:p>
    <w:p w:rsidR="00000000" w:rsidRDefault="00755199">
      <w:pPr>
        <w:divId w:val="249967692"/>
        <w:rPr>
          <w:rFonts w:eastAsia="Times New Roman"/>
        </w:rPr>
      </w:pPr>
    </w:p>
    <w:p w:rsidR="00000000" w:rsidRDefault="00755199">
      <w:pPr>
        <w:jc w:val="both"/>
        <w:rPr>
          <w:rFonts w:eastAsia="Times New Roman"/>
        </w:rPr>
      </w:pPr>
      <w:r>
        <w:rPr>
          <w:rFonts w:eastAsia="Times New Roman"/>
          <w:color w:val="000000"/>
          <w:sz w:val="20"/>
          <w:szCs w:val="20"/>
        </w:rPr>
        <w:t>Any name we intend to use for our product candidates will re</w:t>
      </w:r>
      <w:r>
        <w:rPr>
          <w:rFonts w:eastAsia="Times New Roman"/>
          <w:color w:val="000000"/>
          <w:sz w:val="20"/>
          <w:szCs w:val="20"/>
        </w:rPr>
        <w:t>quire approval from the FDA or other regulatory authorities in jurisdictions where we may seek approval regardless of whether we have secured a trademark registration from the USPTO or similar protection in other jurisdictions. The FDA and other regulatory</w:t>
      </w:r>
      <w:r>
        <w:rPr>
          <w:rFonts w:eastAsia="Times New Roman"/>
          <w:color w:val="000000"/>
          <w:sz w:val="20"/>
          <w:szCs w:val="20"/>
        </w:rPr>
        <w:t xml:space="preserve"> authorities each typically conducts a review of proposed product names, including an evaluation of potential for confusion with other product names. The FDA or other regulatory authorities in jurisdictions where we may seek approval may object to any prod</w:t>
      </w:r>
      <w:r>
        <w:rPr>
          <w:rFonts w:eastAsia="Times New Roman"/>
          <w:color w:val="000000"/>
          <w:sz w:val="20"/>
          <w:szCs w:val="20"/>
        </w:rPr>
        <w:t>uct name we submit if it believes the name inappropriately implies medical claims. If the FDA or other regulatory authorities in jurisdictions where we may seek approval objects to any of our proposed product names, we may be required to adopt an alternati</w:t>
      </w:r>
      <w:r>
        <w:rPr>
          <w:rFonts w:eastAsia="Times New Roman"/>
          <w:color w:val="000000"/>
          <w:sz w:val="20"/>
          <w:szCs w:val="20"/>
        </w:rPr>
        <w:t>ve name for our product candidates. There is no guarantee that we will be able to use the same proprietary name for our product candidates in each jurisdiction where we market our products, if approved. If we adopt an alternative name, we would lose the be</w:t>
      </w:r>
      <w:r>
        <w:rPr>
          <w:rFonts w:eastAsia="Times New Roman"/>
          <w:color w:val="000000"/>
          <w:sz w:val="20"/>
          <w:szCs w:val="20"/>
        </w:rPr>
        <w:t>nefit of any existing trademark applications for such product candidate and may be required to expend significant additional resources in an effort to identify a suitable product name that would qualify under applicable trademark laws, not infringe the exi</w:t>
      </w:r>
      <w:r>
        <w:rPr>
          <w:rFonts w:eastAsia="Times New Roman"/>
          <w:color w:val="000000"/>
          <w:sz w:val="20"/>
          <w:szCs w:val="20"/>
        </w:rPr>
        <w:t xml:space="preserve">sting rights of third </w:t>
      </w:r>
    </w:p>
    <w:p w:rsidR="00000000" w:rsidRDefault="00755199">
      <w:pPr>
        <w:jc w:val="center"/>
        <w:divId w:val="1359966894"/>
        <w:rPr>
          <w:rFonts w:eastAsia="Times New Roman"/>
        </w:rPr>
      </w:pPr>
      <w:r>
        <w:rPr>
          <w:rFonts w:eastAsia="Times New Roman"/>
          <w:color w:val="000000"/>
          <w:sz w:val="20"/>
          <w:szCs w:val="20"/>
        </w:rPr>
        <w:t>- 36 -</w:t>
      </w:r>
    </w:p>
    <w:p w:rsidR="00000000" w:rsidRDefault="00755199">
      <w:pPr>
        <w:rPr>
          <w:rFonts w:eastAsia="Times New Roman"/>
        </w:rPr>
      </w:pPr>
      <w:r>
        <w:rPr>
          <w:rFonts w:eastAsia="Times New Roman"/>
        </w:rPr>
        <w:pict>
          <v:rect id="_x0000_i1061" style="width:0;height:1.5pt" o:hralign="center" o:hrstd="t" o:hr="t" fillcolor="#a0a0a0" stroked="f"/>
        </w:pict>
      </w:r>
    </w:p>
    <w:p w:rsidR="00000000" w:rsidRDefault="00755199">
      <w:pPr>
        <w:divId w:val="352073260"/>
        <w:rPr>
          <w:rFonts w:eastAsia="Times New Roman"/>
        </w:rPr>
      </w:pPr>
    </w:p>
    <w:p w:rsidR="00000000" w:rsidRDefault="00755199">
      <w:pPr>
        <w:jc w:val="both"/>
        <w:rPr>
          <w:rFonts w:eastAsia="Times New Roman"/>
        </w:rPr>
      </w:pPr>
      <w:r>
        <w:rPr>
          <w:rFonts w:eastAsia="Times New Roman"/>
          <w:color w:val="000000"/>
          <w:sz w:val="20"/>
          <w:szCs w:val="20"/>
        </w:rPr>
        <w:t>parties and be acceptable to the FDA or other regulatory authorities. The FDA has tentatively accepted our proprietary name for our lead product candidate, LUMRYZ. Final acceptance of a pr</w:t>
      </w:r>
      <w:r>
        <w:rPr>
          <w:rFonts w:eastAsia="Times New Roman"/>
          <w:color w:val="000000"/>
          <w:sz w:val="20"/>
          <w:szCs w:val="20"/>
        </w:rPr>
        <w:t>oposed proprietary name occurs as part of the final approval of the drug product. We may be unable to build a successful brand identity for a new proprietary name or trademark in a timely manner or at all, which would limit our ability to commercialize our</w:t>
      </w:r>
      <w:r>
        <w:rPr>
          <w:rFonts w:eastAsia="Times New Roman"/>
          <w:color w:val="000000"/>
          <w:sz w:val="20"/>
          <w:szCs w:val="20"/>
        </w:rPr>
        <w:t xml:space="preserve"> product candidates.</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Risks Related to our Reliance on Third Parties</w:t>
      </w:r>
    </w:p>
    <w:p w:rsidR="00000000" w:rsidRDefault="00755199">
      <w:pPr>
        <w:divId w:val="427310791"/>
        <w:rPr>
          <w:rFonts w:eastAsia="Times New Roman"/>
        </w:rPr>
      </w:pPr>
    </w:p>
    <w:p w:rsidR="00000000" w:rsidRDefault="00755199">
      <w:pPr>
        <w:jc w:val="both"/>
        <w:rPr>
          <w:rFonts w:eastAsia="Times New Roman"/>
        </w:rPr>
      </w:pPr>
      <w:r>
        <w:rPr>
          <w:rFonts w:eastAsia="Times New Roman"/>
          <w:b/>
          <w:bCs/>
          <w:i/>
          <w:iCs/>
          <w:color w:val="000000"/>
          <w:sz w:val="20"/>
          <w:szCs w:val="20"/>
        </w:rPr>
        <w:t>The commercialization of LUMRYZ, if granted final approval by the FDA, will require us to expand our organization and we may experience difficulties in managing this growth, which coul</w:t>
      </w:r>
      <w:r>
        <w:rPr>
          <w:rFonts w:eastAsia="Times New Roman"/>
          <w:b/>
          <w:bCs/>
          <w:i/>
          <w:iCs/>
          <w:color w:val="000000"/>
          <w:sz w:val="20"/>
          <w:szCs w:val="20"/>
        </w:rPr>
        <w:t>d disrupt our operations.</w:t>
      </w:r>
    </w:p>
    <w:p w:rsidR="00000000" w:rsidRDefault="00755199">
      <w:pPr>
        <w:divId w:val="90206348"/>
        <w:rPr>
          <w:rFonts w:eastAsia="Times New Roman"/>
        </w:rPr>
      </w:pPr>
    </w:p>
    <w:p w:rsidR="00000000" w:rsidRDefault="00755199">
      <w:pPr>
        <w:jc w:val="both"/>
        <w:rPr>
          <w:rFonts w:eastAsia="Times New Roman"/>
        </w:rPr>
      </w:pPr>
      <w:r>
        <w:rPr>
          <w:rFonts w:eastAsia="Times New Roman"/>
          <w:color w:val="000000"/>
          <w:sz w:val="20"/>
          <w:szCs w:val="20"/>
        </w:rPr>
        <w:t>Following the completion of our reduction in workforce, which was announced in June 2022, we expect to employ approximately 35 full-time employees. If LUMRYZ is finally approved by the FDA, we expect to expand our full-time empl</w:t>
      </w:r>
      <w:r>
        <w:rPr>
          <w:rFonts w:eastAsia="Times New Roman"/>
          <w:color w:val="000000"/>
          <w:sz w:val="20"/>
          <w:szCs w:val="20"/>
        </w:rPr>
        <w:t>oyee base to advance the commercialization of LUMRYZ. Our management may need to divert a disproportionate amount of its attention away from our day-to-day activities and devote a substantial amount of time to managing these growth activities. We may not b</w:t>
      </w:r>
      <w:r>
        <w:rPr>
          <w:rFonts w:eastAsia="Times New Roman"/>
          <w:color w:val="000000"/>
          <w:sz w:val="20"/>
          <w:szCs w:val="20"/>
        </w:rPr>
        <w:t>e able to effectively manage the expansion of our operations, which may result in weaknesses in our infrastructure, operational mistakes, loss of business opportunities, loss of employees and reduced productivity among remaining employees. Our expected gro</w:t>
      </w:r>
      <w:r>
        <w:rPr>
          <w:rFonts w:eastAsia="Times New Roman"/>
          <w:color w:val="000000"/>
          <w:sz w:val="20"/>
          <w:szCs w:val="20"/>
        </w:rPr>
        <w:t>wth could require significant capital expenditures and may divert financial resources from other projects, such as the development of additional product candidates. If our management is unable to effectively manage our growth, our expenses may increase mor</w:t>
      </w:r>
      <w:r>
        <w:rPr>
          <w:rFonts w:eastAsia="Times New Roman"/>
          <w:color w:val="000000"/>
          <w:sz w:val="20"/>
          <w:szCs w:val="20"/>
        </w:rPr>
        <w:t>e than expected, our ability to recognize and/or grow revenues could be reduced and we may not be able to implement our business strategy. Our future financial performance and our ability to commercialize LUMRYZ, if finally approved, and compete effectivel</w:t>
      </w:r>
      <w:r>
        <w:rPr>
          <w:rFonts w:eastAsia="Times New Roman"/>
          <w:color w:val="000000"/>
          <w:sz w:val="20"/>
          <w:szCs w:val="20"/>
        </w:rPr>
        <w:t>y will depend, in part, on our ability to effectively manage any future growth.</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Risks Related to Our Business and Industry</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D0D0D"/>
          <w:sz w:val="20"/>
          <w:szCs w:val="20"/>
        </w:rPr>
        <w:t>If our competitors develop and market technologies or products that are safer, more effective or less costly than ours, or obtain</w:t>
      </w:r>
      <w:r>
        <w:rPr>
          <w:rFonts w:eastAsia="Times New Roman"/>
          <w:b/>
          <w:bCs/>
          <w:i/>
          <w:iCs/>
          <w:color w:val="0D0D0D"/>
          <w:sz w:val="20"/>
          <w:szCs w:val="20"/>
        </w:rPr>
        <w:t xml:space="preserve"> regulatory approval and market such products before we do, our commercial opportunity may be diminished or eliminated.</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Competition in the pharmaceutical and biotechnology industry is intense and is expected to increase. We compete with other pharmaceuti</w:t>
      </w:r>
      <w:r>
        <w:rPr>
          <w:rFonts w:eastAsia="Times New Roman"/>
          <w:color w:val="000000"/>
          <w:sz w:val="20"/>
          <w:szCs w:val="20"/>
        </w:rPr>
        <w:t xml:space="preserve">cal and biotechnology companies.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The introduction of new products in the U.S. market that compete with, or otherwise disrupt the market for, LUMRYZ, if finally approved, would adversely affect sales of our product candidate. For example, in the future, we expect LUMRYZ to face competition</w:t>
      </w:r>
      <w:r>
        <w:rPr>
          <w:rFonts w:eastAsia="Times New Roman"/>
          <w:color w:val="000000"/>
          <w:sz w:val="20"/>
          <w:szCs w:val="20"/>
        </w:rPr>
        <w:t xml:space="preserve"> from manufacturers of generic twice-nightly sodium oxybate formulations who have reached settlement agreements with the current brand product marketer. Hikma Pharmaceuticals is expected to launch an authorized generic version of twice-nightly sodium oxyba</w:t>
      </w:r>
      <w:r>
        <w:rPr>
          <w:rFonts w:eastAsia="Times New Roman"/>
          <w:color w:val="000000"/>
          <w:sz w:val="20"/>
          <w:szCs w:val="20"/>
        </w:rPr>
        <w:t>te in 2023 or earlier, depending on certain circumstances. There are other potential future competitive products that could impact the marketplace who have reached settlement agreements with the current brand product marketer, which allows for entry of oth</w:t>
      </w:r>
      <w:r>
        <w:rPr>
          <w:rFonts w:eastAsia="Times New Roman"/>
          <w:color w:val="000000"/>
          <w:sz w:val="20"/>
          <w:szCs w:val="20"/>
        </w:rPr>
        <w:t>er authorized generics in 2023 and other generic products in 2026, or earlier for both under certain circumstances. Beyond generics, there are other potential future competitive products that could impact the narcolepsy treatment marketplace.</w:t>
      </w:r>
    </w:p>
    <w:p w:rsidR="00000000" w:rsidRDefault="00755199">
      <w:pPr>
        <w:divId w:val="1514488577"/>
        <w:rPr>
          <w:rFonts w:eastAsia="Times New Roman"/>
        </w:rPr>
      </w:pPr>
    </w:p>
    <w:p w:rsidR="00000000" w:rsidRDefault="00755199">
      <w:pPr>
        <w:jc w:val="both"/>
        <w:rPr>
          <w:rFonts w:eastAsia="Times New Roman"/>
        </w:rPr>
      </w:pPr>
      <w:r>
        <w:rPr>
          <w:rFonts w:eastAsia="Times New Roman"/>
          <w:color w:val="000000"/>
          <w:sz w:val="20"/>
          <w:szCs w:val="20"/>
        </w:rPr>
        <w:t xml:space="preserve">If the FDA </w:t>
      </w:r>
      <w:r>
        <w:rPr>
          <w:rFonts w:eastAsia="Times New Roman"/>
          <w:color w:val="000000"/>
          <w:sz w:val="20"/>
          <w:szCs w:val="20"/>
        </w:rPr>
        <w:t>approves a competitor’s application for a product candidate before our application for a similar product candidate, and grants such competitor a period of exclusivity, the FDA may take the position that it cannot approve our 505(b)(2) application for a sim</w:t>
      </w:r>
      <w:r>
        <w:rPr>
          <w:rFonts w:eastAsia="Times New Roman"/>
          <w:color w:val="000000"/>
          <w:sz w:val="20"/>
          <w:szCs w:val="20"/>
        </w:rPr>
        <w:t xml:space="preserve">ilar product candidate until the exclusivity period expires. Additionally, even if our 505(b)(2) application for a product candidate is approved first, and we receive a period of statutory marketing exclusivity, we may still be subject to competition from </w:t>
      </w:r>
      <w:r>
        <w:rPr>
          <w:rFonts w:eastAsia="Times New Roman"/>
          <w:color w:val="000000"/>
          <w:sz w:val="20"/>
          <w:szCs w:val="20"/>
        </w:rPr>
        <w:t>other companies with approved products or approved 505(b)(2) NDAs for different conditions of use that would not be restricted by a grant of exclusivity to us.</w:t>
      </w:r>
    </w:p>
    <w:p w:rsidR="00000000" w:rsidRDefault="00755199">
      <w:pPr>
        <w:divId w:val="223444452"/>
        <w:rPr>
          <w:rFonts w:eastAsia="Times New Roman"/>
        </w:rPr>
      </w:pPr>
    </w:p>
    <w:p w:rsidR="00000000" w:rsidRDefault="00755199">
      <w:pPr>
        <w:jc w:val="both"/>
        <w:rPr>
          <w:rFonts w:eastAsia="Times New Roman"/>
        </w:rPr>
      </w:pPr>
      <w:r>
        <w:rPr>
          <w:rFonts w:eastAsia="Times New Roman"/>
          <w:color w:val="000000"/>
          <w:sz w:val="20"/>
          <w:szCs w:val="20"/>
        </w:rPr>
        <w:t>Many of our competitors have substantially greater financial, technological, manufacturing, ma</w:t>
      </w:r>
      <w:r>
        <w:rPr>
          <w:rFonts w:eastAsia="Times New Roman"/>
          <w:color w:val="000000"/>
          <w:sz w:val="20"/>
          <w:szCs w:val="20"/>
        </w:rPr>
        <w:t>rketing, managerial and research and development resources and experience than we do. Furthermore, acquisitions of competing companies by large pharmaceutical companies could enhance our competitors’ resources. Accordingly, our competitors may be able to d</w:t>
      </w:r>
      <w:r>
        <w:rPr>
          <w:rFonts w:eastAsia="Times New Roman"/>
          <w:color w:val="000000"/>
          <w:sz w:val="20"/>
          <w:szCs w:val="20"/>
        </w:rPr>
        <w:t>evelop, obtain regulatory approval and gain market share for their products more rapidly than us.</w:t>
      </w:r>
    </w:p>
    <w:p w:rsidR="00000000" w:rsidRDefault="00755199">
      <w:pPr>
        <w:jc w:val="both"/>
        <w:rPr>
          <w:rFonts w:eastAsia="Times New Roman"/>
        </w:rPr>
      </w:pPr>
    </w:p>
    <w:p w:rsidR="00000000" w:rsidRDefault="00755199">
      <w:pPr>
        <w:jc w:val="both"/>
        <w:rPr>
          <w:rFonts w:eastAsia="Times New Roman"/>
        </w:rPr>
      </w:pPr>
      <w:r>
        <w:rPr>
          <w:rFonts w:eastAsia="Times New Roman"/>
          <w:b/>
          <w:bCs/>
          <w:i/>
          <w:iCs/>
          <w:color w:val="000000"/>
          <w:sz w:val="20"/>
          <w:szCs w:val="20"/>
        </w:rPr>
        <w:t xml:space="preserve">Our cost structure optimization efforts, including a reduction in workforce, announced in June 2022, may not result in anticipated savings, could result in </w:t>
      </w:r>
      <w:r>
        <w:rPr>
          <w:rFonts w:eastAsia="Times New Roman"/>
          <w:b/>
          <w:bCs/>
          <w:i/>
          <w:iCs/>
          <w:color w:val="000000"/>
          <w:sz w:val="20"/>
          <w:szCs w:val="20"/>
        </w:rPr>
        <w:t>total costs and expenses that are greater than expected and could disrupt our business.</w:t>
      </w:r>
    </w:p>
    <w:p w:rsidR="00000000" w:rsidRDefault="00755199">
      <w:pPr>
        <w:divId w:val="787775341"/>
        <w:rPr>
          <w:rFonts w:eastAsia="Times New Roman"/>
        </w:rPr>
      </w:pPr>
    </w:p>
    <w:p w:rsidR="00000000" w:rsidRDefault="00755199">
      <w:pPr>
        <w:jc w:val="center"/>
        <w:divId w:val="558828146"/>
        <w:rPr>
          <w:rFonts w:eastAsia="Times New Roman"/>
        </w:rPr>
      </w:pPr>
      <w:r>
        <w:rPr>
          <w:rFonts w:eastAsia="Times New Roman"/>
          <w:color w:val="000000"/>
          <w:sz w:val="20"/>
          <w:szCs w:val="20"/>
        </w:rPr>
        <w:t>- 37 -</w:t>
      </w:r>
    </w:p>
    <w:p w:rsidR="00000000" w:rsidRDefault="00755199">
      <w:pPr>
        <w:rPr>
          <w:rFonts w:eastAsia="Times New Roman"/>
        </w:rPr>
      </w:pPr>
      <w:r>
        <w:rPr>
          <w:rFonts w:eastAsia="Times New Roman"/>
        </w:rPr>
        <w:pict>
          <v:rect id="_x0000_i1062" style="width:0;height:1.5pt" o:hralign="center" o:hrstd="t" o:hr="t" fillcolor="#a0a0a0" stroked="f"/>
        </w:pict>
      </w:r>
    </w:p>
    <w:p w:rsidR="00000000" w:rsidRDefault="00755199">
      <w:pPr>
        <w:divId w:val="2027751587"/>
        <w:rPr>
          <w:rFonts w:eastAsia="Times New Roman"/>
        </w:rPr>
      </w:pPr>
    </w:p>
    <w:p w:rsidR="00000000" w:rsidRDefault="00755199">
      <w:pPr>
        <w:jc w:val="both"/>
        <w:rPr>
          <w:rFonts w:eastAsia="Times New Roman"/>
        </w:rPr>
      </w:pPr>
      <w:r>
        <w:rPr>
          <w:rFonts w:eastAsia="Times New Roman"/>
          <w:color w:val="000000"/>
          <w:sz w:val="20"/>
          <w:szCs w:val="20"/>
        </w:rPr>
        <w:t xml:space="preserve">In June 2022, we announced a reduction in workforce of nearly 50 percent in connection with cost structure optimization </w:t>
      </w:r>
      <w:r>
        <w:rPr>
          <w:rFonts w:eastAsia="Times New Roman"/>
          <w:color w:val="000000"/>
          <w:sz w:val="20"/>
          <w:szCs w:val="20"/>
        </w:rPr>
        <w:t>efforts. We may not realize, in full or in part, the anticipated benefits and cost savings from our cost structure optimization efforts due to unforeseen difficulties, delays or unexpected costs. If we are unable to realize the expected operational efficie</w:t>
      </w:r>
      <w:r>
        <w:rPr>
          <w:rFonts w:eastAsia="Times New Roman"/>
          <w:color w:val="000000"/>
          <w:sz w:val="20"/>
          <w:szCs w:val="20"/>
        </w:rPr>
        <w:t>ncies and cost savings from the restructuring, our operating results and financial condition would be adversely affected. We also cannot guarantee that we will not have to undertake additional workforce reductions or restructuring activities in the future.</w:t>
      </w:r>
      <w:r>
        <w:rPr>
          <w:rFonts w:eastAsia="Times New Roman"/>
          <w:color w:val="000000"/>
          <w:sz w:val="20"/>
          <w:szCs w:val="20"/>
        </w:rPr>
        <w:t xml:space="preserve"> Furthermore, our cost structure optimization efforts may be disruptive to our operations. For example, our workforce reductions could yield unanticipated consequences, such as attrition beyond planned staff reductions, increased difficulties in our day-to</w:t>
      </w:r>
      <w:r>
        <w:rPr>
          <w:rFonts w:eastAsia="Times New Roman"/>
          <w:color w:val="000000"/>
          <w:sz w:val="20"/>
          <w:szCs w:val="20"/>
        </w:rPr>
        <w:t xml:space="preserve">-day operations and reduced employee morale. </w:t>
      </w:r>
    </w:p>
    <w:p w:rsidR="00000000" w:rsidRDefault="00755199">
      <w:pPr>
        <w:divId w:val="1737432867"/>
        <w:rPr>
          <w:rFonts w:eastAsia="Times New Roman"/>
        </w:rPr>
      </w:pPr>
    </w:p>
    <w:p w:rsidR="00000000" w:rsidRDefault="00755199">
      <w:pPr>
        <w:jc w:val="both"/>
        <w:rPr>
          <w:rFonts w:eastAsia="Times New Roman"/>
        </w:rPr>
      </w:pPr>
      <w:r>
        <w:rPr>
          <w:rFonts w:eastAsia="Times New Roman"/>
          <w:b/>
          <w:bCs/>
          <w:i/>
          <w:iCs/>
          <w:color w:val="000000"/>
          <w:sz w:val="20"/>
          <w:szCs w:val="20"/>
        </w:rPr>
        <w:t>If we need to take further restructuring actions, necessary third-party consents may not be granted.</w:t>
      </w:r>
    </w:p>
    <w:p w:rsidR="00000000" w:rsidRDefault="00755199">
      <w:pPr>
        <w:divId w:val="16544900"/>
        <w:rPr>
          <w:rFonts w:eastAsia="Times New Roman"/>
        </w:rPr>
      </w:pPr>
    </w:p>
    <w:p w:rsidR="00000000" w:rsidRDefault="00755199">
      <w:pPr>
        <w:jc w:val="both"/>
        <w:rPr>
          <w:rFonts w:eastAsia="Times New Roman"/>
        </w:rPr>
      </w:pPr>
      <w:r>
        <w:rPr>
          <w:rFonts w:eastAsia="Times New Roman"/>
          <w:color w:val="000000"/>
          <w:sz w:val="20"/>
          <w:szCs w:val="20"/>
        </w:rPr>
        <w:t>In June 2022, we announced our cost structure optimization efforts to reduce our quarterly cash operating</w:t>
      </w:r>
      <w:r>
        <w:rPr>
          <w:rFonts w:eastAsia="Times New Roman"/>
          <w:color w:val="000000"/>
          <w:sz w:val="20"/>
          <w:szCs w:val="20"/>
        </w:rPr>
        <w:t xml:space="preserve"> expenses through a reduction in workforce of nearly 50 percent. We had previously carried out a workforce reduction in February 2019. Our management may determine we need to take further restructuring actions to achieve additional cost savings, to generat</w:t>
      </w:r>
      <w:r>
        <w:rPr>
          <w:rFonts w:eastAsia="Times New Roman"/>
          <w:color w:val="000000"/>
          <w:sz w:val="20"/>
          <w:szCs w:val="20"/>
        </w:rPr>
        <w:t xml:space="preserve">e additional capital needed for our business strategy, or for other purposes. Certain restructuring scenarios that management consider could require obtaining the consent of third parties, such as holders of our Exchangeable Senior Notes due February 2023 </w:t>
      </w:r>
      <w:r>
        <w:rPr>
          <w:rFonts w:eastAsia="Times New Roman"/>
          <w:color w:val="000000"/>
          <w:sz w:val="20"/>
          <w:szCs w:val="20"/>
        </w:rPr>
        <w:t>(the “February 2023 Notes”). For example, the voluntary bankruptcy filing by Avadel Specialty Pharmaceuticals LLC (“Specialty Pharma”) in February 2019 required the consent of holders of a majority in principal amount of our February 2023 Notes in order to</w:t>
      </w:r>
      <w:r>
        <w:rPr>
          <w:rFonts w:eastAsia="Times New Roman"/>
          <w:color w:val="000000"/>
          <w:sz w:val="20"/>
          <w:szCs w:val="20"/>
        </w:rPr>
        <w:t xml:space="preserve"> avoid a default under the Indenture governing such February 2023 Notes. While we were successful in obtaining that consent, there can be no assurance we will be successful in obtaining additional consents in the future from such holders or from other thir</w:t>
      </w:r>
      <w:r>
        <w:rPr>
          <w:rFonts w:eastAsia="Times New Roman"/>
          <w:color w:val="000000"/>
          <w:sz w:val="20"/>
          <w:szCs w:val="20"/>
        </w:rPr>
        <w:t>d parties whose consents may be required. Failure to obtain these third-party consents would prevent us from taking additional restructuring actions, which could have a material adverse effect on our cash flow, financial resources and ability to successful</w:t>
      </w:r>
      <w:r>
        <w:rPr>
          <w:rFonts w:eastAsia="Times New Roman"/>
          <w:color w:val="000000"/>
          <w:sz w:val="20"/>
          <w:szCs w:val="20"/>
        </w:rPr>
        <w:t>ly pursue our business strategy.</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Risks Related to Our Intellectual Property</w:t>
      </w:r>
    </w:p>
    <w:p w:rsidR="00000000" w:rsidRDefault="00755199">
      <w:pPr>
        <w:divId w:val="700133577"/>
        <w:rPr>
          <w:rFonts w:eastAsia="Times New Roman"/>
        </w:rPr>
      </w:pPr>
    </w:p>
    <w:p w:rsidR="00000000" w:rsidRDefault="00755199">
      <w:pPr>
        <w:jc w:val="both"/>
        <w:rPr>
          <w:rFonts w:eastAsia="Times New Roman"/>
        </w:rPr>
      </w:pPr>
      <w:r>
        <w:rPr>
          <w:rFonts w:eastAsia="Times New Roman"/>
          <w:b/>
          <w:bCs/>
          <w:i/>
          <w:iCs/>
          <w:color w:val="000000"/>
          <w:sz w:val="20"/>
          <w:szCs w:val="20"/>
        </w:rPr>
        <w:t>An NDA submitted under Section 505(b)(2) subjects us to the risk that we may be subject to a patent infringement lawsuit that would delay or prevent the review or approval of o</w:t>
      </w:r>
      <w:r>
        <w:rPr>
          <w:rFonts w:eastAsia="Times New Roman"/>
          <w:b/>
          <w:bCs/>
          <w:i/>
          <w:iCs/>
          <w:color w:val="000000"/>
          <w:sz w:val="20"/>
          <w:szCs w:val="20"/>
        </w:rPr>
        <w:t>ur product candidates.</w:t>
      </w:r>
    </w:p>
    <w:p w:rsidR="00000000" w:rsidRDefault="00755199">
      <w:pPr>
        <w:divId w:val="309527827"/>
        <w:rPr>
          <w:rFonts w:eastAsia="Times New Roman"/>
        </w:rPr>
      </w:pPr>
    </w:p>
    <w:p w:rsidR="00000000" w:rsidRDefault="00755199">
      <w:pPr>
        <w:jc w:val="both"/>
        <w:rPr>
          <w:rFonts w:eastAsia="Times New Roman"/>
        </w:rPr>
      </w:pPr>
      <w:r>
        <w:rPr>
          <w:rFonts w:eastAsia="Times New Roman"/>
          <w:color w:val="000000"/>
          <w:sz w:val="20"/>
          <w:szCs w:val="20"/>
        </w:rPr>
        <w:t>The LUMRYZ NDA was submitted under Section 505(b)(2) of the Federal Food, Drug, and Cosmetic Act (“FDCA”). Section 505(b)(2) permits the submission of an NDA where at least some of the information required for approval comes from p</w:t>
      </w:r>
      <w:r>
        <w:rPr>
          <w:rFonts w:eastAsia="Times New Roman"/>
          <w:color w:val="000000"/>
          <w:sz w:val="20"/>
          <w:szCs w:val="20"/>
        </w:rPr>
        <w:t xml:space="preserve">reclinical studies or clinical trials that were not conducted by, or for, the applicant and for which the applicant has not obtained a right of reference. A 505(b)(2) NDA enables the applicant to reference published literature for which the applicant does </w:t>
      </w:r>
      <w:r>
        <w:rPr>
          <w:rFonts w:eastAsia="Times New Roman"/>
          <w:color w:val="000000"/>
          <w:sz w:val="20"/>
          <w:szCs w:val="20"/>
        </w:rPr>
        <w:t>not have a right of reference and the FDA’s previous findings of safety and effectiveness for a previously approved drug.</w:t>
      </w:r>
    </w:p>
    <w:p w:rsidR="00000000" w:rsidRDefault="00755199">
      <w:pPr>
        <w:divId w:val="964241028"/>
        <w:rPr>
          <w:rFonts w:eastAsia="Times New Roman"/>
        </w:rPr>
      </w:pPr>
    </w:p>
    <w:p w:rsidR="00000000" w:rsidRDefault="00755199">
      <w:pPr>
        <w:jc w:val="both"/>
        <w:rPr>
          <w:rFonts w:eastAsia="Times New Roman"/>
        </w:rPr>
      </w:pPr>
      <w:r>
        <w:rPr>
          <w:rFonts w:eastAsia="Times New Roman"/>
          <w:color w:val="000000"/>
          <w:sz w:val="20"/>
          <w:szCs w:val="20"/>
        </w:rPr>
        <w:t>For 505(b)(2) NDAs, the patent certification and related provisions of the Hatch-Waxman Amendments apply. Accordingly, if the applic</w:t>
      </w:r>
      <w:r>
        <w:rPr>
          <w:rFonts w:eastAsia="Times New Roman"/>
          <w:color w:val="000000"/>
          <w:sz w:val="20"/>
          <w:szCs w:val="20"/>
        </w:rPr>
        <w:t>ant relies for approval on the safety or effectiveness information for a previously approved drug, referred to as a listed drug, the applicant is required to include patent certifications in its 505(b)(2) NDA regarding any applicable patents covering the l</w:t>
      </w:r>
      <w:r>
        <w:rPr>
          <w:rFonts w:eastAsia="Times New Roman"/>
          <w:color w:val="000000"/>
          <w:sz w:val="20"/>
          <w:szCs w:val="20"/>
        </w:rPr>
        <w:t>isted drug. If there are applicable patents listed in the FDA publication Approved Drug Products with Therapeutic Equivalence Evaluations, commonly known as the Orange Book, for the listed drug, and the applicant seeks to obtain approval prior to the expir</w:t>
      </w:r>
      <w:r>
        <w:rPr>
          <w:rFonts w:eastAsia="Times New Roman"/>
          <w:color w:val="000000"/>
          <w:sz w:val="20"/>
          <w:szCs w:val="20"/>
        </w:rPr>
        <w:t>ation of one or more of those patents, the applicant is required to submit a Paragraph IV certification indicating their belief that the relevant patents are invalid or unenforceable or will not be infringed by the manufacture, use or sale of the product t</w:t>
      </w:r>
      <w:r>
        <w:rPr>
          <w:rFonts w:eastAsia="Times New Roman"/>
          <w:color w:val="000000"/>
          <w:sz w:val="20"/>
          <w:szCs w:val="20"/>
        </w:rPr>
        <w:t xml:space="preserve">hat is the subject of the 505(b)(2) application. Otherwise, the 505(b)(2) NDA cannot be approved by the FDA until the expiration of any patents listed in the Orange Book for the listed drug. On May 24, 2022, we were notified by the FDA that the LUMRYZ NDA </w:t>
      </w:r>
      <w:r>
        <w:rPr>
          <w:rFonts w:eastAsia="Times New Roman"/>
          <w:color w:val="000000"/>
          <w:sz w:val="20"/>
          <w:szCs w:val="20"/>
        </w:rPr>
        <w:t>patent statement pertaining to the REMS Patent was deemed inappropriate. On June 29, 2022, we announced that we had submitted a Paragraph IV certification pertaining to the REMS Patent to LUMRYZ’s NDA. On July 15, 2022, Jazz filed a patent infringement sui</w:t>
      </w:r>
      <w:r>
        <w:rPr>
          <w:rFonts w:eastAsia="Times New Roman"/>
          <w:color w:val="000000"/>
          <w:sz w:val="20"/>
          <w:szCs w:val="20"/>
        </w:rPr>
        <w:t>t in the U.S. District of Delaware asserting that LUMRYZ will infringe at least one claim of that patent. The filing of that lawsuit triggers a regulatory stay on final FDA approval of LUMRYZ. As such, we anticipate the FDA’s decision regarding final appro</w:t>
      </w:r>
      <w:r>
        <w:rPr>
          <w:rFonts w:eastAsia="Times New Roman"/>
          <w:color w:val="000000"/>
          <w:sz w:val="20"/>
          <w:szCs w:val="20"/>
        </w:rPr>
        <w:t>val on or about the expiration of the REMS Patent on June 17, 2023 or sooner if the patent is earlier removed from the FDA’s Orange Book or a court earlier determines the patent is not infringed, invalid or otherwise unenforceable. There can be no assuranc</w:t>
      </w:r>
      <w:r>
        <w:rPr>
          <w:rFonts w:eastAsia="Times New Roman"/>
          <w:color w:val="000000"/>
          <w:sz w:val="20"/>
          <w:szCs w:val="20"/>
        </w:rPr>
        <w:t>e that we will not be required to submit a Paragraph IV certification in respect of any future product candidates for which we seek approval under Section 505(b)(2).</w:t>
      </w:r>
    </w:p>
    <w:p w:rsidR="00000000" w:rsidRDefault="00755199">
      <w:pPr>
        <w:divId w:val="388262986"/>
        <w:rPr>
          <w:rFonts w:eastAsia="Times New Roman"/>
        </w:rPr>
      </w:pPr>
    </w:p>
    <w:p w:rsidR="00000000" w:rsidRDefault="00755199">
      <w:pPr>
        <w:jc w:val="both"/>
        <w:rPr>
          <w:rFonts w:eastAsia="Times New Roman"/>
        </w:rPr>
      </w:pPr>
      <w:r>
        <w:rPr>
          <w:rFonts w:eastAsia="Times New Roman"/>
          <w:color w:val="000000"/>
          <w:sz w:val="20"/>
          <w:szCs w:val="20"/>
        </w:rPr>
        <w:t>Following any Paragraph IV certification that may be required, an applicant will be requ</w:t>
      </w:r>
      <w:r>
        <w:rPr>
          <w:rFonts w:eastAsia="Times New Roman"/>
          <w:color w:val="000000"/>
          <w:sz w:val="20"/>
          <w:szCs w:val="20"/>
        </w:rPr>
        <w:t>ired to provide notice of that certification to the NDA holder and patent owner. Under the Hatch-Waxman Amendments, the patent owner may file a patent infringement lawsuit after receiving such notice. If a patent infringement lawsuit is filed within 45 day</w:t>
      </w:r>
      <w:r>
        <w:rPr>
          <w:rFonts w:eastAsia="Times New Roman"/>
          <w:color w:val="000000"/>
          <w:sz w:val="20"/>
          <w:szCs w:val="20"/>
        </w:rPr>
        <w:t>s of the patent owner’s or NDA holder’s receipt of notice (whichever is later), a one-time, automatic stay of the FDA’s ability to approve the 505(b)(2) NDA is triggered, which typically extends for 30 months unless patent litigation is resolved in favor o</w:t>
      </w:r>
      <w:r>
        <w:rPr>
          <w:rFonts w:eastAsia="Times New Roman"/>
          <w:color w:val="000000"/>
          <w:sz w:val="20"/>
          <w:szCs w:val="20"/>
        </w:rPr>
        <w:t xml:space="preserve">f the Paragraph IV filer or the patent expires before that time. Accordingly, we may invest a significant amount of time and expense in the development of </w:t>
      </w:r>
    </w:p>
    <w:p w:rsidR="00000000" w:rsidRDefault="00755199">
      <w:pPr>
        <w:jc w:val="center"/>
        <w:divId w:val="199360644"/>
        <w:rPr>
          <w:rFonts w:eastAsia="Times New Roman"/>
        </w:rPr>
      </w:pPr>
      <w:r>
        <w:rPr>
          <w:rFonts w:eastAsia="Times New Roman"/>
          <w:color w:val="000000"/>
          <w:sz w:val="20"/>
          <w:szCs w:val="20"/>
        </w:rPr>
        <w:t>- 38 -</w:t>
      </w:r>
    </w:p>
    <w:p w:rsidR="00000000" w:rsidRDefault="00755199">
      <w:pPr>
        <w:rPr>
          <w:rFonts w:eastAsia="Times New Roman"/>
        </w:rPr>
      </w:pPr>
      <w:r>
        <w:rPr>
          <w:rFonts w:eastAsia="Times New Roman"/>
        </w:rPr>
        <w:pict>
          <v:rect id="_x0000_i1063" style="width:0;height:1.5pt" o:hralign="center" o:hrstd="t" o:hr="t" fillcolor="#a0a0a0" stroked="f"/>
        </w:pict>
      </w:r>
    </w:p>
    <w:p w:rsidR="00000000" w:rsidRDefault="00755199">
      <w:pPr>
        <w:divId w:val="1747915846"/>
        <w:rPr>
          <w:rFonts w:eastAsia="Times New Roman"/>
        </w:rPr>
      </w:pPr>
    </w:p>
    <w:p w:rsidR="00000000" w:rsidRDefault="00755199">
      <w:pPr>
        <w:jc w:val="both"/>
        <w:rPr>
          <w:rFonts w:eastAsia="Times New Roman"/>
        </w:rPr>
      </w:pPr>
      <w:r>
        <w:rPr>
          <w:rFonts w:eastAsia="Times New Roman"/>
          <w:color w:val="000000"/>
          <w:sz w:val="20"/>
          <w:szCs w:val="20"/>
        </w:rPr>
        <w:t>one or more product candidates only to be subject to significant delay and patent litigation before such product candidates may be commercialized, if at all.</w:t>
      </w:r>
    </w:p>
    <w:p w:rsidR="00000000" w:rsidRDefault="00755199">
      <w:pPr>
        <w:divId w:val="493767756"/>
        <w:rPr>
          <w:rFonts w:eastAsia="Times New Roman"/>
        </w:rPr>
      </w:pPr>
    </w:p>
    <w:p w:rsidR="00000000" w:rsidRDefault="00755199">
      <w:pPr>
        <w:jc w:val="both"/>
        <w:rPr>
          <w:rFonts w:eastAsia="Times New Roman"/>
        </w:rPr>
      </w:pPr>
      <w:r>
        <w:rPr>
          <w:rFonts w:eastAsia="Times New Roman"/>
          <w:color w:val="000000"/>
          <w:sz w:val="20"/>
          <w:szCs w:val="20"/>
        </w:rPr>
        <w:t>In addition, a 505(b)(2) NDA will not be approved until any applicable non-patent exclusivity li</w:t>
      </w:r>
      <w:r>
        <w:rPr>
          <w:rFonts w:eastAsia="Times New Roman"/>
          <w:color w:val="000000"/>
          <w:sz w:val="20"/>
          <w:szCs w:val="20"/>
        </w:rPr>
        <w:t>sted in the Orange Book for the listed drug, or for any other drug with the same protected conditions of approval as our product, has expired. The FDA also may require us to perform one or more additional clinical trials or measurements to support the chan</w:t>
      </w:r>
      <w:r>
        <w:rPr>
          <w:rFonts w:eastAsia="Times New Roman"/>
          <w:color w:val="000000"/>
          <w:sz w:val="20"/>
          <w:szCs w:val="20"/>
        </w:rPr>
        <w:t>ge from the listed drug, which could be time consuming and could substantially delay our achievement of regulatory approval. The FDA also may reject any future 505(b)(2) NDAs and require us to submit traditional NDAs under Section 505(b)(1), which would re</w:t>
      </w:r>
      <w:r>
        <w:rPr>
          <w:rFonts w:eastAsia="Times New Roman"/>
          <w:color w:val="000000"/>
          <w:sz w:val="20"/>
          <w:szCs w:val="20"/>
        </w:rPr>
        <w:t>quire extensive data to establish safety and effectiveness of the product for the proposed use and could cause delay and additional costs. In addition, the FDA could reject any future 505(b)(2) application and require us to submit a Section 505(b)(1) NDA o</w:t>
      </w:r>
      <w:r>
        <w:rPr>
          <w:rFonts w:eastAsia="Times New Roman"/>
          <w:color w:val="000000"/>
          <w:sz w:val="20"/>
          <w:szCs w:val="20"/>
        </w:rPr>
        <w:t>r a Section 505(j) ANDA if, before the submission of our 505(b)(2) application, the FDA approves an application for a product that is pharmaceutically equivalent to ours and determines that our product is inappropriate for review through the 505(b)(2) path</w:t>
      </w:r>
      <w:r>
        <w:rPr>
          <w:rFonts w:eastAsia="Times New Roman"/>
          <w:color w:val="000000"/>
          <w:sz w:val="20"/>
          <w:szCs w:val="20"/>
        </w:rPr>
        <w:t xml:space="preserve">way. These factors, among others, may limit our ability to commercialize our product candidates successfully. </w:t>
      </w:r>
    </w:p>
    <w:p w:rsidR="00000000" w:rsidRDefault="00755199">
      <w:pPr>
        <w:jc w:val="both"/>
        <w:rPr>
          <w:rFonts w:eastAsia="Times New Roman"/>
        </w:rPr>
      </w:pPr>
    </w:p>
    <w:p w:rsidR="00000000" w:rsidRDefault="00755199">
      <w:pPr>
        <w:jc w:val="both"/>
        <w:rPr>
          <w:rFonts w:eastAsia="Times New Roman"/>
        </w:rPr>
      </w:pPr>
      <w:r>
        <w:rPr>
          <w:rFonts w:eastAsia="Times New Roman"/>
          <w:b/>
          <w:bCs/>
          <w:color w:val="000000"/>
          <w:sz w:val="20"/>
          <w:szCs w:val="20"/>
        </w:rPr>
        <w:t>General Risk Factors</w:t>
      </w:r>
    </w:p>
    <w:p w:rsidR="00000000" w:rsidRDefault="00755199">
      <w:pPr>
        <w:divId w:val="759521253"/>
        <w:rPr>
          <w:rFonts w:eastAsia="Times New Roman"/>
        </w:rPr>
      </w:pPr>
    </w:p>
    <w:p w:rsidR="00000000" w:rsidRDefault="00755199">
      <w:pPr>
        <w:divId w:val="64032078"/>
        <w:rPr>
          <w:rFonts w:eastAsia="Times New Roman"/>
        </w:rPr>
      </w:pPr>
      <w:r>
        <w:rPr>
          <w:rFonts w:eastAsia="Times New Roman"/>
          <w:b/>
          <w:bCs/>
          <w:i/>
          <w:iCs/>
          <w:color w:val="000000"/>
          <w:sz w:val="20"/>
          <w:szCs w:val="20"/>
        </w:rPr>
        <w:t>Our business is affected by macroeconomic conditions, including rising inflation, interest rates and supply chain constr</w:t>
      </w:r>
      <w:r>
        <w:rPr>
          <w:rFonts w:eastAsia="Times New Roman"/>
          <w:b/>
          <w:bCs/>
          <w:i/>
          <w:iCs/>
          <w:color w:val="000000"/>
          <w:sz w:val="20"/>
          <w:szCs w:val="20"/>
        </w:rPr>
        <w:t>aints.</w:t>
      </w:r>
      <w:r>
        <w:rPr>
          <w:rFonts w:eastAsia="Times New Roman"/>
          <w:b/>
          <w:bCs/>
          <w:i/>
          <w:iCs/>
          <w:color w:val="000000"/>
        </w:rPr>
        <w:t xml:space="preserve"> </w:t>
      </w:r>
    </w:p>
    <w:p w:rsidR="00000000" w:rsidRDefault="00755199">
      <w:pPr>
        <w:divId w:val="1980261335"/>
        <w:rPr>
          <w:rFonts w:eastAsia="Times New Roman"/>
        </w:rPr>
      </w:pPr>
    </w:p>
    <w:p w:rsidR="00000000" w:rsidRDefault="00755199">
      <w:pPr>
        <w:jc w:val="both"/>
        <w:rPr>
          <w:rFonts w:eastAsia="Times New Roman"/>
        </w:rPr>
      </w:pPr>
      <w:r>
        <w:rPr>
          <w:rFonts w:eastAsia="Times New Roman"/>
          <w:color w:val="000000"/>
          <w:sz w:val="20"/>
          <w:szCs w:val="20"/>
        </w:rPr>
        <w:t>Various macroeconomic factors could adversely affect our business and the results of our operations and financial condition, including changes in inflation, interest rates and overall economic conditions and uncertainties such as those resulting from the c</w:t>
      </w:r>
      <w:r>
        <w:rPr>
          <w:rFonts w:eastAsia="Times New Roman"/>
          <w:color w:val="000000"/>
          <w:sz w:val="20"/>
          <w:szCs w:val="20"/>
        </w:rPr>
        <w:t>urrent and future conditions in the global financial markets. Recent supply chain constraints have led to higher inflation, which if sustained could have a negative impact on the Company's product candidate development, commercialization preparations for L</w:t>
      </w:r>
      <w:r>
        <w:rPr>
          <w:rFonts w:eastAsia="Times New Roman"/>
          <w:color w:val="000000"/>
          <w:sz w:val="20"/>
          <w:szCs w:val="20"/>
        </w:rPr>
        <w:t>UMYRZ (if approved) and operations. If inflation or other factors were to significantly increase our business costs, our ability to develop our current pipeline and new therapeutic products may be negatively affected. Interest rates, the liquidity of the c</w:t>
      </w:r>
      <w:r>
        <w:rPr>
          <w:rFonts w:eastAsia="Times New Roman"/>
          <w:color w:val="000000"/>
          <w:sz w:val="20"/>
          <w:szCs w:val="20"/>
        </w:rPr>
        <w:t>redit markets and the volatility of the capital markets could also affect the operation of our business and our ability to raise capital on favorable terms, or at all, in order to fund our operations. Similarly, these macroeconomic factors could affect the</w:t>
      </w:r>
      <w:r>
        <w:rPr>
          <w:rFonts w:eastAsia="Times New Roman"/>
          <w:color w:val="000000"/>
          <w:sz w:val="20"/>
          <w:szCs w:val="20"/>
        </w:rPr>
        <w:t xml:space="preserve"> ability of our third-party suppliers and manufacturers to manufacture clinical trial materials for our product candidates and the potential commercial launch of LUMRYZ.</w:t>
      </w:r>
    </w:p>
    <w:p w:rsidR="00000000" w:rsidRDefault="00755199">
      <w:pPr>
        <w:divId w:val="1328705436"/>
        <w:rPr>
          <w:rFonts w:eastAsia="Times New Roman"/>
        </w:rPr>
      </w:pPr>
    </w:p>
    <w:p w:rsidR="00000000" w:rsidRDefault="00755199">
      <w:pPr>
        <w:jc w:val="both"/>
        <w:rPr>
          <w:rFonts w:eastAsia="Times New Roman"/>
        </w:rPr>
      </w:pPr>
    </w:p>
    <w:p w:rsidR="00000000" w:rsidRDefault="00755199">
      <w:pPr>
        <w:divId w:val="1311985612"/>
        <w:rPr>
          <w:rFonts w:eastAsia="Times New Roman"/>
        </w:rPr>
      </w:pPr>
      <w:r>
        <w:rPr>
          <w:rFonts w:eastAsia="Times New Roman"/>
          <w:b/>
          <w:bCs/>
          <w:color w:val="000000"/>
          <w:sz w:val="20"/>
          <w:szCs w:val="20"/>
        </w:rPr>
        <w:t>ITEM 2.    UNREGISTERED SALES OF EQUITY SECURITIES AND USE OF PROCEEDS.</w:t>
      </w:r>
      <w:r>
        <w:rPr>
          <w:rFonts w:eastAsia="Times New Roman"/>
          <w:color w:val="000000"/>
          <w:sz w:val="20"/>
          <w:szCs w:val="20"/>
        </w:rPr>
        <w:t> </w:t>
      </w:r>
    </w:p>
    <w:p w:rsidR="00000000" w:rsidRDefault="00755199">
      <w:pPr>
        <w:jc w:val="both"/>
        <w:rPr>
          <w:rFonts w:eastAsia="Times New Roman"/>
        </w:rPr>
      </w:pPr>
    </w:p>
    <w:p w:rsidR="00000000" w:rsidRDefault="00755199">
      <w:pPr>
        <w:jc w:val="both"/>
        <w:rPr>
          <w:rFonts w:eastAsia="Times New Roman"/>
        </w:rPr>
      </w:pPr>
      <w:r>
        <w:rPr>
          <w:rFonts w:eastAsia="Times New Roman"/>
          <w:color w:val="000000"/>
          <w:sz w:val="20"/>
          <w:szCs w:val="20"/>
        </w:rPr>
        <w:t>None.</w:t>
      </w:r>
    </w:p>
    <w:p w:rsidR="00000000" w:rsidRDefault="00755199">
      <w:pPr>
        <w:jc w:val="both"/>
        <w:rPr>
          <w:rFonts w:eastAsia="Times New Roman"/>
        </w:rPr>
      </w:pPr>
    </w:p>
    <w:p w:rsidR="00000000" w:rsidRDefault="00755199">
      <w:pPr>
        <w:divId w:val="1952544524"/>
        <w:rPr>
          <w:rFonts w:eastAsia="Times New Roman"/>
        </w:rPr>
      </w:pPr>
      <w:r>
        <w:rPr>
          <w:rFonts w:eastAsia="Times New Roman"/>
          <w:b/>
          <w:bCs/>
          <w:color w:val="000000"/>
          <w:sz w:val="20"/>
          <w:szCs w:val="20"/>
        </w:rPr>
        <w:t>ITEM 3.     DEFAULTS UPON SENIOR SECURITIES. </w:t>
      </w:r>
    </w:p>
    <w:p w:rsidR="00000000" w:rsidRDefault="00755199">
      <w:pPr>
        <w:divId w:val="662510876"/>
        <w:rPr>
          <w:rFonts w:eastAsia="Times New Roman"/>
        </w:rPr>
      </w:pPr>
    </w:p>
    <w:p w:rsidR="00000000" w:rsidRDefault="00755199">
      <w:pPr>
        <w:divId w:val="1173227136"/>
        <w:rPr>
          <w:rFonts w:eastAsia="Times New Roman"/>
        </w:rPr>
      </w:pPr>
      <w:r>
        <w:rPr>
          <w:rFonts w:eastAsia="Times New Roman"/>
          <w:color w:val="000000"/>
          <w:sz w:val="20"/>
          <w:szCs w:val="20"/>
        </w:rPr>
        <w:t>None.</w:t>
      </w:r>
    </w:p>
    <w:p w:rsidR="00000000" w:rsidRDefault="00755199">
      <w:pPr>
        <w:divId w:val="1816026072"/>
        <w:rPr>
          <w:rFonts w:eastAsia="Times New Roman"/>
        </w:rPr>
      </w:pPr>
    </w:p>
    <w:p w:rsidR="00000000" w:rsidRDefault="00755199">
      <w:pPr>
        <w:divId w:val="543640501"/>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rsidR="00000000" w:rsidRDefault="00755199">
      <w:pPr>
        <w:divId w:val="1967617884"/>
        <w:rPr>
          <w:rFonts w:eastAsia="Times New Roman"/>
        </w:rPr>
      </w:pPr>
    </w:p>
    <w:p w:rsidR="00000000" w:rsidRDefault="00755199">
      <w:pPr>
        <w:divId w:val="1038747106"/>
        <w:rPr>
          <w:rFonts w:eastAsia="Times New Roman"/>
        </w:rPr>
      </w:pPr>
      <w:r>
        <w:rPr>
          <w:rFonts w:eastAsia="Times New Roman"/>
          <w:color w:val="000000"/>
          <w:sz w:val="20"/>
          <w:szCs w:val="20"/>
        </w:rPr>
        <w:t>Not applicable.</w:t>
      </w:r>
    </w:p>
    <w:p w:rsidR="00000000" w:rsidRDefault="00755199">
      <w:pPr>
        <w:divId w:val="1073509777"/>
        <w:rPr>
          <w:rFonts w:eastAsia="Times New Roman"/>
        </w:rPr>
      </w:pPr>
    </w:p>
    <w:p w:rsidR="00000000" w:rsidRDefault="00755199">
      <w:pPr>
        <w:divId w:val="1561551063"/>
        <w:rPr>
          <w:rFonts w:eastAsia="Times New Roman"/>
        </w:rPr>
      </w:pPr>
      <w:r>
        <w:rPr>
          <w:rFonts w:eastAsia="Times New Roman"/>
          <w:b/>
          <w:bCs/>
          <w:color w:val="000000"/>
          <w:sz w:val="20"/>
          <w:szCs w:val="20"/>
        </w:rPr>
        <w:t>ITEM 5.    OTHER INFORMATION.</w:t>
      </w:r>
      <w:r>
        <w:rPr>
          <w:rFonts w:eastAsia="Times New Roman"/>
          <w:color w:val="000000"/>
          <w:sz w:val="20"/>
          <w:szCs w:val="20"/>
        </w:rPr>
        <w:t> </w:t>
      </w:r>
    </w:p>
    <w:p w:rsidR="00000000" w:rsidRDefault="00755199">
      <w:pPr>
        <w:divId w:val="942492422"/>
        <w:rPr>
          <w:rFonts w:eastAsia="Times New Roman"/>
        </w:rPr>
      </w:pPr>
    </w:p>
    <w:p w:rsidR="00000000" w:rsidRDefault="00755199">
      <w:pPr>
        <w:divId w:val="1194005000"/>
        <w:rPr>
          <w:rFonts w:eastAsia="Times New Roman"/>
        </w:rPr>
      </w:pPr>
      <w:r>
        <w:rPr>
          <w:rFonts w:eastAsia="Times New Roman"/>
          <w:color w:val="000000"/>
          <w:sz w:val="20"/>
          <w:szCs w:val="20"/>
        </w:rPr>
        <w:t>None.</w:t>
      </w:r>
    </w:p>
    <w:p w:rsidR="00000000" w:rsidRDefault="00755199">
      <w:pPr>
        <w:divId w:val="1472164427"/>
        <w:rPr>
          <w:rFonts w:eastAsia="Times New Roman"/>
        </w:rPr>
      </w:pPr>
    </w:p>
    <w:p w:rsidR="00000000" w:rsidRDefault="00755199">
      <w:pPr>
        <w:jc w:val="center"/>
        <w:divId w:val="1526283562"/>
        <w:rPr>
          <w:rFonts w:eastAsia="Times New Roman"/>
        </w:rPr>
      </w:pPr>
      <w:r>
        <w:rPr>
          <w:rFonts w:eastAsia="Times New Roman"/>
          <w:color w:val="000000"/>
          <w:sz w:val="20"/>
          <w:szCs w:val="20"/>
        </w:rPr>
        <w:t>- 39 -</w:t>
      </w:r>
    </w:p>
    <w:p w:rsidR="00000000" w:rsidRDefault="00755199">
      <w:pPr>
        <w:rPr>
          <w:rFonts w:eastAsia="Times New Roman"/>
        </w:rPr>
      </w:pPr>
      <w:r>
        <w:rPr>
          <w:rFonts w:eastAsia="Times New Roman"/>
        </w:rPr>
        <w:pict>
          <v:rect id="_x0000_i1064" style="width:0;height:1.5pt" o:hralign="center" o:hrstd="t" o:hr="t" fillcolor="#a0a0a0" stroked="f"/>
        </w:pict>
      </w:r>
    </w:p>
    <w:p w:rsidR="00000000" w:rsidRDefault="00755199">
      <w:pPr>
        <w:divId w:val="273486633"/>
        <w:rPr>
          <w:rFonts w:eastAsia="Times New Roman"/>
        </w:rPr>
      </w:pPr>
    </w:p>
    <w:p w:rsidR="00000000" w:rsidRDefault="00755199">
      <w:pPr>
        <w:divId w:val="7414209"/>
        <w:rPr>
          <w:rFonts w:eastAsia="Times New Roman"/>
        </w:rPr>
      </w:pPr>
      <w:r>
        <w:rPr>
          <w:rFonts w:eastAsia="Times New Roman"/>
          <w:b/>
          <w:bCs/>
          <w:color w:val="000000"/>
          <w:sz w:val="20"/>
          <w:szCs w:val="20"/>
        </w:rPr>
        <w:t>ITEM 6.    EXHIBITS.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7"/>
        <w:gridCol w:w="983"/>
        <w:gridCol w:w="37"/>
        <w:gridCol w:w="36"/>
        <w:gridCol w:w="36"/>
        <w:gridCol w:w="36"/>
        <w:gridCol w:w="58"/>
        <w:gridCol w:w="7017"/>
        <w:gridCol w:w="36"/>
      </w:tblGrid>
      <w:tr w:rsidR="00000000">
        <w:trPr>
          <w:divId w:val="705259280"/>
        </w:trPr>
        <w:tc>
          <w:tcPr>
            <w:tcW w:w="50" w:type="pct"/>
            <w:vAlign w:val="center"/>
            <w:hideMark/>
          </w:tcPr>
          <w:p w:rsidR="00000000" w:rsidRDefault="00755199">
            <w:pPr>
              <w:rPr>
                <w:rFonts w:eastAsia="Times New Roman"/>
              </w:rPr>
            </w:pPr>
          </w:p>
        </w:tc>
        <w:tc>
          <w:tcPr>
            <w:tcW w:w="610"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3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423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705259280"/>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20"/>
                <w:szCs w:val="20"/>
              </w:rPr>
              <w:t>Description</w:t>
            </w:r>
          </w:p>
        </w:tc>
      </w:tr>
      <w:tr w:rsidR="00000000">
        <w:trPr>
          <w:divId w:val="70525928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divId w:val="1748528267"/>
              <w:rPr>
                <w:rFonts w:eastAsia="Times New Roman"/>
              </w:rPr>
            </w:pPr>
            <w:hyperlink r:id="rId4" w:history="1">
              <w:r>
                <w:rPr>
                  <w:rStyle w:val="a3"/>
                  <w:rFonts w:eastAsia="Times New Roman"/>
                  <w:sz w:val="20"/>
                  <w:szCs w:val="20"/>
                </w:rPr>
                <w:t>First Amendment to Employment Agreement, dated as of September 28, 2022, between Avadel Management Corporation and Gregory J. Divis</w:t>
              </w:r>
            </w:hyperlink>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divId w:val="976374257"/>
              <w:rPr>
                <w:rFonts w:eastAsia="Times New Roman"/>
              </w:rPr>
            </w:pPr>
            <w:hyperlink r:id="rId5" w:history="1">
              <w:r>
                <w:rPr>
                  <w:rStyle w:val="a3"/>
                  <w:rFonts w:eastAsia="Times New Roman"/>
                  <w:sz w:val="20"/>
                  <w:szCs w:val="20"/>
                </w:rPr>
                <w:t>First Amendment to Employment Agreement, dated as of September 28, 2022, between Avadel Management Corporation and Thomas S. McHugh</w:t>
              </w:r>
            </w:hyperlink>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divId w:val="790899083"/>
              <w:rPr>
                <w:rFonts w:eastAsia="Times New Roman"/>
              </w:rPr>
            </w:pPr>
            <w:hyperlink r:id="rId6" w:history="1">
              <w:r>
                <w:rPr>
                  <w:rStyle w:val="a3"/>
                  <w:rFonts w:eastAsia="Times New Roman"/>
                  <w:sz w:val="20"/>
                  <w:szCs w:val="20"/>
                </w:rPr>
                <w:t>First Amendment to Employment Agreement, dated as of September 28, 2022, between Avadel Management Corporation and Richard Kim</w:t>
              </w:r>
            </w:hyperlink>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divId w:val="1330981635"/>
              <w:rPr>
                <w:rFonts w:eastAsia="Times New Roman"/>
              </w:rPr>
            </w:pPr>
            <w:hyperlink r:id="rId7" w:history="1">
              <w:r>
                <w:rPr>
                  <w:rStyle w:val="a3"/>
                  <w:rFonts w:eastAsia="Times New Roman"/>
                  <w:sz w:val="20"/>
                  <w:szCs w:val="20"/>
                </w:rPr>
                <w:t>Certification of the Principal Executive Officer pursuant to Rule 13a-14(a) an</w:t>
              </w:r>
              <w:r>
                <w:rPr>
                  <w:rStyle w:val="a3"/>
                  <w:rFonts w:eastAsia="Times New Roman"/>
                  <w:sz w:val="20"/>
                  <w:szCs w:val="20"/>
                </w:rPr>
                <w:t>d Rule 15d-14(a) promulgated under the Exchange Act</w:t>
              </w:r>
            </w:hyperlink>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divId w:val="595289368"/>
              <w:rPr>
                <w:rFonts w:eastAsia="Times New Roman"/>
              </w:rPr>
            </w:pPr>
            <w:hyperlink r:id="rId8" w:history="1">
              <w:r>
                <w:rPr>
                  <w:rStyle w:val="a3"/>
                  <w:rFonts w:eastAsia="Times New Roman"/>
                  <w:sz w:val="20"/>
                  <w:szCs w:val="20"/>
                </w:rPr>
                <w:t>Certification of the Principal Financial Officer pursuant to Rule 13a-14(a) and Rule 15d-14(a) promulgated under the Exchange Act</w:t>
              </w:r>
            </w:hyperlink>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divId w:val="2004892772"/>
              <w:rPr>
                <w:rFonts w:eastAsia="Times New Roman"/>
              </w:rPr>
            </w:pPr>
            <w:hyperlink r:id="rId9" w:history="1">
              <w:r>
                <w:rPr>
                  <w:rStyle w:val="a3"/>
                  <w:rFonts w:eastAsia="Times New Roman"/>
                  <w:sz w:val="20"/>
                  <w:szCs w:val="20"/>
                </w:rPr>
                <w:t>Certification of the Principal Executive Officer pursuant to 18 U.S.C. Sec</w:t>
              </w:r>
              <w:r>
                <w:rPr>
                  <w:rStyle w:val="a3"/>
                  <w:rFonts w:eastAsia="Times New Roman"/>
                  <w:sz w:val="20"/>
                  <w:szCs w:val="20"/>
                </w:rPr>
                <w:t>tion 1350, as adopted pursuant to Section 906 of the Sarbanes-Oxley Act of 2002</w:t>
              </w:r>
            </w:hyperlink>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divId w:val="1556618921"/>
              <w:rPr>
                <w:rFonts w:eastAsia="Times New Roman"/>
              </w:rPr>
            </w:pPr>
            <w:hyperlink r:id="rId10" w:history="1">
              <w:r>
                <w:rPr>
                  <w:rStyle w:val="a3"/>
                  <w:rFonts w:eastAsia="Times New Roman"/>
                  <w:sz w:val="20"/>
                  <w:szCs w:val="20"/>
                </w:rPr>
                <w:t>Certification of the Principal Financial Officer pursuant to 18 U.S.C. Section 1350, as adopted pursuant to Section 906 of the Sarbanes-Oxley Act of 2002</w:t>
              </w:r>
            </w:hyperlink>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Inline XBRL Taxonomy Extension Schema Document</w:t>
            </w:r>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xml:space="preserve">Inline XBRL Taxonomy </w:t>
            </w:r>
            <w:r>
              <w:rPr>
                <w:rFonts w:eastAsia="Times New Roman"/>
                <w:color w:val="000000"/>
                <w:sz w:val="20"/>
                <w:szCs w:val="20"/>
              </w:rPr>
              <w:t>Extension Calculation Linkbase Document</w:t>
            </w:r>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Inline XBRL Taxonomy Extension Definition Linkbase Document</w:t>
            </w:r>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Inline XBRL Taxonomy Extension Label Linkbase Document</w:t>
            </w:r>
          </w:p>
        </w:tc>
      </w:tr>
      <w:tr w:rsidR="00000000">
        <w:trPr>
          <w:divId w:val="705259280"/>
        </w:trPr>
        <w:tc>
          <w:tcPr>
            <w:tcW w:w="0" w:type="auto"/>
            <w:gridSpan w:val="3"/>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Inline XBRL Taxonomy Extension Presentation Linkbase Document</w:t>
            </w:r>
          </w:p>
        </w:tc>
      </w:tr>
      <w:tr w:rsidR="00000000">
        <w:trPr>
          <w:divId w:val="705259280"/>
        </w:trPr>
        <w:tc>
          <w:tcPr>
            <w:tcW w:w="0" w:type="auto"/>
            <w:gridSpan w:val="3"/>
            <w:tcBorders>
              <w:bottom w:val="single" w:sz="8" w:space="0" w:color="000000"/>
            </w:tcBorders>
            <w:tcMar>
              <w:top w:w="30" w:type="dxa"/>
              <w:left w:w="20" w:type="dxa"/>
              <w:bottom w:w="30" w:type="dxa"/>
              <w:right w:w="20" w:type="dxa"/>
            </w:tcMar>
            <w:hideMark/>
          </w:tcPr>
          <w:p w:rsidR="00000000" w:rsidRDefault="00755199">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bl>
    <w:p w:rsidR="00000000" w:rsidRDefault="00755199">
      <w:pPr>
        <w:divId w:val="2045518577"/>
        <w:rPr>
          <w:rFonts w:eastAsia="Times New Roman"/>
        </w:rPr>
      </w:pPr>
      <w:r>
        <w:rPr>
          <w:rFonts w:eastAsia="Times New Roman"/>
          <w:color w:val="000000"/>
          <w:sz w:val="20"/>
          <w:szCs w:val="20"/>
        </w:rPr>
        <w:t>*    </w:t>
      </w:r>
      <w:r>
        <w:rPr>
          <w:rFonts w:eastAsia="Times New Roman"/>
          <w:color w:val="000000"/>
          <w:sz w:val="20"/>
          <w:szCs w:val="20"/>
        </w:rPr>
        <w:t>Filed herewith. </w:t>
      </w:r>
    </w:p>
    <w:p w:rsidR="00000000" w:rsidRDefault="00755199">
      <w:pPr>
        <w:divId w:val="224684158"/>
        <w:rPr>
          <w:rFonts w:eastAsia="Times New Roman"/>
        </w:rPr>
      </w:pPr>
      <w:r>
        <w:rPr>
          <w:rFonts w:eastAsia="Times New Roman"/>
          <w:color w:val="000000"/>
          <w:sz w:val="20"/>
          <w:szCs w:val="20"/>
        </w:rPr>
        <w:t>**          Furnished herewith. </w:t>
      </w:r>
    </w:p>
    <w:p w:rsidR="00000000" w:rsidRDefault="00755199">
      <w:pPr>
        <w:divId w:val="1158376274"/>
        <w:rPr>
          <w:rFonts w:eastAsia="Times New Roman"/>
        </w:rPr>
      </w:pPr>
      <w:r>
        <w:rPr>
          <w:rFonts w:eastAsia="Times New Roman"/>
          <w:color w:val="000000"/>
          <w:sz w:val="20"/>
          <w:szCs w:val="20"/>
        </w:rPr>
        <w:t>‡    Management contract or compensatory plan or arrangement.</w:t>
      </w:r>
    </w:p>
    <w:p w:rsidR="00000000" w:rsidRDefault="00755199">
      <w:pPr>
        <w:divId w:val="1504970928"/>
        <w:rPr>
          <w:rFonts w:eastAsia="Times New Roman"/>
        </w:rPr>
      </w:pPr>
    </w:p>
    <w:p w:rsidR="00000000" w:rsidRDefault="00755199">
      <w:pPr>
        <w:divId w:val="1217670356"/>
        <w:rPr>
          <w:rFonts w:eastAsia="Times New Roman"/>
        </w:rPr>
      </w:pPr>
      <w:r>
        <w:rPr>
          <w:rFonts w:eastAsia="Times New Roman"/>
          <w:b/>
          <w:bCs/>
          <w:color w:val="000000"/>
          <w:sz w:val="20"/>
          <w:szCs w:val="20"/>
        </w:rPr>
        <w:t>SIGNATURES</w:t>
      </w:r>
      <w:r>
        <w:rPr>
          <w:rFonts w:eastAsia="Times New Roman"/>
          <w:color w:val="000000"/>
          <w:sz w:val="20"/>
          <w:szCs w:val="20"/>
        </w:rPr>
        <w:t> </w:t>
      </w:r>
    </w:p>
    <w:p w:rsidR="00000000" w:rsidRDefault="00755199">
      <w:pPr>
        <w:jc w:val="both"/>
        <w:divId w:val="1539583020"/>
        <w:rPr>
          <w:rFonts w:eastAsia="Times New Roman"/>
        </w:rPr>
      </w:pPr>
      <w:r>
        <w:rPr>
          <w:rFonts w:eastAsia="Times New Roman"/>
          <w:color w:val="000000"/>
          <w:sz w:val="20"/>
          <w:szCs w:val="20"/>
        </w:rPr>
        <w:t>Pursuant to the requirements of the Securities Exchange Act of 1934, the registrant has duly caused this report to be signed on it</w:t>
      </w:r>
      <w:r>
        <w:rPr>
          <w:rFonts w:eastAsia="Times New Roman"/>
          <w:color w:val="000000"/>
          <w:sz w:val="20"/>
          <w:szCs w:val="20"/>
        </w:rPr>
        <w:t>s behalf by the undersigned thereunto duly authorized.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3378"/>
        <w:gridCol w:w="36"/>
        <w:gridCol w:w="69"/>
        <w:gridCol w:w="343"/>
        <w:gridCol w:w="39"/>
        <w:gridCol w:w="69"/>
        <w:gridCol w:w="4255"/>
        <w:gridCol w:w="36"/>
      </w:tblGrid>
      <w:tr w:rsidR="00000000">
        <w:trPr>
          <w:divId w:val="753549280"/>
          <w:jc w:val="center"/>
        </w:trPr>
        <w:tc>
          <w:tcPr>
            <w:tcW w:w="50" w:type="pct"/>
            <w:vAlign w:val="center"/>
            <w:hideMark/>
          </w:tcPr>
          <w:p w:rsidR="00000000" w:rsidRDefault="00755199">
            <w:pPr>
              <w:jc w:val="both"/>
              <w:rPr>
                <w:rFonts w:eastAsia="Times New Roman"/>
              </w:rPr>
            </w:pPr>
          </w:p>
        </w:tc>
        <w:tc>
          <w:tcPr>
            <w:tcW w:w="204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2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257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rPr>
          <w:divId w:val="753549280"/>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b/>
                <w:bCs/>
                <w:color w:val="000000"/>
                <w:sz w:val="20"/>
                <w:szCs w:val="20"/>
              </w:rPr>
              <w:t>AVADEL PHARMACEUTICALS PLC</w:t>
            </w:r>
          </w:p>
        </w:tc>
      </w:tr>
      <w:tr w:rsidR="00000000">
        <w:trPr>
          <w:divId w:val="753549280"/>
          <w:jc w:val="center"/>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(Registrant)</w:t>
            </w:r>
          </w:p>
        </w:tc>
      </w:tr>
      <w:tr w:rsidR="00000000">
        <w:trPr>
          <w:divId w:val="753549280"/>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r>
      <w:tr w:rsidR="00000000">
        <w:trPr>
          <w:divId w:val="753549280"/>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Date: November 9, 2022</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i/>
                <w:iCs/>
                <w:color w:val="000000"/>
                <w:sz w:val="20"/>
                <w:szCs w:val="20"/>
              </w:rPr>
              <w:t>/s/ Gregory J. Divis</w:t>
            </w:r>
          </w:p>
        </w:tc>
      </w:tr>
      <w:tr w:rsidR="00000000">
        <w:trPr>
          <w:divId w:val="753549280"/>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Gregory J. Divis</w:t>
            </w:r>
          </w:p>
        </w:tc>
      </w:tr>
      <w:tr w:rsidR="00000000">
        <w:trPr>
          <w:divId w:val="753549280"/>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i/>
                <w:iCs/>
                <w:color w:val="000000"/>
                <w:sz w:val="20"/>
                <w:szCs w:val="20"/>
              </w:rPr>
              <w:t>Chief Executive Officer</w:t>
            </w:r>
          </w:p>
        </w:tc>
      </w:tr>
      <w:tr w:rsidR="00000000">
        <w:trPr>
          <w:divId w:val="753549280"/>
          <w:jc w:val="center"/>
        </w:trPr>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divId w:val="994067324"/>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Executive Officer)</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393"/>
        <w:gridCol w:w="144"/>
        <w:gridCol w:w="144"/>
        <w:gridCol w:w="356"/>
        <w:gridCol w:w="144"/>
        <w:gridCol w:w="144"/>
        <w:gridCol w:w="4267"/>
        <w:gridCol w:w="144"/>
      </w:tblGrid>
      <w:tr w:rsidR="00000000">
        <w:tc>
          <w:tcPr>
            <w:tcW w:w="50" w:type="pct"/>
            <w:vAlign w:val="center"/>
            <w:hideMark/>
          </w:tcPr>
          <w:p w:rsidR="00000000" w:rsidRDefault="00755199">
            <w:pPr>
              <w:jc w:val="center"/>
              <w:rPr>
                <w:rFonts w:eastAsia="Times New Roman"/>
              </w:rPr>
            </w:pPr>
          </w:p>
        </w:tc>
        <w:tc>
          <w:tcPr>
            <w:tcW w:w="2046"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215"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c>
          <w:tcPr>
            <w:tcW w:w="50" w:type="pct"/>
            <w:vAlign w:val="center"/>
            <w:hideMark/>
          </w:tcPr>
          <w:p w:rsidR="00000000" w:rsidRDefault="00755199">
            <w:pPr>
              <w:spacing w:after="100"/>
              <w:rPr>
                <w:rFonts w:eastAsia="Times New Roman"/>
                <w:sz w:val="20"/>
                <w:szCs w:val="20"/>
              </w:rPr>
            </w:pPr>
          </w:p>
        </w:tc>
        <w:tc>
          <w:tcPr>
            <w:tcW w:w="2573" w:type="pct"/>
            <w:vAlign w:val="center"/>
            <w:hideMark/>
          </w:tcPr>
          <w:p w:rsidR="00000000" w:rsidRDefault="00755199">
            <w:pPr>
              <w:spacing w:after="100"/>
              <w:rPr>
                <w:rFonts w:eastAsia="Times New Roman"/>
                <w:sz w:val="20"/>
                <w:szCs w:val="20"/>
              </w:rPr>
            </w:pPr>
          </w:p>
        </w:tc>
        <w:tc>
          <w:tcPr>
            <w:tcW w:w="5" w:type="pct"/>
            <w:vAlign w:val="center"/>
            <w:hideMark/>
          </w:tcPr>
          <w:p w:rsidR="00000000" w:rsidRDefault="0075519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6"/>
            <w:tcMar>
              <w:top w:w="0" w:type="dxa"/>
              <w:left w:w="20" w:type="dxa"/>
              <w:bottom w:w="0" w:type="dxa"/>
              <w:right w:w="20" w:type="dxa"/>
            </w:tcMar>
            <w:vAlign w:val="center"/>
            <w:hideMark/>
          </w:tcPr>
          <w:p w:rsidR="00000000" w:rsidRDefault="00755199">
            <w:pPr>
              <w:spacing w:after="100"/>
              <w:rPr>
                <w:rFonts w:eastAsia="Times New Roman"/>
              </w:rPr>
            </w:pPr>
          </w:p>
        </w:tc>
      </w:tr>
      <w:tr w:rsidR="00000000">
        <w:trPr>
          <w:trHeight w:val="300"/>
        </w:trPr>
        <w:tc>
          <w:tcPr>
            <w:tcW w:w="0" w:type="auto"/>
            <w:gridSpan w:val="3"/>
            <w:tcMar>
              <w:top w:w="0" w:type="dxa"/>
              <w:left w:w="20" w:type="dxa"/>
              <w:bottom w:w="0" w:type="dxa"/>
              <w:right w:w="20" w:type="dxa"/>
            </w:tcMar>
            <w:vAlign w:val="center"/>
            <w:hideMark/>
          </w:tcPr>
          <w:p w:rsidR="00000000" w:rsidRDefault="00755199">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755199">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Date: November 9, 2022</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i/>
                <w:iCs/>
                <w:color w:val="000000"/>
                <w:sz w:val="20"/>
                <w:szCs w:val="20"/>
              </w:rPr>
              <w:t>/s/ Thomas S. McHugh</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Thomas S. McHugh</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i/>
                <w:iCs/>
                <w:color w:val="000000"/>
                <w:sz w:val="20"/>
                <w:szCs w:val="20"/>
              </w:rPr>
              <w:t>Senior Vice President and Chief Financial Officer</w:t>
            </w:r>
          </w:p>
        </w:tc>
      </w:tr>
      <w:tr w:rsidR="00000000">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55199">
            <w:pPr>
              <w:spacing w:after="100"/>
              <w:divId w:val="442308797"/>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Financial and Accounting Officer)</w:t>
            </w:r>
          </w:p>
        </w:tc>
      </w:tr>
    </w:tbl>
    <w:p w:rsidR="00755199" w:rsidRDefault="00755199">
      <w:pPr>
        <w:jc w:val="center"/>
        <w:divId w:val="791285005"/>
        <w:rPr>
          <w:rFonts w:eastAsia="Times New Roman"/>
        </w:rPr>
      </w:pPr>
      <w:r>
        <w:rPr>
          <w:rFonts w:eastAsia="Times New Roman"/>
          <w:color w:val="000000"/>
          <w:sz w:val="20"/>
          <w:szCs w:val="20"/>
        </w:rPr>
        <w:t>- 40 -</w:t>
      </w:r>
    </w:p>
    <w:sectPr w:rsidR="0075519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5199"/>
    <w:rsid w:val="00755199"/>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inlineXBRL/transformation/2020-02-12"/>
  <w:attachedSchema w:val="http://www.xbrl.org/2003/iso4217"/>
  <w:attachedSchema w:val="http://xbrl.sec.gov/exch/2022"/>
  <w:attachedSchema w:val="http://www.xbrl.org/2003/instance"/>
  <w:attachedSchema w:val="http://fasb.org/srt/2022"/>
  <w:attachedSchema w:val="http://www.xbrl.org/2003/linkbase"/>
  <w:attachedSchema w:val="http://xbrl.sec.gov/dei/2022"/>
  <w:attachedSchema w:val="http://www.avadel.com/20220930"/>
  <w:attachedSchema w:val="http://fasb.org/us-gaap/2022"/>
  <w:attachedSchema w:val="http://www.w3.org/1999/xlink"/>
  <w:attachedSchema w:val="http://www.xbrl.org/2009/utr"/>
  <w:attachedSchema w:val="http://www.sec.gov/inlineXBRL/transformation/2015-08-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06">
      <w:marLeft w:val="0"/>
      <w:marRight w:val="0"/>
      <w:marTop w:val="0"/>
      <w:marBottom w:val="0"/>
      <w:divBdr>
        <w:top w:val="none" w:sz="0" w:space="0" w:color="auto"/>
        <w:left w:val="none" w:sz="0" w:space="0" w:color="auto"/>
        <w:bottom w:val="none" w:sz="0" w:space="0" w:color="auto"/>
        <w:right w:val="none" w:sz="0" w:space="0" w:color="auto"/>
      </w:divBdr>
    </w:div>
    <w:div w:id="4135050">
      <w:marLeft w:val="0"/>
      <w:marRight w:val="0"/>
      <w:marTop w:val="0"/>
      <w:marBottom w:val="120"/>
      <w:divBdr>
        <w:top w:val="none" w:sz="0" w:space="0" w:color="auto"/>
        <w:left w:val="none" w:sz="0" w:space="0" w:color="auto"/>
        <w:bottom w:val="none" w:sz="0" w:space="0" w:color="auto"/>
        <w:right w:val="none" w:sz="0" w:space="0" w:color="auto"/>
      </w:divBdr>
    </w:div>
    <w:div w:id="7414209">
      <w:marLeft w:val="0"/>
      <w:marRight w:val="0"/>
      <w:marTop w:val="0"/>
      <w:marBottom w:val="280"/>
      <w:divBdr>
        <w:top w:val="none" w:sz="0" w:space="0" w:color="auto"/>
        <w:left w:val="none" w:sz="0" w:space="0" w:color="auto"/>
        <w:bottom w:val="none" w:sz="0" w:space="0" w:color="auto"/>
        <w:right w:val="none" w:sz="0" w:space="0" w:color="auto"/>
      </w:divBdr>
    </w:div>
    <w:div w:id="8725376">
      <w:marLeft w:val="0"/>
      <w:marRight w:val="0"/>
      <w:marTop w:val="0"/>
      <w:marBottom w:val="0"/>
      <w:divBdr>
        <w:top w:val="none" w:sz="0" w:space="0" w:color="auto"/>
        <w:left w:val="none" w:sz="0" w:space="0" w:color="auto"/>
        <w:bottom w:val="none" w:sz="0" w:space="0" w:color="auto"/>
        <w:right w:val="none" w:sz="0" w:space="0" w:color="auto"/>
      </w:divBdr>
      <w:divsChild>
        <w:div w:id="2108652012">
          <w:marLeft w:val="0"/>
          <w:marRight w:val="0"/>
          <w:marTop w:val="0"/>
          <w:marBottom w:val="0"/>
          <w:divBdr>
            <w:top w:val="none" w:sz="0" w:space="0" w:color="auto"/>
            <w:left w:val="none" w:sz="0" w:space="0" w:color="auto"/>
            <w:bottom w:val="none" w:sz="0" w:space="0" w:color="auto"/>
            <w:right w:val="none" w:sz="0" w:space="0" w:color="auto"/>
          </w:divBdr>
        </w:div>
      </w:divsChild>
    </w:div>
    <w:div w:id="16544900">
      <w:marLeft w:val="0"/>
      <w:marRight w:val="0"/>
      <w:marTop w:val="0"/>
      <w:marBottom w:val="0"/>
      <w:divBdr>
        <w:top w:val="none" w:sz="0" w:space="0" w:color="auto"/>
        <w:left w:val="none" w:sz="0" w:space="0" w:color="auto"/>
        <w:bottom w:val="none" w:sz="0" w:space="0" w:color="auto"/>
        <w:right w:val="none" w:sz="0" w:space="0" w:color="auto"/>
      </w:divBdr>
    </w:div>
    <w:div w:id="32971819">
      <w:marLeft w:val="0"/>
      <w:marRight w:val="0"/>
      <w:marTop w:val="100"/>
      <w:marBottom w:val="0"/>
      <w:divBdr>
        <w:top w:val="none" w:sz="0" w:space="0" w:color="auto"/>
        <w:left w:val="none" w:sz="0" w:space="0" w:color="auto"/>
        <w:bottom w:val="none" w:sz="0" w:space="0" w:color="auto"/>
        <w:right w:val="none" w:sz="0" w:space="0" w:color="auto"/>
      </w:divBdr>
    </w:div>
    <w:div w:id="50009383">
      <w:marLeft w:val="0"/>
      <w:marRight w:val="0"/>
      <w:marTop w:val="40"/>
      <w:marBottom w:val="40"/>
      <w:divBdr>
        <w:top w:val="none" w:sz="0" w:space="0" w:color="auto"/>
        <w:left w:val="none" w:sz="0" w:space="0" w:color="auto"/>
        <w:bottom w:val="none" w:sz="0" w:space="0" w:color="auto"/>
        <w:right w:val="none" w:sz="0" w:space="0" w:color="auto"/>
      </w:divBdr>
    </w:div>
    <w:div w:id="59256532">
      <w:marLeft w:val="0"/>
      <w:marRight w:val="0"/>
      <w:marTop w:val="0"/>
      <w:marBottom w:val="0"/>
      <w:divBdr>
        <w:top w:val="none" w:sz="0" w:space="0" w:color="auto"/>
        <w:left w:val="none" w:sz="0" w:space="0" w:color="auto"/>
        <w:bottom w:val="none" w:sz="0" w:space="0" w:color="auto"/>
        <w:right w:val="none" w:sz="0" w:space="0" w:color="auto"/>
      </w:divBdr>
    </w:div>
    <w:div w:id="64032078">
      <w:marLeft w:val="0"/>
      <w:marRight w:val="0"/>
      <w:marTop w:val="0"/>
      <w:marBottom w:val="0"/>
      <w:divBdr>
        <w:top w:val="none" w:sz="0" w:space="0" w:color="auto"/>
        <w:left w:val="none" w:sz="0" w:space="0" w:color="auto"/>
        <w:bottom w:val="none" w:sz="0" w:space="0" w:color="auto"/>
        <w:right w:val="none" w:sz="0" w:space="0" w:color="auto"/>
      </w:divBdr>
    </w:div>
    <w:div w:id="72288909">
      <w:marLeft w:val="0"/>
      <w:marRight w:val="0"/>
      <w:marTop w:val="0"/>
      <w:marBottom w:val="0"/>
      <w:divBdr>
        <w:top w:val="none" w:sz="0" w:space="0" w:color="auto"/>
        <w:left w:val="none" w:sz="0" w:space="0" w:color="auto"/>
        <w:bottom w:val="none" w:sz="0" w:space="0" w:color="auto"/>
        <w:right w:val="none" w:sz="0" w:space="0" w:color="auto"/>
      </w:divBdr>
      <w:divsChild>
        <w:div w:id="578758846">
          <w:marLeft w:val="0"/>
          <w:marRight w:val="0"/>
          <w:marTop w:val="0"/>
          <w:marBottom w:val="0"/>
          <w:divBdr>
            <w:top w:val="none" w:sz="0" w:space="0" w:color="auto"/>
            <w:left w:val="none" w:sz="0" w:space="0" w:color="auto"/>
            <w:bottom w:val="none" w:sz="0" w:space="0" w:color="auto"/>
            <w:right w:val="none" w:sz="0" w:space="0" w:color="auto"/>
          </w:divBdr>
        </w:div>
      </w:divsChild>
    </w:div>
    <w:div w:id="74323576">
      <w:marLeft w:val="0"/>
      <w:marRight w:val="0"/>
      <w:marTop w:val="0"/>
      <w:marBottom w:val="0"/>
      <w:divBdr>
        <w:top w:val="none" w:sz="0" w:space="0" w:color="auto"/>
        <w:left w:val="none" w:sz="0" w:space="0" w:color="auto"/>
        <w:bottom w:val="none" w:sz="0" w:space="0" w:color="auto"/>
        <w:right w:val="none" w:sz="0" w:space="0" w:color="auto"/>
      </w:divBdr>
    </w:div>
    <w:div w:id="78870801">
      <w:marLeft w:val="0"/>
      <w:marRight w:val="0"/>
      <w:marTop w:val="0"/>
      <w:marBottom w:val="0"/>
      <w:divBdr>
        <w:top w:val="none" w:sz="0" w:space="0" w:color="auto"/>
        <w:left w:val="none" w:sz="0" w:space="0" w:color="auto"/>
        <w:bottom w:val="none" w:sz="0" w:space="0" w:color="auto"/>
        <w:right w:val="none" w:sz="0" w:space="0" w:color="auto"/>
      </w:divBdr>
    </w:div>
    <w:div w:id="89546878">
      <w:marLeft w:val="0"/>
      <w:marRight w:val="0"/>
      <w:marTop w:val="0"/>
      <w:marBottom w:val="0"/>
      <w:divBdr>
        <w:top w:val="none" w:sz="0" w:space="0" w:color="auto"/>
        <w:left w:val="none" w:sz="0" w:space="0" w:color="auto"/>
        <w:bottom w:val="none" w:sz="0" w:space="0" w:color="auto"/>
        <w:right w:val="none" w:sz="0" w:space="0" w:color="auto"/>
      </w:divBdr>
      <w:divsChild>
        <w:div w:id="751664741">
          <w:marLeft w:val="0"/>
          <w:marRight w:val="0"/>
          <w:marTop w:val="0"/>
          <w:marBottom w:val="0"/>
          <w:divBdr>
            <w:top w:val="none" w:sz="0" w:space="0" w:color="auto"/>
            <w:left w:val="none" w:sz="0" w:space="0" w:color="auto"/>
            <w:bottom w:val="none" w:sz="0" w:space="0" w:color="auto"/>
            <w:right w:val="none" w:sz="0" w:space="0" w:color="auto"/>
          </w:divBdr>
        </w:div>
      </w:divsChild>
    </w:div>
    <w:div w:id="90206348">
      <w:marLeft w:val="0"/>
      <w:marRight w:val="0"/>
      <w:marTop w:val="0"/>
      <w:marBottom w:val="0"/>
      <w:divBdr>
        <w:top w:val="none" w:sz="0" w:space="0" w:color="auto"/>
        <w:left w:val="none" w:sz="0" w:space="0" w:color="auto"/>
        <w:bottom w:val="none" w:sz="0" w:space="0" w:color="auto"/>
        <w:right w:val="none" w:sz="0" w:space="0" w:color="auto"/>
      </w:divBdr>
    </w:div>
    <w:div w:id="100028506">
      <w:marLeft w:val="0"/>
      <w:marRight w:val="0"/>
      <w:marTop w:val="0"/>
      <w:marBottom w:val="0"/>
      <w:divBdr>
        <w:top w:val="none" w:sz="0" w:space="0" w:color="auto"/>
        <w:left w:val="none" w:sz="0" w:space="0" w:color="auto"/>
        <w:bottom w:val="none" w:sz="0" w:space="0" w:color="auto"/>
        <w:right w:val="none" w:sz="0" w:space="0" w:color="auto"/>
      </w:divBdr>
      <w:divsChild>
        <w:div w:id="1863742144">
          <w:marLeft w:val="0"/>
          <w:marRight w:val="0"/>
          <w:marTop w:val="0"/>
          <w:marBottom w:val="0"/>
          <w:divBdr>
            <w:top w:val="none" w:sz="0" w:space="0" w:color="auto"/>
            <w:left w:val="none" w:sz="0" w:space="0" w:color="auto"/>
            <w:bottom w:val="none" w:sz="0" w:space="0" w:color="auto"/>
            <w:right w:val="none" w:sz="0" w:space="0" w:color="auto"/>
          </w:divBdr>
        </w:div>
      </w:divsChild>
    </w:div>
    <w:div w:id="108011323">
      <w:marLeft w:val="0"/>
      <w:marRight w:val="0"/>
      <w:marTop w:val="0"/>
      <w:marBottom w:val="0"/>
      <w:divBdr>
        <w:top w:val="none" w:sz="0" w:space="0" w:color="auto"/>
        <w:left w:val="none" w:sz="0" w:space="0" w:color="auto"/>
        <w:bottom w:val="none" w:sz="0" w:space="0" w:color="auto"/>
        <w:right w:val="none" w:sz="0" w:space="0" w:color="auto"/>
      </w:divBdr>
      <w:divsChild>
        <w:div w:id="1276863532">
          <w:marLeft w:val="0"/>
          <w:marRight w:val="0"/>
          <w:marTop w:val="0"/>
          <w:marBottom w:val="0"/>
          <w:divBdr>
            <w:top w:val="none" w:sz="0" w:space="0" w:color="auto"/>
            <w:left w:val="none" w:sz="0" w:space="0" w:color="auto"/>
            <w:bottom w:val="none" w:sz="0" w:space="0" w:color="auto"/>
            <w:right w:val="none" w:sz="0" w:space="0" w:color="auto"/>
          </w:divBdr>
        </w:div>
      </w:divsChild>
    </w:div>
    <w:div w:id="124785436">
      <w:marLeft w:val="0"/>
      <w:marRight w:val="0"/>
      <w:marTop w:val="0"/>
      <w:marBottom w:val="0"/>
      <w:divBdr>
        <w:top w:val="none" w:sz="0" w:space="0" w:color="auto"/>
        <w:left w:val="none" w:sz="0" w:space="0" w:color="auto"/>
        <w:bottom w:val="none" w:sz="0" w:space="0" w:color="auto"/>
        <w:right w:val="none" w:sz="0" w:space="0" w:color="auto"/>
      </w:divBdr>
      <w:divsChild>
        <w:div w:id="28143917">
          <w:marLeft w:val="0"/>
          <w:marRight w:val="0"/>
          <w:marTop w:val="0"/>
          <w:marBottom w:val="0"/>
          <w:divBdr>
            <w:top w:val="none" w:sz="0" w:space="0" w:color="auto"/>
            <w:left w:val="none" w:sz="0" w:space="0" w:color="auto"/>
            <w:bottom w:val="none" w:sz="0" w:space="0" w:color="auto"/>
            <w:right w:val="none" w:sz="0" w:space="0" w:color="auto"/>
          </w:divBdr>
        </w:div>
      </w:divsChild>
    </w:div>
    <w:div w:id="131484135">
      <w:marLeft w:val="0"/>
      <w:marRight w:val="0"/>
      <w:marTop w:val="0"/>
      <w:marBottom w:val="0"/>
      <w:divBdr>
        <w:top w:val="none" w:sz="0" w:space="0" w:color="auto"/>
        <w:left w:val="none" w:sz="0" w:space="0" w:color="auto"/>
        <w:bottom w:val="none" w:sz="0" w:space="0" w:color="auto"/>
        <w:right w:val="none" w:sz="0" w:space="0" w:color="auto"/>
      </w:divBdr>
      <w:divsChild>
        <w:div w:id="2053188424">
          <w:marLeft w:val="0"/>
          <w:marRight w:val="0"/>
          <w:marTop w:val="0"/>
          <w:marBottom w:val="0"/>
          <w:divBdr>
            <w:top w:val="none" w:sz="0" w:space="0" w:color="auto"/>
            <w:left w:val="none" w:sz="0" w:space="0" w:color="auto"/>
            <w:bottom w:val="none" w:sz="0" w:space="0" w:color="auto"/>
            <w:right w:val="none" w:sz="0" w:space="0" w:color="auto"/>
          </w:divBdr>
        </w:div>
      </w:divsChild>
    </w:div>
    <w:div w:id="131602690">
      <w:marLeft w:val="0"/>
      <w:marRight w:val="0"/>
      <w:marTop w:val="0"/>
      <w:marBottom w:val="0"/>
      <w:divBdr>
        <w:top w:val="none" w:sz="0" w:space="0" w:color="auto"/>
        <w:left w:val="none" w:sz="0" w:space="0" w:color="auto"/>
        <w:bottom w:val="none" w:sz="0" w:space="0" w:color="auto"/>
        <w:right w:val="none" w:sz="0" w:space="0" w:color="auto"/>
      </w:divBdr>
      <w:divsChild>
        <w:div w:id="390545803">
          <w:marLeft w:val="0"/>
          <w:marRight w:val="0"/>
          <w:marTop w:val="0"/>
          <w:marBottom w:val="0"/>
          <w:divBdr>
            <w:top w:val="none" w:sz="0" w:space="0" w:color="auto"/>
            <w:left w:val="none" w:sz="0" w:space="0" w:color="auto"/>
            <w:bottom w:val="none" w:sz="0" w:space="0" w:color="auto"/>
            <w:right w:val="none" w:sz="0" w:space="0" w:color="auto"/>
          </w:divBdr>
        </w:div>
      </w:divsChild>
    </w:div>
    <w:div w:id="153762517">
      <w:marLeft w:val="0"/>
      <w:marRight w:val="0"/>
      <w:marTop w:val="0"/>
      <w:marBottom w:val="0"/>
      <w:divBdr>
        <w:top w:val="none" w:sz="0" w:space="0" w:color="auto"/>
        <w:left w:val="none" w:sz="0" w:space="0" w:color="auto"/>
        <w:bottom w:val="none" w:sz="0" w:space="0" w:color="auto"/>
        <w:right w:val="none" w:sz="0" w:space="0" w:color="auto"/>
      </w:divBdr>
    </w:div>
    <w:div w:id="170721344">
      <w:marLeft w:val="0"/>
      <w:marRight w:val="0"/>
      <w:marTop w:val="180"/>
      <w:marBottom w:val="0"/>
      <w:divBdr>
        <w:top w:val="none" w:sz="0" w:space="0" w:color="auto"/>
        <w:left w:val="none" w:sz="0" w:space="0" w:color="auto"/>
        <w:bottom w:val="none" w:sz="0" w:space="0" w:color="auto"/>
        <w:right w:val="none" w:sz="0" w:space="0" w:color="auto"/>
      </w:divBdr>
    </w:div>
    <w:div w:id="171266897">
      <w:marLeft w:val="0"/>
      <w:marRight w:val="0"/>
      <w:marTop w:val="0"/>
      <w:marBottom w:val="0"/>
      <w:divBdr>
        <w:top w:val="none" w:sz="0" w:space="0" w:color="auto"/>
        <w:left w:val="none" w:sz="0" w:space="0" w:color="auto"/>
        <w:bottom w:val="none" w:sz="0" w:space="0" w:color="auto"/>
        <w:right w:val="none" w:sz="0" w:space="0" w:color="auto"/>
      </w:divBdr>
      <w:divsChild>
        <w:div w:id="394548887">
          <w:marLeft w:val="0"/>
          <w:marRight w:val="0"/>
          <w:marTop w:val="0"/>
          <w:marBottom w:val="0"/>
          <w:divBdr>
            <w:top w:val="none" w:sz="0" w:space="0" w:color="auto"/>
            <w:left w:val="none" w:sz="0" w:space="0" w:color="auto"/>
            <w:bottom w:val="none" w:sz="0" w:space="0" w:color="auto"/>
            <w:right w:val="none" w:sz="0" w:space="0" w:color="auto"/>
          </w:divBdr>
        </w:div>
      </w:divsChild>
    </w:div>
    <w:div w:id="186994158">
      <w:marLeft w:val="0"/>
      <w:marRight w:val="0"/>
      <w:marTop w:val="180"/>
      <w:marBottom w:val="0"/>
      <w:divBdr>
        <w:top w:val="none" w:sz="0" w:space="0" w:color="auto"/>
        <w:left w:val="none" w:sz="0" w:space="0" w:color="auto"/>
        <w:bottom w:val="none" w:sz="0" w:space="0" w:color="auto"/>
        <w:right w:val="none" w:sz="0" w:space="0" w:color="auto"/>
      </w:divBdr>
    </w:div>
    <w:div w:id="195001100">
      <w:marLeft w:val="0"/>
      <w:marRight w:val="0"/>
      <w:marTop w:val="0"/>
      <w:marBottom w:val="0"/>
      <w:divBdr>
        <w:top w:val="none" w:sz="0" w:space="0" w:color="auto"/>
        <w:left w:val="none" w:sz="0" w:space="0" w:color="auto"/>
        <w:bottom w:val="none" w:sz="0" w:space="0" w:color="auto"/>
        <w:right w:val="none" w:sz="0" w:space="0" w:color="auto"/>
      </w:divBdr>
    </w:div>
    <w:div w:id="204828920">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223444452">
      <w:marLeft w:val="0"/>
      <w:marRight w:val="0"/>
      <w:marTop w:val="0"/>
      <w:marBottom w:val="0"/>
      <w:divBdr>
        <w:top w:val="none" w:sz="0" w:space="0" w:color="auto"/>
        <w:left w:val="none" w:sz="0" w:space="0" w:color="auto"/>
        <w:bottom w:val="none" w:sz="0" w:space="0" w:color="auto"/>
        <w:right w:val="none" w:sz="0" w:space="0" w:color="auto"/>
      </w:divBdr>
    </w:div>
    <w:div w:id="224684158">
      <w:marLeft w:val="0"/>
      <w:marRight w:val="0"/>
      <w:marTop w:val="0"/>
      <w:marBottom w:val="180"/>
      <w:divBdr>
        <w:top w:val="none" w:sz="0" w:space="0" w:color="auto"/>
        <w:left w:val="none" w:sz="0" w:space="0" w:color="auto"/>
        <w:bottom w:val="none" w:sz="0" w:space="0" w:color="auto"/>
        <w:right w:val="none" w:sz="0" w:space="0" w:color="auto"/>
      </w:divBdr>
    </w:div>
    <w:div w:id="225453466">
      <w:marLeft w:val="0"/>
      <w:marRight w:val="0"/>
      <w:marTop w:val="0"/>
      <w:marBottom w:val="0"/>
      <w:divBdr>
        <w:top w:val="none" w:sz="0" w:space="0" w:color="auto"/>
        <w:left w:val="none" w:sz="0" w:space="0" w:color="auto"/>
        <w:bottom w:val="none" w:sz="0" w:space="0" w:color="auto"/>
        <w:right w:val="none" w:sz="0" w:space="0" w:color="auto"/>
      </w:divBdr>
      <w:divsChild>
        <w:div w:id="1526283562">
          <w:marLeft w:val="0"/>
          <w:marRight w:val="0"/>
          <w:marTop w:val="0"/>
          <w:marBottom w:val="0"/>
          <w:divBdr>
            <w:top w:val="none" w:sz="0" w:space="0" w:color="auto"/>
            <w:left w:val="none" w:sz="0" w:space="0" w:color="auto"/>
            <w:bottom w:val="none" w:sz="0" w:space="0" w:color="auto"/>
            <w:right w:val="none" w:sz="0" w:space="0" w:color="auto"/>
          </w:divBdr>
        </w:div>
      </w:divsChild>
    </w:div>
    <w:div w:id="225991113">
      <w:marLeft w:val="0"/>
      <w:marRight w:val="0"/>
      <w:marTop w:val="0"/>
      <w:marBottom w:val="0"/>
      <w:divBdr>
        <w:top w:val="none" w:sz="0" w:space="0" w:color="auto"/>
        <w:left w:val="none" w:sz="0" w:space="0" w:color="auto"/>
        <w:bottom w:val="none" w:sz="0" w:space="0" w:color="auto"/>
        <w:right w:val="none" w:sz="0" w:space="0" w:color="auto"/>
      </w:divBdr>
    </w:div>
    <w:div w:id="230041351">
      <w:marLeft w:val="0"/>
      <w:marRight w:val="0"/>
      <w:marTop w:val="180"/>
      <w:marBottom w:val="0"/>
      <w:divBdr>
        <w:top w:val="none" w:sz="0" w:space="0" w:color="auto"/>
        <w:left w:val="none" w:sz="0" w:space="0" w:color="auto"/>
        <w:bottom w:val="none" w:sz="0" w:space="0" w:color="auto"/>
        <w:right w:val="none" w:sz="0" w:space="0" w:color="auto"/>
      </w:divBdr>
    </w:div>
    <w:div w:id="249967692">
      <w:marLeft w:val="0"/>
      <w:marRight w:val="0"/>
      <w:marTop w:val="0"/>
      <w:marBottom w:val="0"/>
      <w:divBdr>
        <w:top w:val="none" w:sz="0" w:space="0" w:color="auto"/>
        <w:left w:val="none" w:sz="0" w:space="0" w:color="auto"/>
        <w:bottom w:val="none" w:sz="0" w:space="0" w:color="auto"/>
        <w:right w:val="none" w:sz="0" w:space="0" w:color="auto"/>
      </w:divBdr>
    </w:div>
    <w:div w:id="259679792">
      <w:marLeft w:val="0"/>
      <w:marRight w:val="0"/>
      <w:marTop w:val="0"/>
      <w:marBottom w:val="0"/>
      <w:divBdr>
        <w:top w:val="none" w:sz="0" w:space="0" w:color="auto"/>
        <w:left w:val="none" w:sz="0" w:space="0" w:color="auto"/>
        <w:bottom w:val="none" w:sz="0" w:space="0" w:color="auto"/>
        <w:right w:val="none" w:sz="0" w:space="0" w:color="auto"/>
      </w:divBdr>
      <w:divsChild>
        <w:div w:id="215318267">
          <w:marLeft w:val="0"/>
          <w:marRight w:val="0"/>
          <w:marTop w:val="0"/>
          <w:marBottom w:val="0"/>
          <w:divBdr>
            <w:top w:val="none" w:sz="0" w:space="0" w:color="auto"/>
            <w:left w:val="none" w:sz="0" w:space="0" w:color="auto"/>
            <w:bottom w:val="none" w:sz="0" w:space="0" w:color="auto"/>
            <w:right w:val="none" w:sz="0" w:space="0" w:color="auto"/>
          </w:divBdr>
        </w:div>
      </w:divsChild>
    </w:div>
    <w:div w:id="270165475">
      <w:marLeft w:val="0"/>
      <w:marRight w:val="0"/>
      <w:marTop w:val="0"/>
      <w:marBottom w:val="0"/>
      <w:divBdr>
        <w:top w:val="none" w:sz="0" w:space="0" w:color="auto"/>
        <w:left w:val="none" w:sz="0" w:space="0" w:color="auto"/>
        <w:bottom w:val="none" w:sz="0" w:space="0" w:color="auto"/>
        <w:right w:val="none" w:sz="0" w:space="0" w:color="auto"/>
      </w:divBdr>
      <w:divsChild>
        <w:div w:id="1004625877">
          <w:marLeft w:val="0"/>
          <w:marRight w:val="0"/>
          <w:marTop w:val="0"/>
          <w:marBottom w:val="0"/>
          <w:divBdr>
            <w:top w:val="none" w:sz="0" w:space="0" w:color="auto"/>
            <w:left w:val="none" w:sz="0" w:space="0" w:color="auto"/>
            <w:bottom w:val="none" w:sz="0" w:space="0" w:color="auto"/>
            <w:right w:val="none" w:sz="0" w:space="0" w:color="auto"/>
          </w:divBdr>
        </w:div>
      </w:divsChild>
    </w:div>
    <w:div w:id="270478823">
      <w:marLeft w:val="0"/>
      <w:marRight w:val="0"/>
      <w:marTop w:val="0"/>
      <w:marBottom w:val="0"/>
      <w:divBdr>
        <w:top w:val="none" w:sz="0" w:space="0" w:color="auto"/>
        <w:left w:val="none" w:sz="0" w:space="0" w:color="auto"/>
        <w:bottom w:val="none" w:sz="0" w:space="0" w:color="auto"/>
        <w:right w:val="none" w:sz="0" w:space="0" w:color="auto"/>
      </w:divBdr>
    </w:div>
    <w:div w:id="279191681">
      <w:marLeft w:val="0"/>
      <w:marRight w:val="0"/>
      <w:marTop w:val="0"/>
      <w:marBottom w:val="0"/>
      <w:divBdr>
        <w:top w:val="none" w:sz="0" w:space="0" w:color="auto"/>
        <w:left w:val="none" w:sz="0" w:space="0" w:color="auto"/>
        <w:bottom w:val="none" w:sz="0" w:space="0" w:color="auto"/>
        <w:right w:val="none" w:sz="0" w:space="0" w:color="auto"/>
      </w:divBdr>
    </w:div>
    <w:div w:id="309527827">
      <w:marLeft w:val="0"/>
      <w:marRight w:val="0"/>
      <w:marTop w:val="0"/>
      <w:marBottom w:val="0"/>
      <w:divBdr>
        <w:top w:val="none" w:sz="0" w:space="0" w:color="auto"/>
        <w:left w:val="none" w:sz="0" w:space="0" w:color="auto"/>
        <w:bottom w:val="none" w:sz="0" w:space="0" w:color="auto"/>
        <w:right w:val="none" w:sz="0" w:space="0" w:color="auto"/>
      </w:divBdr>
    </w:div>
    <w:div w:id="310715335">
      <w:marLeft w:val="0"/>
      <w:marRight w:val="0"/>
      <w:marTop w:val="0"/>
      <w:marBottom w:val="0"/>
      <w:divBdr>
        <w:top w:val="none" w:sz="0" w:space="0" w:color="auto"/>
        <w:left w:val="none" w:sz="0" w:space="0" w:color="auto"/>
        <w:bottom w:val="none" w:sz="0" w:space="0" w:color="auto"/>
        <w:right w:val="none" w:sz="0" w:space="0" w:color="auto"/>
      </w:divBdr>
      <w:divsChild>
        <w:div w:id="1212964200">
          <w:marLeft w:val="0"/>
          <w:marRight w:val="0"/>
          <w:marTop w:val="0"/>
          <w:marBottom w:val="0"/>
          <w:divBdr>
            <w:top w:val="none" w:sz="0" w:space="0" w:color="auto"/>
            <w:left w:val="none" w:sz="0" w:space="0" w:color="auto"/>
            <w:bottom w:val="none" w:sz="0" w:space="0" w:color="auto"/>
            <w:right w:val="none" w:sz="0" w:space="0" w:color="auto"/>
          </w:divBdr>
        </w:div>
      </w:divsChild>
    </w:div>
    <w:div w:id="313413520">
      <w:marLeft w:val="0"/>
      <w:marRight w:val="0"/>
      <w:marTop w:val="0"/>
      <w:marBottom w:val="0"/>
      <w:divBdr>
        <w:top w:val="none" w:sz="0" w:space="0" w:color="auto"/>
        <w:left w:val="none" w:sz="0" w:space="0" w:color="auto"/>
        <w:bottom w:val="none" w:sz="0" w:space="0" w:color="auto"/>
        <w:right w:val="none" w:sz="0" w:space="0" w:color="auto"/>
      </w:divBdr>
    </w:div>
    <w:div w:id="327487502">
      <w:marLeft w:val="0"/>
      <w:marRight w:val="0"/>
      <w:marTop w:val="0"/>
      <w:marBottom w:val="0"/>
      <w:divBdr>
        <w:top w:val="none" w:sz="0" w:space="0" w:color="auto"/>
        <w:left w:val="none" w:sz="0" w:space="0" w:color="auto"/>
        <w:bottom w:val="none" w:sz="0" w:space="0" w:color="auto"/>
        <w:right w:val="none" w:sz="0" w:space="0" w:color="auto"/>
      </w:divBdr>
      <w:divsChild>
        <w:div w:id="1510873867">
          <w:marLeft w:val="0"/>
          <w:marRight w:val="0"/>
          <w:marTop w:val="0"/>
          <w:marBottom w:val="0"/>
          <w:divBdr>
            <w:top w:val="none" w:sz="0" w:space="0" w:color="auto"/>
            <w:left w:val="none" w:sz="0" w:space="0" w:color="auto"/>
            <w:bottom w:val="none" w:sz="0" w:space="0" w:color="auto"/>
            <w:right w:val="none" w:sz="0" w:space="0" w:color="auto"/>
          </w:divBdr>
        </w:div>
      </w:divsChild>
    </w:div>
    <w:div w:id="361441308">
      <w:marLeft w:val="0"/>
      <w:marRight w:val="0"/>
      <w:marTop w:val="0"/>
      <w:marBottom w:val="0"/>
      <w:divBdr>
        <w:top w:val="none" w:sz="0" w:space="0" w:color="auto"/>
        <w:left w:val="none" w:sz="0" w:space="0" w:color="auto"/>
        <w:bottom w:val="none" w:sz="0" w:space="0" w:color="auto"/>
        <w:right w:val="none" w:sz="0" w:space="0" w:color="auto"/>
      </w:divBdr>
    </w:div>
    <w:div w:id="369107937">
      <w:marLeft w:val="0"/>
      <w:marRight w:val="0"/>
      <w:marTop w:val="0"/>
      <w:marBottom w:val="0"/>
      <w:divBdr>
        <w:top w:val="none" w:sz="0" w:space="0" w:color="auto"/>
        <w:left w:val="none" w:sz="0" w:space="0" w:color="auto"/>
        <w:bottom w:val="none" w:sz="0" w:space="0" w:color="auto"/>
        <w:right w:val="none" w:sz="0" w:space="0" w:color="auto"/>
      </w:divBdr>
    </w:div>
    <w:div w:id="379020543">
      <w:marLeft w:val="0"/>
      <w:marRight w:val="0"/>
      <w:marTop w:val="0"/>
      <w:marBottom w:val="0"/>
      <w:divBdr>
        <w:top w:val="none" w:sz="0" w:space="0" w:color="auto"/>
        <w:left w:val="none" w:sz="0" w:space="0" w:color="auto"/>
        <w:bottom w:val="none" w:sz="0" w:space="0" w:color="auto"/>
        <w:right w:val="none" w:sz="0" w:space="0" w:color="auto"/>
      </w:divBdr>
    </w:div>
    <w:div w:id="381178706">
      <w:marLeft w:val="0"/>
      <w:marRight w:val="0"/>
      <w:marTop w:val="0"/>
      <w:marBottom w:val="0"/>
      <w:divBdr>
        <w:top w:val="none" w:sz="0" w:space="0" w:color="auto"/>
        <w:left w:val="none" w:sz="0" w:space="0" w:color="auto"/>
        <w:bottom w:val="none" w:sz="0" w:space="0" w:color="auto"/>
        <w:right w:val="none" w:sz="0" w:space="0" w:color="auto"/>
      </w:divBdr>
    </w:div>
    <w:div w:id="388262986">
      <w:marLeft w:val="0"/>
      <w:marRight w:val="0"/>
      <w:marTop w:val="0"/>
      <w:marBottom w:val="0"/>
      <w:divBdr>
        <w:top w:val="none" w:sz="0" w:space="0" w:color="auto"/>
        <w:left w:val="none" w:sz="0" w:space="0" w:color="auto"/>
        <w:bottom w:val="none" w:sz="0" w:space="0" w:color="auto"/>
        <w:right w:val="none" w:sz="0" w:space="0" w:color="auto"/>
      </w:divBdr>
    </w:div>
    <w:div w:id="404037949">
      <w:marLeft w:val="0"/>
      <w:marRight w:val="0"/>
      <w:marTop w:val="0"/>
      <w:marBottom w:val="0"/>
      <w:divBdr>
        <w:top w:val="none" w:sz="0" w:space="0" w:color="auto"/>
        <w:left w:val="none" w:sz="0" w:space="0" w:color="auto"/>
        <w:bottom w:val="none" w:sz="0" w:space="0" w:color="auto"/>
        <w:right w:val="none" w:sz="0" w:space="0" w:color="auto"/>
      </w:divBdr>
    </w:div>
    <w:div w:id="419261013">
      <w:marLeft w:val="0"/>
      <w:marRight w:val="0"/>
      <w:marTop w:val="0"/>
      <w:marBottom w:val="0"/>
      <w:divBdr>
        <w:top w:val="none" w:sz="0" w:space="0" w:color="auto"/>
        <w:left w:val="none" w:sz="0" w:space="0" w:color="auto"/>
        <w:bottom w:val="none" w:sz="0" w:space="0" w:color="auto"/>
        <w:right w:val="none" w:sz="0" w:space="0" w:color="auto"/>
      </w:divBdr>
      <w:divsChild>
        <w:div w:id="642926064">
          <w:marLeft w:val="0"/>
          <w:marRight w:val="0"/>
          <w:marTop w:val="0"/>
          <w:marBottom w:val="0"/>
          <w:divBdr>
            <w:top w:val="none" w:sz="0" w:space="0" w:color="auto"/>
            <w:left w:val="none" w:sz="0" w:space="0" w:color="auto"/>
            <w:bottom w:val="none" w:sz="0" w:space="0" w:color="auto"/>
            <w:right w:val="none" w:sz="0" w:space="0" w:color="auto"/>
          </w:divBdr>
        </w:div>
      </w:divsChild>
    </w:div>
    <w:div w:id="427310791">
      <w:marLeft w:val="0"/>
      <w:marRight w:val="0"/>
      <w:marTop w:val="0"/>
      <w:marBottom w:val="0"/>
      <w:divBdr>
        <w:top w:val="none" w:sz="0" w:space="0" w:color="auto"/>
        <w:left w:val="none" w:sz="0" w:space="0" w:color="auto"/>
        <w:bottom w:val="none" w:sz="0" w:space="0" w:color="auto"/>
        <w:right w:val="none" w:sz="0" w:space="0" w:color="auto"/>
      </w:divBdr>
    </w:div>
    <w:div w:id="436800467">
      <w:marLeft w:val="0"/>
      <w:marRight w:val="0"/>
      <w:marTop w:val="0"/>
      <w:marBottom w:val="0"/>
      <w:divBdr>
        <w:top w:val="none" w:sz="0" w:space="0" w:color="auto"/>
        <w:left w:val="none" w:sz="0" w:space="0" w:color="auto"/>
        <w:bottom w:val="none" w:sz="0" w:space="0" w:color="auto"/>
        <w:right w:val="none" w:sz="0" w:space="0" w:color="auto"/>
      </w:divBdr>
      <w:divsChild>
        <w:div w:id="1810898133">
          <w:marLeft w:val="0"/>
          <w:marRight w:val="0"/>
          <w:marTop w:val="0"/>
          <w:marBottom w:val="0"/>
          <w:divBdr>
            <w:top w:val="none" w:sz="0" w:space="0" w:color="auto"/>
            <w:left w:val="none" w:sz="0" w:space="0" w:color="auto"/>
            <w:bottom w:val="none" w:sz="0" w:space="0" w:color="auto"/>
            <w:right w:val="none" w:sz="0" w:space="0" w:color="auto"/>
          </w:divBdr>
        </w:div>
      </w:divsChild>
    </w:div>
    <w:div w:id="442308797">
      <w:marLeft w:val="0"/>
      <w:marRight w:val="0"/>
      <w:marTop w:val="0"/>
      <w:marBottom w:val="0"/>
      <w:divBdr>
        <w:top w:val="none" w:sz="0" w:space="0" w:color="auto"/>
        <w:left w:val="none" w:sz="0" w:space="0" w:color="auto"/>
        <w:bottom w:val="none" w:sz="0" w:space="0" w:color="auto"/>
        <w:right w:val="none" w:sz="0" w:space="0" w:color="auto"/>
      </w:divBdr>
    </w:div>
    <w:div w:id="446703277">
      <w:marLeft w:val="0"/>
      <w:marRight w:val="0"/>
      <w:marTop w:val="0"/>
      <w:marBottom w:val="0"/>
      <w:divBdr>
        <w:top w:val="none" w:sz="0" w:space="0" w:color="auto"/>
        <w:left w:val="none" w:sz="0" w:space="0" w:color="auto"/>
        <w:bottom w:val="none" w:sz="0" w:space="0" w:color="auto"/>
        <w:right w:val="none" w:sz="0" w:space="0" w:color="auto"/>
      </w:divBdr>
      <w:divsChild>
        <w:div w:id="2110807107">
          <w:marLeft w:val="0"/>
          <w:marRight w:val="0"/>
          <w:marTop w:val="0"/>
          <w:marBottom w:val="0"/>
          <w:divBdr>
            <w:top w:val="none" w:sz="0" w:space="0" w:color="auto"/>
            <w:left w:val="none" w:sz="0" w:space="0" w:color="auto"/>
            <w:bottom w:val="none" w:sz="0" w:space="0" w:color="auto"/>
            <w:right w:val="none" w:sz="0" w:space="0" w:color="auto"/>
          </w:divBdr>
        </w:div>
      </w:divsChild>
    </w:div>
    <w:div w:id="448205031">
      <w:marLeft w:val="0"/>
      <w:marRight w:val="0"/>
      <w:marTop w:val="0"/>
      <w:marBottom w:val="0"/>
      <w:divBdr>
        <w:top w:val="none" w:sz="0" w:space="0" w:color="auto"/>
        <w:left w:val="none" w:sz="0" w:space="0" w:color="auto"/>
        <w:bottom w:val="none" w:sz="0" w:space="0" w:color="auto"/>
        <w:right w:val="none" w:sz="0" w:space="0" w:color="auto"/>
      </w:divBdr>
      <w:divsChild>
        <w:div w:id="273486633">
          <w:marLeft w:val="0"/>
          <w:marRight w:val="0"/>
          <w:marTop w:val="0"/>
          <w:marBottom w:val="0"/>
          <w:divBdr>
            <w:top w:val="none" w:sz="0" w:space="0" w:color="auto"/>
            <w:left w:val="none" w:sz="0" w:space="0" w:color="auto"/>
            <w:bottom w:val="none" w:sz="0" w:space="0" w:color="auto"/>
            <w:right w:val="none" w:sz="0" w:space="0" w:color="auto"/>
          </w:divBdr>
        </w:div>
      </w:divsChild>
    </w:div>
    <w:div w:id="450393879">
      <w:marLeft w:val="0"/>
      <w:marRight w:val="0"/>
      <w:marTop w:val="0"/>
      <w:marBottom w:val="0"/>
      <w:divBdr>
        <w:top w:val="none" w:sz="0" w:space="0" w:color="auto"/>
        <w:left w:val="none" w:sz="0" w:space="0" w:color="auto"/>
        <w:bottom w:val="none" w:sz="0" w:space="0" w:color="auto"/>
        <w:right w:val="none" w:sz="0" w:space="0" w:color="auto"/>
      </w:divBdr>
    </w:div>
    <w:div w:id="453258074">
      <w:marLeft w:val="0"/>
      <w:marRight w:val="0"/>
      <w:marTop w:val="0"/>
      <w:marBottom w:val="0"/>
      <w:divBdr>
        <w:top w:val="none" w:sz="0" w:space="0" w:color="auto"/>
        <w:left w:val="none" w:sz="0" w:space="0" w:color="auto"/>
        <w:bottom w:val="none" w:sz="0" w:space="0" w:color="auto"/>
        <w:right w:val="none" w:sz="0" w:space="0" w:color="auto"/>
      </w:divBdr>
    </w:div>
    <w:div w:id="454641078">
      <w:marLeft w:val="0"/>
      <w:marRight w:val="0"/>
      <w:marTop w:val="0"/>
      <w:marBottom w:val="0"/>
      <w:divBdr>
        <w:top w:val="none" w:sz="0" w:space="0" w:color="auto"/>
        <w:left w:val="none" w:sz="0" w:space="0" w:color="auto"/>
        <w:bottom w:val="none" w:sz="0" w:space="0" w:color="auto"/>
        <w:right w:val="none" w:sz="0" w:space="0" w:color="auto"/>
      </w:divBdr>
      <w:divsChild>
        <w:div w:id="554589938">
          <w:marLeft w:val="0"/>
          <w:marRight w:val="0"/>
          <w:marTop w:val="0"/>
          <w:marBottom w:val="0"/>
          <w:divBdr>
            <w:top w:val="none" w:sz="0" w:space="0" w:color="auto"/>
            <w:left w:val="none" w:sz="0" w:space="0" w:color="auto"/>
            <w:bottom w:val="none" w:sz="0" w:space="0" w:color="auto"/>
            <w:right w:val="none" w:sz="0" w:space="0" w:color="auto"/>
          </w:divBdr>
        </w:div>
      </w:divsChild>
    </w:div>
    <w:div w:id="455178039">
      <w:marLeft w:val="0"/>
      <w:marRight w:val="0"/>
      <w:marTop w:val="0"/>
      <w:marBottom w:val="0"/>
      <w:divBdr>
        <w:top w:val="none" w:sz="0" w:space="0" w:color="auto"/>
        <w:left w:val="none" w:sz="0" w:space="0" w:color="auto"/>
        <w:bottom w:val="none" w:sz="0" w:space="0" w:color="auto"/>
        <w:right w:val="none" w:sz="0" w:space="0" w:color="auto"/>
      </w:divBdr>
    </w:div>
    <w:div w:id="470707023">
      <w:marLeft w:val="0"/>
      <w:marRight w:val="0"/>
      <w:marTop w:val="0"/>
      <w:marBottom w:val="0"/>
      <w:divBdr>
        <w:top w:val="none" w:sz="0" w:space="0" w:color="auto"/>
        <w:left w:val="none" w:sz="0" w:space="0" w:color="auto"/>
        <w:bottom w:val="none" w:sz="0" w:space="0" w:color="auto"/>
        <w:right w:val="none" w:sz="0" w:space="0" w:color="auto"/>
      </w:divBdr>
    </w:div>
    <w:div w:id="490100853">
      <w:marLeft w:val="0"/>
      <w:marRight w:val="0"/>
      <w:marTop w:val="180"/>
      <w:marBottom w:val="0"/>
      <w:divBdr>
        <w:top w:val="none" w:sz="0" w:space="0" w:color="auto"/>
        <w:left w:val="none" w:sz="0" w:space="0" w:color="auto"/>
        <w:bottom w:val="none" w:sz="0" w:space="0" w:color="auto"/>
        <w:right w:val="none" w:sz="0" w:space="0" w:color="auto"/>
      </w:divBdr>
    </w:div>
    <w:div w:id="491063738">
      <w:marLeft w:val="0"/>
      <w:marRight w:val="0"/>
      <w:marTop w:val="0"/>
      <w:marBottom w:val="0"/>
      <w:divBdr>
        <w:top w:val="none" w:sz="0" w:space="0" w:color="auto"/>
        <w:left w:val="none" w:sz="0" w:space="0" w:color="auto"/>
        <w:bottom w:val="none" w:sz="0" w:space="0" w:color="auto"/>
        <w:right w:val="none" w:sz="0" w:space="0" w:color="auto"/>
      </w:divBdr>
      <w:divsChild>
        <w:div w:id="350643188">
          <w:marLeft w:val="0"/>
          <w:marRight w:val="0"/>
          <w:marTop w:val="0"/>
          <w:marBottom w:val="0"/>
          <w:divBdr>
            <w:top w:val="none" w:sz="0" w:space="0" w:color="auto"/>
            <w:left w:val="none" w:sz="0" w:space="0" w:color="auto"/>
            <w:bottom w:val="none" w:sz="0" w:space="0" w:color="auto"/>
            <w:right w:val="none" w:sz="0" w:space="0" w:color="auto"/>
          </w:divBdr>
        </w:div>
      </w:divsChild>
    </w:div>
    <w:div w:id="493645817">
      <w:marLeft w:val="0"/>
      <w:marRight w:val="0"/>
      <w:marTop w:val="60"/>
      <w:marBottom w:val="0"/>
      <w:divBdr>
        <w:top w:val="none" w:sz="0" w:space="0" w:color="auto"/>
        <w:left w:val="none" w:sz="0" w:space="0" w:color="auto"/>
        <w:bottom w:val="none" w:sz="0" w:space="0" w:color="auto"/>
        <w:right w:val="none" w:sz="0" w:space="0" w:color="auto"/>
      </w:divBdr>
    </w:div>
    <w:div w:id="493767756">
      <w:marLeft w:val="0"/>
      <w:marRight w:val="0"/>
      <w:marTop w:val="0"/>
      <w:marBottom w:val="0"/>
      <w:divBdr>
        <w:top w:val="none" w:sz="0" w:space="0" w:color="auto"/>
        <w:left w:val="none" w:sz="0" w:space="0" w:color="auto"/>
        <w:bottom w:val="none" w:sz="0" w:space="0" w:color="auto"/>
        <w:right w:val="none" w:sz="0" w:space="0" w:color="auto"/>
      </w:divBdr>
    </w:div>
    <w:div w:id="497037332">
      <w:marLeft w:val="0"/>
      <w:marRight w:val="0"/>
      <w:marTop w:val="0"/>
      <w:marBottom w:val="0"/>
      <w:divBdr>
        <w:top w:val="none" w:sz="0" w:space="0" w:color="auto"/>
        <w:left w:val="none" w:sz="0" w:space="0" w:color="auto"/>
        <w:bottom w:val="none" w:sz="0" w:space="0" w:color="auto"/>
        <w:right w:val="none" w:sz="0" w:space="0" w:color="auto"/>
      </w:divBdr>
      <w:divsChild>
        <w:div w:id="503665394">
          <w:marLeft w:val="0"/>
          <w:marRight w:val="0"/>
          <w:marTop w:val="0"/>
          <w:marBottom w:val="0"/>
          <w:divBdr>
            <w:top w:val="none" w:sz="0" w:space="0" w:color="auto"/>
            <w:left w:val="none" w:sz="0" w:space="0" w:color="auto"/>
            <w:bottom w:val="none" w:sz="0" w:space="0" w:color="auto"/>
            <w:right w:val="none" w:sz="0" w:space="0" w:color="auto"/>
          </w:divBdr>
        </w:div>
      </w:divsChild>
    </w:div>
    <w:div w:id="521285476">
      <w:marLeft w:val="0"/>
      <w:marRight w:val="0"/>
      <w:marTop w:val="0"/>
      <w:marBottom w:val="0"/>
      <w:divBdr>
        <w:top w:val="none" w:sz="0" w:space="0" w:color="auto"/>
        <w:left w:val="none" w:sz="0" w:space="0" w:color="auto"/>
        <w:bottom w:val="none" w:sz="0" w:space="0" w:color="auto"/>
        <w:right w:val="none" w:sz="0" w:space="0" w:color="auto"/>
      </w:divBdr>
      <w:divsChild>
        <w:div w:id="1482189222">
          <w:marLeft w:val="0"/>
          <w:marRight w:val="0"/>
          <w:marTop w:val="0"/>
          <w:marBottom w:val="0"/>
          <w:divBdr>
            <w:top w:val="none" w:sz="0" w:space="0" w:color="auto"/>
            <w:left w:val="none" w:sz="0" w:space="0" w:color="auto"/>
            <w:bottom w:val="none" w:sz="0" w:space="0" w:color="auto"/>
            <w:right w:val="none" w:sz="0" w:space="0" w:color="auto"/>
          </w:divBdr>
        </w:div>
      </w:divsChild>
    </w:div>
    <w:div w:id="528907967">
      <w:marLeft w:val="0"/>
      <w:marRight w:val="0"/>
      <w:marTop w:val="0"/>
      <w:marBottom w:val="0"/>
      <w:divBdr>
        <w:top w:val="none" w:sz="0" w:space="0" w:color="auto"/>
        <w:left w:val="none" w:sz="0" w:space="0" w:color="auto"/>
        <w:bottom w:val="none" w:sz="0" w:space="0" w:color="auto"/>
        <w:right w:val="none" w:sz="0" w:space="0" w:color="auto"/>
      </w:divBdr>
    </w:div>
    <w:div w:id="543640501">
      <w:marLeft w:val="0"/>
      <w:marRight w:val="0"/>
      <w:marTop w:val="0"/>
      <w:marBottom w:val="0"/>
      <w:divBdr>
        <w:top w:val="none" w:sz="0" w:space="0" w:color="auto"/>
        <w:left w:val="none" w:sz="0" w:space="0" w:color="auto"/>
        <w:bottom w:val="none" w:sz="0" w:space="0" w:color="auto"/>
        <w:right w:val="none" w:sz="0" w:space="0" w:color="auto"/>
      </w:divBdr>
    </w:div>
    <w:div w:id="547375619">
      <w:marLeft w:val="0"/>
      <w:marRight w:val="0"/>
      <w:marTop w:val="0"/>
      <w:marBottom w:val="0"/>
      <w:divBdr>
        <w:top w:val="none" w:sz="0" w:space="0" w:color="auto"/>
        <w:left w:val="none" w:sz="0" w:space="0" w:color="auto"/>
        <w:bottom w:val="none" w:sz="0" w:space="0" w:color="auto"/>
        <w:right w:val="none" w:sz="0" w:space="0" w:color="auto"/>
      </w:divBdr>
      <w:divsChild>
        <w:div w:id="241108503">
          <w:marLeft w:val="0"/>
          <w:marRight w:val="0"/>
          <w:marTop w:val="0"/>
          <w:marBottom w:val="0"/>
          <w:divBdr>
            <w:top w:val="none" w:sz="0" w:space="0" w:color="auto"/>
            <w:left w:val="none" w:sz="0" w:space="0" w:color="auto"/>
            <w:bottom w:val="none" w:sz="0" w:space="0" w:color="auto"/>
            <w:right w:val="none" w:sz="0" w:space="0" w:color="auto"/>
          </w:divBdr>
          <w:divsChild>
            <w:div w:id="5274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075">
      <w:marLeft w:val="0"/>
      <w:marRight w:val="0"/>
      <w:marTop w:val="0"/>
      <w:marBottom w:val="0"/>
      <w:divBdr>
        <w:top w:val="none" w:sz="0" w:space="0" w:color="auto"/>
        <w:left w:val="none" w:sz="0" w:space="0" w:color="auto"/>
        <w:bottom w:val="none" w:sz="0" w:space="0" w:color="auto"/>
        <w:right w:val="none" w:sz="0" w:space="0" w:color="auto"/>
      </w:divBdr>
    </w:div>
    <w:div w:id="572199444">
      <w:marLeft w:val="0"/>
      <w:marRight w:val="0"/>
      <w:marTop w:val="0"/>
      <w:marBottom w:val="0"/>
      <w:divBdr>
        <w:top w:val="none" w:sz="0" w:space="0" w:color="auto"/>
        <w:left w:val="none" w:sz="0" w:space="0" w:color="auto"/>
        <w:bottom w:val="none" w:sz="0" w:space="0" w:color="auto"/>
        <w:right w:val="none" w:sz="0" w:space="0" w:color="auto"/>
      </w:divBdr>
      <w:divsChild>
        <w:div w:id="480195488">
          <w:marLeft w:val="0"/>
          <w:marRight w:val="0"/>
          <w:marTop w:val="0"/>
          <w:marBottom w:val="0"/>
          <w:divBdr>
            <w:top w:val="none" w:sz="0" w:space="0" w:color="auto"/>
            <w:left w:val="none" w:sz="0" w:space="0" w:color="auto"/>
            <w:bottom w:val="none" w:sz="0" w:space="0" w:color="auto"/>
            <w:right w:val="none" w:sz="0" w:space="0" w:color="auto"/>
          </w:divBdr>
        </w:div>
      </w:divsChild>
    </w:div>
    <w:div w:id="612593309">
      <w:marLeft w:val="0"/>
      <w:marRight w:val="0"/>
      <w:marTop w:val="0"/>
      <w:marBottom w:val="0"/>
      <w:divBdr>
        <w:top w:val="none" w:sz="0" w:space="0" w:color="auto"/>
        <w:left w:val="none" w:sz="0" w:space="0" w:color="auto"/>
        <w:bottom w:val="none" w:sz="0" w:space="0" w:color="auto"/>
        <w:right w:val="none" w:sz="0" w:space="0" w:color="auto"/>
      </w:divBdr>
    </w:div>
    <w:div w:id="615327818">
      <w:marLeft w:val="0"/>
      <w:marRight w:val="0"/>
      <w:marTop w:val="0"/>
      <w:marBottom w:val="0"/>
      <w:divBdr>
        <w:top w:val="none" w:sz="0" w:space="0" w:color="auto"/>
        <w:left w:val="none" w:sz="0" w:space="0" w:color="auto"/>
        <w:bottom w:val="none" w:sz="0" w:space="0" w:color="auto"/>
        <w:right w:val="none" w:sz="0" w:space="0" w:color="auto"/>
      </w:divBdr>
    </w:div>
    <w:div w:id="635916167">
      <w:marLeft w:val="0"/>
      <w:marRight w:val="0"/>
      <w:marTop w:val="0"/>
      <w:marBottom w:val="0"/>
      <w:divBdr>
        <w:top w:val="none" w:sz="0" w:space="0" w:color="auto"/>
        <w:left w:val="none" w:sz="0" w:space="0" w:color="auto"/>
        <w:bottom w:val="none" w:sz="0" w:space="0" w:color="auto"/>
        <w:right w:val="none" w:sz="0" w:space="0" w:color="auto"/>
      </w:divBdr>
      <w:divsChild>
        <w:div w:id="1949897420">
          <w:marLeft w:val="0"/>
          <w:marRight w:val="0"/>
          <w:marTop w:val="0"/>
          <w:marBottom w:val="0"/>
          <w:divBdr>
            <w:top w:val="none" w:sz="0" w:space="0" w:color="auto"/>
            <w:left w:val="none" w:sz="0" w:space="0" w:color="auto"/>
            <w:bottom w:val="none" w:sz="0" w:space="0" w:color="auto"/>
            <w:right w:val="none" w:sz="0" w:space="0" w:color="auto"/>
          </w:divBdr>
        </w:div>
      </w:divsChild>
    </w:div>
    <w:div w:id="645280094">
      <w:marLeft w:val="0"/>
      <w:marRight w:val="0"/>
      <w:marTop w:val="0"/>
      <w:marBottom w:val="0"/>
      <w:divBdr>
        <w:top w:val="none" w:sz="0" w:space="0" w:color="auto"/>
        <w:left w:val="none" w:sz="0" w:space="0" w:color="auto"/>
        <w:bottom w:val="none" w:sz="0" w:space="0" w:color="auto"/>
        <w:right w:val="none" w:sz="0" w:space="0" w:color="auto"/>
      </w:divBdr>
    </w:div>
    <w:div w:id="646712925">
      <w:marLeft w:val="0"/>
      <w:marRight w:val="0"/>
      <w:marTop w:val="0"/>
      <w:marBottom w:val="0"/>
      <w:divBdr>
        <w:top w:val="none" w:sz="0" w:space="0" w:color="auto"/>
        <w:left w:val="none" w:sz="0" w:space="0" w:color="auto"/>
        <w:bottom w:val="none" w:sz="0" w:space="0" w:color="auto"/>
        <w:right w:val="none" w:sz="0" w:space="0" w:color="auto"/>
      </w:divBdr>
    </w:div>
    <w:div w:id="649677781">
      <w:marLeft w:val="0"/>
      <w:marRight w:val="0"/>
      <w:marTop w:val="0"/>
      <w:marBottom w:val="180"/>
      <w:divBdr>
        <w:top w:val="none" w:sz="0" w:space="0" w:color="auto"/>
        <w:left w:val="none" w:sz="0" w:space="0" w:color="auto"/>
        <w:bottom w:val="none" w:sz="0" w:space="0" w:color="auto"/>
        <w:right w:val="none" w:sz="0" w:space="0" w:color="auto"/>
      </w:divBdr>
    </w:div>
    <w:div w:id="662510876">
      <w:marLeft w:val="0"/>
      <w:marRight w:val="0"/>
      <w:marTop w:val="0"/>
      <w:marBottom w:val="0"/>
      <w:divBdr>
        <w:top w:val="none" w:sz="0" w:space="0" w:color="auto"/>
        <w:left w:val="none" w:sz="0" w:space="0" w:color="auto"/>
        <w:bottom w:val="none" w:sz="0" w:space="0" w:color="auto"/>
        <w:right w:val="none" w:sz="0" w:space="0" w:color="auto"/>
      </w:divBdr>
    </w:div>
    <w:div w:id="683241132">
      <w:marLeft w:val="0"/>
      <w:marRight w:val="0"/>
      <w:marTop w:val="0"/>
      <w:marBottom w:val="20"/>
      <w:divBdr>
        <w:top w:val="none" w:sz="0" w:space="0" w:color="auto"/>
        <w:left w:val="none" w:sz="0" w:space="0" w:color="auto"/>
        <w:bottom w:val="none" w:sz="0" w:space="0" w:color="auto"/>
        <w:right w:val="none" w:sz="0" w:space="0" w:color="auto"/>
      </w:divBdr>
      <w:divsChild>
        <w:div w:id="1964532479">
          <w:marLeft w:val="0"/>
          <w:marRight w:val="0"/>
          <w:marTop w:val="0"/>
          <w:marBottom w:val="0"/>
          <w:divBdr>
            <w:top w:val="none" w:sz="0" w:space="0" w:color="auto"/>
            <w:left w:val="none" w:sz="0" w:space="0" w:color="auto"/>
            <w:bottom w:val="none" w:sz="0" w:space="0" w:color="auto"/>
            <w:right w:val="none" w:sz="0" w:space="0" w:color="auto"/>
          </w:divBdr>
        </w:div>
      </w:divsChild>
    </w:div>
    <w:div w:id="686949301">
      <w:marLeft w:val="0"/>
      <w:marRight w:val="0"/>
      <w:marTop w:val="0"/>
      <w:marBottom w:val="0"/>
      <w:divBdr>
        <w:top w:val="none" w:sz="0" w:space="0" w:color="auto"/>
        <w:left w:val="none" w:sz="0" w:space="0" w:color="auto"/>
        <w:bottom w:val="none" w:sz="0" w:space="0" w:color="auto"/>
        <w:right w:val="none" w:sz="0" w:space="0" w:color="auto"/>
      </w:divBdr>
    </w:div>
    <w:div w:id="700133577">
      <w:marLeft w:val="0"/>
      <w:marRight w:val="0"/>
      <w:marTop w:val="0"/>
      <w:marBottom w:val="0"/>
      <w:divBdr>
        <w:top w:val="none" w:sz="0" w:space="0" w:color="auto"/>
        <w:left w:val="none" w:sz="0" w:space="0" w:color="auto"/>
        <w:bottom w:val="none" w:sz="0" w:space="0" w:color="auto"/>
        <w:right w:val="none" w:sz="0" w:space="0" w:color="auto"/>
      </w:divBdr>
    </w:div>
    <w:div w:id="700471855">
      <w:marLeft w:val="0"/>
      <w:marRight w:val="0"/>
      <w:marTop w:val="0"/>
      <w:marBottom w:val="0"/>
      <w:divBdr>
        <w:top w:val="none" w:sz="0" w:space="0" w:color="auto"/>
        <w:left w:val="none" w:sz="0" w:space="0" w:color="auto"/>
        <w:bottom w:val="none" w:sz="0" w:space="0" w:color="auto"/>
        <w:right w:val="none" w:sz="0" w:space="0" w:color="auto"/>
      </w:divBdr>
    </w:div>
    <w:div w:id="705259280">
      <w:marLeft w:val="0"/>
      <w:marRight w:val="0"/>
      <w:marTop w:val="0"/>
      <w:marBottom w:val="80"/>
      <w:divBdr>
        <w:top w:val="none" w:sz="0" w:space="0" w:color="auto"/>
        <w:left w:val="none" w:sz="0" w:space="0" w:color="auto"/>
        <w:bottom w:val="none" w:sz="0" w:space="0" w:color="auto"/>
        <w:right w:val="none" w:sz="0" w:space="0" w:color="auto"/>
      </w:divBdr>
      <w:divsChild>
        <w:div w:id="1748528267">
          <w:marLeft w:val="0"/>
          <w:marRight w:val="0"/>
          <w:marTop w:val="0"/>
          <w:marBottom w:val="0"/>
          <w:divBdr>
            <w:top w:val="none" w:sz="0" w:space="0" w:color="auto"/>
            <w:left w:val="none" w:sz="0" w:space="0" w:color="auto"/>
            <w:bottom w:val="none" w:sz="0" w:space="0" w:color="auto"/>
            <w:right w:val="none" w:sz="0" w:space="0" w:color="auto"/>
          </w:divBdr>
        </w:div>
        <w:div w:id="976374257">
          <w:marLeft w:val="0"/>
          <w:marRight w:val="0"/>
          <w:marTop w:val="0"/>
          <w:marBottom w:val="0"/>
          <w:divBdr>
            <w:top w:val="none" w:sz="0" w:space="0" w:color="auto"/>
            <w:left w:val="none" w:sz="0" w:space="0" w:color="auto"/>
            <w:bottom w:val="none" w:sz="0" w:space="0" w:color="auto"/>
            <w:right w:val="none" w:sz="0" w:space="0" w:color="auto"/>
          </w:divBdr>
        </w:div>
        <w:div w:id="790899083">
          <w:marLeft w:val="0"/>
          <w:marRight w:val="0"/>
          <w:marTop w:val="0"/>
          <w:marBottom w:val="0"/>
          <w:divBdr>
            <w:top w:val="none" w:sz="0" w:space="0" w:color="auto"/>
            <w:left w:val="none" w:sz="0" w:space="0" w:color="auto"/>
            <w:bottom w:val="none" w:sz="0" w:space="0" w:color="auto"/>
            <w:right w:val="none" w:sz="0" w:space="0" w:color="auto"/>
          </w:divBdr>
        </w:div>
        <w:div w:id="1330981635">
          <w:marLeft w:val="0"/>
          <w:marRight w:val="0"/>
          <w:marTop w:val="0"/>
          <w:marBottom w:val="0"/>
          <w:divBdr>
            <w:top w:val="none" w:sz="0" w:space="0" w:color="auto"/>
            <w:left w:val="none" w:sz="0" w:space="0" w:color="auto"/>
            <w:bottom w:val="none" w:sz="0" w:space="0" w:color="auto"/>
            <w:right w:val="none" w:sz="0" w:space="0" w:color="auto"/>
          </w:divBdr>
        </w:div>
        <w:div w:id="595289368">
          <w:marLeft w:val="0"/>
          <w:marRight w:val="0"/>
          <w:marTop w:val="0"/>
          <w:marBottom w:val="0"/>
          <w:divBdr>
            <w:top w:val="none" w:sz="0" w:space="0" w:color="auto"/>
            <w:left w:val="none" w:sz="0" w:space="0" w:color="auto"/>
            <w:bottom w:val="none" w:sz="0" w:space="0" w:color="auto"/>
            <w:right w:val="none" w:sz="0" w:space="0" w:color="auto"/>
          </w:divBdr>
        </w:div>
        <w:div w:id="2004892772">
          <w:marLeft w:val="0"/>
          <w:marRight w:val="0"/>
          <w:marTop w:val="0"/>
          <w:marBottom w:val="0"/>
          <w:divBdr>
            <w:top w:val="none" w:sz="0" w:space="0" w:color="auto"/>
            <w:left w:val="none" w:sz="0" w:space="0" w:color="auto"/>
            <w:bottom w:val="none" w:sz="0" w:space="0" w:color="auto"/>
            <w:right w:val="none" w:sz="0" w:space="0" w:color="auto"/>
          </w:divBdr>
        </w:div>
        <w:div w:id="1556618921">
          <w:marLeft w:val="0"/>
          <w:marRight w:val="0"/>
          <w:marTop w:val="0"/>
          <w:marBottom w:val="0"/>
          <w:divBdr>
            <w:top w:val="none" w:sz="0" w:space="0" w:color="auto"/>
            <w:left w:val="none" w:sz="0" w:space="0" w:color="auto"/>
            <w:bottom w:val="none" w:sz="0" w:space="0" w:color="auto"/>
            <w:right w:val="none" w:sz="0" w:space="0" w:color="auto"/>
          </w:divBdr>
        </w:div>
      </w:divsChild>
    </w:div>
    <w:div w:id="717241701">
      <w:marLeft w:val="0"/>
      <w:marRight w:val="0"/>
      <w:marTop w:val="0"/>
      <w:marBottom w:val="0"/>
      <w:divBdr>
        <w:top w:val="none" w:sz="0" w:space="0" w:color="auto"/>
        <w:left w:val="none" w:sz="0" w:space="0" w:color="auto"/>
        <w:bottom w:val="none" w:sz="0" w:space="0" w:color="auto"/>
        <w:right w:val="none" w:sz="0" w:space="0" w:color="auto"/>
      </w:divBdr>
      <w:divsChild>
        <w:div w:id="791285005">
          <w:marLeft w:val="0"/>
          <w:marRight w:val="0"/>
          <w:marTop w:val="0"/>
          <w:marBottom w:val="0"/>
          <w:divBdr>
            <w:top w:val="none" w:sz="0" w:space="0" w:color="auto"/>
            <w:left w:val="none" w:sz="0" w:space="0" w:color="auto"/>
            <w:bottom w:val="none" w:sz="0" w:space="0" w:color="auto"/>
            <w:right w:val="none" w:sz="0" w:space="0" w:color="auto"/>
          </w:divBdr>
        </w:div>
      </w:divsChild>
    </w:div>
    <w:div w:id="735670223">
      <w:marLeft w:val="0"/>
      <w:marRight w:val="0"/>
      <w:marTop w:val="0"/>
      <w:marBottom w:val="0"/>
      <w:divBdr>
        <w:top w:val="none" w:sz="0" w:space="0" w:color="auto"/>
        <w:left w:val="none" w:sz="0" w:space="0" w:color="auto"/>
        <w:bottom w:val="none" w:sz="0" w:space="0" w:color="auto"/>
        <w:right w:val="none" w:sz="0" w:space="0" w:color="auto"/>
      </w:divBdr>
      <w:divsChild>
        <w:div w:id="1956255352">
          <w:marLeft w:val="0"/>
          <w:marRight w:val="0"/>
          <w:marTop w:val="0"/>
          <w:marBottom w:val="0"/>
          <w:divBdr>
            <w:top w:val="none" w:sz="0" w:space="0" w:color="auto"/>
            <w:left w:val="none" w:sz="0" w:space="0" w:color="auto"/>
            <w:bottom w:val="none" w:sz="0" w:space="0" w:color="auto"/>
            <w:right w:val="none" w:sz="0" w:space="0" w:color="auto"/>
          </w:divBdr>
        </w:div>
      </w:divsChild>
    </w:div>
    <w:div w:id="737674299">
      <w:marLeft w:val="0"/>
      <w:marRight w:val="0"/>
      <w:marTop w:val="0"/>
      <w:marBottom w:val="0"/>
      <w:divBdr>
        <w:top w:val="none" w:sz="0" w:space="0" w:color="auto"/>
        <w:left w:val="none" w:sz="0" w:space="0" w:color="auto"/>
        <w:bottom w:val="none" w:sz="0" w:space="0" w:color="auto"/>
        <w:right w:val="none" w:sz="0" w:space="0" w:color="auto"/>
      </w:divBdr>
    </w:div>
    <w:div w:id="753549280">
      <w:marLeft w:val="0"/>
      <w:marRight w:val="0"/>
      <w:marTop w:val="100"/>
      <w:marBottom w:val="180"/>
      <w:divBdr>
        <w:top w:val="none" w:sz="0" w:space="0" w:color="auto"/>
        <w:left w:val="none" w:sz="0" w:space="0" w:color="auto"/>
        <w:bottom w:val="none" w:sz="0" w:space="0" w:color="auto"/>
        <w:right w:val="none" w:sz="0" w:space="0" w:color="auto"/>
      </w:divBdr>
      <w:divsChild>
        <w:div w:id="994067324">
          <w:marLeft w:val="0"/>
          <w:marRight w:val="0"/>
          <w:marTop w:val="0"/>
          <w:marBottom w:val="0"/>
          <w:divBdr>
            <w:top w:val="none" w:sz="0" w:space="0" w:color="auto"/>
            <w:left w:val="none" w:sz="0" w:space="0" w:color="auto"/>
            <w:bottom w:val="none" w:sz="0" w:space="0" w:color="auto"/>
            <w:right w:val="none" w:sz="0" w:space="0" w:color="auto"/>
          </w:divBdr>
        </w:div>
      </w:divsChild>
    </w:div>
    <w:div w:id="759258222">
      <w:marLeft w:val="0"/>
      <w:marRight w:val="0"/>
      <w:marTop w:val="0"/>
      <w:marBottom w:val="0"/>
      <w:divBdr>
        <w:top w:val="none" w:sz="0" w:space="0" w:color="auto"/>
        <w:left w:val="none" w:sz="0" w:space="0" w:color="auto"/>
        <w:bottom w:val="none" w:sz="0" w:space="0" w:color="auto"/>
        <w:right w:val="none" w:sz="0" w:space="0" w:color="auto"/>
      </w:divBdr>
    </w:div>
    <w:div w:id="759521253">
      <w:marLeft w:val="0"/>
      <w:marRight w:val="0"/>
      <w:marTop w:val="0"/>
      <w:marBottom w:val="0"/>
      <w:divBdr>
        <w:top w:val="none" w:sz="0" w:space="0" w:color="auto"/>
        <w:left w:val="none" w:sz="0" w:space="0" w:color="auto"/>
        <w:bottom w:val="none" w:sz="0" w:space="0" w:color="auto"/>
        <w:right w:val="none" w:sz="0" w:space="0" w:color="auto"/>
      </w:divBdr>
    </w:div>
    <w:div w:id="775096573">
      <w:marLeft w:val="0"/>
      <w:marRight w:val="0"/>
      <w:marTop w:val="0"/>
      <w:marBottom w:val="0"/>
      <w:divBdr>
        <w:top w:val="none" w:sz="0" w:space="0" w:color="auto"/>
        <w:left w:val="none" w:sz="0" w:space="0" w:color="auto"/>
        <w:bottom w:val="none" w:sz="0" w:space="0" w:color="auto"/>
        <w:right w:val="none" w:sz="0" w:space="0" w:color="auto"/>
      </w:divBdr>
      <w:divsChild>
        <w:div w:id="1565136615">
          <w:marLeft w:val="0"/>
          <w:marRight w:val="0"/>
          <w:marTop w:val="0"/>
          <w:marBottom w:val="0"/>
          <w:divBdr>
            <w:top w:val="none" w:sz="0" w:space="0" w:color="auto"/>
            <w:left w:val="none" w:sz="0" w:space="0" w:color="auto"/>
            <w:bottom w:val="none" w:sz="0" w:space="0" w:color="auto"/>
            <w:right w:val="none" w:sz="0" w:space="0" w:color="auto"/>
          </w:divBdr>
        </w:div>
      </w:divsChild>
    </w:div>
    <w:div w:id="778985362">
      <w:marLeft w:val="0"/>
      <w:marRight w:val="0"/>
      <w:marTop w:val="0"/>
      <w:marBottom w:val="0"/>
      <w:divBdr>
        <w:top w:val="none" w:sz="0" w:space="0" w:color="auto"/>
        <w:left w:val="none" w:sz="0" w:space="0" w:color="auto"/>
        <w:bottom w:val="none" w:sz="0" w:space="0" w:color="auto"/>
        <w:right w:val="none" w:sz="0" w:space="0" w:color="auto"/>
      </w:divBdr>
    </w:div>
    <w:div w:id="782307306">
      <w:marLeft w:val="0"/>
      <w:marRight w:val="0"/>
      <w:marTop w:val="0"/>
      <w:marBottom w:val="0"/>
      <w:divBdr>
        <w:top w:val="none" w:sz="0" w:space="0" w:color="auto"/>
        <w:left w:val="none" w:sz="0" w:space="0" w:color="auto"/>
        <w:bottom w:val="none" w:sz="0" w:space="0" w:color="auto"/>
        <w:right w:val="none" w:sz="0" w:space="0" w:color="auto"/>
      </w:divBdr>
    </w:div>
    <w:div w:id="786781406">
      <w:marLeft w:val="0"/>
      <w:marRight w:val="0"/>
      <w:marTop w:val="0"/>
      <w:marBottom w:val="0"/>
      <w:divBdr>
        <w:top w:val="none" w:sz="0" w:space="0" w:color="auto"/>
        <w:left w:val="none" w:sz="0" w:space="0" w:color="auto"/>
        <w:bottom w:val="none" w:sz="0" w:space="0" w:color="auto"/>
        <w:right w:val="none" w:sz="0" w:space="0" w:color="auto"/>
      </w:divBdr>
    </w:div>
    <w:div w:id="787775341">
      <w:marLeft w:val="0"/>
      <w:marRight w:val="0"/>
      <w:marTop w:val="0"/>
      <w:marBottom w:val="0"/>
      <w:divBdr>
        <w:top w:val="none" w:sz="0" w:space="0" w:color="auto"/>
        <w:left w:val="none" w:sz="0" w:space="0" w:color="auto"/>
        <w:bottom w:val="none" w:sz="0" w:space="0" w:color="auto"/>
        <w:right w:val="none" w:sz="0" w:space="0" w:color="auto"/>
      </w:divBdr>
    </w:div>
    <w:div w:id="800728822">
      <w:marLeft w:val="0"/>
      <w:marRight w:val="0"/>
      <w:marTop w:val="0"/>
      <w:marBottom w:val="0"/>
      <w:divBdr>
        <w:top w:val="none" w:sz="0" w:space="0" w:color="auto"/>
        <w:left w:val="none" w:sz="0" w:space="0" w:color="auto"/>
        <w:bottom w:val="none" w:sz="0" w:space="0" w:color="auto"/>
        <w:right w:val="none" w:sz="0" w:space="0" w:color="auto"/>
      </w:divBdr>
    </w:div>
    <w:div w:id="813066767">
      <w:marLeft w:val="0"/>
      <w:marRight w:val="0"/>
      <w:marTop w:val="0"/>
      <w:marBottom w:val="0"/>
      <w:divBdr>
        <w:top w:val="none" w:sz="0" w:space="0" w:color="auto"/>
        <w:left w:val="none" w:sz="0" w:space="0" w:color="auto"/>
        <w:bottom w:val="none" w:sz="0" w:space="0" w:color="auto"/>
        <w:right w:val="none" w:sz="0" w:space="0" w:color="auto"/>
      </w:divBdr>
    </w:div>
    <w:div w:id="817191230">
      <w:marLeft w:val="0"/>
      <w:marRight w:val="0"/>
      <w:marTop w:val="0"/>
      <w:marBottom w:val="0"/>
      <w:divBdr>
        <w:top w:val="none" w:sz="0" w:space="0" w:color="auto"/>
        <w:left w:val="none" w:sz="0" w:space="0" w:color="auto"/>
        <w:bottom w:val="none" w:sz="0" w:space="0" w:color="auto"/>
        <w:right w:val="none" w:sz="0" w:space="0" w:color="auto"/>
      </w:divBdr>
      <w:divsChild>
        <w:div w:id="310326097">
          <w:marLeft w:val="0"/>
          <w:marRight w:val="0"/>
          <w:marTop w:val="0"/>
          <w:marBottom w:val="0"/>
          <w:divBdr>
            <w:top w:val="none" w:sz="0" w:space="0" w:color="auto"/>
            <w:left w:val="none" w:sz="0" w:space="0" w:color="auto"/>
            <w:bottom w:val="none" w:sz="0" w:space="0" w:color="auto"/>
            <w:right w:val="none" w:sz="0" w:space="0" w:color="auto"/>
          </w:divBdr>
        </w:div>
      </w:divsChild>
    </w:div>
    <w:div w:id="831605077">
      <w:marLeft w:val="0"/>
      <w:marRight w:val="0"/>
      <w:marTop w:val="0"/>
      <w:marBottom w:val="0"/>
      <w:divBdr>
        <w:top w:val="none" w:sz="0" w:space="0" w:color="auto"/>
        <w:left w:val="none" w:sz="0" w:space="0" w:color="auto"/>
        <w:bottom w:val="none" w:sz="0" w:space="0" w:color="auto"/>
        <w:right w:val="none" w:sz="0" w:space="0" w:color="auto"/>
      </w:divBdr>
      <w:divsChild>
        <w:div w:id="1449623115">
          <w:marLeft w:val="0"/>
          <w:marRight w:val="0"/>
          <w:marTop w:val="0"/>
          <w:marBottom w:val="0"/>
          <w:divBdr>
            <w:top w:val="none" w:sz="0" w:space="0" w:color="auto"/>
            <w:left w:val="none" w:sz="0" w:space="0" w:color="auto"/>
            <w:bottom w:val="none" w:sz="0" w:space="0" w:color="auto"/>
            <w:right w:val="none" w:sz="0" w:space="0" w:color="auto"/>
          </w:divBdr>
        </w:div>
      </w:divsChild>
    </w:div>
    <w:div w:id="843126295">
      <w:marLeft w:val="0"/>
      <w:marRight w:val="0"/>
      <w:marTop w:val="0"/>
      <w:marBottom w:val="0"/>
      <w:divBdr>
        <w:top w:val="none" w:sz="0" w:space="0" w:color="auto"/>
        <w:left w:val="none" w:sz="0" w:space="0" w:color="auto"/>
        <w:bottom w:val="none" w:sz="0" w:space="0" w:color="auto"/>
        <w:right w:val="none" w:sz="0" w:space="0" w:color="auto"/>
      </w:divBdr>
    </w:div>
    <w:div w:id="856232912">
      <w:marLeft w:val="0"/>
      <w:marRight w:val="0"/>
      <w:marTop w:val="0"/>
      <w:marBottom w:val="0"/>
      <w:divBdr>
        <w:top w:val="none" w:sz="0" w:space="0" w:color="auto"/>
        <w:left w:val="none" w:sz="0" w:space="0" w:color="auto"/>
        <w:bottom w:val="none" w:sz="0" w:space="0" w:color="auto"/>
        <w:right w:val="none" w:sz="0" w:space="0" w:color="auto"/>
      </w:divBdr>
      <w:divsChild>
        <w:div w:id="648823650">
          <w:marLeft w:val="0"/>
          <w:marRight w:val="0"/>
          <w:marTop w:val="0"/>
          <w:marBottom w:val="0"/>
          <w:divBdr>
            <w:top w:val="none" w:sz="0" w:space="0" w:color="auto"/>
            <w:left w:val="none" w:sz="0" w:space="0" w:color="auto"/>
            <w:bottom w:val="none" w:sz="0" w:space="0" w:color="auto"/>
            <w:right w:val="none" w:sz="0" w:space="0" w:color="auto"/>
          </w:divBdr>
        </w:div>
      </w:divsChild>
    </w:div>
    <w:div w:id="860170116">
      <w:marLeft w:val="0"/>
      <w:marRight w:val="0"/>
      <w:marTop w:val="0"/>
      <w:marBottom w:val="0"/>
      <w:divBdr>
        <w:top w:val="none" w:sz="0" w:space="0" w:color="auto"/>
        <w:left w:val="none" w:sz="0" w:space="0" w:color="auto"/>
        <w:bottom w:val="none" w:sz="0" w:space="0" w:color="auto"/>
        <w:right w:val="none" w:sz="0" w:space="0" w:color="auto"/>
      </w:divBdr>
      <w:divsChild>
        <w:div w:id="558828146">
          <w:marLeft w:val="0"/>
          <w:marRight w:val="0"/>
          <w:marTop w:val="0"/>
          <w:marBottom w:val="0"/>
          <w:divBdr>
            <w:top w:val="none" w:sz="0" w:space="0" w:color="auto"/>
            <w:left w:val="none" w:sz="0" w:space="0" w:color="auto"/>
            <w:bottom w:val="none" w:sz="0" w:space="0" w:color="auto"/>
            <w:right w:val="none" w:sz="0" w:space="0" w:color="auto"/>
          </w:divBdr>
        </w:div>
      </w:divsChild>
    </w:div>
    <w:div w:id="861238078">
      <w:marLeft w:val="0"/>
      <w:marRight w:val="0"/>
      <w:marTop w:val="0"/>
      <w:marBottom w:val="0"/>
      <w:divBdr>
        <w:top w:val="none" w:sz="0" w:space="0" w:color="auto"/>
        <w:left w:val="none" w:sz="0" w:space="0" w:color="auto"/>
        <w:bottom w:val="none" w:sz="0" w:space="0" w:color="auto"/>
        <w:right w:val="none" w:sz="0" w:space="0" w:color="auto"/>
      </w:divBdr>
    </w:div>
    <w:div w:id="874346559">
      <w:marLeft w:val="0"/>
      <w:marRight w:val="0"/>
      <w:marTop w:val="60"/>
      <w:marBottom w:val="0"/>
      <w:divBdr>
        <w:top w:val="none" w:sz="0" w:space="0" w:color="auto"/>
        <w:left w:val="none" w:sz="0" w:space="0" w:color="auto"/>
        <w:bottom w:val="none" w:sz="0" w:space="0" w:color="auto"/>
        <w:right w:val="none" w:sz="0" w:space="0" w:color="auto"/>
      </w:divBdr>
    </w:div>
    <w:div w:id="892959536">
      <w:marLeft w:val="0"/>
      <w:marRight w:val="0"/>
      <w:marTop w:val="0"/>
      <w:marBottom w:val="0"/>
      <w:divBdr>
        <w:top w:val="none" w:sz="0" w:space="0" w:color="auto"/>
        <w:left w:val="none" w:sz="0" w:space="0" w:color="auto"/>
        <w:bottom w:val="none" w:sz="0" w:space="0" w:color="auto"/>
        <w:right w:val="none" w:sz="0" w:space="0" w:color="auto"/>
      </w:divBdr>
      <w:divsChild>
        <w:div w:id="1359966894">
          <w:marLeft w:val="0"/>
          <w:marRight w:val="0"/>
          <w:marTop w:val="0"/>
          <w:marBottom w:val="0"/>
          <w:divBdr>
            <w:top w:val="none" w:sz="0" w:space="0" w:color="auto"/>
            <w:left w:val="none" w:sz="0" w:space="0" w:color="auto"/>
            <w:bottom w:val="none" w:sz="0" w:space="0" w:color="auto"/>
            <w:right w:val="none" w:sz="0" w:space="0" w:color="auto"/>
          </w:divBdr>
        </w:div>
      </w:divsChild>
    </w:div>
    <w:div w:id="896890818">
      <w:marLeft w:val="0"/>
      <w:marRight w:val="0"/>
      <w:marTop w:val="120"/>
      <w:marBottom w:val="0"/>
      <w:divBdr>
        <w:top w:val="none" w:sz="0" w:space="0" w:color="auto"/>
        <w:left w:val="none" w:sz="0" w:space="0" w:color="auto"/>
        <w:bottom w:val="none" w:sz="0" w:space="0" w:color="auto"/>
        <w:right w:val="none" w:sz="0" w:space="0" w:color="auto"/>
      </w:divBdr>
    </w:div>
    <w:div w:id="900020137">
      <w:marLeft w:val="0"/>
      <w:marRight w:val="0"/>
      <w:marTop w:val="0"/>
      <w:marBottom w:val="0"/>
      <w:divBdr>
        <w:top w:val="none" w:sz="0" w:space="0" w:color="auto"/>
        <w:left w:val="none" w:sz="0" w:space="0" w:color="auto"/>
        <w:bottom w:val="none" w:sz="0" w:space="0" w:color="auto"/>
        <w:right w:val="none" w:sz="0" w:space="0" w:color="auto"/>
      </w:divBdr>
    </w:div>
    <w:div w:id="904027083">
      <w:marLeft w:val="0"/>
      <w:marRight w:val="0"/>
      <w:marTop w:val="0"/>
      <w:marBottom w:val="0"/>
      <w:divBdr>
        <w:top w:val="none" w:sz="0" w:space="0" w:color="auto"/>
        <w:left w:val="none" w:sz="0" w:space="0" w:color="auto"/>
        <w:bottom w:val="none" w:sz="0" w:space="0" w:color="auto"/>
        <w:right w:val="none" w:sz="0" w:space="0" w:color="auto"/>
      </w:divBdr>
    </w:div>
    <w:div w:id="913664640">
      <w:marLeft w:val="0"/>
      <w:marRight w:val="0"/>
      <w:marTop w:val="0"/>
      <w:marBottom w:val="0"/>
      <w:divBdr>
        <w:top w:val="none" w:sz="0" w:space="0" w:color="auto"/>
        <w:left w:val="none" w:sz="0" w:space="0" w:color="auto"/>
        <w:bottom w:val="none" w:sz="0" w:space="0" w:color="auto"/>
        <w:right w:val="none" w:sz="0" w:space="0" w:color="auto"/>
      </w:divBdr>
    </w:div>
    <w:div w:id="932587570">
      <w:marLeft w:val="0"/>
      <w:marRight w:val="0"/>
      <w:marTop w:val="0"/>
      <w:marBottom w:val="0"/>
      <w:divBdr>
        <w:top w:val="none" w:sz="0" w:space="0" w:color="auto"/>
        <w:left w:val="none" w:sz="0" w:space="0" w:color="auto"/>
        <w:bottom w:val="none" w:sz="0" w:space="0" w:color="auto"/>
        <w:right w:val="none" w:sz="0" w:space="0" w:color="auto"/>
      </w:divBdr>
      <w:divsChild>
        <w:div w:id="868689877">
          <w:marLeft w:val="0"/>
          <w:marRight w:val="0"/>
          <w:marTop w:val="0"/>
          <w:marBottom w:val="0"/>
          <w:divBdr>
            <w:top w:val="none" w:sz="0" w:space="0" w:color="auto"/>
            <w:left w:val="none" w:sz="0" w:space="0" w:color="auto"/>
            <w:bottom w:val="none" w:sz="0" w:space="0" w:color="auto"/>
            <w:right w:val="none" w:sz="0" w:space="0" w:color="auto"/>
          </w:divBdr>
        </w:div>
      </w:divsChild>
    </w:div>
    <w:div w:id="935091770">
      <w:marLeft w:val="0"/>
      <w:marRight w:val="0"/>
      <w:marTop w:val="0"/>
      <w:marBottom w:val="0"/>
      <w:divBdr>
        <w:top w:val="none" w:sz="0" w:space="0" w:color="auto"/>
        <w:left w:val="none" w:sz="0" w:space="0" w:color="auto"/>
        <w:bottom w:val="none" w:sz="0" w:space="0" w:color="auto"/>
        <w:right w:val="none" w:sz="0" w:space="0" w:color="auto"/>
      </w:divBdr>
    </w:div>
    <w:div w:id="942492422">
      <w:marLeft w:val="0"/>
      <w:marRight w:val="0"/>
      <w:marTop w:val="0"/>
      <w:marBottom w:val="0"/>
      <w:divBdr>
        <w:top w:val="none" w:sz="0" w:space="0" w:color="auto"/>
        <w:left w:val="none" w:sz="0" w:space="0" w:color="auto"/>
        <w:bottom w:val="none" w:sz="0" w:space="0" w:color="auto"/>
        <w:right w:val="none" w:sz="0" w:space="0" w:color="auto"/>
      </w:divBdr>
    </w:div>
    <w:div w:id="947078161">
      <w:marLeft w:val="0"/>
      <w:marRight w:val="0"/>
      <w:marTop w:val="0"/>
      <w:marBottom w:val="180"/>
      <w:divBdr>
        <w:top w:val="none" w:sz="0" w:space="0" w:color="auto"/>
        <w:left w:val="none" w:sz="0" w:space="0" w:color="auto"/>
        <w:bottom w:val="none" w:sz="0" w:space="0" w:color="auto"/>
        <w:right w:val="none" w:sz="0" w:space="0" w:color="auto"/>
      </w:divBdr>
    </w:div>
    <w:div w:id="957874321">
      <w:marLeft w:val="0"/>
      <w:marRight w:val="0"/>
      <w:marTop w:val="0"/>
      <w:marBottom w:val="0"/>
      <w:divBdr>
        <w:top w:val="none" w:sz="0" w:space="0" w:color="auto"/>
        <w:left w:val="none" w:sz="0" w:space="0" w:color="auto"/>
        <w:bottom w:val="none" w:sz="0" w:space="0" w:color="auto"/>
        <w:right w:val="none" w:sz="0" w:space="0" w:color="auto"/>
      </w:divBdr>
    </w:div>
    <w:div w:id="964241028">
      <w:marLeft w:val="0"/>
      <w:marRight w:val="0"/>
      <w:marTop w:val="0"/>
      <w:marBottom w:val="0"/>
      <w:divBdr>
        <w:top w:val="none" w:sz="0" w:space="0" w:color="auto"/>
        <w:left w:val="none" w:sz="0" w:space="0" w:color="auto"/>
        <w:bottom w:val="none" w:sz="0" w:space="0" w:color="auto"/>
        <w:right w:val="none" w:sz="0" w:space="0" w:color="auto"/>
      </w:divBdr>
    </w:div>
    <w:div w:id="967588981">
      <w:marLeft w:val="0"/>
      <w:marRight w:val="0"/>
      <w:marTop w:val="0"/>
      <w:marBottom w:val="0"/>
      <w:divBdr>
        <w:top w:val="none" w:sz="0" w:space="0" w:color="auto"/>
        <w:left w:val="none" w:sz="0" w:space="0" w:color="auto"/>
        <w:bottom w:val="none" w:sz="0" w:space="0" w:color="auto"/>
        <w:right w:val="none" w:sz="0" w:space="0" w:color="auto"/>
      </w:divBdr>
      <w:divsChild>
        <w:div w:id="579868185">
          <w:marLeft w:val="0"/>
          <w:marRight w:val="0"/>
          <w:marTop w:val="0"/>
          <w:marBottom w:val="0"/>
          <w:divBdr>
            <w:top w:val="none" w:sz="0" w:space="0" w:color="auto"/>
            <w:left w:val="none" w:sz="0" w:space="0" w:color="auto"/>
            <w:bottom w:val="none" w:sz="0" w:space="0" w:color="auto"/>
            <w:right w:val="none" w:sz="0" w:space="0" w:color="auto"/>
          </w:divBdr>
        </w:div>
      </w:divsChild>
    </w:div>
    <w:div w:id="979727366">
      <w:marLeft w:val="0"/>
      <w:marRight w:val="0"/>
      <w:marTop w:val="0"/>
      <w:marBottom w:val="0"/>
      <w:divBdr>
        <w:top w:val="none" w:sz="0" w:space="0" w:color="auto"/>
        <w:left w:val="none" w:sz="0" w:space="0" w:color="auto"/>
        <w:bottom w:val="none" w:sz="0" w:space="0" w:color="auto"/>
        <w:right w:val="none" w:sz="0" w:space="0" w:color="auto"/>
      </w:divBdr>
      <w:divsChild>
        <w:div w:id="500388951">
          <w:marLeft w:val="0"/>
          <w:marRight w:val="0"/>
          <w:marTop w:val="0"/>
          <w:marBottom w:val="0"/>
          <w:divBdr>
            <w:top w:val="none" w:sz="0" w:space="0" w:color="auto"/>
            <w:left w:val="none" w:sz="0" w:space="0" w:color="auto"/>
            <w:bottom w:val="none" w:sz="0" w:space="0" w:color="auto"/>
            <w:right w:val="none" w:sz="0" w:space="0" w:color="auto"/>
          </w:divBdr>
        </w:div>
      </w:divsChild>
    </w:div>
    <w:div w:id="986588779">
      <w:marLeft w:val="0"/>
      <w:marRight w:val="0"/>
      <w:marTop w:val="0"/>
      <w:marBottom w:val="0"/>
      <w:divBdr>
        <w:top w:val="none" w:sz="0" w:space="0" w:color="auto"/>
        <w:left w:val="none" w:sz="0" w:space="0" w:color="auto"/>
        <w:bottom w:val="none" w:sz="0" w:space="0" w:color="auto"/>
        <w:right w:val="none" w:sz="0" w:space="0" w:color="auto"/>
      </w:divBdr>
      <w:divsChild>
        <w:div w:id="611322555">
          <w:marLeft w:val="0"/>
          <w:marRight w:val="0"/>
          <w:marTop w:val="0"/>
          <w:marBottom w:val="0"/>
          <w:divBdr>
            <w:top w:val="none" w:sz="0" w:space="0" w:color="auto"/>
            <w:left w:val="none" w:sz="0" w:space="0" w:color="auto"/>
            <w:bottom w:val="none" w:sz="0" w:space="0" w:color="auto"/>
            <w:right w:val="none" w:sz="0" w:space="0" w:color="auto"/>
          </w:divBdr>
        </w:div>
      </w:divsChild>
    </w:div>
    <w:div w:id="990019201">
      <w:marLeft w:val="0"/>
      <w:marRight w:val="0"/>
      <w:marTop w:val="0"/>
      <w:marBottom w:val="0"/>
      <w:divBdr>
        <w:top w:val="none" w:sz="0" w:space="0" w:color="auto"/>
        <w:left w:val="none" w:sz="0" w:space="0" w:color="auto"/>
        <w:bottom w:val="none" w:sz="0" w:space="0" w:color="auto"/>
        <w:right w:val="none" w:sz="0" w:space="0" w:color="auto"/>
      </w:divBdr>
      <w:divsChild>
        <w:div w:id="41756966">
          <w:marLeft w:val="0"/>
          <w:marRight w:val="0"/>
          <w:marTop w:val="0"/>
          <w:marBottom w:val="0"/>
          <w:divBdr>
            <w:top w:val="none" w:sz="0" w:space="0" w:color="auto"/>
            <w:left w:val="none" w:sz="0" w:space="0" w:color="auto"/>
            <w:bottom w:val="none" w:sz="0" w:space="0" w:color="auto"/>
            <w:right w:val="none" w:sz="0" w:space="0" w:color="auto"/>
          </w:divBdr>
        </w:div>
      </w:divsChild>
    </w:div>
    <w:div w:id="1021855935">
      <w:marLeft w:val="0"/>
      <w:marRight w:val="0"/>
      <w:marTop w:val="0"/>
      <w:marBottom w:val="0"/>
      <w:divBdr>
        <w:top w:val="none" w:sz="0" w:space="0" w:color="auto"/>
        <w:left w:val="none" w:sz="0" w:space="0" w:color="auto"/>
        <w:bottom w:val="none" w:sz="0" w:space="0" w:color="auto"/>
        <w:right w:val="none" w:sz="0" w:space="0" w:color="auto"/>
      </w:divBdr>
      <w:divsChild>
        <w:div w:id="331882283">
          <w:marLeft w:val="0"/>
          <w:marRight w:val="0"/>
          <w:marTop w:val="0"/>
          <w:marBottom w:val="0"/>
          <w:divBdr>
            <w:top w:val="none" w:sz="0" w:space="0" w:color="auto"/>
            <w:left w:val="none" w:sz="0" w:space="0" w:color="auto"/>
            <w:bottom w:val="none" w:sz="0" w:space="0" w:color="auto"/>
            <w:right w:val="none" w:sz="0" w:space="0" w:color="auto"/>
          </w:divBdr>
        </w:div>
      </w:divsChild>
    </w:div>
    <w:div w:id="1030106714">
      <w:marLeft w:val="0"/>
      <w:marRight w:val="0"/>
      <w:marTop w:val="0"/>
      <w:marBottom w:val="0"/>
      <w:divBdr>
        <w:top w:val="none" w:sz="0" w:space="0" w:color="auto"/>
        <w:left w:val="none" w:sz="0" w:space="0" w:color="auto"/>
        <w:bottom w:val="none" w:sz="0" w:space="0" w:color="auto"/>
        <w:right w:val="none" w:sz="0" w:space="0" w:color="auto"/>
      </w:divBdr>
    </w:div>
    <w:div w:id="1038747106">
      <w:marLeft w:val="0"/>
      <w:marRight w:val="0"/>
      <w:marTop w:val="0"/>
      <w:marBottom w:val="0"/>
      <w:divBdr>
        <w:top w:val="none" w:sz="0" w:space="0" w:color="auto"/>
        <w:left w:val="none" w:sz="0" w:space="0" w:color="auto"/>
        <w:bottom w:val="none" w:sz="0" w:space="0" w:color="auto"/>
        <w:right w:val="none" w:sz="0" w:space="0" w:color="auto"/>
      </w:divBdr>
    </w:div>
    <w:div w:id="1042050429">
      <w:marLeft w:val="0"/>
      <w:marRight w:val="0"/>
      <w:marTop w:val="0"/>
      <w:marBottom w:val="0"/>
      <w:divBdr>
        <w:top w:val="none" w:sz="0" w:space="0" w:color="auto"/>
        <w:left w:val="none" w:sz="0" w:space="0" w:color="auto"/>
        <w:bottom w:val="none" w:sz="0" w:space="0" w:color="auto"/>
        <w:right w:val="none" w:sz="0" w:space="0" w:color="auto"/>
      </w:divBdr>
    </w:div>
    <w:div w:id="1043748551">
      <w:marLeft w:val="0"/>
      <w:marRight w:val="0"/>
      <w:marTop w:val="0"/>
      <w:marBottom w:val="80"/>
      <w:divBdr>
        <w:top w:val="none" w:sz="0" w:space="0" w:color="auto"/>
        <w:left w:val="none" w:sz="0" w:space="0" w:color="auto"/>
        <w:bottom w:val="none" w:sz="0" w:space="0" w:color="auto"/>
        <w:right w:val="none" w:sz="0" w:space="0" w:color="auto"/>
      </w:divBdr>
      <w:divsChild>
        <w:div w:id="812454565">
          <w:marLeft w:val="0"/>
          <w:marRight w:val="0"/>
          <w:marTop w:val="0"/>
          <w:marBottom w:val="0"/>
          <w:divBdr>
            <w:top w:val="none" w:sz="0" w:space="0" w:color="auto"/>
            <w:left w:val="none" w:sz="0" w:space="0" w:color="auto"/>
            <w:bottom w:val="none" w:sz="0" w:space="0" w:color="auto"/>
            <w:right w:val="none" w:sz="0" w:space="0" w:color="auto"/>
          </w:divBdr>
        </w:div>
      </w:divsChild>
    </w:div>
    <w:div w:id="1048069720">
      <w:marLeft w:val="0"/>
      <w:marRight w:val="0"/>
      <w:marTop w:val="0"/>
      <w:marBottom w:val="0"/>
      <w:divBdr>
        <w:top w:val="none" w:sz="0" w:space="0" w:color="auto"/>
        <w:left w:val="none" w:sz="0" w:space="0" w:color="auto"/>
        <w:bottom w:val="none" w:sz="0" w:space="0" w:color="auto"/>
        <w:right w:val="none" w:sz="0" w:space="0" w:color="auto"/>
      </w:divBdr>
    </w:div>
    <w:div w:id="1054238216">
      <w:marLeft w:val="0"/>
      <w:marRight w:val="0"/>
      <w:marTop w:val="0"/>
      <w:marBottom w:val="0"/>
      <w:divBdr>
        <w:top w:val="none" w:sz="0" w:space="0" w:color="auto"/>
        <w:left w:val="none" w:sz="0" w:space="0" w:color="auto"/>
        <w:bottom w:val="none" w:sz="0" w:space="0" w:color="auto"/>
        <w:right w:val="none" w:sz="0" w:space="0" w:color="auto"/>
      </w:divBdr>
      <w:divsChild>
        <w:div w:id="1086653060">
          <w:marLeft w:val="0"/>
          <w:marRight w:val="0"/>
          <w:marTop w:val="0"/>
          <w:marBottom w:val="0"/>
          <w:divBdr>
            <w:top w:val="none" w:sz="0" w:space="0" w:color="auto"/>
            <w:left w:val="none" w:sz="0" w:space="0" w:color="auto"/>
            <w:bottom w:val="none" w:sz="0" w:space="0" w:color="auto"/>
            <w:right w:val="none" w:sz="0" w:space="0" w:color="auto"/>
          </w:divBdr>
        </w:div>
      </w:divsChild>
    </w:div>
    <w:div w:id="1059744085">
      <w:marLeft w:val="0"/>
      <w:marRight w:val="0"/>
      <w:marTop w:val="0"/>
      <w:marBottom w:val="0"/>
      <w:divBdr>
        <w:top w:val="none" w:sz="0" w:space="0" w:color="auto"/>
        <w:left w:val="none" w:sz="0" w:space="0" w:color="auto"/>
        <w:bottom w:val="none" w:sz="0" w:space="0" w:color="auto"/>
        <w:right w:val="none" w:sz="0" w:space="0" w:color="auto"/>
      </w:divBdr>
    </w:div>
    <w:div w:id="1073509777">
      <w:marLeft w:val="0"/>
      <w:marRight w:val="0"/>
      <w:marTop w:val="0"/>
      <w:marBottom w:val="0"/>
      <w:divBdr>
        <w:top w:val="none" w:sz="0" w:space="0" w:color="auto"/>
        <w:left w:val="none" w:sz="0" w:space="0" w:color="auto"/>
        <w:bottom w:val="none" w:sz="0" w:space="0" w:color="auto"/>
        <w:right w:val="none" w:sz="0" w:space="0" w:color="auto"/>
      </w:divBdr>
    </w:div>
    <w:div w:id="1079451195">
      <w:marLeft w:val="0"/>
      <w:marRight w:val="0"/>
      <w:marTop w:val="0"/>
      <w:marBottom w:val="0"/>
      <w:divBdr>
        <w:top w:val="none" w:sz="0" w:space="0" w:color="auto"/>
        <w:left w:val="none" w:sz="0" w:space="0" w:color="auto"/>
        <w:bottom w:val="none" w:sz="0" w:space="0" w:color="auto"/>
        <w:right w:val="none" w:sz="0" w:space="0" w:color="auto"/>
      </w:divBdr>
    </w:div>
    <w:div w:id="1088313593">
      <w:marLeft w:val="0"/>
      <w:marRight w:val="0"/>
      <w:marTop w:val="0"/>
      <w:marBottom w:val="0"/>
      <w:divBdr>
        <w:top w:val="none" w:sz="0" w:space="0" w:color="auto"/>
        <w:left w:val="none" w:sz="0" w:space="0" w:color="auto"/>
        <w:bottom w:val="none" w:sz="0" w:space="0" w:color="auto"/>
        <w:right w:val="none" w:sz="0" w:space="0" w:color="auto"/>
      </w:divBdr>
      <w:divsChild>
        <w:div w:id="583487992">
          <w:marLeft w:val="0"/>
          <w:marRight w:val="0"/>
          <w:marTop w:val="0"/>
          <w:marBottom w:val="0"/>
          <w:divBdr>
            <w:top w:val="none" w:sz="0" w:space="0" w:color="auto"/>
            <w:left w:val="none" w:sz="0" w:space="0" w:color="auto"/>
            <w:bottom w:val="none" w:sz="0" w:space="0" w:color="auto"/>
            <w:right w:val="none" w:sz="0" w:space="0" w:color="auto"/>
          </w:divBdr>
        </w:div>
      </w:divsChild>
    </w:div>
    <w:div w:id="1090197618">
      <w:marLeft w:val="0"/>
      <w:marRight w:val="0"/>
      <w:marTop w:val="0"/>
      <w:marBottom w:val="0"/>
      <w:divBdr>
        <w:top w:val="none" w:sz="0" w:space="0" w:color="auto"/>
        <w:left w:val="none" w:sz="0" w:space="0" w:color="auto"/>
        <w:bottom w:val="none" w:sz="0" w:space="0" w:color="auto"/>
        <w:right w:val="none" w:sz="0" w:space="0" w:color="auto"/>
      </w:divBdr>
    </w:div>
    <w:div w:id="1099914664">
      <w:marLeft w:val="0"/>
      <w:marRight w:val="0"/>
      <w:marTop w:val="0"/>
      <w:marBottom w:val="0"/>
      <w:divBdr>
        <w:top w:val="none" w:sz="0" w:space="0" w:color="auto"/>
        <w:left w:val="none" w:sz="0" w:space="0" w:color="auto"/>
        <w:bottom w:val="none" w:sz="0" w:space="0" w:color="auto"/>
        <w:right w:val="none" w:sz="0" w:space="0" w:color="auto"/>
      </w:divBdr>
      <w:divsChild>
        <w:div w:id="1042754631">
          <w:marLeft w:val="0"/>
          <w:marRight w:val="0"/>
          <w:marTop w:val="0"/>
          <w:marBottom w:val="0"/>
          <w:divBdr>
            <w:top w:val="none" w:sz="0" w:space="0" w:color="auto"/>
            <w:left w:val="none" w:sz="0" w:space="0" w:color="auto"/>
            <w:bottom w:val="none" w:sz="0" w:space="0" w:color="auto"/>
            <w:right w:val="none" w:sz="0" w:space="0" w:color="auto"/>
          </w:divBdr>
        </w:div>
      </w:divsChild>
    </w:div>
    <w:div w:id="1101342515">
      <w:marLeft w:val="0"/>
      <w:marRight w:val="0"/>
      <w:marTop w:val="0"/>
      <w:marBottom w:val="20"/>
      <w:divBdr>
        <w:top w:val="none" w:sz="0" w:space="0" w:color="auto"/>
        <w:left w:val="none" w:sz="0" w:space="0" w:color="auto"/>
        <w:bottom w:val="none" w:sz="0" w:space="0" w:color="auto"/>
        <w:right w:val="none" w:sz="0" w:space="0" w:color="auto"/>
      </w:divBdr>
    </w:div>
    <w:div w:id="1105272369">
      <w:marLeft w:val="0"/>
      <w:marRight w:val="0"/>
      <w:marTop w:val="0"/>
      <w:marBottom w:val="0"/>
      <w:divBdr>
        <w:top w:val="none" w:sz="0" w:space="0" w:color="auto"/>
        <w:left w:val="none" w:sz="0" w:space="0" w:color="auto"/>
        <w:bottom w:val="none" w:sz="0" w:space="0" w:color="auto"/>
        <w:right w:val="none" w:sz="0" w:space="0" w:color="auto"/>
      </w:divBdr>
    </w:div>
    <w:div w:id="1114440987">
      <w:marLeft w:val="0"/>
      <w:marRight w:val="0"/>
      <w:marTop w:val="0"/>
      <w:marBottom w:val="0"/>
      <w:divBdr>
        <w:top w:val="none" w:sz="0" w:space="0" w:color="auto"/>
        <w:left w:val="none" w:sz="0" w:space="0" w:color="auto"/>
        <w:bottom w:val="none" w:sz="0" w:space="0" w:color="auto"/>
        <w:right w:val="none" w:sz="0" w:space="0" w:color="auto"/>
      </w:divBdr>
    </w:div>
    <w:div w:id="1120953483">
      <w:marLeft w:val="0"/>
      <w:marRight w:val="0"/>
      <w:marTop w:val="0"/>
      <w:marBottom w:val="0"/>
      <w:divBdr>
        <w:top w:val="none" w:sz="0" w:space="0" w:color="auto"/>
        <w:left w:val="none" w:sz="0" w:space="0" w:color="auto"/>
        <w:bottom w:val="none" w:sz="0" w:space="0" w:color="auto"/>
        <w:right w:val="none" w:sz="0" w:space="0" w:color="auto"/>
      </w:divBdr>
    </w:div>
    <w:div w:id="1133526852">
      <w:marLeft w:val="0"/>
      <w:marRight w:val="0"/>
      <w:marTop w:val="0"/>
      <w:marBottom w:val="0"/>
      <w:divBdr>
        <w:top w:val="none" w:sz="0" w:space="0" w:color="auto"/>
        <w:left w:val="none" w:sz="0" w:space="0" w:color="auto"/>
        <w:bottom w:val="none" w:sz="0" w:space="0" w:color="auto"/>
        <w:right w:val="none" w:sz="0" w:space="0" w:color="auto"/>
      </w:divBdr>
    </w:div>
    <w:div w:id="1135489275">
      <w:marLeft w:val="0"/>
      <w:marRight w:val="0"/>
      <w:marTop w:val="0"/>
      <w:marBottom w:val="180"/>
      <w:divBdr>
        <w:top w:val="none" w:sz="0" w:space="0" w:color="auto"/>
        <w:left w:val="none" w:sz="0" w:space="0" w:color="auto"/>
        <w:bottom w:val="none" w:sz="0" w:space="0" w:color="auto"/>
        <w:right w:val="none" w:sz="0" w:space="0" w:color="auto"/>
      </w:divBdr>
    </w:div>
    <w:div w:id="1144003570">
      <w:marLeft w:val="0"/>
      <w:marRight w:val="0"/>
      <w:marTop w:val="0"/>
      <w:marBottom w:val="0"/>
      <w:divBdr>
        <w:top w:val="none" w:sz="0" w:space="0" w:color="auto"/>
        <w:left w:val="none" w:sz="0" w:space="0" w:color="auto"/>
        <w:bottom w:val="none" w:sz="0" w:space="0" w:color="auto"/>
        <w:right w:val="none" w:sz="0" w:space="0" w:color="auto"/>
      </w:divBdr>
    </w:div>
    <w:div w:id="1144467880">
      <w:marLeft w:val="0"/>
      <w:marRight w:val="0"/>
      <w:marTop w:val="0"/>
      <w:marBottom w:val="0"/>
      <w:divBdr>
        <w:top w:val="none" w:sz="0" w:space="0" w:color="auto"/>
        <w:left w:val="none" w:sz="0" w:space="0" w:color="auto"/>
        <w:bottom w:val="none" w:sz="0" w:space="0" w:color="auto"/>
        <w:right w:val="none" w:sz="0" w:space="0" w:color="auto"/>
      </w:divBdr>
    </w:div>
    <w:div w:id="1144928725">
      <w:marLeft w:val="0"/>
      <w:marRight w:val="0"/>
      <w:marTop w:val="0"/>
      <w:marBottom w:val="0"/>
      <w:divBdr>
        <w:top w:val="none" w:sz="0" w:space="0" w:color="auto"/>
        <w:left w:val="none" w:sz="0" w:space="0" w:color="auto"/>
        <w:bottom w:val="none" w:sz="0" w:space="0" w:color="auto"/>
        <w:right w:val="none" w:sz="0" w:space="0" w:color="auto"/>
      </w:divBdr>
      <w:divsChild>
        <w:div w:id="1864856622">
          <w:marLeft w:val="0"/>
          <w:marRight w:val="0"/>
          <w:marTop w:val="0"/>
          <w:marBottom w:val="0"/>
          <w:divBdr>
            <w:top w:val="none" w:sz="0" w:space="0" w:color="auto"/>
            <w:left w:val="none" w:sz="0" w:space="0" w:color="auto"/>
            <w:bottom w:val="none" w:sz="0" w:space="0" w:color="auto"/>
            <w:right w:val="none" w:sz="0" w:space="0" w:color="auto"/>
          </w:divBdr>
        </w:div>
      </w:divsChild>
    </w:div>
    <w:div w:id="1150058488">
      <w:marLeft w:val="0"/>
      <w:marRight w:val="0"/>
      <w:marTop w:val="0"/>
      <w:marBottom w:val="0"/>
      <w:divBdr>
        <w:top w:val="none" w:sz="0" w:space="0" w:color="auto"/>
        <w:left w:val="none" w:sz="0" w:space="0" w:color="auto"/>
        <w:bottom w:val="none" w:sz="0" w:space="0" w:color="auto"/>
        <w:right w:val="none" w:sz="0" w:space="0" w:color="auto"/>
      </w:divBdr>
    </w:div>
    <w:div w:id="1152910003">
      <w:marLeft w:val="0"/>
      <w:marRight w:val="0"/>
      <w:marTop w:val="0"/>
      <w:marBottom w:val="0"/>
      <w:divBdr>
        <w:top w:val="none" w:sz="0" w:space="0" w:color="auto"/>
        <w:left w:val="none" w:sz="0" w:space="0" w:color="auto"/>
        <w:bottom w:val="none" w:sz="0" w:space="0" w:color="auto"/>
        <w:right w:val="none" w:sz="0" w:space="0" w:color="auto"/>
      </w:divBdr>
    </w:div>
    <w:div w:id="1158376274">
      <w:marLeft w:val="0"/>
      <w:marRight w:val="0"/>
      <w:marTop w:val="0"/>
      <w:marBottom w:val="0"/>
      <w:divBdr>
        <w:top w:val="none" w:sz="0" w:space="0" w:color="auto"/>
        <w:left w:val="none" w:sz="0" w:space="0" w:color="auto"/>
        <w:bottom w:val="none" w:sz="0" w:space="0" w:color="auto"/>
        <w:right w:val="none" w:sz="0" w:space="0" w:color="auto"/>
      </w:divBdr>
    </w:div>
    <w:div w:id="1162895463">
      <w:marLeft w:val="0"/>
      <w:marRight w:val="0"/>
      <w:marTop w:val="0"/>
      <w:marBottom w:val="0"/>
      <w:divBdr>
        <w:top w:val="none" w:sz="0" w:space="0" w:color="auto"/>
        <w:left w:val="none" w:sz="0" w:space="0" w:color="auto"/>
        <w:bottom w:val="none" w:sz="0" w:space="0" w:color="auto"/>
        <w:right w:val="none" w:sz="0" w:space="0" w:color="auto"/>
      </w:divBdr>
      <w:divsChild>
        <w:div w:id="1178540516">
          <w:marLeft w:val="0"/>
          <w:marRight w:val="0"/>
          <w:marTop w:val="0"/>
          <w:marBottom w:val="0"/>
          <w:divBdr>
            <w:top w:val="none" w:sz="0" w:space="0" w:color="auto"/>
            <w:left w:val="none" w:sz="0" w:space="0" w:color="auto"/>
            <w:bottom w:val="none" w:sz="0" w:space="0" w:color="auto"/>
            <w:right w:val="none" w:sz="0" w:space="0" w:color="auto"/>
          </w:divBdr>
        </w:div>
      </w:divsChild>
    </w:div>
    <w:div w:id="1173227136">
      <w:marLeft w:val="0"/>
      <w:marRight w:val="0"/>
      <w:marTop w:val="0"/>
      <w:marBottom w:val="0"/>
      <w:divBdr>
        <w:top w:val="none" w:sz="0" w:space="0" w:color="auto"/>
        <w:left w:val="none" w:sz="0" w:space="0" w:color="auto"/>
        <w:bottom w:val="none" w:sz="0" w:space="0" w:color="auto"/>
        <w:right w:val="none" w:sz="0" w:space="0" w:color="auto"/>
      </w:divBdr>
    </w:div>
    <w:div w:id="1182816994">
      <w:marLeft w:val="0"/>
      <w:marRight w:val="0"/>
      <w:marTop w:val="0"/>
      <w:marBottom w:val="0"/>
      <w:divBdr>
        <w:top w:val="none" w:sz="0" w:space="0" w:color="auto"/>
        <w:left w:val="none" w:sz="0" w:space="0" w:color="auto"/>
        <w:bottom w:val="none" w:sz="0" w:space="0" w:color="auto"/>
        <w:right w:val="none" w:sz="0" w:space="0" w:color="auto"/>
      </w:divBdr>
    </w:div>
    <w:div w:id="1190220980">
      <w:marLeft w:val="0"/>
      <w:marRight w:val="0"/>
      <w:marTop w:val="0"/>
      <w:marBottom w:val="0"/>
      <w:divBdr>
        <w:top w:val="none" w:sz="0" w:space="0" w:color="auto"/>
        <w:left w:val="none" w:sz="0" w:space="0" w:color="auto"/>
        <w:bottom w:val="none" w:sz="0" w:space="0" w:color="auto"/>
        <w:right w:val="none" w:sz="0" w:space="0" w:color="auto"/>
      </w:divBdr>
    </w:div>
    <w:div w:id="1194005000">
      <w:marLeft w:val="0"/>
      <w:marRight w:val="0"/>
      <w:marTop w:val="0"/>
      <w:marBottom w:val="0"/>
      <w:divBdr>
        <w:top w:val="none" w:sz="0" w:space="0" w:color="auto"/>
        <w:left w:val="none" w:sz="0" w:space="0" w:color="auto"/>
        <w:bottom w:val="none" w:sz="0" w:space="0" w:color="auto"/>
        <w:right w:val="none" w:sz="0" w:space="0" w:color="auto"/>
      </w:divBdr>
    </w:div>
    <w:div w:id="1206024952">
      <w:marLeft w:val="0"/>
      <w:marRight w:val="0"/>
      <w:marTop w:val="0"/>
      <w:marBottom w:val="0"/>
      <w:divBdr>
        <w:top w:val="none" w:sz="0" w:space="0" w:color="auto"/>
        <w:left w:val="none" w:sz="0" w:space="0" w:color="auto"/>
        <w:bottom w:val="none" w:sz="0" w:space="0" w:color="auto"/>
        <w:right w:val="none" w:sz="0" w:space="0" w:color="auto"/>
      </w:divBdr>
      <w:divsChild>
        <w:div w:id="1248999957">
          <w:marLeft w:val="0"/>
          <w:marRight w:val="0"/>
          <w:marTop w:val="0"/>
          <w:marBottom w:val="0"/>
          <w:divBdr>
            <w:top w:val="none" w:sz="0" w:space="0" w:color="auto"/>
            <w:left w:val="none" w:sz="0" w:space="0" w:color="auto"/>
            <w:bottom w:val="none" w:sz="0" w:space="0" w:color="auto"/>
            <w:right w:val="none" w:sz="0" w:space="0" w:color="auto"/>
          </w:divBdr>
        </w:div>
      </w:divsChild>
    </w:div>
    <w:div w:id="1215848336">
      <w:marLeft w:val="0"/>
      <w:marRight w:val="0"/>
      <w:marTop w:val="0"/>
      <w:marBottom w:val="0"/>
      <w:divBdr>
        <w:top w:val="none" w:sz="0" w:space="0" w:color="auto"/>
        <w:left w:val="none" w:sz="0" w:space="0" w:color="auto"/>
        <w:bottom w:val="none" w:sz="0" w:space="0" w:color="auto"/>
        <w:right w:val="none" w:sz="0" w:space="0" w:color="auto"/>
      </w:divBdr>
      <w:divsChild>
        <w:div w:id="897010041">
          <w:marLeft w:val="0"/>
          <w:marRight w:val="0"/>
          <w:marTop w:val="0"/>
          <w:marBottom w:val="0"/>
          <w:divBdr>
            <w:top w:val="none" w:sz="0" w:space="0" w:color="auto"/>
            <w:left w:val="none" w:sz="0" w:space="0" w:color="auto"/>
            <w:bottom w:val="none" w:sz="0" w:space="0" w:color="auto"/>
            <w:right w:val="none" w:sz="0" w:space="0" w:color="auto"/>
          </w:divBdr>
        </w:div>
      </w:divsChild>
    </w:div>
    <w:div w:id="1217670356">
      <w:marLeft w:val="0"/>
      <w:marRight w:val="0"/>
      <w:marTop w:val="0"/>
      <w:marBottom w:val="180"/>
      <w:divBdr>
        <w:top w:val="none" w:sz="0" w:space="0" w:color="auto"/>
        <w:left w:val="none" w:sz="0" w:space="0" w:color="auto"/>
        <w:bottom w:val="none" w:sz="0" w:space="0" w:color="auto"/>
        <w:right w:val="none" w:sz="0" w:space="0" w:color="auto"/>
      </w:divBdr>
    </w:div>
    <w:div w:id="1221988113">
      <w:marLeft w:val="0"/>
      <w:marRight w:val="0"/>
      <w:marTop w:val="0"/>
      <w:marBottom w:val="0"/>
      <w:divBdr>
        <w:top w:val="none" w:sz="0" w:space="0" w:color="auto"/>
        <w:left w:val="none" w:sz="0" w:space="0" w:color="auto"/>
        <w:bottom w:val="none" w:sz="0" w:space="0" w:color="auto"/>
        <w:right w:val="none" w:sz="0" w:space="0" w:color="auto"/>
      </w:divBdr>
      <w:divsChild>
        <w:div w:id="352073260">
          <w:marLeft w:val="0"/>
          <w:marRight w:val="0"/>
          <w:marTop w:val="0"/>
          <w:marBottom w:val="0"/>
          <w:divBdr>
            <w:top w:val="none" w:sz="0" w:space="0" w:color="auto"/>
            <w:left w:val="none" w:sz="0" w:space="0" w:color="auto"/>
            <w:bottom w:val="none" w:sz="0" w:space="0" w:color="auto"/>
            <w:right w:val="none" w:sz="0" w:space="0" w:color="auto"/>
          </w:divBdr>
        </w:div>
      </w:divsChild>
    </w:div>
    <w:div w:id="1238782154">
      <w:marLeft w:val="0"/>
      <w:marRight w:val="0"/>
      <w:marTop w:val="0"/>
      <w:marBottom w:val="0"/>
      <w:divBdr>
        <w:top w:val="none" w:sz="0" w:space="0" w:color="auto"/>
        <w:left w:val="none" w:sz="0" w:space="0" w:color="auto"/>
        <w:bottom w:val="none" w:sz="0" w:space="0" w:color="auto"/>
        <w:right w:val="none" w:sz="0" w:space="0" w:color="auto"/>
      </w:divBdr>
      <w:divsChild>
        <w:div w:id="305088452">
          <w:marLeft w:val="0"/>
          <w:marRight w:val="0"/>
          <w:marTop w:val="0"/>
          <w:marBottom w:val="0"/>
          <w:divBdr>
            <w:top w:val="none" w:sz="0" w:space="0" w:color="auto"/>
            <w:left w:val="none" w:sz="0" w:space="0" w:color="auto"/>
            <w:bottom w:val="none" w:sz="0" w:space="0" w:color="auto"/>
            <w:right w:val="none" w:sz="0" w:space="0" w:color="auto"/>
          </w:divBdr>
        </w:div>
      </w:divsChild>
    </w:div>
    <w:div w:id="1250114214">
      <w:marLeft w:val="0"/>
      <w:marRight w:val="0"/>
      <w:marTop w:val="0"/>
      <w:marBottom w:val="0"/>
      <w:divBdr>
        <w:top w:val="none" w:sz="0" w:space="0" w:color="auto"/>
        <w:left w:val="none" w:sz="0" w:space="0" w:color="auto"/>
        <w:bottom w:val="none" w:sz="0" w:space="0" w:color="auto"/>
        <w:right w:val="none" w:sz="0" w:space="0" w:color="auto"/>
      </w:divBdr>
      <w:divsChild>
        <w:div w:id="1006372322">
          <w:marLeft w:val="0"/>
          <w:marRight w:val="0"/>
          <w:marTop w:val="0"/>
          <w:marBottom w:val="0"/>
          <w:divBdr>
            <w:top w:val="none" w:sz="0" w:space="0" w:color="auto"/>
            <w:left w:val="none" w:sz="0" w:space="0" w:color="auto"/>
            <w:bottom w:val="none" w:sz="0" w:space="0" w:color="auto"/>
            <w:right w:val="none" w:sz="0" w:space="0" w:color="auto"/>
          </w:divBdr>
        </w:div>
      </w:divsChild>
    </w:div>
    <w:div w:id="1262882716">
      <w:marLeft w:val="0"/>
      <w:marRight w:val="0"/>
      <w:marTop w:val="0"/>
      <w:marBottom w:val="0"/>
      <w:divBdr>
        <w:top w:val="none" w:sz="0" w:space="0" w:color="auto"/>
        <w:left w:val="none" w:sz="0" w:space="0" w:color="auto"/>
        <w:bottom w:val="none" w:sz="0" w:space="0" w:color="auto"/>
        <w:right w:val="none" w:sz="0" w:space="0" w:color="auto"/>
      </w:divBdr>
    </w:div>
    <w:div w:id="1263876687">
      <w:marLeft w:val="0"/>
      <w:marRight w:val="0"/>
      <w:marTop w:val="180"/>
      <w:marBottom w:val="0"/>
      <w:divBdr>
        <w:top w:val="none" w:sz="0" w:space="0" w:color="auto"/>
        <w:left w:val="none" w:sz="0" w:space="0" w:color="auto"/>
        <w:bottom w:val="none" w:sz="0" w:space="0" w:color="auto"/>
        <w:right w:val="none" w:sz="0" w:space="0" w:color="auto"/>
      </w:divBdr>
    </w:div>
    <w:div w:id="1263998199">
      <w:marLeft w:val="0"/>
      <w:marRight w:val="0"/>
      <w:marTop w:val="0"/>
      <w:marBottom w:val="0"/>
      <w:divBdr>
        <w:top w:val="none" w:sz="0" w:space="0" w:color="auto"/>
        <w:left w:val="none" w:sz="0" w:space="0" w:color="auto"/>
        <w:bottom w:val="none" w:sz="0" w:space="0" w:color="auto"/>
        <w:right w:val="none" w:sz="0" w:space="0" w:color="auto"/>
      </w:divBdr>
      <w:divsChild>
        <w:div w:id="1298027694">
          <w:marLeft w:val="0"/>
          <w:marRight w:val="0"/>
          <w:marTop w:val="0"/>
          <w:marBottom w:val="0"/>
          <w:divBdr>
            <w:top w:val="none" w:sz="0" w:space="0" w:color="auto"/>
            <w:left w:val="none" w:sz="0" w:space="0" w:color="auto"/>
            <w:bottom w:val="none" w:sz="0" w:space="0" w:color="auto"/>
            <w:right w:val="none" w:sz="0" w:space="0" w:color="auto"/>
          </w:divBdr>
        </w:div>
      </w:divsChild>
    </w:div>
    <w:div w:id="1265725027">
      <w:marLeft w:val="0"/>
      <w:marRight w:val="0"/>
      <w:marTop w:val="0"/>
      <w:marBottom w:val="0"/>
      <w:divBdr>
        <w:top w:val="none" w:sz="0" w:space="0" w:color="auto"/>
        <w:left w:val="none" w:sz="0" w:space="0" w:color="auto"/>
        <w:bottom w:val="none" w:sz="0" w:space="0" w:color="auto"/>
        <w:right w:val="none" w:sz="0" w:space="0" w:color="auto"/>
      </w:divBdr>
    </w:div>
    <w:div w:id="1271205507">
      <w:marLeft w:val="0"/>
      <w:marRight w:val="0"/>
      <w:marTop w:val="0"/>
      <w:marBottom w:val="0"/>
      <w:divBdr>
        <w:top w:val="none" w:sz="0" w:space="0" w:color="auto"/>
        <w:left w:val="none" w:sz="0" w:space="0" w:color="auto"/>
        <w:bottom w:val="none" w:sz="0" w:space="0" w:color="auto"/>
        <w:right w:val="none" w:sz="0" w:space="0" w:color="auto"/>
      </w:divBdr>
    </w:div>
    <w:div w:id="1276138291">
      <w:marLeft w:val="0"/>
      <w:marRight w:val="0"/>
      <w:marTop w:val="0"/>
      <w:marBottom w:val="0"/>
      <w:divBdr>
        <w:top w:val="none" w:sz="0" w:space="0" w:color="auto"/>
        <w:left w:val="none" w:sz="0" w:space="0" w:color="auto"/>
        <w:bottom w:val="none" w:sz="0" w:space="0" w:color="auto"/>
        <w:right w:val="none" w:sz="0" w:space="0" w:color="auto"/>
      </w:divBdr>
      <w:divsChild>
        <w:div w:id="318922333">
          <w:marLeft w:val="0"/>
          <w:marRight w:val="0"/>
          <w:marTop w:val="0"/>
          <w:marBottom w:val="0"/>
          <w:divBdr>
            <w:top w:val="none" w:sz="0" w:space="0" w:color="auto"/>
            <w:left w:val="none" w:sz="0" w:space="0" w:color="auto"/>
            <w:bottom w:val="none" w:sz="0" w:space="0" w:color="auto"/>
            <w:right w:val="none" w:sz="0" w:space="0" w:color="auto"/>
          </w:divBdr>
        </w:div>
      </w:divsChild>
    </w:div>
    <w:div w:id="1277257083">
      <w:marLeft w:val="0"/>
      <w:marRight w:val="0"/>
      <w:marTop w:val="0"/>
      <w:marBottom w:val="0"/>
      <w:divBdr>
        <w:top w:val="none" w:sz="0" w:space="0" w:color="auto"/>
        <w:left w:val="none" w:sz="0" w:space="0" w:color="auto"/>
        <w:bottom w:val="none" w:sz="0" w:space="0" w:color="auto"/>
        <w:right w:val="none" w:sz="0" w:space="0" w:color="auto"/>
      </w:divBdr>
    </w:div>
    <w:div w:id="1284649506">
      <w:marLeft w:val="0"/>
      <w:marRight w:val="0"/>
      <w:marTop w:val="0"/>
      <w:marBottom w:val="0"/>
      <w:divBdr>
        <w:top w:val="none" w:sz="0" w:space="0" w:color="auto"/>
        <w:left w:val="none" w:sz="0" w:space="0" w:color="auto"/>
        <w:bottom w:val="none" w:sz="0" w:space="0" w:color="auto"/>
        <w:right w:val="none" w:sz="0" w:space="0" w:color="auto"/>
      </w:divBdr>
      <w:divsChild>
        <w:div w:id="342782412">
          <w:marLeft w:val="0"/>
          <w:marRight w:val="0"/>
          <w:marTop w:val="0"/>
          <w:marBottom w:val="0"/>
          <w:divBdr>
            <w:top w:val="none" w:sz="0" w:space="0" w:color="auto"/>
            <w:left w:val="none" w:sz="0" w:space="0" w:color="auto"/>
            <w:bottom w:val="none" w:sz="0" w:space="0" w:color="auto"/>
            <w:right w:val="none" w:sz="0" w:space="0" w:color="auto"/>
          </w:divBdr>
        </w:div>
      </w:divsChild>
    </w:div>
    <w:div w:id="1293830161">
      <w:marLeft w:val="0"/>
      <w:marRight w:val="0"/>
      <w:marTop w:val="0"/>
      <w:marBottom w:val="0"/>
      <w:divBdr>
        <w:top w:val="none" w:sz="0" w:space="0" w:color="auto"/>
        <w:left w:val="none" w:sz="0" w:space="0" w:color="auto"/>
        <w:bottom w:val="none" w:sz="0" w:space="0" w:color="auto"/>
        <w:right w:val="none" w:sz="0" w:space="0" w:color="auto"/>
      </w:divBdr>
    </w:div>
    <w:div w:id="1295601569">
      <w:marLeft w:val="0"/>
      <w:marRight w:val="0"/>
      <w:marTop w:val="0"/>
      <w:marBottom w:val="0"/>
      <w:divBdr>
        <w:top w:val="none" w:sz="0" w:space="0" w:color="auto"/>
        <w:left w:val="none" w:sz="0" w:space="0" w:color="auto"/>
        <w:bottom w:val="none" w:sz="0" w:space="0" w:color="auto"/>
        <w:right w:val="none" w:sz="0" w:space="0" w:color="auto"/>
      </w:divBdr>
      <w:divsChild>
        <w:div w:id="2027751587">
          <w:marLeft w:val="0"/>
          <w:marRight w:val="0"/>
          <w:marTop w:val="0"/>
          <w:marBottom w:val="0"/>
          <w:divBdr>
            <w:top w:val="none" w:sz="0" w:space="0" w:color="auto"/>
            <w:left w:val="none" w:sz="0" w:space="0" w:color="auto"/>
            <w:bottom w:val="none" w:sz="0" w:space="0" w:color="auto"/>
            <w:right w:val="none" w:sz="0" w:space="0" w:color="auto"/>
          </w:divBdr>
        </w:div>
      </w:divsChild>
    </w:div>
    <w:div w:id="1311985612">
      <w:marLeft w:val="0"/>
      <w:marRight w:val="0"/>
      <w:marTop w:val="0"/>
      <w:marBottom w:val="0"/>
      <w:divBdr>
        <w:top w:val="none" w:sz="0" w:space="0" w:color="auto"/>
        <w:left w:val="none" w:sz="0" w:space="0" w:color="auto"/>
        <w:bottom w:val="none" w:sz="0" w:space="0" w:color="auto"/>
        <w:right w:val="none" w:sz="0" w:space="0" w:color="auto"/>
      </w:divBdr>
    </w:div>
    <w:div w:id="1326131298">
      <w:marLeft w:val="0"/>
      <w:marRight w:val="0"/>
      <w:marTop w:val="0"/>
      <w:marBottom w:val="0"/>
      <w:divBdr>
        <w:top w:val="none" w:sz="0" w:space="0" w:color="auto"/>
        <w:left w:val="none" w:sz="0" w:space="0" w:color="auto"/>
        <w:bottom w:val="none" w:sz="0" w:space="0" w:color="auto"/>
        <w:right w:val="none" w:sz="0" w:space="0" w:color="auto"/>
      </w:divBdr>
      <w:divsChild>
        <w:div w:id="1804736459">
          <w:marLeft w:val="0"/>
          <w:marRight w:val="0"/>
          <w:marTop w:val="0"/>
          <w:marBottom w:val="0"/>
          <w:divBdr>
            <w:top w:val="none" w:sz="0" w:space="0" w:color="auto"/>
            <w:left w:val="none" w:sz="0" w:space="0" w:color="auto"/>
            <w:bottom w:val="none" w:sz="0" w:space="0" w:color="auto"/>
            <w:right w:val="none" w:sz="0" w:space="0" w:color="auto"/>
          </w:divBdr>
        </w:div>
      </w:divsChild>
    </w:div>
    <w:div w:id="1328705436">
      <w:marLeft w:val="0"/>
      <w:marRight w:val="0"/>
      <w:marTop w:val="0"/>
      <w:marBottom w:val="0"/>
      <w:divBdr>
        <w:top w:val="none" w:sz="0" w:space="0" w:color="auto"/>
        <w:left w:val="none" w:sz="0" w:space="0" w:color="auto"/>
        <w:bottom w:val="none" w:sz="0" w:space="0" w:color="auto"/>
        <w:right w:val="none" w:sz="0" w:space="0" w:color="auto"/>
      </w:divBdr>
    </w:div>
    <w:div w:id="1354964638">
      <w:marLeft w:val="0"/>
      <w:marRight w:val="0"/>
      <w:marTop w:val="0"/>
      <w:marBottom w:val="0"/>
      <w:divBdr>
        <w:top w:val="none" w:sz="0" w:space="0" w:color="auto"/>
        <w:left w:val="none" w:sz="0" w:space="0" w:color="auto"/>
        <w:bottom w:val="none" w:sz="0" w:space="0" w:color="auto"/>
        <w:right w:val="none" w:sz="0" w:space="0" w:color="auto"/>
      </w:divBdr>
    </w:div>
    <w:div w:id="1368292496">
      <w:marLeft w:val="0"/>
      <w:marRight w:val="0"/>
      <w:marTop w:val="120"/>
      <w:marBottom w:val="0"/>
      <w:divBdr>
        <w:top w:val="none" w:sz="0" w:space="0" w:color="auto"/>
        <w:left w:val="none" w:sz="0" w:space="0" w:color="auto"/>
        <w:bottom w:val="none" w:sz="0" w:space="0" w:color="auto"/>
        <w:right w:val="none" w:sz="0" w:space="0" w:color="auto"/>
      </w:divBdr>
    </w:div>
    <w:div w:id="1378966548">
      <w:marLeft w:val="0"/>
      <w:marRight w:val="0"/>
      <w:marTop w:val="100"/>
      <w:marBottom w:val="100"/>
      <w:divBdr>
        <w:top w:val="none" w:sz="0" w:space="0" w:color="auto"/>
        <w:left w:val="none" w:sz="0" w:space="0" w:color="auto"/>
        <w:bottom w:val="none" w:sz="0" w:space="0" w:color="auto"/>
        <w:right w:val="none" w:sz="0" w:space="0" w:color="auto"/>
      </w:divBdr>
    </w:div>
    <w:div w:id="1381444104">
      <w:marLeft w:val="0"/>
      <w:marRight w:val="0"/>
      <w:marTop w:val="140"/>
      <w:marBottom w:val="0"/>
      <w:divBdr>
        <w:top w:val="none" w:sz="0" w:space="0" w:color="auto"/>
        <w:left w:val="none" w:sz="0" w:space="0" w:color="auto"/>
        <w:bottom w:val="none" w:sz="0" w:space="0" w:color="auto"/>
        <w:right w:val="none" w:sz="0" w:space="0" w:color="auto"/>
      </w:divBdr>
    </w:div>
    <w:div w:id="1385789625">
      <w:marLeft w:val="0"/>
      <w:marRight w:val="0"/>
      <w:marTop w:val="0"/>
      <w:marBottom w:val="20"/>
      <w:divBdr>
        <w:top w:val="none" w:sz="0" w:space="0" w:color="auto"/>
        <w:left w:val="none" w:sz="0" w:space="0" w:color="auto"/>
        <w:bottom w:val="none" w:sz="0" w:space="0" w:color="auto"/>
        <w:right w:val="none" w:sz="0" w:space="0" w:color="auto"/>
      </w:divBdr>
    </w:div>
    <w:div w:id="1387989562">
      <w:marLeft w:val="0"/>
      <w:marRight w:val="0"/>
      <w:marTop w:val="0"/>
      <w:marBottom w:val="0"/>
      <w:divBdr>
        <w:top w:val="none" w:sz="0" w:space="0" w:color="auto"/>
        <w:left w:val="none" w:sz="0" w:space="0" w:color="auto"/>
        <w:bottom w:val="none" w:sz="0" w:space="0" w:color="auto"/>
        <w:right w:val="none" w:sz="0" w:space="0" w:color="auto"/>
      </w:divBdr>
    </w:div>
    <w:div w:id="1389917891">
      <w:marLeft w:val="0"/>
      <w:marRight w:val="0"/>
      <w:marTop w:val="0"/>
      <w:marBottom w:val="0"/>
      <w:divBdr>
        <w:top w:val="none" w:sz="0" w:space="0" w:color="auto"/>
        <w:left w:val="none" w:sz="0" w:space="0" w:color="auto"/>
        <w:bottom w:val="none" w:sz="0" w:space="0" w:color="auto"/>
        <w:right w:val="none" w:sz="0" w:space="0" w:color="auto"/>
      </w:divBdr>
    </w:div>
    <w:div w:id="1395663791">
      <w:marLeft w:val="0"/>
      <w:marRight w:val="0"/>
      <w:marTop w:val="0"/>
      <w:marBottom w:val="0"/>
      <w:divBdr>
        <w:top w:val="none" w:sz="0" w:space="0" w:color="auto"/>
        <w:left w:val="none" w:sz="0" w:space="0" w:color="auto"/>
        <w:bottom w:val="none" w:sz="0" w:space="0" w:color="auto"/>
        <w:right w:val="none" w:sz="0" w:space="0" w:color="auto"/>
      </w:divBdr>
      <w:divsChild>
        <w:div w:id="1410496729">
          <w:marLeft w:val="0"/>
          <w:marRight w:val="0"/>
          <w:marTop w:val="0"/>
          <w:marBottom w:val="0"/>
          <w:divBdr>
            <w:top w:val="none" w:sz="0" w:space="0" w:color="auto"/>
            <w:left w:val="none" w:sz="0" w:space="0" w:color="auto"/>
            <w:bottom w:val="none" w:sz="0" w:space="0" w:color="auto"/>
            <w:right w:val="none" w:sz="0" w:space="0" w:color="auto"/>
          </w:divBdr>
        </w:div>
      </w:divsChild>
    </w:div>
    <w:div w:id="1398940294">
      <w:marLeft w:val="0"/>
      <w:marRight w:val="0"/>
      <w:marTop w:val="0"/>
      <w:marBottom w:val="0"/>
      <w:divBdr>
        <w:top w:val="none" w:sz="0" w:space="0" w:color="auto"/>
        <w:left w:val="none" w:sz="0" w:space="0" w:color="auto"/>
        <w:bottom w:val="none" w:sz="0" w:space="0" w:color="auto"/>
        <w:right w:val="none" w:sz="0" w:space="0" w:color="auto"/>
      </w:divBdr>
    </w:div>
    <w:div w:id="1409116900">
      <w:marLeft w:val="0"/>
      <w:marRight w:val="0"/>
      <w:marTop w:val="0"/>
      <w:marBottom w:val="0"/>
      <w:divBdr>
        <w:top w:val="none" w:sz="0" w:space="0" w:color="auto"/>
        <w:left w:val="none" w:sz="0" w:space="0" w:color="auto"/>
        <w:bottom w:val="none" w:sz="0" w:space="0" w:color="auto"/>
        <w:right w:val="none" w:sz="0" w:space="0" w:color="auto"/>
      </w:divBdr>
    </w:div>
    <w:div w:id="1422096285">
      <w:marLeft w:val="0"/>
      <w:marRight w:val="0"/>
      <w:marTop w:val="0"/>
      <w:marBottom w:val="0"/>
      <w:divBdr>
        <w:top w:val="none" w:sz="0" w:space="0" w:color="auto"/>
        <w:left w:val="none" w:sz="0" w:space="0" w:color="auto"/>
        <w:bottom w:val="none" w:sz="0" w:space="0" w:color="auto"/>
        <w:right w:val="none" w:sz="0" w:space="0" w:color="auto"/>
      </w:divBdr>
      <w:divsChild>
        <w:div w:id="1610165020">
          <w:marLeft w:val="0"/>
          <w:marRight w:val="0"/>
          <w:marTop w:val="0"/>
          <w:marBottom w:val="0"/>
          <w:divBdr>
            <w:top w:val="none" w:sz="0" w:space="0" w:color="auto"/>
            <w:left w:val="none" w:sz="0" w:space="0" w:color="auto"/>
            <w:bottom w:val="none" w:sz="0" w:space="0" w:color="auto"/>
            <w:right w:val="none" w:sz="0" w:space="0" w:color="auto"/>
          </w:divBdr>
        </w:div>
      </w:divsChild>
    </w:div>
    <w:div w:id="1425421899">
      <w:marLeft w:val="0"/>
      <w:marRight w:val="0"/>
      <w:marTop w:val="0"/>
      <w:marBottom w:val="0"/>
      <w:divBdr>
        <w:top w:val="none" w:sz="0" w:space="0" w:color="auto"/>
        <w:left w:val="none" w:sz="0" w:space="0" w:color="auto"/>
        <w:bottom w:val="none" w:sz="0" w:space="0" w:color="auto"/>
        <w:right w:val="none" w:sz="0" w:space="0" w:color="auto"/>
      </w:divBdr>
    </w:div>
    <w:div w:id="1431195475">
      <w:marLeft w:val="0"/>
      <w:marRight w:val="0"/>
      <w:marTop w:val="0"/>
      <w:marBottom w:val="0"/>
      <w:divBdr>
        <w:top w:val="none" w:sz="0" w:space="0" w:color="auto"/>
        <w:left w:val="none" w:sz="0" w:space="0" w:color="auto"/>
        <w:bottom w:val="none" w:sz="0" w:space="0" w:color="auto"/>
        <w:right w:val="none" w:sz="0" w:space="0" w:color="auto"/>
      </w:divBdr>
      <w:divsChild>
        <w:div w:id="1726484233">
          <w:marLeft w:val="0"/>
          <w:marRight w:val="0"/>
          <w:marTop w:val="0"/>
          <w:marBottom w:val="0"/>
          <w:divBdr>
            <w:top w:val="none" w:sz="0" w:space="0" w:color="auto"/>
            <w:left w:val="none" w:sz="0" w:space="0" w:color="auto"/>
            <w:bottom w:val="none" w:sz="0" w:space="0" w:color="auto"/>
            <w:right w:val="none" w:sz="0" w:space="0" w:color="auto"/>
          </w:divBdr>
        </w:div>
      </w:divsChild>
    </w:div>
    <w:div w:id="1437869925">
      <w:marLeft w:val="0"/>
      <w:marRight w:val="0"/>
      <w:marTop w:val="0"/>
      <w:marBottom w:val="0"/>
      <w:divBdr>
        <w:top w:val="none" w:sz="0" w:space="0" w:color="auto"/>
        <w:left w:val="none" w:sz="0" w:space="0" w:color="auto"/>
        <w:bottom w:val="none" w:sz="0" w:space="0" w:color="auto"/>
        <w:right w:val="none" w:sz="0" w:space="0" w:color="auto"/>
      </w:divBdr>
    </w:div>
    <w:div w:id="1450516340">
      <w:marLeft w:val="0"/>
      <w:marRight w:val="0"/>
      <w:marTop w:val="180"/>
      <w:marBottom w:val="0"/>
      <w:divBdr>
        <w:top w:val="none" w:sz="0" w:space="0" w:color="auto"/>
        <w:left w:val="none" w:sz="0" w:space="0" w:color="auto"/>
        <w:bottom w:val="none" w:sz="0" w:space="0" w:color="auto"/>
        <w:right w:val="none" w:sz="0" w:space="0" w:color="auto"/>
      </w:divBdr>
    </w:div>
    <w:div w:id="1472164427">
      <w:marLeft w:val="0"/>
      <w:marRight w:val="0"/>
      <w:marTop w:val="0"/>
      <w:marBottom w:val="0"/>
      <w:divBdr>
        <w:top w:val="none" w:sz="0" w:space="0" w:color="auto"/>
        <w:left w:val="none" w:sz="0" w:space="0" w:color="auto"/>
        <w:bottom w:val="none" w:sz="0" w:space="0" w:color="auto"/>
        <w:right w:val="none" w:sz="0" w:space="0" w:color="auto"/>
      </w:divBdr>
    </w:div>
    <w:div w:id="1473138082">
      <w:marLeft w:val="0"/>
      <w:marRight w:val="0"/>
      <w:marTop w:val="0"/>
      <w:marBottom w:val="0"/>
      <w:divBdr>
        <w:top w:val="none" w:sz="0" w:space="0" w:color="auto"/>
        <w:left w:val="none" w:sz="0" w:space="0" w:color="auto"/>
        <w:bottom w:val="none" w:sz="0" w:space="0" w:color="auto"/>
        <w:right w:val="none" w:sz="0" w:space="0" w:color="auto"/>
      </w:divBdr>
    </w:div>
    <w:div w:id="1477725708">
      <w:marLeft w:val="0"/>
      <w:marRight w:val="0"/>
      <w:marTop w:val="0"/>
      <w:marBottom w:val="0"/>
      <w:divBdr>
        <w:top w:val="none" w:sz="0" w:space="0" w:color="auto"/>
        <w:left w:val="none" w:sz="0" w:space="0" w:color="auto"/>
        <w:bottom w:val="none" w:sz="0" w:space="0" w:color="auto"/>
        <w:right w:val="none" w:sz="0" w:space="0" w:color="auto"/>
      </w:divBdr>
    </w:div>
    <w:div w:id="1496603476">
      <w:marLeft w:val="0"/>
      <w:marRight w:val="0"/>
      <w:marTop w:val="0"/>
      <w:marBottom w:val="0"/>
      <w:divBdr>
        <w:top w:val="none" w:sz="0" w:space="0" w:color="auto"/>
        <w:left w:val="none" w:sz="0" w:space="0" w:color="auto"/>
        <w:bottom w:val="none" w:sz="0" w:space="0" w:color="auto"/>
        <w:right w:val="none" w:sz="0" w:space="0" w:color="auto"/>
      </w:divBdr>
      <w:divsChild>
        <w:div w:id="1647465236">
          <w:marLeft w:val="0"/>
          <w:marRight w:val="0"/>
          <w:marTop w:val="0"/>
          <w:marBottom w:val="0"/>
          <w:divBdr>
            <w:top w:val="none" w:sz="0" w:space="0" w:color="auto"/>
            <w:left w:val="none" w:sz="0" w:space="0" w:color="auto"/>
            <w:bottom w:val="none" w:sz="0" w:space="0" w:color="auto"/>
            <w:right w:val="none" w:sz="0" w:space="0" w:color="auto"/>
          </w:divBdr>
        </w:div>
      </w:divsChild>
    </w:div>
    <w:div w:id="1502890109">
      <w:marLeft w:val="0"/>
      <w:marRight w:val="0"/>
      <w:marTop w:val="0"/>
      <w:marBottom w:val="0"/>
      <w:divBdr>
        <w:top w:val="none" w:sz="0" w:space="0" w:color="auto"/>
        <w:left w:val="none" w:sz="0" w:space="0" w:color="auto"/>
        <w:bottom w:val="none" w:sz="0" w:space="0" w:color="auto"/>
        <w:right w:val="none" w:sz="0" w:space="0" w:color="auto"/>
      </w:divBdr>
    </w:div>
    <w:div w:id="1504970928">
      <w:marLeft w:val="0"/>
      <w:marRight w:val="0"/>
      <w:marTop w:val="0"/>
      <w:marBottom w:val="0"/>
      <w:divBdr>
        <w:top w:val="none" w:sz="0" w:space="0" w:color="auto"/>
        <w:left w:val="none" w:sz="0" w:space="0" w:color="auto"/>
        <w:bottom w:val="none" w:sz="0" w:space="0" w:color="auto"/>
        <w:right w:val="none" w:sz="0" w:space="0" w:color="auto"/>
      </w:divBdr>
    </w:div>
    <w:div w:id="1505050523">
      <w:marLeft w:val="0"/>
      <w:marRight w:val="0"/>
      <w:marTop w:val="180"/>
      <w:marBottom w:val="0"/>
      <w:divBdr>
        <w:top w:val="none" w:sz="0" w:space="0" w:color="auto"/>
        <w:left w:val="none" w:sz="0" w:space="0" w:color="auto"/>
        <w:bottom w:val="none" w:sz="0" w:space="0" w:color="auto"/>
        <w:right w:val="none" w:sz="0" w:space="0" w:color="auto"/>
      </w:divBdr>
    </w:div>
    <w:div w:id="1505783788">
      <w:marLeft w:val="0"/>
      <w:marRight w:val="0"/>
      <w:marTop w:val="0"/>
      <w:marBottom w:val="0"/>
      <w:divBdr>
        <w:top w:val="none" w:sz="0" w:space="0" w:color="auto"/>
        <w:left w:val="none" w:sz="0" w:space="0" w:color="auto"/>
        <w:bottom w:val="none" w:sz="0" w:space="0" w:color="auto"/>
        <w:right w:val="none" w:sz="0" w:space="0" w:color="auto"/>
      </w:divBdr>
      <w:divsChild>
        <w:div w:id="1233346289">
          <w:marLeft w:val="0"/>
          <w:marRight w:val="0"/>
          <w:marTop w:val="0"/>
          <w:marBottom w:val="0"/>
          <w:divBdr>
            <w:top w:val="none" w:sz="0" w:space="0" w:color="auto"/>
            <w:left w:val="none" w:sz="0" w:space="0" w:color="auto"/>
            <w:bottom w:val="none" w:sz="0" w:space="0" w:color="auto"/>
            <w:right w:val="none" w:sz="0" w:space="0" w:color="auto"/>
          </w:divBdr>
        </w:div>
      </w:divsChild>
    </w:div>
    <w:div w:id="1508640916">
      <w:marLeft w:val="0"/>
      <w:marRight w:val="0"/>
      <w:marTop w:val="0"/>
      <w:marBottom w:val="0"/>
      <w:divBdr>
        <w:top w:val="none" w:sz="0" w:space="0" w:color="auto"/>
        <w:left w:val="none" w:sz="0" w:space="0" w:color="auto"/>
        <w:bottom w:val="none" w:sz="0" w:space="0" w:color="auto"/>
        <w:right w:val="none" w:sz="0" w:space="0" w:color="auto"/>
      </w:divBdr>
      <w:divsChild>
        <w:div w:id="1747915846">
          <w:marLeft w:val="0"/>
          <w:marRight w:val="0"/>
          <w:marTop w:val="0"/>
          <w:marBottom w:val="0"/>
          <w:divBdr>
            <w:top w:val="none" w:sz="0" w:space="0" w:color="auto"/>
            <w:left w:val="none" w:sz="0" w:space="0" w:color="auto"/>
            <w:bottom w:val="none" w:sz="0" w:space="0" w:color="auto"/>
            <w:right w:val="none" w:sz="0" w:space="0" w:color="auto"/>
          </w:divBdr>
        </w:div>
      </w:divsChild>
    </w:div>
    <w:div w:id="1514488577">
      <w:marLeft w:val="0"/>
      <w:marRight w:val="0"/>
      <w:marTop w:val="0"/>
      <w:marBottom w:val="0"/>
      <w:divBdr>
        <w:top w:val="none" w:sz="0" w:space="0" w:color="auto"/>
        <w:left w:val="none" w:sz="0" w:space="0" w:color="auto"/>
        <w:bottom w:val="none" w:sz="0" w:space="0" w:color="auto"/>
        <w:right w:val="none" w:sz="0" w:space="0" w:color="auto"/>
      </w:divBdr>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658722461">
          <w:marLeft w:val="0"/>
          <w:marRight w:val="0"/>
          <w:marTop w:val="0"/>
          <w:marBottom w:val="0"/>
          <w:divBdr>
            <w:top w:val="none" w:sz="0" w:space="0" w:color="auto"/>
            <w:left w:val="none" w:sz="0" w:space="0" w:color="auto"/>
            <w:bottom w:val="none" w:sz="0" w:space="0" w:color="auto"/>
            <w:right w:val="none" w:sz="0" w:space="0" w:color="auto"/>
          </w:divBdr>
        </w:div>
      </w:divsChild>
    </w:div>
    <w:div w:id="1520465272">
      <w:marLeft w:val="0"/>
      <w:marRight w:val="0"/>
      <w:marTop w:val="0"/>
      <w:marBottom w:val="0"/>
      <w:divBdr>
        <w:top w:val="none" w:sz="0" w:space="0" w:color="auto"/>
        <w:left w:val="none" w:sz="0" w:space="0" w:color="auto"/>
        <w:bottom w:val="none" w:sz="0" w:space="0" w:color="auto"/>
        <w:right w:val="none" w:sz="0" w:space="0" w:color="auto"/>
      </w:divBdr>
      <w:divsChild>
        <w:div w:id="2081905005">
          <w:marLeft w:val="0"/>
          <w:marRight w:val="0"/>
          <w:marTop w:val="0"/>
          <w:marBottom w:val="0"/>
          <w:divBdr>
            <w:top w:val="none" w:sz="0" w:space="0" w:color="auto"/>
            <w:left w:val="none" w:sz="0" w:space="0" w:color="auto"/>
            <w:bottom w:val="none" w:sz="0" w:space="0" w:color="auto"/>
            <w:right w:val="none" w:sz="0" w:space="0" w:color="auto"/>
          </w:divBdr>
        </w:div>
      </w:divsChild>
    </w:div>
    <w:div w:id="1531381264">
      <w:marLeft w:val="0"/>
      <w:marRight w:val="0"/>
      <w:marTop w:val="0"/>
      <w:marBottom w:val="0"/>
      <w:divBdr>
        <w:top w:val="none" w:sz="0" w:space="0" w:color="auto"/>
        <w:left w:val="none" w:sz="0" w:space="0" w:color="auto"/>
        <w:bottom w:val="none" w:sz="0" w:space="0" w:color="auto"/>
        <w:right w:val="none" w:sz="0" w:space="0" w:color="auto"/>
      </w:divBdr>
      <w:divsChild>
        <w:div w:id="2099980817">
          <w:marLeft w:val="0"/>
          <w:marRight w:val="0"/>
          <w:marTop w:val="0"/>
          <w:marBottom w:val="0"/>
          <w:divBdr>
            <w:top w:val="none" w:sz="0" w:space="0" w:color="auto"/>
            <w:left w:val="none" w:sz="0" w:space="0" w:color="auto"/>
            <w:bottom w:val="none" w:sz="0" w:space="0" w:color="auto"/>
            <w:right w:val="none" w:sz="0" w:space="0" w:color="auto"/>
          </w:divBdr>
        </w:div>
      </w:divsChild>
    </w:div>
    <w:div w:id="1533684118">
      <w:marLeft w:val="0"/>
      <w:marRight w:val="0"/>
      <w:marTop w:val="0"/>
      <w:marBottom w:val="0"/>
      <w:divBdr>
        <w:top w:val="none" w:sz="0" w:space="0" w:color="auto"/>
        <w:left w:val="none" w:sz="0" w:space="0" w:color="auto"/>
        <w:bottom w:val="none" w:sz="0" w:space="0" w:color="auto"/>
        <w:right w:val="none" w:sz="0" w:space="0" w:color="auto"/>
      </w:divBdr>
    </w:div>
    <w:div w:id="1539583020">
      <w:marLeft w:val="0"/>
      <w:marRight w:val="0"/>
      <w:marTop w:val="0"/>
      <w:marBottom w:val="280"/>
      <w:divBdr>
        <w:top w:val="none" w:sz="0" w:space="0" w:color="auto"/>
        <w:left w:val="none" w:sz="0" w:space="0" w:color="auto"/>
        <w:bottom w:val="none" w:sz="0" w:space="0" w:color="auto"/>
        <w:right w:val="none" w:sz="0" w:space="0" w:color="auto"/>
      </w:divBdr>
    </w:div>
    <w:div w:id="1554190499">
      <w:marLeft w:val="0"/>
      <w:marRight w:val="0"/>
      <w:marTop w:val="0"/>
      <w:marBottom w:val="0"/>
      <w:divBdr>
        <w:top w:val="none" w:sz="0" w:space="0" w:color="auto"/>
        <w:left w:val="none" w:sz="0" w:space="0" w:color="auto"/>
        <w:bottom w:val="none" w:sz="0" w:space="0" w:color="auto"/>
        <w:right w:val="none" w:sz="0" w:space="0" w:color="auto"/>
      </w:divBdr>
    </w:div>
    <w:div w:id="1561551063">
      <w:marLeft w:val="0"/>
      <w:marRight w:val="0"/>
      <w:marTop w:val="0"/>
      <w:marBottom w:val="0"/>
      <w:divBdr>
        <w:top w:val="none" w:sz="0" w:space="0" w:color="auto"/>
        <w:left w:val="none" w:sz="0" w:space="0" w:color="auto"/>
        <w:bottom w:val="none" w:sz="0" w:space="0" w:color="auto"/>
        <w:right w:val="none" w:sz="0" w:space="0" w:color="auto"/>
      </w:divBdr>
    </w:div>
    <w:div w:id="1567837239">
      <w:marLeft w:val="0"/>
      <w:marRight w:val="0"/>
      <w:marTop w:val="120"/>
      <w:marBottom w:val="0"/>
      <w:divBdr>
        <w:top w:val="none" w:sz="0" w:space="0" w:color="auto"/>
        <w:left w:val="none" w:sz="0" w:space="0" w:color="auto"/>
        <w:bottom w:val="none" w:sz="0" w:space="0" w:color="auto"/>
        <w:right w:val="none" w:sz="0" w:space="0" w:color="auto"/>
      </w:divBdr>
    </w:div>
    <w:div w:id="1572497623">
      <w:marLeft w:val="0"/>
      <w:marRight w:val="0"/>
      <w:marTop w:val="0"/>
      <w:marBottom w:val="0"/>
      <w:divBdr>
        <w:top w:val="none" w:sz="0" w:space="0" w:color="auto"/>
        <w:left w:val="none" w:sz="0" w:space="0" w:color="auto"/>
        <w:bottom w:val="none" w:sz="0" w:space="0" w:color="auto"/>
        <w:right w:val="none" w:sz="0" w:space="0" w:color="auto"/>
      </w:divBdr>
    </w:div>
    <w:div w:id="1577471304">
      <w:marLeft w:val="0"/>
      <w:marRight w:val="0"/>
      <w:marTop w:val="0"/>
      <w:marBottom w:val="0"/>
      <w:divBdr>
        <w:top w:val="none" w:sz="0" w:space="0" w:color="auto"/>
        <w:left w:val="none" w:sz="0" w:space="0" w:color="auto"/>
        <w:bottom w:val="none" w:sz="0" w:space="0" w:color="auto"/>
        <w:right w:val="none" w:sz="0" w:space="0" w:color="auto"/>
      </w:divBdr>
      <w:divsChild>
        <w:div w:id="1115715064">
          <w:marLeft w:val="0"/>
          <w:marRight w:val="0"/>
          <w:marTop w:val="0"/>
          <w:marBottom w:val="0"/>
          <w:divBdr>
            <w:top w:val="none" w:sz="0" w:space="0" w:color="auto"/>
            <w:left w:val="none" w:sz="0" w:space="0" w:color="auto"/>
            <w:bottom w:val="none" w:sz="0" w:space="0" w:color="auto"/>
            <w:right w:val="none" w:sz="0" w:space="0" w:color="auto"/>
          </w:divBdr>
        </w:div>
      </w:divsChild>
    </w:div>
    <w:div w:id="1593120613">
      <w:marLeft w:val="0"/>
      <w:marRight w:val="0"/>
      <w:marTop w:val="0"/>
      <w:marBottom w:val="0"/>
      <w:divBdr>
        <w:top w:val="none" w:sz="0" w:space="0" w:color="auto"/>
        <w:left w:val="none" w:sz="0" w:space="0" w:color="auto"/>
        <w:bottom w:val="none" w:sz="0" w:space="0" w:color="auto"/>
        <w:right w:val="none" w:sz="0" w:space="0" w:color="auto"/>
      </w:divBdr>
    </w:div>
    <w:div w:id="1600141158">
      <w:marLeft w:val="0"/>
      <w:marRight w:val="0"/>
      <w:marTop w:val="0"/>
      <w:marBottom w:val="0"/>
      <w:divBdr>
        <w:top w:val="none" w:sz="0" w:space="0" w:color="auto"/>
        <w:left w:val="none" w:sz="0" w:space="0" w:color="auto"/>
        <w:bottom w:val="none" w:sz="0" w:space="0" w:color="auto"/>
        <w:right w:val="none" w:sz="0" w:space="0" w:color="auto"/>
      </w:divBdr>
      <w:divsChild>
        <w:div w:id="199360644">
          <w:marLeft w:val="0"/>
          <w:marRight w:val="0"/>
          <w:marTop w:val="0"/>
          <w:marBottom w:val="0"/>
          <w:divBdr>
            <w:top w:val="none" w:sz="0" w:space="0" w:color="auto"/>
            <w:left w:val="none" w:sz="0" w:space="0" w:color="auto"/>
            <w:bottom w:val="none" w:sz="0" w:space="0" w:color="auto"/>
            <w:right w:val="none" w:sz="0" w:space="0" w:color="auto"/>
          </w:divBdr>
        </w:div>
      </w:divsChild>
    </w:div>
    <w:div w:id="1609771271">
      <w:marLeft w:val="0"/>
      <w:marRight w:val="0"/>
      <w:marTop w:val="0"/>
      <w:marBottom w:val="0"/>
      <w:divBdr>
        <w:top w:val="none" w:sz="0" w:space="0" w:color="auto"/>
        <w:left w:val="none" w:sz="0" w:space="0" w:color="auto"/>
        <w:bottom w:val="none" w:sz="0" w:space="0" w:color="auto"/>
        <w:right w:val="none" w:sz="0" w:space="0" w:color="auto"/>
      </w:divBdr>
    </w:div>
    <w:div w:id="1615936760">
      <w:marLeft w:val="0"/>
      <w:marRight w:val="0"/>
      <w:marTop w:val="0"/>
      <w:marBottom w:val="0"/>
      <w:divBdr>
        <w:top w:val="none" w:sz="0" w:space="0" w:color="auto"/>
        <w:left w:val="none" w:sz="0" w:space="0" w:color="auto"/>
        <w:bottom w:val="none" w:sz="0" w:space="0" w:color="auto"/>
        <w:right w:val="none" w:sz="0" w:space="0" w:color="auto"/>
      </w:divBdr>
    </w:div>
    <w:div w:id="1620523810">
      <w:marLeft w:val="0"/>
      <w:marRight w:val="0"/>
      <w:marTop w:val="0"/>
      <w:marBottom w:val="80"/>
      <w:divBdr>
        <w:top w:val="none" w:sz="0" w:space="0" w:color="auto"/>
        <w:left w:val="none" w:sz="0" w:space="0" w:color="auto"/>
        <w:bottom w:val="none" w:sz="0" w:space="0" w:color="auto"/>
        <w:right w:val="none" w:sz="0" w:space="0" w:color="auto"/>
      </w:divBdr>
      <w:divsChild>
        <w:div w:id="2088991492">
          <w:marLeft w:val="0"/>
          <w:marRight w:val="0"/>
          <w:marTop w:val="0"/>
          <w:marBottom w:val="0"/>
          <w:divBdr>
            <w:top w:val="none" w:sz="0" w:space="0" w:color="auto"/>
            <w:left w:val="none" w:sz="0" w:space="0" w:color="auto"/>
            <w:bottom w:val="none" w:sz="0" w:space="0" w:color="auto"/>
            <w:right w:val="none" w:sz="0" w:space="0" w:color="auto"/>
          </w:divBdr>
        </w:div>
      </w:divsChild>
    </w:div>
    <w:div w:id="1637029965">
      <w:marLeft w:val="0"/>
      <w:marRight w:val="0"/>
      <w:marTop w:val="0"/>
      <w:marBottom w:val="0"/>
      <w:divBdr>
        <w:top w:val="none" w:sz="0" w:space="0" w:color="auto"/>
        <w:left w:val="none" w:sz="0" w:space="0" w:color="auto"/>
        <w:bottom w:val="none" w:sz="0" w:space="0" w:color="auto"/>
        <w:right w:val="none" w:sz="0" w:space="0" w:color="auto"/>
      </w:divBdr>
      <w:divsChild>
        <w:div w:id="1617712643">
          <w:marLeft w:val="0"/>
          <w:marRight w:val="0"/>
          <w:marTop w:val="0"/>
          <w:marBottom w:val="0"/>
          <w:divBdr>
            <w:top w:val="none" w:sz="0" w:space="0" w:color="auto"/>
            <w:left w:val="none" w:sz="0" w:space="0" w:color="auto"/>
            <w:bottom w:val="none" w:sz="0" w:space="0" w:color="auto"/>
            <w:right w:val="none" w:sz="0" w:space="0" w:color="auto"/>
          </w:divBdr>
        </w:div>
      </w:divsChild>
    </w:div>
    <w:div w:id="1637838514">
      <w:marLeft w:val="0"/>
      <w:marRight w:val="0"/>
      <w:marTop w:val="0"/>
      <w:marBottom w:val="0"/>
      <w:divBdr>
        <w:top w:val="none" w:sz="0" w:space="0" w:color="auto"/>
        <w:left w:val="none" w:sz="0" w:space="0" w:color="auto"/>
        <w:bottom w:val="none" w:sz="0" w:space="0" w:color="auto"/>
        <w:right w:val="none" w:sz="0" w:space="0" w:color="auto"/>
      </w:divBdr>
      <w:divsChild>
        <w:div w:id="992762315">
          <w:marLeft w:val="0"/>
          <w:marRight w:val="0"/>
          <w:marTop w:val="0"/>
          <w:marBottom w:val="0"/>
          <w:divBdr>
            <w:top w:val="none" w:sz="0" w:space="0" w:color="auto"/>
            <w:left w:val="none" w:sz="0" w:space="0" w:color="auto"/>
            <w:bottom w:val="none" w:sz="0" w:space="0" w:color="auto"/>
            <w:right w:val="none" w:sz="0" w:space="0" w:color="auto"/>
          </w:divBdr>
        </w:div>
      </w:divsChild>
    </w:div>
    <w:div w:id="1661232424">
      <w:marLeft w:val="0"/>
      <w:marRight w:val="0"/>
      <w:marTop w:val="0"/>
      <w:marBottom w:val="0"/>
      <w:divBdr>
        <w:top w:val="none" w:sz="0" w:space="0" w:color="auto"/>
        <w:left w:val="none" w:sz="0" w:space="0" w:color="auto"/>
        <w:bottom w:val="none" w:sz="0" w:space="0" w:color="auto"/>
        <w:right w:val="none" w:sz="0" w:space="0" w:color="auto"/>
      </w:divBdr>
      <w:divsChild>
        <w:div w:id="753361983">
          <w:marLeft w:val="0"/>
          <w:marRight w:val="0"/>
          <w:marTop w:val="0"/>
          <w:marBottom w:val="0"/>
          <w:divBdr>
            <w:top w:val="none" w:sz="0" w:space="0" w:color="auto"/>
            <w:left w:val="none" w:sz="0" w:space="0" w:color="auto"/>
            <w:bottom w:val="none" w:sz="0" w:space="0" w:color="auto"/>
            <w:right w:val="none" w:sz="0" w:space="0" w:color="auto"/>
          </w:divBdr>
        </w:div>
      </w:divsChild>
    </w:div>
    <w:div w:id="1664359999">
      <w:marLeft w:val="0"/>
      <w:marRight w:val="0"/>
      <w:marTop w:val="0"/>
      <w:marBottom w:val="0"/>
      <w:divBdr>
        <w:top w:val="none" w:sz="0" w:space="0" w:color="auto"/>
        <w:left w:val="none" w:sz="0" w:space="0" w:color="auto"/>
        <w:bottom w:val="none" w:sz="0" w:space="0" w:color="auto"/>
        <w:right w:val="none" w:sz="0" w:space="0" w:color="auto"/>
      </w:divBdr>
      <w:divsChild>
        <w:div w:id="709459616">
          <w:marLeft w:val="0"/>
          <w:marRight w:val="0"/>
          <w:marTop w:val="0"/>
          <w:marBottom w:val="0"/>
          <w:divBdr>
            <w:top w:val="none" w:sz="0" w:space="0" w:color="auto"/>
            <w:left w:val="none" w:sz="0" w:space="0" w:color="auto"/>
            <w:bottom w:val="none" w:sz="0" w:space="0" w:color="auto"/>
            <w:right w:val="none" w:sz="0" w:space="0" w:color="auto"/>
          </w:divBdr>
        </w:div>
      </w:divsChild>
    </w:div>
    <w:div w:id="1670400677">
      <w:marLeft w:val="0"/>
      <w:marRight w:val="0"/>
      <w:marTop w:val="100"/>
      <w:marBottom w:val="0"/>
      <w:divBdr>
        <w:top w:val="none" w:sz="0" w:space="0" w:color="auto"/>
        <w:left w:val="none" w:sz="0" w:space="0" w:color="auto"/>
        <w:bottom w:val="none" w:sz="0" w:space="0" w:color="auto"/>
        <w:right w:val="none" w:sz="0" w:space="0" w:color="auto"/>
      </w:divBdr>
      <w:divsChild>
        <w:div w:id="1046221250">
          <w:marLeft w:val="0"/>
          <w:marRight w:val="0"/>
          <w:marTop w:val="0"/>
          <w:marBottom w:val="0"/>
          <w:divBdr>
            <w:top w:val="none" w:sz="0" w:space="0" w:color="auto"/>
            <w:left w:val="none" w:sz="0" w:space="0" w:color="auto"/>
            <w:bottom w:val="none" w:sz="0" w:space="0" w:color="auto"/>
            <w:right w:val="none" w:sz="0" w:space="0" w:color="auto"/>
          </w:divBdr>
        </w:div>
        <w:div w:id="1107311528">
          <w:marLeft w:val="0"/>
          <w:marRight w:val="0"/>
          <w:marTop w:val="0"/>
          <w:marBottom w:val="0"/>
          <w:divBdr>
            <w:top w:val="none" w:sz="0" w:space="0" w:color="auto"/>
            <w:left w:val="none" w:sz="0" w:space="0" w:color="auto"/>
            <w:bottom w:val="none" w:sz="0" w:space="0" w:color="auto"/>
            <w:right w:val="none" w:sz="0" w:space="0" w:color="auto"/>
          </w:divBdr>
        </w:div>
        <w:div w:id="1021006871">
          <w:marLeft w:val="0"/>
          <w:marRight w:val="0"/>
          <w:marTop w:val="0"/>
          <w:marBottom w:val="0"/>
          <w:divBdr>
            <w:top w:val="none" w:sz="0" w:space="0" w:color="auto"/>
            <w:left w:val="none" w:sz="0" w:space="0" w:color="auto"/>
            <w:bottom w:val="none" w:sz="0" w:space="0" w:color="auto"/>
            <w:right w:val="none" w:sz="0" w:space="0" w:color="auto"/>
          </w:divBdr>
        </w:div>
      </w:divsChild>
    </w:div>
    <w:div w:id="1671248882">
      <w:marLeft w:val="0"/>
      <w:marRight w:val="0"/>
      <w:marTop w:val="0"/>
      <w:marBottom w:val="0"/>
      <w:divBdr>
        <w:top w:val="none" w:sz="0" w:space="0" w:color="auto"/>
        <w:left w:val="none" w:sz="0" w:space="0" w:color="auto"/>
        <w:bottom w:val="none" w:sz="0" w:space="0" w:color="auto"/>
        <w:right w:val="none" w:sz="0" w:space="0" w:color="auto"/>
      </w:divBdr>
      <w:divsChild>
        <w:div w:id="1692224336">
          <w:marLeft w:val="0"/>
          <w:marRight w:val="0"/>
          <w:marTop w:val="0"/>
          <w:marBottom w:val="0"/>
          <w:divBdr>
            <w:top w:val="none" w:sz="0" w:space="0" w:color="auto"/>
            <w:left w:val="none" w:sz="0" w:space="0" w:color="auto"/>
            <w:bottom w:val="none" w:sz="0" w:space="0" w:color="auto"/>
            <w:right w:val="none" w:sz="0" w:space="0" w:color="auto"/>
          </w:divBdr>
        </w:div>
      </w:divsChild>
    </w:div>
    <w:div w:id="1685325886">
      <w:marLeft w:val="0"/>
      <w:marRight w:val="0"/>
      <w:marTop w:val="0"/>
      <w:marBottom w:val="0"/>
      <w:divBdr>
        <w:top w:val="none" w:sz="0" w:space="0" w:color="auto"/>
        <w:left w:val="none" w:sz="0" w:space="0" w:color="auto"/>
        <w:bottom w:val="none" w:sz="0" w:space="0" w:color="auto"/>
        <w:right w:val="none" w:sz="0" w:space="0" w:color="auto"/>
      </w:divBdr>
    </w:div>
    <w:div w:id="1688822140">
      <w:marLeft w:val="0"/>
      <w:marRight w:val="0"/>
      <w:marTop w:val="0"/>
      <w:marBottom w:val="0"/>
      <w:divBdr>
        <w:top w:val="none" w:sz="0" w:space="0" w:color="auto"/>
        <w:left w:val="none" w:sz="0" w:space="0" w:color="auto"/>
        <w:bottom w:val="none" w:sz="0" w:space="0" w:color="auto"/>
        <w:right w:val="none" w:sz="0" w:space="0" w:color="auto"/>
      </w:divBdr>
      <w:divsChild>
        <w:div w:id="1543713101">
          <w:marLeft w:val="0"/>
          <w:marRight w:val="0"/>
          <w:marTop w:val="0"/>
          <w:marBottom w:val="0"/>
          <w:divBdr>
            <w:top w:val="none" w:sz="0" w:space="0" w:color="auto"/>
            <w:left w:val="none" w:sz="0" w:space="0" w:color="auto"/>
            <w:bottom w:val="none" w:sz="0" w:space="0" w:color="auto"/>
            <w:right w:val="none" w:sz="0" w:space="0" w:color="auto"/>
          </w:divBdr>
        </w:div>
      </w:divsChild>
    </w:div>
    <w:div w:id="1701280151">
      <w:marLeft w:val="0"/>
      <w:marRight w:val="0"/>
      <w:marTop w:val="0"/>
      <w:marBottom w:val="0"/>
      <w:divBdr>
        <w:top w:val="none" w:sz="0" w:space="0" w:color="auto"/>
        <w:left w:val="none" w:sz="0" w:space="0" w:color="auto"/>
        <w:bottom w:val="none" w:sz="0" w:space="0" w:color="auto"/>
        <w:right w:val="none" w:sz="0" w:space="0" w:color="auto"/>
      </w:divBdr>
    </w:div>
    <w:div w:id="1726683289">
      <w:marLeft w:val="0"/>
      <w:marRight w:val="0"/>
      <w:marTop w:val="0"/>
      <w:marBottom w:val="0"/>
      <w:divBdr>
        <w:top w:val="none" w:sz="0" w:space="0" w:color="auto"/>
        <w:left w:val="none" w:sz="0" w:space="0" w:color="auto"/>
        <w:bottom w:val="none" w:sz="0" w:space="0" w:color="auto"/>
        <w:right w:val="none" w:sz="0" w:space="0" w:color="auto"/>
      </w:divBdr>
      <w:divsChild>
        <w:div w:id="456533981">
          <w:marLeft w:val="0"/>
          <w:marRight w:val="0"/>
          <w:marTop w:val="0"/>
          <w:marBottom w:val="0"/>
          <w:divBdr>
            <w:top w:val="none" w:sz="0" w:space="0" w:color="auto"/>
            <w:left w:val="none" w:sz="0" w:space="0" w:color="auto"/>
            <w:bottom w:val="none" w:sz="0" w:space="0" w:color="auto"/>
            <w:right w:val="none" w:sz="0" w:space="0" w:color="auto"/>
          </w:divBdr>
        </w:div>
      </w:divsChild>
    </w:div>
    <w:div w:id="1730107848">
      <w:marLeft w:val="0"/>
      <w:marRight w:val="0"/>
      <w:marTop w:val="0"/>
      <w:marBottom w:val="0"/>
      <w:divBdr>
        <w:top w:val="none" w:sz="0" w:space="0" w:color="auto"/>
        <w:left w:val="none" w:sz="0" w:space="0" w:color="auto"/>
        <w:bottom w:val="none" w:sz="0" w:space="0" w:color="auto"/>
        <w:right w:val="none" w:sz="0" w:space="0" w:color="auto"/>
      </w:divBdr>
      <w:divsChild>
        <w:div w:id="479154364">
          <w:marLeft w:val="0"/>
          <w:marRight w:val="0"/>
          <w:marTop w:val="0"/>
          <w:marBottom w:val="0"/>
          <w:divBdr>
            <w:top w:val="none" w:sz="0" w:space="0" w:color="auto"/>
            <w:left w:val="none" w:sz="0" w:space="0" w:color="auto"/>
            <w:bottom w:val="none" w:sz="0" w:space="0" w:color="auto"/>
            <w:right w:val="none" w:sz="0" w:space="0" w:color="auto"/>
          </w:divBdr>
        </w:div>
      </w:divsChild>
    </w:div>
    <w:div w:id="1735859951">
      <w:marLeft w:val="0"/>
      <w:marRight w:val="0"/>
      <w:marTop w:val="0"/>
      <w:marBottom w:val="0"/>
      <w:divBdr>
        <w:top w:val="none" w:sz="0" w:space="0" w:color="auto"/>
        <w:left w:val="none" w:sz="0" w:space="0" w:color="auto"/>
        <w:bottom w:val="none" w:sz="0" w:space="0" w:color="auto"/>
        <w:right w:val="none" w:sz="0" w:space="0" w:color="auto"/>
      </w:divBdr>
    </w:div>
    <w:div w:id="1737432867">
      <w:marLeft w:val="0"/>
      <w:marRight w:val="0"/>
      <w:marTop w:val="0"/>
      <w:marBottom w:val="0"/>
      <w:divBdr>
        <w:top w:val="none" w:sz="0" w:space="0" w:color="auto"/>
        <w:left w:val="none" w:sz="0" w:space="0" w:color="auto"/>
        <w:bottom w:val="none" w:sz="0" w:space="0" w:color="auto"/>
        <w:right w:val="none" w:sz="0" w:space="0" w:color="auto"/>
      </w:divBdr>
    </w:div>
    <w:div w:id="1748572590">
      <w:marLeft w:val="0"/>
      <w:marRight w:val="0"/>
      <w:marTop w:val="0"/>
      <w:marBottom w:val="0"/>
      <w:divBdr>
        <w:top w:val="none" w:sz="0" w:space="0" w:color="auto"/>
        <w:left w:val="none" w:sz="0" w:space="0" w:color="auto"/>
        <w:bottom w:val="none" w:sz="0" w:space="0" w:color="auto"/>
        <w:right w:val="none" w:sz="0" w:space="0" w:color="auto"/>
      </w:divBdr>
    </w:div>
    <w:div w:id="1748645931">
      <w:marLeft w:val="0"/>
      <w:marRight w:val="0"/>
      <w:marTop w:val="0"/>
      <w:marBottom w:val="0"/>
      <w:divBdr>
        <w:top w:val="none" w:sz="0" w:space="0" w:color="auto"/>
        <w:left w:val="none" w:sz="0" w:space="0" w:color="auto"/>
        <w:bottom w:val="none" w:sz="0" w:space="0" w:color="auto"/>
        <w:right w:val="none" w:sz="0" w:space="0" w:color="auto"/>
      </w:divBdr>
    </w:div>
    <w:div w:id="1760054764">
      <w:marLeft w:val="0"/>
      <w:marRight w:val="0"/>
      <w:marTop w:val="0"/>
      <w:marBottom w:val="0"/>
      <w:divBdr>
        <w:top w:val="none" w:sz="0" w:space="0" w:color="auto"/>
        <w:left w:val="none" w:sz="0" w:space="0" w:color="auto"/>
        <w:bottom w:val="none" w:sz="0" w:space="0" w:color="auto"/>
        <w:right w:val="none" w:sz="0" w:space="0" w:color="auto"/>
      </w:divBdr>
    </w:div>
    <w:div w:id="1761482691">
      <w:marLeft w:val="0"/>
      <w:marRight w:val="0"/>
      <w:marTop w:val="0"/>
      <w:marBottom w:val="0"/>
      <w:divBdr>
        <w:top w:val="none" w:sz="0" w:space="0" w:color="auto"/>
        <w:left w:val="none" w:sz="0" w:space="0" w:color="auto"/>
        <w:bottom w:val="none" w:sz="0" w:space="0" w:color="auto"/>
        <w:right w:val="none" w:sz="0" w:space="0" w:color="auto"/>
      </w:divBdr>
      <w:divsChild>
        <w:div w:id="1707632887">
          <w:marLeft w:val="0"/>
          <w:marRight w:val="0"/>
          <w:marTop w:val="0"/>
          <w:marBottom w:val="0"/>
          <w:divBdr>
            <w:top w:val="none" w:sz="0" w:space="0" w:color="auto"/>
            <w:left w:val="none" w:sz="0" w:space="0" w:color="auto"/>
            <w:bottom w:val="none" w:sz="0" w:space="0" w:color="auto"/>
            <w:right w:val="none" w:sz="0" w:space="0" w:color="auto"/>
          </w:divBdr>
        </w:div>
      </w:divsChild>
    </w:div>
    <w:div w:id="1765759529">
      <w:marLeft w:val="0"/>
      <w:marRight w:val="0"/>
      <w:marTop w:val="0"/>
      <w:marBottom w:val="0"/>
      <w:divBdr>
        <w:top w:val="none" w:sz="0" w:space="0" w:color="auto"/>
        <w:left w:val="none" w:sz="0" w:space="0" w:color="auto"/>
        <w:bottom w:val="none" w:sz="0" w:space="0" w:color="auto"/>
        <w:right w:val="none" w:sz="0" w:space="0" w:color="auto"/>
      </w:divBdr>
    </w:div>
    <w:div w:id="1778406587">
      <w:marLeft w:val="0"/>
      <w:marRight w:val="0"/>
      <w:marTop w:val="0"/>
      <w:marBottom w:val="0"/>
      <w:divBdr>
        <w:top w:val="none" w:sz="0" w:space="0" w:color="auto"/>
        <w:left w:val="none" w:sz="0" w:space="0" w:color="auto"/>
        <w:bottom w:val="none" w:sz="0" w:space="0" w:color="auto"/>
        <w:right w:val="none" w:sz="0" w:space="0" w:color="auto"/>
      </w:divBdr>
      <w:divsChild>
        <w:div w:id="640963839">
          <w:marLeft w:val="0"/>
          <w:marRight w:val="0"/>
          <w:marTop w:val="0"/>
          <w:marBottom w:val="0"/>
          <w:divBdr>
            <w:top w:val="none" w:sz="0" w:space="0" w:color="auto"/>
            <w:left w:val="none" w:sz="0" w:space="0" w:color="auto"/>
            <w:bottom w:val="none" w:sz="0" w:space="0" w:color="auto"/>
            <w:right w:val="none" w:sz="0" w:space="0" w:color="auto"/>
          </w:divBdr>
        </w:div>
      </w:divsChild>
    </w:div>
    <w:div w:id="1790273361">
      <w:marLeft w:val="0"/>
      <w:marRight w:val="0"/>
      <w:marTop w:val="0"/>
      <w:marBottom w:val="0"/>
      <w:divBdr>
        <w:top w:val="none" w:sz="0" w:space="0" w:color="auto"/>
        <w:left w:val="none" w:sz="0" w:space="0" w:color="auto"/>
        <w:bottom w:val="none" w:sz="0" w:space="0" w:color="auto"/>
        <w:right w:val="none" w:sz="0" w:space="0" w:color="auto"/>
      </w:divBdr>
      <w:divsChild>
        <w:div w:id="1491362612">
          <w:marLeft w:val="0"/>
          <w:marRight w:val="0"/>
          <w:marTop w:val="0"/>
          <w:marBottom w:val="0"/>
          <w:divBdr>
            <w:top w:val="none" w:sz="0" w:space="0" w:color="auto"/>
            <w:left w:val="none" w:sz="0" w:space="0" w:color="auto"/>
            <w:bottom w:val="none" w:sz="0" w:space="0" w:color="auto"/>
            <w:right w:val="none" w:sz="0" w:space="0" w:color="auto"/>
          </w:divBdr>
        </w:div>
      </w:divsChild>
    </w:div>
    <w:div w:id="1802576711">
      <w:marLeft w:val="0"/>
      <w:marRight w:val="0"/>
      <w:marTop w:val="0"/>
      <w:marBottom w:val="0"/>
      <w:divBdr>
        <w:top w:val="none" w:sz="0" w:space="0" w:color="auto"/>
        <w:left w:val="none" w:sz="0" w:space="0" w:color="auto"/>
        <w:bottom w:val="none" w:sz="0" w:space="0" w:color="auto"/>
        <w:right w:val="none" w:sz="0" w:space="0" w:color="auto"/>
      </w:divBdr>
      <w:divsChild>
        <w:div w:id="108203668">
          <w:marLeft w:val="0"/>
          <w:marRight w:val="0"/>
          <w:marTop w:val="0"/>
          <w:marBottom w:val="0"/>
          <w:divBdr>
            <w:top w:val="none" w:sz="0" w:space="0" w:color="auto"/>
            <w:left w:val="none" w:sz="0" w:space="0" w:color="auto"/>
            <w:bottom w:val="none" w:sz="0" w:space="0" w:color="auto"/>
            <w:right w:val="none" w:sz="0" w:space="0" w:color="auto"/>
          </w:divBdr>
        </w:div>
      </w:divsChild>
    </w:div>
    <w:div w:id="1806384595">
      <w:marLeft w:val="0"/>
      <w:marRight w:val="0"/>
      <w:marTop w:val="180"/>
      <w:marBottom w:val="0"/>
      <w:divBdr>
        <w:top w:val="none" w:sz="0" w:space="0" w:color="auto"/>
        <w:left w:val="none" w:sz="0" w:space="0" w:color="auto"/>
        <w:bottom w:val="none" w:sz="0" w:space="0" w:color="auto"/>
        <w:right w:val="none" w:sz="0" w:space="0" w:color="auto"/>
      </w:divBdr>
    </w:div>
    <w:div w:id="1811704094">
      <w:marLeft w:val="0"/>
      <w:marRight w:val="0"/>
      <w:marTop w:val="0"/>
      <w:marBottom w:val="0"/>
      <w:divBdr>
        <w:top w:val="none" w:sz="0" w:space="0" w:color="auto"/>
        <w:left w:val="none" w:sz="0" w:space="0" w:color="auto"/>
        <w:bottom w:val="none" w:sz="0" w:space="0" w:color="auto"/>
        <w:right w:val="none" w:sz="0" w:space="0" w:color="auto"/>
      </w:divBdr>
    </w:div>
    <w:div w:id="1816026072">
      <w:marLeft w:val="0"/>
      <w:marRight w:val="0"/>
      <w:marTop w:val="0"/>
      <w:marBottom w:val="0"/>
      <w:divBdr>
        <w:top w:val="none" w:sz="0" w:space="0" w:color="auto"/>
        <w:left w:val="none" w:sz="0" w:space="0" w:color="auto"/>
        <w:bottom w:val="none" w:sz="0" w:space="0" w:color="auto"/>
        <w:right w:val="none" w:sz="0" w:space="0" w:color="auto"/>
      </w:divBdr>
    </w:div>
    <w:div w:id="1817256601">
      <w:marLeft w:val="0"/>
      <w:marRight w:val="0"/>
      <w:marTop w:val="0"/>
      <w:marBottom w:val="0"/>
      <w:divBdr>
        <w:top w:val="none" w:sz="0" w:space="0" w:color="auto"/>
        <w:left w:val="none" w:sz="0" w:space="0" w:color="auto"/>
        <w:bottom w:val="none" w:sz="0" w:space="0" w:color="auto"/>
        <w:right w:val="none" w:sz="0" w:space="0" w:color="auto"/>
      </w:divBdr>
      <w:divsChild>
        <w:div w:id="2004889346">
          <w:marLeft w:val="0"/>
          <w:marRight w:val="0"/>
          <w:marTop w:val="0"/>
          <w:marBottom w:val="0"/>
          <w:divBdr>
            <w:top w:val="none" w:sz="0" w:space="0" w:color="auto"/>
            <w:left w:val="none" w:sz="0" w:space="0" w:color="auto"/>
            <w:bottom w:val="none" w:sz="0" w:space="0" w:color="auto"/>
            <w:right w:val="none" w:sz="0" w:space="0" w:color="auto"/>
          </w:divBdr>
        </w:div>
      </w:divsChild>
    </w:div>
    <w:div w:id="1822425931">
      <w:marLeft w:val="0"/>
      <w:marRight w:val="0"/>
      <w:marTop w:val="0"/>
      <w:marBottom w:val="0"/>
      <w:divBdr>
        <w:top w:val="none" w:sz="0" w:space="0" w:color="auto"/>
        <w:left w:val="none" w:sz="0" w:space="0" w:color="auto"/>
        <w:bottom w:val="none" w:sz="0" w:space="0" w:color="auto"/>
        <w:right w:val="none" w:sz="0" w:space="0" w:color="auto"/>
      </w:divBdr>
    </w:div>
    <w:div w:id="1827012724">
      <w:marLeft w:val="0"/>
      <w:marRight w:val="0"/>
      <w:marTop w:val="0"/>
      <w:marBottom w:val="0"/>
      <w:divBdr>
        <w:top w:val="none" w:sz="0" w:space="0" w:color="auto"/>
        <w:left w:val="none" w:sz="0" w:space="0" w:color="auto"/>
        <w:bottom w:val="none" w:sz="0" w:space="0" w:color="auto"/>
        <w:right w:val="none" w:sz="0" w:space="0" w:color="auto"/>
      </w:divBdr>
    </w:div>
    <w:div w:id="1834223901">
      <w:marLeft w:val="0"/>
      <w:marRight w:val="0"/>
      <w:marTop w:val="0"/>
      <w:marBottom w:val="0"/>
      <w:divBdr>
        <w:top w:val="none" w:sz="0" w:space="0" w:color="auto"/>
        <w:left w:val="none" w:sz="0" w:space="0" w:color="auto"/>
        <w:bottom w:val="none" w:sz="0" w:space="0" w:color="auto"/>
        <w:right w:val="none" w:sz="0" w:space="0" w:color="auto"/>
      </w:divBdr>
    </w:div>
    <w:div w:id="1834560333">
      <w:marLeft w:val="0"/>
      <w:marRight w:val="0"/>
      <w:marTop w:val="120"/>
      <w:marBottom w:val="0"/>
      <w:divBdr>
        <w:top w:val="none" w:sz="0" w:space="0" w:color="auto"/>
        <w:left w:val="none" w:sz="0" w:space="0" w:color="auto"/>
        <w:bottom w:val="none" w:sz="0" w:space="0" w:color="auto"/>
        <w:right w:val="none" w:sz="0" w:space="0" w:color="auto"/>
      </w:divBdr>
    </w:div>
    <w:div w:id="1834562140">
      <w:marLeft w:val="0"/>
      <w:marRight w:val="0"/>
      <w:marTop w:val="0"/>
      <w:marBottom w:val="60"/>
      <w:divBdr>
        <w:top w:val="none" w:sz="0" w:space="0" w:color="auto"/>
        <w:left w:val="none" w:sz="0" w:space="0" w:color="auto"/>
        <w:bottom w:val="none" w:sz="0" w:space="0" w:color="auto"/>
        <w:right w:val="none" w:sz="0" w:space="0" w:color="auto"/>
      </w:divBdr>
    </w:div>
    <w:div w:id="1838036919">
      <w:marLeft w:val="0"/>
      <w:marRight w:val="0"/>
      <w:marTop w:val="100"/>
      <w:marBottom w:val="100"/>
      <w:divBdr>
        <w:top w:val="none" w:sz="0" w:space="0" w:color="auto"/>
        <w:left w:val="none" w:sz="0" w:space="0" w:color="auto"/>
        <w:bottom w:val="none" w:sz="0" w:space="0" w:color="auto"/>
        <w:right w:val="none" w:sz="0" w:space="0" w:color="auto"/>
      </w:divBdr>
    </w:div>
    <w:div w:id="1847355145">
      <w:marLeft w:val="0"/>
      <w:marRight w:val="0"/>
      <w:marTop w:val="0"/>
      <w:marBottom w:val="0"/>
      <w:divBdr>
        <w:top w:val="none" w:sz="0" w:space="0" w:color="auto"/>
        <w:left w:val="none" w:sz="0" w:space="0" w:color="auto"/>
        <w:bottom w:val="none" w:sz="0" w:space="0" w:color="auto"/>
        <w:right w:val="none" w:sz="0" w:space="0" w:color="auto"/>
      </w:divBdr>
      <w:divsChild>
        <w:div w:id="989292737">
          <w:marLeft w:val="0"/>
          <w:marRight w:val="0"/>
          <w:marTop w:val="0"/>
          <w:marBottom w:val="0"/>
          <w:divBdr>
            <w:top w:val="none" w:sz="0" w:space="0" w:color="auto"/>
            <w:left w:val="none" w:sz="0" w:space="0" w:color="auto"/>
            <w:bottom w:val="none" w:sz="0" w:space="0" w:color="auto"/>
            <w:right w:val="none" w:sz="0" w:space="0" w:color="auto"/>
          </w:divBdr>
        </w:div>
      </w:divsChild>
    </w:div>
    <w:div w:id="1855725874">
      <w:marLeft w:val="0"/>
      <w:marRight w:val="0"/>
      <w:marTop w:val="0"/>
      <w:marBottom w:val="0"/>
      <w:divBdr>
        <w:top w:val="none" w:sz="0" w:space="0" w:color="auto"/>
        <w:left w:val="none" w:sz="0" w:space="0" w:color="auto"/>
        <w:bottom w:val="none" w:sz="0" w:space="0" w:color="auto"/>
        <w:right w:val="none" w:sz="0" w:space="0" w:color="auto"/>
      </w:divBdr>
      <w:divsChild>
        <w:div w:id="1768651320">
          <w:marLeft w:val="0"/>
          <w:marRight w:val="0"/>
          <w:marTop w:val="0"/>
          <w:marBottom w:val="0"/>
          <w:divBdr>
            <w:top w:val="none" w:sz="0" w:space="0" w:color="auto"/>
            <w:left w:val="none" w:sz="0" w:space="0" w:color="auto"/>
            <w:bottom w:val="none" w:sz="0" w:space="0" w:color="auto"/>
            <w:right w:val="none" w:sz="0" w:space="0" w:color="auto"/>
          </w:divBdr>
        </w:div>
      </w:divsChild>
    </w:div>
    <w:div w:id="1873762568">
      <w:marLeft w:val="0"/>
      <w:marRight w:val="0"/>
      <w:marTop w:val="0"/>
      <w:marBottom w:val="0"/>
      <w:divBdr>
        <w:top w:val="none" w:sz="0" w:space="0" w:color="auto"/>
        <w:left w:val="none" w:sz="0" w:space="0" w:color="auto"/>
        <w:bottom w:val="none" w:sz="0" w:space="0" w:color="auto"/>
        <w:right w:val="none" w:sz="0" w:space="0" w:color="auto"/>
      </w:divBdr>
      <w:divsChild>
        <w:div w:id="496115884">
          <w:marLeft w:val="0"/>
          <w:marRight w:val="0"/>
          <w:marTop w:val="0"/>
          <w:marBottom w:val="0"/>
          <w:divBdr>
            <w:top w:val="none" w:sz="0" w:space="0" w:color="auto"/>
            <w:left w:val="none" w:sz="0" w:space="0" w:color="auto"/>
            <w:bottom w:val="none" w:sz="0" w:space="0" w:color="auto"/>
            <w:right w:val="none" w:sz="0" w:space="0" w:color="auto"/>
          </w:divBdr>
        </w:div>
      </w:divsChild>
    </w:div>
    <w:div w:id="1874078562">
      <w:marLeft w:val="0"/>
      <w:marRight w:val="0"/>
      <w:marTop w:val="0"/>
      <w:marBottom w:val="0"/>
      <w:divBdr>
        <w:top w:val="none" w:sz="0" w:space="0" w:color="auto"/>
        <w:left w:val="none" w:sz="0" w:space="0" w:color="auto"/>
        <w:bottom w:val="none" w:sz="0" w:space="0" w:color="auto"/>
        <w:right w:val="none" w:sz="0" w:space="0" w:color="auto"/>
      </w:divBdr>
    </w:div>
    <w:div w:id="1874152281">
      <w:marLeft w:val="0"/>
      <w:marRight w:val="0"/>
      <w:marTop w:val="0"/>
      <w:marBottom w:val="0"/>
      <w:divBdr>
        <w:top w:val="none" w:sz="0" w:space="0" w:color="auto"/>
        <w:left w:val="none" w:sz="0" w:space="0" w:color="auto"/>
        <w:bottom w:val="none" w:sz="0" w:space="0" w:color="auto"/>
        <w:right w:val="none" w:sz="0" w:space="0" w:color="auto"/>
      </w:divBdr>
      <w:divsChild>
        <w:div w:id="1716543674">
          <w:marLeft w:val="0"/>
          <w:marRight w:val="0"/>
          <w:marTop w:val="0"/>
          <w:marBottom w:val="0"/>
          <w:divBdr>
            <w:top w:val="none" w:sz="0" w:space="0" w:color="auto"/>
            <w:left w:val="none" w:sz="0" w:space="0" w:color="auto"/>
            <w:bottom w:val="none" w:sz="0" w:space="0" w:color="auto"/>
            <w:right w:val="none" w:sz="0" w:space="0" w:color="auto"/>
          </w:divBdr>
        </w:div>
      </w:divsChild>
    </w:div>
    <w:div w:id="1885290469">
      <w:marLeft w:val="0"/>
      <w:marRight w:val="0"/>
      <w:marTop w:val="0"/>
      <w:marBottom w:val="0"/>
      <w:divBdr>
        <w:top w:val="none" w:sz="0" w:space="0" w:color="auto"/>
        <w:left w:val="none" w:sz="0" w:space="0" w:color="auto"/>
        <w:bottom w:val="none" w:sz="0" w:space="0" w:color="auto"/>
        <w:right w:val="none" w:sz="0" w:space="0" w:color="auto"/>
      </w:divBdr>
    </w:div>
    <w:div w:id="1885824867">
      <w:marLeft w:val="0"/>
      <w:marRight w:val="0"/>
      <w:marTop w:val="0"/>
      <w:marBottom w:val="0"/>
      <w:divBdr>
        <w:top w:val="none" w:sz="0" w:space="0" w:color="auto"/>
        <w:left w:val="none" w:sz="0" w:space="0" w:color="auto"/>
        <w:bottom w:val="none" w:sz="0" w:space="0" w:color="auto"/>
        <w:right w:val="none" w:sz="0" w:space="0" w:color="auto"/>
      </w:divBdr>
    </w:div>
    <w:div w:id="1901863569">
      <w:marLeft w:val="0"/>
      <w:marRight w:val="0"/>
      <w:marTop w:val="0"/>
      <w:marBottom w:val="0"/>
      <w:divBdr>
        <w:top w:val="none" w:sz="0" w:space="0" w:color="auto"/>
        <w:left w:val="none" w:sz="0" w:space="0" w:color="auto"/>
        <w:bottom w:val="none" w:sz="0" w:space="0" w:color="auto"/>
        <w:right w:val="none" w:sz="0" w:space="0" w:color="auto"/>
      </w:divBdr>
    </w:div>
    <w:div w:id="1905869620">
      <w:marLeft w:val="0"/>
      <w:marRight w:val="0"/>
      <w:marTop w:val="0"/>
      <w:marBottom w:val="0"/>
      <w:divBdr>
        <w:top w:val="none" w:sz="0" w:space="0" w:color="auto"/>
        <w:left w:val="none" w:sz="0" w:space="0" w:color="auto"/>
        <w:bottom w:val="none" w:sz="0" w:space="0" w:color="auto"/>
        <w:right w:val="none" w:sz="0" w:space="0" w:color="auto"/>
      </w:divBdr>
    </w:div>
    <w:div w:id="1934899700">
      <w:marLeft w:val="0"/>
      <w:marRight w:val="0"/>
      <w:marTop w:val="120"/>
      <w:marBottom w:val="0"/>
      <w:divBdr>
        <w:top w:val="none" w:sz="0" w:space="0" w:color="auto"/>
        <w:left w:val="none" w:sz="0" w:space="0" w:color="auto"/>
        <w:bottom w:val="none" w:sz="0" w:space="0" w:color="auto"/>
        <w:right w:val="none" w:sz="0" w:space="0" w:color="auto"/>
      </w:divBdr>
    </w:div>
    <w:div w:id="1938519954">
      <w:marLeft w:val="0"/>
      <w:marRight w:val="0"/>
      <w:marTop w:val="0"/>
      <w:marBottom w:val="0"/>
      <w:divBdr>
        <w:top w:val="none" w:sz="0" w:space="0" w:color="auto"/>
        <w:left w:val="none" w:sz="0" w:space="0" w:color="auto"/>
        <w:bottom w:val="none" w:sz="0" w:space="0" w:color="auto"/>
        <w:right w:val="none" w:sz="0" w:space="0" w:color="auto"/>
      </w:divBdr>
    </w:div>
    <w:div w:id="1952544524">
      <w:marLeft w:val="0"/>
      <w:marRight w:val="0"/>
      <w:marTop w:val="0"/>
      <w:marBottom w:val="0"/>
      <w:divBdr>
        <w:top w:val="none" w:sz="0" w:space="0" w:color="auto"/>
        <w:left w:val="none" w:sz="0" w:space="0" w:color="auto"/>
        <w:bottom w:val="none" w:sz="0" w:space="0" w:color="auto"/>
        <w:right w:val="none" w:sz="0" w:space="0" w:color="auto"/>
      </w:divBdr>
    </w:div>
    <w:div w:id="1959406232">
      <w:marLeft w:val="0"/>
      <w:marRight w:val="0"/>
      <w:marTop w:val="0"/>
      <w:marBottom w:val="0"/>
      <w:divBdr>
        <w:top w:val="none" w:sz="0" w:space="0" w:color="auto"/>
        <w:left w:val="none" w:sz="0" w:space="0" w:color="auto"/>
        <w:bottom w:val="none" w:sz="0" w:space="0" w:color="auto"/>
        <w:right w:val="none" w:sz="0" w:space="0" w:color="auto"/>
      </w:divBdr>
    </w:div>
    <w:div w:id="1966695810">
      <w:marLeft w:val="0"/>
      <w:marRight w:val="0"/>
      <w:marTop w:val="0"/>
      <w:marBottom w:val="0"/>
      <w:divBdr>
        <w:top w:val="none" w:sz="0" w:space="0" w:color="auto"/>
        <w:left w:val="none" w:sz="0" w:space="0" w:color="auto"/>
        <w:bottom w:val="none" w:sz="0" w:space="0" w:color="auto"/>
        <w:right w:val="none" w:sz="0" w:space="0" w:color="auto"/>
      </w:divBdr>
      <w:divsChild>
        <w:div w:id="211621062">
          <w:marLeft w:val="0"/>
          <w:marRight w:val="0"/>
          <w:marTop w:val="0"/>
          <w:marBottom w:val="0"/>
          <w:divBdr>
            <w:top w:val="none" w:sz="0" w:space="0" w:color="auto"/>
            <w:left w:val="none" w:sz="0" w:space="0" w:color="auto"/>
            <w:bottom w:val="none" w:sz="0" w:space="0" w:color="auto"/>
            <w:right w:val="none" w:sz="0" w:space="0" w:color="auto"/>
          </w:divBdr>
          <w:divsChild>
            <w:div w:id="15475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7884">
      <w:marLeft w:val="0"/>
      <w:marRight w:val="0"/>
      <w:marTop w:val="0"/>
      <w:marBottom w:val="0"/>
      <w:divBdr>
        <w:top w:val="none" w:sz="0" w:space="0" w:color="auto"/>
        <w:left w:val="none" w:sz="0" w:space="0" w:color="auto"/>
        <w:bottom w:val="none" w:sz="0" w:space="0" w:color="auto"/>
        <w:right w:val="none" w:sz="0" w:space="0" w:color="auto"/>
      </w:divBdr>
    </w:div>
    <w:div w:id="1971782566">
      <w:marLeft w:val="0"/>
      <w:marRight w:val="0"/>
      <w:marTop w:val="0"/>
      <w:marBottom w:val="0"/>
      <w:divBdr>
        <w:top w:val="none" w:sz="0" w:space="0" w:color="auto"/>
        <w:left w:val="none" w:sz="0" w:space="0" w:color="auto"/>
        <w:bottom w:val="none" w:sz="0" w:space="0" w:color="auto"/>
        <w:right w:val="none" w:sz="0" w:space="0" w:color="auto"/>
      </w:divBdr>
    </w:div>
    <w:div w:id="1976523848">
      <w:marLeft w:val="0"/>
      <w:marRight w:val="0"/>
      <w:marTop w:val="0"/>
      <w:marBottom w:val="0"/>
      <w:divBdr>
        <w:top w:val="none" w:sz="0" w:space="0" w:color="auto"/>
        <w:left w:val="none" w:sz="0" w:space="0" w:color="auto"/>
        <w:bottom w:val="none" w:sz="0" w:space="0" w:color="auto"/>
        <w:right w:val="none" w:sz="0" w:space="0" w:color="auto"/>
      </w:divBdr>
    </w:div>
    <w:div w:id="1980261335">
      <w:marLeft w:val="0"/>
      <w:marRight w:val="0"/>
      <w:marTop w:val="0"/>
      <w:marBottom w:val="0"/>
      <w:divBdr>
        <w:top w:val="none" w:sz="0" w:space="0" w:color="auto"/>
        <w:left w:val="none" w:sz="0" w:space="0" w:color="auto"/>
        <w:bottom w:val="none" w:sz="0" w:space="0" w:color="auto"/>
        <w:right w:val="none" w:sz="0" w:space="0" w:color="auto"/>
      </w:divBdr>
    </w:div>
    <w:div w:id="1993168265">
      <w:marLeft w:val="0"/>
      <w:marRight w:val="0"/>
      <w:marTop w:val="180"/>
      <w:marBottom w:val="0"/>
      <w:divBdr>
        <w:top w:val="none" w:sz="0" w:space="0" w:color="auto"/>
        <w:left w:val="none" w:sz="0" w:space="0" w:color="auto"/>
        <w:bottom w:val="none" w:sz="0" w:space="0" w:color="auto"/>
        <w:right w:val="none" w:sz="0" w:space="0" w:color="auto"/>
      </w:divBdr>
    </w:div>
    <w:div w:id="1997226554">
      <w:marLeft w:val="0"/>
      <w:marRight w:val="0"/>
      <w:marTop w:val="0"/>
      <w:marBottom w:val="0"/>
      <w:divBdr>
        <w:top w:val="none" w:sz="0" w:space="0" w:color="auto"/>
        <w:left w:val="none" w:sz="0" w:space="0" w:color="auto"/>
        <w:bottom w:val="none" w:sz="0" w:space="0" w:color="auto"/>
        <w:right w:val="none" w:sz="0" w:space="0" w:color="auto"/>
      </w:divBdr>
      <w:divsChild>
        <w:div w:id="182790540">
          <w:marLeft w:val="0"/>
          <w:marRight w:val="0"/>
          <w:marTop w:val="0"/>
          <w:marBottom w:val="0"/>
          <w:divBdr>
            <w:top w:val="none" w:sz="0" w:space="0" w:color="auto"/>
            <w:left w:val="none" w:sz="0" w:space="0" w:color="auto"/>
            <w:bottom w:val="none" w:sz="0" w:space="0" w:color="auto"/>
            <w:right w:val="none" w:sz="0" w:space="0" w:color="auto"/>
          </w:divBdr>
        </w:div>
      </w:divsChild>
    </w:div>
    <w:div w:id="2002155582">
      <w:marLeft w:val="0"/>
      <w:marRight w:val="0"/>
      <w:marTop w:val="0"/>
      <w:marBottom w:val="0"/>
      <w:divBdr>
        <w:top w:val="none" w:sz="0" w:space="0" w:color="auto"/>
        <w:left w:val="none" w:sz="0" w:space="0" w:color="auto"/>
        <w:bottom w:val="none" w:sz="0" w:space="0" w:color="auto"/>
        <w:right w:val="none" w:sz="0" w:space="0" w:color="auto"/>
      </w:divBdr>
    </w:div>
    <w:div w:id="2011253679">
      <w:marLeft w:val="0"/>
      <w:marRight w:val="0"/>
      <w:marTop w:val="0"/>
      <w:marBottom w:val="0"/>
      <w:divBdr>
        <w:top w:val="none" w:sz="0" w:space="0" w:color="auto"/>
        <w:left w:val="none" w:sz="0" w:space="0" w:color="auto"/>
        <w:bottom w:val="none" w:sz="0" w:space="0" w:color="auto"/>
        <w:right w:val="none" w:sz="0" w:space="0" w:color="auto"/>
      </w:divBdr>
    </w:div>
    <w:div w:id="2011835409">
      <w:marLeft w:val="0"/>
      <w:marRight w:val="0"/>
      <w:marTop w:val="0"/>
      <w:marBottom w:val="0"/>
      <w:divBdr>
        <w:top w:val="none" w:sz="0" w:space="0" w:color="auto"/>
        <w:left w:val="none" w:sz="0" w:space="0" w:color="auto"/>
        <w:bottom w:val="none" w:sz="0" w:space="0" w:color="auto"/>
        <w:right w:val="none" w:sz="0" w:space="0" w:color="auto"/>
      </w:divBdr>
    </w:div>
    <w:div w:id="2017920697">
      <w:marLeft w:val="0"/>
      <w:marRight w:val="0"/>
      <w:marTop w:val="100"/>
      <w:marBottom w:val="0"/>
      <w:divBdr>
        <w:top w:val="none" w:sz="0" w:space="0" w:color="auto"/>
        <w:left w:val="none" w:sz="0" w:space="0" w:color="auto"/>
        <w:bottom w:val="none" w:sz="0" w:space="0" w:color="auto"/>
        <w:right w:val="none" w:sz="0" w:space="0" w:color="auto"/>
      </w:divBdr>
      <w:divsChild>
        <w:div w:id="1348630922">
          <w:marLeft w:val="0"/>
          <w:marRight w:val="0"/>
          <w:marTop w:val="0"/>
          <w:marBottom w:val="0"/>
          <w:divBdr>
            <w:top w:val="none" w:sz="0" w:space="0" w:color="auto"/>
            <w:left w:val="none" w:sz="0" w:space="0" w:color="auto"/>
            <w:bottom w:val="none" w:sz="0" w:space="0" w:color="auto"/>
            <w:right w:val="none" w:sz="0" w:space="0" w:color="auto"/>
          </w:divBdr>
        </w:div>
        <w:div w:id="1635057774">
          <w:marLeft w:val="0"/>
          <w:marRight w:val="0"/>
          <w:marTop w:val="0"/>
          <w:marBottom w:val="0"/>
          <w:divBdr>
            <w:top w:val="none" w:sz="0" w:space="0" w:color="auto"/>
            <w:left w:val="none" w:sz="0" w:space="0" w:color="auto"/>
            <w:bottom w:val="none" w:sz="0" w:space="0" w:color="auto"/>
            <w:right w:val="none" w:sz="0" w:space="0" w:color="auto"/>
          </w:divBdr>
        </w:div>
        <w:div w:id="2093355801">
          <w:marLeft w:val="0"/>
          <w:marRight w:val="0"/>
          <w:marTop w:val="0"/>
          <w:marBottom w:val="0"/>
          <w:divBdr>
            <w:top w:val="none" w:sz="0" w:space="0" w:color="auto"/>
            <w:left w:val="none" w:sz="0" w:space="0" w:color="auto"/>
            <w:bottom w:val="none" w:sz="0" w:space="0" w:color="auto"/>
            <w:right w:val="none" w:sz="0" w:space="0" w:color="auto"/>
          </w:divBdr>
        </w:div>
        <w:div w:id="1005016148">
          <w:marLeft w:val="0"/>
          <w:marRight w:val="0"/>
          <w:marTop w:val="0"/>
          <w:marBottom w:val="0"/>
          <w:divBdr>
            <w:top w:val="none" w:sz="0" w:space="0" w:color="auto"/>
            <w:left w:val="none" w:sz="0" w:space="0" w:color="auto"/>
            <w:bottom w:val="none" w:sz="0" w:space="0" w:color="auto"/>
            <w:right w:val="none" w:sz="0" w:space="0" w:color="auto"/>
          </w:divBdr>
        </w:div>
        <w:div w:id="721565960">
          <w:marLeft w:val="0"/>
          <w:marRight w:val="0"/>
          <w:marTop w:val="0"/>
          <w:marBottom w:val="0"/>
          <w:divBdr>
            <w:top w:val="none" w:sz="0" w:space="0" w:color="auto"/>
            <w:left w:val="none" w:sz="0" w:space="0" w:color="auto"/>
            <w:bottom w:val="none" w:sz="0" w:space="0" w:color="auto"/>
            <w:right w:val="none" w:sz="0" w:space="0" w:color="auto"/>
          </w:divBdr>
        </w:div>
        <w:div w:id="1854219486">
          <w:marLeft w:val="0"/>
          <w:marRight w:val="0"/>
          <w:marTop w:val="0"/>
          <w:marBottom w:val="0"/>
          <w:divBdr>
            <w:top w:val="none" w:sz="0" w:space="0" w:color="auto"/>
            <w:left w:val="none" w:sz="0" w:space="0" w:color="auto"/>
            <w:bottom w:val="none" w:sz="0" w:space="0" w:color="auto"/>
            <w:right w:val="none" w:sz="0" w:space="0" w:color="auto"/>
          </w:divBdr>
        </w:div>
        <w:div w:id="1833717786">
          <w:marLeft w:val="0"/>
          <w:marRight w:val="0"/>
          <w:marTop w:val="0"/>
          <w:marBottom w:val="0"/>
          <w:divBdr>
            <w:top w:val="none" w:sz="0" w:space="0" w:color="auto"/>
            <w:left w:val="none" w:sz="0" w:space="0" w:color="auto"/>
            <w:bottom w:val="none" w:sz="0" w:space="0" w:color="auto"/>
            <w:right w:val="none" w:sz="0" w:space="0" w:color="auto"/>
          </w:divBdr>
        </w:div>
        <w:div w:id="263804245">
          <w:marLeft w:val="0"/>
          <w:marRight w:val="0"/>
          <w:marTop w:val="0"/>
          <w:marBottom w:val="0"/>
          <w:divBdr>
            <w:top w:val="none" w:sz="0" w:space="0" w:color="auto"/>
            <w:left w:val="none" w:sz="0" w:space="0" w:color="auto"/>
            <w:bottom w:val="none" w:sz="0" w:space="0" w:color="auto"/>
            <w:right w:val="none" w:sz="0" w:space="0" w:color="auto"/>
          </w:divBdr>
        </w:div>
        <w:div w:id="1101023395">
          <w:marLeft w:val="0"/>
          <w:marRight w:val="0"/>
          <w:marTop w:val="0"/>
          <w:marBottom w:val="0"/>
          <w:divBdr>
            <w:top w:val="none" w:sz="0" w:space="0" w:color="auto"/>
            <w:left w:val="none" w:sz="0" w:space="0" w:color="auto"/>
            <w:bottom w:val="none" w:sz="0" w:space="0" w:color="auto"/>
            <w:right w:val="none" w:sz="0" w:space="0" w:color="auto"/>
          </w:divBdr>
        </w:div>
        <w:div w:id="672562618">
          <w:marLeft w:val="0"/>
          <w:marRight w:val="0"/>
          <w:marTop w:val="0"/>
          <w:marBottom w:val="0"/>
          <w:divBdr>
            <w:top w:val="none" w:sz="0" w:space="0" w:color="auto"/>
            <w:left w:val="none" w:sz="0" w:space="0" w:color="auto"/>
            <w:bottom w:val="none" w:sz="0" w:space="0" w:color="auto"/>
            <w:right w:val="none" w:sz="0" w:space="0" w:color="auto"/>
          </w:divBdr>
        </w:div>
        <w:div w:id="1791313186">
          <w:marLeft w:val="0"/>
          <w:marRight w:val="0"/>
          <w:marTop w:val="0"/>
          <w:marBottom w:val="0"/>
          <w:divBdr>
            <w:top w:val="none" w:sz="0" w:space="0" w:color="auto"/>
            <w:left w:val="none" w:sz="0" w:space="0" w:color="auto"/>
            <w:bottom w:val="none" w:sz="0" w:space="0" w:color="auto"/>
            <w:right w:val="none" w:sz="0" w:space="0" w:color="auto"/>
          </w:divBdr>
        </w:div>
        <w:div w:id="1301233077">
          <w:marLeft w:val="0"/>
          <w:marRight w:val="0"/>
          <w:marTop w:val="0"/>
          <w:marBottom w:val="0"/>
          <w:divBdr>
            <w:top w:val="none" w:sz="0" w:space="0" w:color="auto"/>
            <w:left w:val="none" w:sz="0" w:space="0" w:color="auto"/>
            <w:bottom w:val="none" w:sz="0" w:space="0" w:color="auto"/>
            <w:right w:val="none" w:sz="0" w:space="0" w:color="auto"/>
          </w:divBdr>
        </w:div>
        <w:div w:id="1638102296">
          <w:marLeft w:val="0"/>
          <w:marRight w:val="0"/>
          <w:marTop w:val="0"/>
          <w:marBottom w:val="0"/>
          <w:divBdr>
            <w:top w:val="none" w:sz="0" w:space="0" w:color="auto"/>
            <w:left w:val="none" w:sz="0" w:space="0" w:color="auto"/>
            <w:bottom w:val="none" w:sz="0" w:space="0" w:color="auto"/>
            <w:right w:val="none" w:sz="0" w:space="0" w:color="auto"/>
          </w:divBdr>
        </w:div>
        <w:div w:id="1457021545">
          <w:marLeft w:val="0"/>
          <w:marRight w:val="0"/>
          <w:marTop w:val="0"/>
          <w:marBottom w:val="0"/>
          <w:divBdr>
            <w:top w:val="none" w:sz="0" w:space="0" w:color="auto"/>
            <w:left w:val="none" w:sz="0" w:space="0" w:color="auto"/>
            <w:bottom w:val="none" w:sz="0" w:space="0" w:color="auto"/>
            <w:right w:val="none" w:sz="0" w:space="0" w:color="auto"/>
          </w:divBdr>
        </w:div>
      </w:divsChild>
    </w:div>
    <w:div w:id="2019427917">
      <w:marLeft w:val="0"/>
      <w:marRight w:val="0"/>
      <w:marTop w:val="0"/>
      <w:marBottom w:val="0"/>
      <w:divBdr>
        <w:top w:val="none" w:sz="0" w:space="0" w:color="auto"/>
        <w:left w:val="none" w:sz="0" w:space="0" w:color="auto"/>
        <w:bottom w:val="none" w:sz="0" w:space="0" w:color="auto"/>
        <w:right w:val="none" w:sz="0" w:space="0" w:color="auto"/>
      </w:divBdr>
    </w:div>
    <w:div w:id="2020498743">
      <w:marLeft w:val="0"/>
      <w:marRight w:val="0"/>
      <w:marTop w:val="0"/>
      <w:marBottom w:val="0"/>
      <w:divBdr>
        <w:top w:val="none" w:sz="0" w:space="0" w:color="auto"/>
        <w:left w:val="none" w:sz="0" w:space="0" w:color="auto"/>
        <w:bottom w:val="none" w:sz="0" w:space="0" w:color="auto"/>
        <w:right w:val="none" w:sz="0" w:space="0" w:color="auto"/>
      </w:divBdr>
    </w:div>
    <w:div w:id="2036297979">
      <w:marLeft w:val="0"/>
      <w:marRight w:val="0"/>
      <w:marTop w:val="0"/>
      <w:marBottom w:val="0"/>
      <w:divBdr>
        <w:top w:val="none" w:sz="0" w:space="0" w:color="auto"/>
        <w:left w:val="none" w:sz="0" w:space="0" w:color="auto"/>
        <w:bottom w:val="none" w:sz="0" w:space="0" w:color="auto"/>
        <w:right w:val="none" w:sz="0" w:space="0" w:color="auto"/>
      </w:divBdr>
    </w:div>
    <w:div w:id="2045518577">
      <w:marLeft w:val="0"/>
      <w:marRight w:val="0"/>
      <w:marTop w:val="0"/>
      <w:marBottom w:val="180"/>
      <w:divBdr>
        <w:top w:val="none" w:sz="0" w:space="0" w:color="auto"/>
        <w:left w:val="none" w:sz="0" w:space="0" w:color="auto"/>
        <w:bottom w:val="none" w:sz="0" w:space="0" w:color="auto"/>
        <w:right w:val="none" w:sz="0" w:space="0" w:color="auto"/>
      </w:divBdr>
    </w:div>
    <w:div w:id="2076706297">
      <w:marLeft w:val="0"/>
      <w:marRight w:val="0"/>
      <w:marTop w:val="0"/>
      <w:marBottom w:val="0"/>
      <w:divBdr>
        <w:top w:val="none" w:sz="0" w:space="0" w:color="auto"/>
        <w:left w:val="none" w:sz="0" w:space="0" w:color="auto"/>
        <w:bottom w:val="none" w:sz="0" w:space="0" w:color="auto"/>
        <w:right w:val="none" w:sz="0" w:space="0" w:color="auto"/>
      </w:divBdr>
    </w:div>
    <w:div w:id="2077891230">
      <w:marLeft w:val="0"/>
      <w:marRight w:val="0"/>
      <w:marTop w:val="0"/>
      <w:marBottom w:val="0"/>
      <w:divBdr>
        <w:top w:val="none" w:sz="0" w:space="0" w:color="auto"/>
        <w:left w:val="none" w:sz="0" w:space="0" w:color="auto"/>
        <w:bottom w:val="none" w:sz="0" w:space="0" w:color="auto"/>
        <w:right w:val="none" w:sz="0" w:space="0" w:color="auto"/>
      </w:divBdr>
    </w:div>
    <w:div w:id="2100638525">
      <w:marLeft w:val="0"/>
      <w:marRight w:val="0"/>
      <w:marTop w:val="0"/>
      <w:marBottom w:val="0"/>
      <w:divBdr>
        <w:top w:val="none" w:sz="0" w:space="0" w:color="auto"/>
        <w:left w:val="none" w:sz="0" w:space="0" w:color="auto"/>
        <w:bottom w:val="none" w:sz="0" w:space="0" w:color="auto"/>
        <w:right w:val="none" w:sz="0" w:space="0" w:color="auto"/>
      </w:divBdr>
    </w:div>
    <w:div w:id="2106609483">
      <w:marLeft w:val="0"/>
      <w:marRight w:val="0"/>
      <w:marTop w:val="0"/>
      <w:marBottom w:val="0"/>
      <w:divBdr>
        <w:top w:val="none" w:sz="0" w:space="0" w:color="auto"/>
        <w:left w:val="none" w:sz="0" w:space="0" w:color="auto"/>
        <w:bottom w:val="none" w:sz="0" w:space="0" w:color="auto"/>
        <w:right w:val="none" w:sz="0" w:space="0" w:color="auto"/>
      </w:divBdr>
    </w:div>
    <w:div w:id="2112891356">
      <w:marLeft w:val="0"/>
      <w:marRight w:val="0"/>
      <w:marTop w:val="0"/>
      <w:marBottom w:val="0"/>
      <w:divBdr>
        <w:top w:val="none" w:sz="0" w:space="0" w:color="auto"/>
        <w:left w:val="none" w:sz="0" w:space="0" w:color="auto"/>
        <w:bottom w:val="none" w:sz="0" w:space="0" w:color="auto"/>
        <w:right w:val="none" w:sz="0" w:space="0" w:color="auto"/>
      </w:divBdr>
    </w:div>
    <w:div w:id="2123525741">
      <w:marLeft w:val="0"/>
      <w:marRight w:val="0"/>
      <w:marTop w:val="180"/>
      <w:marBottom w:val="0"/>
      <w:divBdr>
        <w:top w:val="none" w:sz="0" w:space="0" w:color="auto"/>
        <w:left w:val="none" w:sz="0" w:space="0" w:color="auto"/>
        <w:bottom w:val="none" w:sz="0" w:space="0" w:color="auto"/>
        <w:right w:val="none" w:sz="0" w:space="0" w:color="auto"/>
      </w:divBdr>
    </w:div>
    <w:div w:id="2124811410">
      <w:marLeft w:val="0"/>
      <w:marRight w:val="0"/>
      <w:marTop w:val="0"/>
      <w:marBottom w:val="0"/>
      <w:divBdr>
        <w:top w:val="none" w:sz="0" w:space="0" w:color="auto"/>
        <w:left w:val="none" w:sz="0" w:space="0" w:color="auto"/>
        <w:bottom w:val="none" w:sz="0" w:space="0" w:color="auto"/>
        <w:right w:val="none" w:sz="0" w:space="0" w:color="auto"/>
      </w:divBdr>
      <w:divsChild>
        <w:div w:id="355039017">
          <w:marLeft w:val="0"/>
          <w:marRight w:val="0"/>
          <w:marTop w:val="0"/>
          <w:marBottom w:val="0"/>
          <w:divBdr>
            <w:top w:val="none" w:sz="0" w:space="0" w:color="auto"/>
            <w:left w:val="none" w:sz="0" w:space="0" w:color="auto"/>
            <w:bottom w:val="none" w:sz="0" w:space="0" w:color="auto"/>
            <w:right w:val="none" w:sz="0" w:space="0" w:color="auto"/>
          </w:divBdr>
        </w:div>
      </w:divsChild>
    </w:div>
    <w:div w:id="2125230731">
      <w:marLeft w:val="0"/>
      <w:marRight w:val="0"/>
      <w:marTop w:val="0"/>
      <w:marBottom w:val="0"/>
      <w:divBdr>
        <w:top w:val="none" w:sz="0" w:space="0" w:color="auto"/>
        <w:left w:val="none" w:sz="0" w:space="0" w:color="auto"/>
        <w:bottom w:val="none" w:sz="0" w:space="0" w:color="auto"/>
        <w:right w:val="none" w:sz="0" w:space="0" w:color="auto"/>
      </w:divBdr>
    </w:div>
    <w:div w:id="2133550230">
      <w:marLeft w:val="0"/>
      <w:marRight w:val="0"/>
      <w:marTop w:val="0"/>
      <w:marBottom w:val="0"/>
      <w:divBdr>
        <w:top w:val="none" w:sz="0" w:space="0" w:color="auto"/>
        <w:left w:val="none" w:sz="0" w:space="0" w:color="auto"/>
        <w:bottom w:val="none" w:sz="0" w:space="0" w:color="auto"/>
        <w:right w:val="none" w:sz="0" w:space="0" w:color="auto"/>
      </w:divBdr>
      <w:divsChild>
        <w:div w:id="17693519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12q32022.htm" TargetMode="External"/><Relationship Id="rId3" Type="http://schemas.openxmlformats.org/officeDocument/2006/relationships/webSettings" Target="webSettings.xml"/><Relationship Id="rId7" Type="http://schemas.openxmlformats.org/officeDocument/2006/relationships/hyperlink" Target="exhibit311q32022.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3-kimemploymentag.htm" TargetMode="External"/><Relationship Id="rId11" Type="http://schemas.openxmlformats.org/officeDocument/2006/relationships/fontTable" Target="fontTable.xml"/><Relationship Id="rId5" Type="http://schemas.openxmlformats.org/officeDocument/2006/relationships/hyperlink" Target="exhibit102-mchughemploymen.htm" TargetMode="External"/><Relationship Id="rId10" Type="http://schemas.openxmlformats.org/officeDocument/2006/relationships/hyperlink" Target="exhibit322q32022.htm" TargetMode="External"/><Relationship Id="rId4" Type="http://schemas.openxmlformats.org/officeDocument/2006/relationships/hyperlink" Target="exhibit101-divisemployment.htm" TargetMode="External"/><Relationship Id="rId9" Type="http://schemas.openxmlformats.org/officeDocument/2006/relationships/hyperlink" Target="exhibit321q320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25459</Words>
  <Characters>145122</Characters>
  <Application>Microsoft Office Word</Application>
  <DocSecurity>0</DocSecurity>
  <Lines>1209</Lines>
  <Paragraphs>340</Paragraphs>
  <ScaleCrop>false</ScaleCrop>
  <Company/>
  <LinksUpToDate>false</LinksUpToDate>
  <CharactersWithSpaces>170241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avdl-20220930</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