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sz w:val="20"/>
          <w:szCs w:val="20"/>
        </w:rPr>
      </w:pPr>
    </w:p>
    <w:tbl>
      <w:tblPr>
        <w:tblStyle w:val="5"/>
        <w:tblW w:w="490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147"/>
      </w:tblGrid>
      <w:tr>
        <w:trPr>
          <w:jc w:val="center"/>
        </w:trPr>
        <w:tc>
          <w:tcPr>
            <w:tcW w:w="0" w:type="auto"/>
            <w:shd w:val="clear" w:color="auto" w:fill="auto"/>
            <w:vAlign w:val="center"/>
          </w:tcPr>
          <w:p>
            <w:pPr>
              <w:jc w:val="left"/>
              <w:rPr>
                <w:rFonts w:hint="default" w:ascii="Times New Roman" w:hAnsi="Times New Roman" w:cs="Times New Roman"/>
                <w:sz w:val="20"/>
                <w:szCs w:val="20"/>
              </w:rPr>
            </w:pPr>
          </w:p>
        </w:tc>
      </w:tr>
      <w:tr>
        <w:trPr>
          <w:jc w:val="center"/>
        </w:trPr>
        <w:tc>
          <w:tcPr>
            <w:tcW w:w="500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bl>
    <w:p>
      <w:pPr>
        <w:keepNext w:val="0"/>
        <w:keepLines w:val="0"/>
        <w:widowControl/>
        <w:suppressLineNumbers w:val="0"/>
        <w:spacing w:line="288" w:lineRule="auto"/>
        <w:jc w:val="center"/>
        <w:rPr>
          <w:rFonts w:hint="default" w:ascii="Times New Roman" w:hAnsi="Times New Roman" w:cs="Times New Roman"/>
          <w:sz w:val="32"/>
          <w:szCs w:val="32"/>
        </w:rPr>
      </w:pPr>
      <w:r>
        <w:rPr>
          <w:rFonts w:hint="default" w:ascii="Times New Roman" w:hAnsi="Times New Roman" w:eastAsia="宋体" w:cs="Times New Roman"/>
          <w:b/>
          <w:bCs/>
          <w:sz w:val="32"/>
          <w:szCs w:val="32"/>
        </w:rPr>
        <w:t>UNITED STATES</w:t>
      </w:r>
    </w:p>
    <w:p>
      <w:pPr>
        <w:keepNext w:val="0"/>
        <w:keepLines w:val="0"/>
        <w:widowControl/>
        <w:suppressLineNumbers w:val="0"/>
        <w:spacing w:line="288" w:lineRule="auto"/>
        <w:jc w:val="center"/>
        <w:rPr>
          <w:rFonts w:hint="default" w:ascii="Times New Roman" w:hAnsi="Times New Roman" w:cs="Times New Roman"/>
          <w:sz w:val="32"/>
          <w:szCs w:val="32"/>
        </w:rPr>
      </w:pPr>
      <w:r>
        <w:rPr>
          <w:rFonts w:hint="default" w:ascii="Times New Roman" w:hAnsi="Times New Roman" w:eastAsia="宋体" w:cs="Times New Roman"/>
          <w:b/>
          <w:bCs/>
          <w:sz w:val="32"/>
          <w:szCs w:val="32"/>
        </w:rPr>
        <w:t>SECURITIES AND EXCHANGE COMMISSION</w:t>
      </w:r>
    </w:p>
    <w:p>
      <w:pPr>
        <w:keepNext w:val="0"/>
        <w:keepLines w:val="0"/>
        <w:widowControl/>
        <w:suppressLineNumbers w:val="0"/>
        <w:spacing w:line="288" w:lineRule="auto"/>
        <w:jc w:val="center"/>
        <w:rPr>
          <w:rFonts w:hint="default" w:ascii="Times New Roman" w:hAnsi="Times New Roman" w:cs="Times New Roman"/>
          <w:sz w:val="22"/>
          <w:szCs w:val="22"/>
        </w:rPr>
      </w:pPr>
      <w:r>
        <w:rPr>
          <w:rFonts w:hint="default" w:ascii="Times New Roman" w:hAnsi="Times New Roman" w:eastAsia="宋体" w:cs="Times New Roman"/>
          <w:b/>
          <w:bCs/>
          <w:sz w:val="22"/>
          <w:szCs w:val="22"/>
        </w:rPr>
        <w:t>Washington, D.C. 20549</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4"/>
          <w:szCs w:val="14"/>
        </w:rPr>
        <w:t>____________________________________</w:t>
      </w:r>
    </w:p>
    <w:p>
      <w:pPr>
        <w:keepNext w:val="0"/>
        <w:keepLines w:val="0"/>
        <w:widowControl/>
        <w:suppressLineNumbers w:val="0"/>
        <w:spacing w:line="288" w:lineRule="auto"/>
        <w:jc w:val="center"/>
        <w:rPr>
          <w:rFonts w:hint="default" w:ascii="Times New Roman" w:hAnsi="Times New Roman" w:cs="Times New Roman"/>
          <w:sz w:val="32"/>
          <w:szCs w:val="32"/>
        </w:rPr>
      </w:pPr>
      <w:r>
        <w:rPr>
          <w:rFonts w:hint="default" w:ascii="Times New Roman" w:hAnsi="Times New Roman" w:eastAsia="宋体" w:cs="Times New Roman"/>
          <w:b/>
          <w:bCs/>
          <w:sz w:val="32"/>
          <w:szCs w:val="32"/>
        </w:rPr>
        <w:t xml:space="preserve">FORM 10-K </w:t>
      </w:r>
    </w:p>
    <w:p>
      <w:pPr>
        <w:keepNext w:val="0"/>
        <w:keepLines w:val="0"/>
        <w:widowControl/>
        <w:suppressLineNumbers w:val="0"/>
        <w:spacing w:line="288" w:lineRule="auto"/>
        <w:jc w:val="center"/>
        <w:rPr>
          <w:rFonts w:hint="default" w:ascii="Times New Roman" w:hAnsi="Times New Roman" w:cs="Times New Roman"/>
          <w:sz w:val="14"/>
          <w:szCs w:val="14"/>
        </w:rPr>
      </w:pPr>
      <w:r>
        <w:rPr>
          <w:rFonts w:hint="default" w:ascii="Times New Roman" w:hAnsi="Times New Roman" w:eastAsia="宋体" w:cs="Times New Roman"/>
          <w:sz w:val="14"/>
          <w:szCs w:val="14"/>
        </w:rPr>
        <w:t>____________________________________ </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b/>
          <w:bCs/>
          <w:sz w:val="18"/>
          <w:szCs w:val="18"/>
        </w:rPr>
        <w:t>(Mark One)</w:t>
      </w:r>
    </w:p>
    <w:tbl>
      <w:tblPr>
        <w:tblStyle w:val="5"/>
        <w:tblW w:w="490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9"/>
        <w:gridCol w:w="7658"/>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300" w:type="pct"/>
            <w:shd w:val="clear" w:color="auto" w:fill="auto"/>
            <w:vAlign w:val="center"/>
          </w:tcPr>
          <w:p>
            <w:pPr>
              <w:jc w:val="left"/>
              <w:rPr>
                <w:rFonts w:hint="default" w:ascii="Times New Roman" w:hAnsi="Times New Roman" w:cs="Times New Roman"/>
                <w:sz w:val="20"/>
                <w:szCs w:val="20"/>
              </w:rPr>
            </w:pPr>
          </w:p>
        </w:tc>
        <w:tc>
          <w:tcPr>
            <w:tcW w:w="470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ascii="Arial Unicode MS" w:hAnsi="Arial Unicode MS" w:eastAsia="Arial Unicode MS" w:cs="Arial Unicode MS"/>
                <w:sz w:val="18"/>
                <w:szCs w:val="18"/>
              </w:rPr>
              <w:t>☒</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b/>
                <w:bCs/>
                <w:sz w:val="18"/>
                <w:szCs w:val="18"/>
              </w:rPr>
              <w:t>ANNUAL REPORT PURSUANT TO SECTION 13 OR 15(d) OF THE SECURITIES EXCHANGE ACT OF 1934</w:t>
            </w:r>
          </w:p>
        </w:tc>
      </w:tr>
    </w:tbl>
    <w:p>
      <w:pPr>
        <w:keepNext w:val="0"/>
        <w:keepLines w:val="0"/>
        <w:widowControl/>
        <w:suppressLineNumbers w:val="0"/>
        <w:spacing w:line="288" w:lineRule="auto"/>
        <w:jc w:val="left"/>
        <w:rPr>
          <w:rFonts w:hint="default" w:ascii="Times New Roman" w:hAnsi="Times New Roman" w:cs="Times New Roman"/>
          <w:sz w:val="16"/>
          <w:szCs w:val="16"/>
        </w:rPr>
      </w:pPr>
      <w:r>
        <w:rPr>
          <w:rFonts w:hint="default" w:ascii="Times New Roman" w:hAnsi="Times New Roman" w:eastAsia="宋体" w:cs="Times New Roman"/>
          <w:b/>
          <w:bCs/>
          <w:sz w:val="16"/>
          <w:szCs w:val="16"/>
        </w:rPr>
        <w:t xml:space="preserve">For the fiscal year ended December 31, 2019 </w:t>
      </w:r>
    </w:p>
    <w:p>
      <w:pPr>
        <w:keepNext w:val="0"/>
        <w:keepLines w:val="0"/>
        <w:widowControl/>
        <w:suppressLineNumbers w:val="0"/>
        <w:spacing w:line="288" w:lineRule="auto"/>
        <w:jc w:val="center"/>
        <w:rPr>
          <w:rFonts w:hint="default" w:ascii="Times New Roman" w:hAnsi="Times New Roman" w:cs="Times New Roman"/>
          <w:sz w:val="18"/>
          <w:szCs w:val="18"/>
        </w:rPr>
      </w:pPr>
      <w:r>
        <w:rPr>
          <w:rFonts w:hint="default" w:ascii="Times New Roman" w:hAnsi="Times New Roman" w:eastAsia="宋体" w:cs="Times New Roman"/>
          <w:b/>
          <w:bCs/>
          <w:sz w:val="18"/>
          <w:szCs w:val="18"/>
        </w:rPr>
        <w:t>or</w:t>
      </w:r>
    </w:p>
    <w:tbl>
      <w:tblPr>
        <w:tblStyle w:val="5"/>
        <w:tblW w:w="490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9"/>
        <w:gridCol w:w="7658"/>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300" w:type="pct"/>
            <w:shd w:val="clear" w:color="auto" w:fill="auto"/>
            <w:vAlign w:val="center"/>
          </w:tcPr>
          <w:p>
            <w:pPr>
              <w:jc w:val="left"/>
              <w:rPr>
                <w:rFonts w:hint="default" w:ascii="Times New Roman" w:hAnsi="Times New Roman" w:cs="Times New Roman"/>
                <w:sz w:val="20"/>
                <w:szCs w:val="20"/>
              </w:rPr>
            </w:pPr>
          </w:p>
        </w:tc>
        <w:tc>
          <w:tcPr>
            <w:tcW w:w="470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eastAsia" w:ascii="Arial Unicode MS" w:hAnsi="Arial Unicode MS" w:eastAsia="Arial Unicode MS" w:cs="Arial Unicode MS"/>
                <w:sz w:val="18"/>
                <w:szCs w:val="18"/>
              </w:rPr>
              <w:t>☐</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b/>
                <w:bCs/>
                <w:sz w:val="18"/>
                <w:szCs w:val="18"/>
              </w:rPr>
              <w:t>TRANSITION REPORT PURSUANT TO SECTION 13 OR 15(d) OF THE SECURITIES EXCHANGE ACT OF 1934</w:t>
            </w:r>
          </w:p>
        </w:tc>
      </w:tr>
    </w:tbl>
    <w:p>
      <w:pPr>
        <w:keepNext w:val="0"/>
        <w:keepLines w:val="0"/>
        <w:widowControl/>
        <w:suppressLineNumbers w:val="0"/>
        <w:spacing w:line="288" w:lineRule="auto"/>
        <w:jc w:val="left"/>
        <w:rPr>
          <w:rFonts w:hint="default" w:ascii="Times New Roman" w:hAnsi="Times New Roman" w:cs="Times New Roman"/>
          <w:sz w:val="16"/>
          <w:szCs w:val="16"/>
        </w:rPr>
      </w:pPr>
      <w:r>
        <w:rPr>
          <w:rFonts w:hint="default" w:ascii="Times New Roman" w:hAnsi="Times New Roman" w:eastAsia="宋体" w:cs="Times New Roman"/>
          <w:b/>
          <w:bCs/>
          <w:sz w:val="16"/>
          <w:szCs w:val="16"/>
        </w:rPr>
        <w:t>For the transition period from            to             .</w:t>
      </w:r>
    </w:p>
    <w:p>
      <w:pPr>
        <w:keepNext w:val="0"/>
        <w:keepLines w:val="0"/>
        <w:widowControl/>
        <w:suppressLineNumbers w:val="0"/>
        <w:spacing w:line="288" w:lineRule="auto"/>
        <w:jc w:val="center"/>
        <w:rPr>
          <w:rFonts w:hint="default" w:ascii="Times New Roman" w:hAnsi="Times New Roman" w:cs="Times New Roman"/>
          <w:sz w:val="18"/>
          <w:szCs w:val="18"/>
        </w:rPr>
      </w:pPr>
      <w:r>
        <w:rPr>
          <w:rFonts w:hint="default" w:ascii="Times New Roman" w:hAnsi="Times New Roman" w:eastAsia="宋体" w:cs="Times New Roman"/>
          <w:b/>
          <w:bCs/>
          <w:sz w:val="18"/>
          <w:szCs w:val="18"/>
        </w:rPr>
        <w:t xml:space="preserve">Commission File No. 000-22513 </w:t>
      </w:r>
    </w:p>
    <w:p>
      <w:pPr>
        <w:keepNext w:val="0"/>
        <w:keepLines w:val="0"/>
        <w:widowControl/>
        <w:suppressLineNumbers w:val="0"/>
        <w:spacing w:line="288" w:lineRule="auto"/>
        <w:jc w:val="center"/>
        <w:rPr>
          <w:rFonts w:hint="default" w:ascii="Times New Roman" w:hAnsi="Times New Roman" w:cs="Times New Roman"/>
          <w:sz w:val="14"/>
          <w:szCs w:val="14"/>
        </w:rPr>
      </w:pPr>
      <w:r>
        <w:rPr>
          <w:rFonts w:hint="default" w:ascii="Times New Roman" w:hAnsi="Times New Roman" w:eastAsia="宋体" w:cs="Times New Roman"/>
          <w:sz w:val="14"/>
          <w:szCs w:val="14"/>
        </w:rPr>
        <w:t>____________________________________</w:t>
      </w:r>
    </w:p>
    <w:p>
      <w:pPr>
        <w:keepNext w:val="0"/>
        <w:keepLines w:val="0"/>
        <w:widowControl/>
        <w:suppressLineNumbers w:val="0"/>
        <w:spacing w:line="288" w:lineRule="auto"/>
        <w:jc w:val="center"/>
        <w:rPr>
          <w:rFonts w:hint="default" w:ascii="Times New Roman" w:hAnsi="Times New Roman" w:cs="Times New Roman"/>
          <w:sz w:val="44"/>
          <w:szCs w:val="44"/>
        </w:rPr>
      </w:pPr>
      <w:bookmarkStart w:id="0" w:name="_GoBack"/>
      <w:bookmarkEnd w:id="0"/>
      <w:r>
        <w:rPr>
          <w:rFonts w:hint="default" w:ascii="Times New Roman" w:hAnsi="Times New Roman" w:eastAsia="宋体" w:cs="Times New Roman"/>
          <w:b/>
          <w:bCs/>
          <w:sz w:val="44"/>
          <w:szCs w:val="44"/>
        </w:rPr>
        <w:t xml:space="preserve">AMAZON.COM, INC. </w:t>
      </w:r>
    </w:p>
    <w:p>
      <w:pPr>
        <w:keepNext w:val="0"/>
        <w:keepLines w:val="0"/>
        <w:widowControl/>
        <w:suppressLineNumbers w:val="0"/>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(Exact name of registrant as specified in its charter)</w:t>
      </w:r>
    </w:p>
    <w:tbl>
      <w:tblPr>
        <w:tblStyle w:val="5"/>
        <w:tblW w:w="490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911"/>
        <w:gridCol w:w="244"/>
        <w:gridCol w:w="3992"/>
      </w:tblGrid>
      <w:tr>
        <w:tc>
          <w:tcPr>
            <w:tcW w:w="0" w:type="auto"/>
            <w:gridSpan w:val="3"/>
            <w:shd w:val="clear" w:color="auto" w:fill="auto"/>
            <w:vAlign w:val="center"/>
          </w:tcPr>
          <w:p>
            <w:pPr>
              <w:jc w:val="left"/>
              <w:rPr>
                <w:rFonts w:hint="default" w:ascii="Times New Roman" w:hAnsi="Times New Roman" w:cs="Times New Roman"/>
                <w:sz w:val="20"/>
                <w:szCs w:val="20"/>
              </w:rPr>
            </w:pPr>
          </w:p>
        </w:tc>
      </w:tr>
      <w:tr>
        <w:tc>
          <w:tcPr>
            <w:tcW w:w="2400" w:type="pct"/>
            <w:shd w:val="clear" w:color="auto" w:fill="auto"/>
            <w:vAlign w:val="center"/>
          </w:tcPr>
          <w:p>
            <w:pPr>
              <w:jc w:val="left"/>
              <w:rPr>
                <w:rFonts w:hint="default" w:ascii="Times New Roman" w:hAnsi="Times New Roman" w:cs="Times New Roman"/>
                <w:sz w:val="20"/>
                <w:szCs w:val="20"/>
              </w:rPr>
            </w:pPr>
          </w:p>
        </w:tc>
        <w:tc>
          <w:tcPr>
            <w:tcW w:w="150" w:type="pct"/>
            <w:shd w:val="clear" w:color="auto" w:fill="auto"/>
            <w:vAlign w:val="center"/>
          </w:tcPr>
          <w:p>
            <w:pPr>
              <w:jc w:val="left"/>
              <w:rPr>
                <w:rFonts w:hint="default" w:ascii="Times New Roman" w:hAnsi="Times New Roman" w:cs="Times New Roman"/>
                <w:sz w:val="20"/>
                <w:szCs w:val="20"/>
              </w:rPr>
            </w:pPr>
          </w:p>
        </w:tc>
        <w:tc>
          <w:tcPr>
            <w:tcW w:w="2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b/>
                <w:bCs/>
                <w:sz w:val="16"/>
                <w:szCs w:val="16"/>
              </w:rPr>
              <w:t>Delaware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b/>
                <w:bCs/>
                <w:sz w:val="16"/>
                <w:szCs w:val="16"/>
              </w:rPr>
              <w:t>91-1646860</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(State or other jurisdiction of</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incorporation or organization)</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(I.R.S. Employer</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Identification No.)</w:t>
            </w:r>
          </w:p>
        </w:tc>
      </w:tr>
    </w:tbl>
    <w:p>
      <w:pPr>
        <w:keepNext w:val="0"/>
        <w:keepLines w:val="0"/>
        <w:widowControl/>
        <w:suppressLineNumbers w:val="0"/>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 xml:space="preserve">410 Terry Avenue North </w:t>
      </w:r>
    </w:p>
    <w:p>
      <w:pPr>
        <w:keepNext w:val="0"/>
        <w:keepLines w:val="0"/>
        <w:widowControl/>
        <w:suppressLineNumbers w:val="0"/>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Seattle, Washington 98109-5210</w:t>
      </w:r>
    </w:p>
    <w:p>
      <w:pPr>
        <w:keepNext w:val="0"/>
        <w:keepLines w:val="0"/>
        <w:widowControl/>
        <w:suppressLineNumbers w:val="0"/>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 xml:space="preserve">(206) 266-1000 </w:t>
      </w:r>
    </w:p>
    <w:p>
      <w:pPr>
        <w:keepNext w:val="0"/>
        <w:keepLines w:val="0"/>
        <w:widowControl/>
        <w:suppressLineNumbers w:val="0"/>
        <w:spacing w:line="288" w:lineRule="auto"/>
        <w:jc w:val="center"/>
        <w:rPr>
          <w:rFonts w:hint="default" w:ascii="Times New Roman" w:hAnsi="Times New Roman" w:cs="Times New Roman"/>
          <w:sz w:val="15"/>
          <w:szCs w:val="15"/>
        </w:rPr>
      </w:pPr>
      <w:r>
        <w:rPr>
          <w:rFonts w:hint="default" w:ascii="Times New Roman" w:hAnsi="Times New Roman" w:eastAsia="宋体" w:cs="Times New Roman"/>
          <w:b/>
          <w:bCs/>
          <w:sz w:val="15"/>
          <w:szCs w:val="15"/>
        </w:rPr>
        <w:t>(Address and telephone number, including area code, of registrant’s principal executive offices)</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Securities registered pursuant to Section 12(b) of the Act:</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824"/>
        <w:gridCol w:w="2741"/>
        <w:gridCol w:w="2741"/>
      </w:tblGrid>
      <w:tr>
        <w:trPr>
          <w:jc w:val="center"/>
        </w:trPr>
        <w:tc>
          <w:tcPr>
            <w:tcW w:w="0" w:type="auto"/>
            <w:gridSpan w:val="3"/>
            <w:shd w:val="clear" w:color="auto" w:fill="auto"/>
            <w:vAlign w:val="center"/>
          </w:tcPr>
          <w:p>
            <w:pPr>
              <w:jc w:val="left"/>
              <w:rPr>
                <w:rFonts w:hint="default" w:ascii="Times New Roman" w:hAnsi="Times New Roman" w:cs="Times New Roman"/>
                <w:sz w:val="20"/>
                <w:szCs w:val="20"/>
              </w:rPr>
            </w:pPr>
          </w:p>
        </w:tc>
      </w:tr>
      <w:tr>
        <w:trPr>
          <w:jc w:val="center"/>
        </w:trPr>
        <w:tc>
          <w:tcPr>
            <w:tcW w:w="1700" w:type="pct"/>
            <w:shd w:val="clear" w:color="auto" w:fill="auto"/>
            <w:vAlign w:val="center"/>
          </w:tcPr>
          <w:p>
            <w:pPr>
              <w:jc w:val="left"/>
              <w:rPr>
                <w:rFonts w:hint="default" w:ascii="Times New Roman" w:hAnsi="Times New Roman" w:cs="Times New Roman"/>
                <w:sz w:val="20"/>
                <w:szCs w:val="20"/>
              </w:rPr>
            </w:pPr>
          </w:p>
        </w:tc>
        <w:tc>
          <w:tcPr>
            <w:tcW w:w="1650" w:type="pct"/>
            <w:shd w:val="clear" w:color="auto" w:fill="auto"/>
            <w:vAlign w:val="center"/>
          </w:tcPr>
          <w:p>
            <w:pPr>
              <w:jc w:val="left"/>
              <w:rPr>
                <w:rFonts w:hint="default" w:ascii="Times New Roman" w:hAnsi="Times New Roman" w:cs="Times New Roman"/>
                <w:sz w:val="20"/>
                <w:szCs w:val="20"/>
              </w:rPr>
            </w:pPr>
          </w:p>
        </w:tc>
        <w:tc>
          <w:tcPr>
            <w:tcW w:w="16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Title of Each Class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Trading Symbol(s)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3"/>
                <w:szCs w:val="13"/>
              </w:rPr>
            </w:pPr>
            <w:r>
              <w:rPr>
                <w:rFonts w:hint="default" w:ascii="Times New Roman" w:hAnsi="Times New Roman" w:eastAsia="宋体" w:cs="Times New Roman"/>
                <w:b/>
                <w:bCs/>
                <w:sz w:val="13"/>
                <w:szCs w:val="13"/>
              </w:rPr>
              <w:t>Name of Each Exchange on Which Registered</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Common Stock, par value $.01 per share</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AMZN</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Nasdaq Global Select Market</w:t>
            </w: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Securities registered pursuant to Section 12(g) of the Act:</w:t>
      </w:r>
    </w:p>
    <w:p>
      <w:pPr>
        <w:keepNext w:val="0"/>
        <w:keepLines w:val="0"/>
        <w:widowControl/>
        <w:suppressLineNumbers w:val="0"/>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None</w:t>
      </w:r>
    </w:p>
    <w:p>
      <w:pPr>
        <w:keepNext w:val="0"/>
        <w:keepLines w:val="0"/>
        <w:widowControl/>
        <w:suppressLineNumbers w:val="0"/>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sz w:val="16"/>
          <w:szCs w:val="16"/>
        </w:rPr>
        <w:t> </w:t>
      </w:r>
      <w:r>
        <w:rPr>
          <w:rFonts w:hint="default" w:ascii="Times New Roman" w:hAnsi="Times New Roman" w:eastAsia="宋体" w:cs="Times New Roman"/>
          <w:sz w:val="14"/>
          <w:szCs w:val="14"/>
        </w:rPr>
        <w:t>____________________________________</w:t>
      </w:r>
    </w:p>
    <w:p>
      <w:pPr>
        <w:keepNext w:val="0"/>
        <w:keepLines w:val="0"/>
        <w:widowControl/>
        <w:suppressLineNumbers w:val="0"/>
        <w:pBdr>
          <w:top w:val="none" w:color="auto" w:sz="0" w:space="0"/>
        </w:pBdr>
        <w:spacing w:line="288" w:lineRule="auto"/>
        <w:ind w:left="0" w:firstLine="480"/>
        <w:jc w:val="left"/>
        <w:rPr>
          <w:rFonts w:hint="default" w:ascii="Times New Roman" w:hAnsi="Times New Roman" w:cs="Times New Roman"/>
          <w:sz w:val="16"/>
          <w:szCs w:val="16"/>
        </w:rPr>
      </w:pPr>
      <w:r>
        <w:rPr>
          <w:rFonts w:hint="default" w:ascii="Times New Roman" w:hAnsi="Times New Roman" w:eastAsia="宋体" w:cs="Times New Roman"/>
          <w:sz w:val="16"/>
          <w:szCs w:val="16"/>
        </w:rPr>
        <w:t>Indicate by check mark if the registrant is a well-known seasoned issuer, as defined in Rule 405 of the Securities Act.    Yes  </w:t>
      </w:r>
      <w:r>
        <w:rPr>
          <w:rFonts w:hint="eastAsia" w:ascii="Arial Unicode MS" w:hAnsi="Arial Unicode MS" w:eastAsia="Arial Unicode MS" w:cs="Arial Unicode MS"/>
          <w:sz w:val="16"/>
          <w:szCs w:val="16"/>
        </w:rPr>
        <w:t>☒</w:t>
      </w:r>
      <w:r>
        <w:rPr>
          <w:rFonts w:hint="default" w:ascii="Times New Roman" w:hAnsi="Times New Roman" w:eastAsia="宋体" w:cs="Times New Roman"/>
          <w:sz w:val="16"/>
          <w:szCs w:val="16"/>
        </w:rPr>
        <w:t>    No  </w:t>
      </w:r>
      <w:r>
        <w:rPr>
          <w:rFonts w:hint="eastAsia" w:ascii="Arial Unicode MS" w:hAnsi="Arial Unicode MS" w:eastAsia="Arial Unicode MS" w:cs="Arial Unicode MS"/>
          <w:sz w:val="16"/>
          <w:szCs w:val="16"/>
        </w:rPr>
        <w:t>☐</w:t>
      </w:r>
    </w:p>
    <w:p>
      <w:pPr>
        <w:keepNext w:val="0"/>
        <w:keepLines w:val="0"/>
        <w:widowControl/>
        <w:suppressLineNumbers w:val="0"/>
        <w:pBdr>
          <w:top w:val="none" w:color="auto" w:sz="0" w:space="0"/>
        </w:pBdr>
        <w:spacing w:line="288" w:lineRule="auto"/>
        <w:ind w:left="0" w:firstLine="480"/>
        <w:jc w:val="left"/>
        <w:rPr>
          <w:rFonts w:hint="default" w:ascii="Times New Roman" w:hAnsi="Times New Roman" w:cs="Times New Roman"/>
          <w:sz w:val="16"/>
          <w:szCs w:val="16"/>
        </w:rPr>
      </w:pPr>
      <w:r>
        <w:rPr>
          <w:rFonts w:hint="default" w:ascii="Times New Roman" w:hAnsi="Times New Roman" w:eastAsia="宋体" w:cs="Times New Roman"/>
          <w:sz w:val="16"/>
          <w:szCs w:val="16"/>
        </w:rPr>
        <w:t>Indicate by check mark if the registrant is not required to file reports pursuant to Section 13 or Section 15(d) of the Exchange Act.    Yes  </w:t>
      </w:r>
      <w:r>
        <w:rPr>
          <w:rFonts w:hint="eastAsia" w:ascii="Arial Unicode MS" w:hAnsi="Arial Unicode MS" w:eastAsia="Arial Unicode MS" w:cs="Arial Unicode MS"/>
          <w:sz w:val="16"/>
          <w:szCs w:val="16"/>
        </w:rPr>
        <w:t>☐</w:t>
      </w:r>
      <w:r>
        <w:rPr>
          <w:rFonts w:hint="default" w:ascii="Times New Roman" w:hAnsi="Times New Roman" w:eastAsia="宋体" w:cs="Times New Roman"/>
          <w:sz w:val="16"/>
          <w:szCs w:val="16"/>
        </w:rPr>
        <w:t>    No  </w:t>
      </w:r>
      <w:r>
        <w:rPr>
          <w:rFonts w:hint="eastAsia" w:ascii="Arial Unicode MS" w:hAnsi="Arial Unicode MS" w:eastAsia="Arial Unicode MS" w:cs="Arial Unicode MS"/>
          <w:sz w:val="16"/>
          <w:szCs w:val="16"/>
        </w:rPr>
        <w:t>☒</w:t>
      </w:r>
    </w:p>
    <w:p>
      <w:pPr>
        <w:keepNext w:val="0"/>
        <w:keepLines w:val="0"/>
        <w:widowControl/>
        <w:suppressLineNumbers w:val="0"/>
        <w:pBdr>
          <w:top w:val="none" w:color="auto" w:sz="0" w:space="0"/>
        </w:pBdr>
        <w:spacing w:line="288" w:lineRule="auto"/>
        <w:ind w:left="0" w:firstLine="480"/>
        <w:jc w:val="left"/>
        <w:rPr>
          <w:rFonts w:hint="default" w:ascii="Times New Roman" w:hAnsi="Times New Roman" w:cs="Times New Roman"/>
          <w:sz w:val="16"/>
          <w:szCs w:val="16"/>
        </w:rPr>
      </w:pPr>
      <w:r>
        <w:rPr>
          <w:rFonts w:hint="default" w:ascii="Times New Roman" w:hAnsi="Times New Roman" w:eastAsia="宋体" w:cs="Times New Roman"/>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sz w:val="16"/>
          <w:szCs w:val="16"/>
        </w:rPr>
        <w:t>☒</w:t>
      </w:r>
      <w:r>
        <w:rPr>
          <w:rFonts w:hint="default" w:ascii="Times New Roman" w:hAnsi="Times New Roman" w:eastAsia="宋体" w:cs="Times New Roman"/>
          <w:sz w:val="16"/>
          <w:szCs w:val="16"/>
        </w:rPr>
        <w:t>    No  </w:t>
      </w:r>
      <w:r>
        <w:rPr>
          <w:rFonts w:hint="eastAsia" w:ascii="Arial Unicode MS" w:hAnsi="Arial Unicode MS" w:eastAsia="Arial Unicode MS" w:cs="Arial Unicode MS"/>
          <w:sz w:val="16"/>
          <w:szCs w:val="16"/>
        </w:rPr>
        <w:t>☐</w:t>
      </w:r>
    </w:p>
    <w:p>
      <w:pPr>
        <w:keepNext w:val="0"/>
        <w:keepLines w:val="0"/>
        <w:widowControl/>
        <w:suppressLineNumbers w:val="0"/>
        <w:pBdr>
          <w:top w:val="none" w:color="auto" w:sz="0" w:space="0"/>
        </w:pBdr>
        <w:spacing w:line="288" w:lineRule="auto"/>
        <w:ind w:left="0" w:firstLine="480"/>
        <w:jc w:val="left"/>
        <w:rPr>
          <w:rFonts w:hint="default" w:ascii="Times New Roman" w:hAnsi="Times New Roman" w:cs="Times New Roman"/>
          <w:sz w:val="16"/>
          <w:szCs w:val="16"/>
        </w:rPr>
      </w:pPr>
      <w:r>
        <w:rPr>
          <w:rFonts w:hint="default" w:ascii="Times New Roman" w:hAnsi="Times New Roman" w:eastAsia="宋体" w:cs="Times New Roman"/>
          <w:sz w:val="16"/>
          <w:szCs w:val="16"/>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sz w:val="16"/>
          <w:szCs w:val="16"/>
        </w:rPr>
        <w:t>☒</w:t>
      </w:r>
      <w:r>
        <w:rPr>
          <w:rFonts w:hint="default" w:ascii="Times New Roman" w:hAnsi="Times New Roman" w:eastAsia="宋体" w:cs="Times New Roman"/>
          <w:sz w:val="16"/>
          <w:szCs w:val="16"/>
        </w:rPr>
        <w:t>    No  </w:t>
      </w:r>
      <w:r>
        <w:rPr>
          <w:rFonts w:hint="eastAsia" w:ascii="Arial Unicode MS" w:hAnsi="Arial Unicode MS" w:eastAsia="Arial Unicode MS" w:cs="Arial Unicode MS"/>
          <w:sz w:val="16"/>
          <w:szCs w:val="16"/>
        </w:rPr>
        <w:t>☐</w:t>
      </w:r>
    </w:p>
    <w:p>
      <w:pPr>
        <w:keepNext w:val="0"/>
        <w:keepLines w:val="0"/>
        <w:widowControl/>
        <w:suppressLineNumbers w:val="0"/>
        <w:pBdr>
          <w:top w:val="none" w:color="auto" w:sz="0" w:space="0"/>
        </w:pBdr>
        <w:spacing w:line="288" w:lineRule="auto"/>
        <w:ind w:left="0" w:firstLine="480"/>
        <w:jc w:val="left"/>
        <w:rPr>
          <w:rFonts w:hint="default" w:ascii="Times New Roman" w:hAnsi="Times New Roman" w:cs="Times New Roman"/>
          <w:sz w:val="20"/>
          <w:szCs w:val="20"/>
        </w:rPr>
      </w:pPr>
      <w:r>
        <w:rPr>
          <w:rFonts w:hint="default" w:ascii="Times New Roman" w:hAnsi="Times New Roman" w:eastAsia="宋体" w:cs="Times New Roman"/>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61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84"/>
        <w:gridCol w:w="130"/>
        <w:gridCol w:w="3731"/>
        <w:gridCol w:w="1891"/>
        <w:gridCol w:w="130"/>
        <w:gridCol w:w="204"/>
      </w:tblGrid>
      <w:tr>
        <w:tc>
          <w:tcPr>
            <w:tcW w:w="0" w:type="auto"/>
            <w:gridSpan w:val="6"/>
            <w:shd w:val="clear" w:color="auto" w:fill="auto"/>
            <w:vAlign w:val="center"/>
          </w:tcPr>
          <w:p>
            <w:pPr>
              <w:jc w:val="left"/>
              <w:rPr>
                <w:rFonts w:hint="default" w:ascii="Times New Roman" w:hAnsi="Times New Roman" w:cs="Times New Roman"/>
                <w:sz w:val="20"/>
                <w:szCs w:val="20"/>
              </w:rPr>
            </w:pPr>
          </w:p>
        </w:tc>
      </w:tr>
      <w:tr>
        <w:tc>
          <w:tcPr>
            <w:tcW w:w="10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450" w:type="pct"/>
            <w:shd w:val="clear" w:color="auto" w:fill="auto"/>
            <w:vAlign w:val="center"/>
          </w:tcPr>
          <w:p>
            <w:pPr>
              <w:jc w:val="left"/>
              <w:rPr>
                <w:rFonts w:hint="default" w:ascii="Times New Roman" w:hAnsi="Times New Roman" w:cs="Times New Roman"/>
                <w:sz w:val="20"/>
                <w:szCs w:val="20"/>
              </w:rPr>
            </w:pPr>
          </w:p>
        </w:tc>
        <w:tc>
          <w:tcPr>
            <w:tcW w:w="1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1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Large accelerated filer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eastAsia" w:ascii="Arial Unicode MS" w:hAnsi="Arial Unicode MS" w:eastAsia="Arial Unicode MS" w:cs="Arial Unicode MS"/>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Accelerated filer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eastAsia" w:ascii="Arial Unicode MS" w:hAnsi="Arial Unicode MS" w:eastAsia="Arial Unicode MS" w:cs="Arial Unicode MS"/>
                <w:sz w:val="16"/>
                <w:szCs w:val="16"/>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Non-accelerated filer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eastAsia" w:ascii="Arial Unicode MS" w:hAnsi="Arial Unicode MS" w:eastAsia="Arial Unicode MS" w:cs="Arial Unicode MS"/>
                <w:sz w:val="16"/>
                <w:szCs w:val="16"/>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Smaller reporting company</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eastAsia" w:ascii="Arial Unicode MS" w:hAnsi="Arial Unicode MS" w:eastAsia="Arial Unicode MS" w:cs="Arial Unicode MS"/>
                <w:sz w:val="16"/>
                <w:szCs w:val="16"/>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Emerging growth company</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eastAsia" w:ascii="Arial Unicode MS" w:hAnsi="Arial Unicode MS" w:eastAsia="Arial Unicode MS" w:cs="Arial Unicode MS"/>
                <w:sz w:val="16"/>
                <w:szCs w:val="16"/>
              </w:rPr>
              <w:t>☐</w:t>
            </w:r>
          </w:p>
        </w:tc>
      </w:tr>
    </w:tbl>
    <w:p>
      <w:pPr>
        <w:keepNext w:val="0"/>
        <w:keepLines w:val="0"/>
        <w:widowControl/>
        <w:suppressLineNumbers w:val="0"/>
        <w:pBdr>
          <w:top w:val="none" w:color="auto" w:sz="0" w:space="0"/>
        </w:pBdr>
        <w:spacing w:line="288" w:lineRule="auto"/>
        <w:ind w:left="0" w:firstLine="480"/>
        <w:jc w:val="left"/>
        <w:rPr>
          <w:rFonts w:hint="default" w:ascii="Times New Roman" w:hAnsi="Times New Roman" w:cs="Times New Roman"/>
          <w:sz w:val="16"/>
          <w:szCs w:val="16"/>
        </w:rPr>
      </w:pPr>
      <w:r>
        <w:rPr>
          <w:rFonts w:hint="default" w:ascii="Times New Roman" w:hAnsi="Times New Roman" w:eastAsia="宋体" w:cs="Times New Roman"/>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sz w:val="16"/>
          <w:szCs w:val="16"/>
        </w:rPr>
        <w:t>☐</w:t>
      </w:r>
    </w:p>
    <w:p>
      <w:pPr>
        <w:keepNext w:val="0"/>
        <w:keepLines w:val="0"/>
        <w:widowControl/>
        <w:suppressLineNumbers w:val="0"/>
        <w:pBdr>
          <w:top w:val="none" w:color="auto" w:sz="0" w:space="0"/>
        </w:pBdr>
        <w:spacing w:line="288" w:lineRule="auto"/>
        <w:ind w:left="0" w:firstLine="480"/>
        <w:jc w:val="left"/>
        <w:rPr>
          <w:rFonts w:hint="default" w:ascii="Times New Roman" w:hAnsi="Times New Roman" w:cs="Times New Roman"/>
          <w:sz w:val="20"/>
          <w:szCs w:val="20"/>
        </w:rPr>
      </w:pPr>
      <w:r>
        <w:rPr>
          <w:rFonts w:hint="default" w:ascii="Times New Roman" w:hAnsi="Times New Roman" w:eastAsia="宋体" w:cs="Times New Roman"/>
          <w:sz w:val="16"/>
          <w:szCs w:val="16"/>
        </w:rPr>
        <w:t>Indicate by check mark whether the registrant is a shell company (as defined in Rule 12b-2 of the Exchange Act).    Yes  </w:t>
      </w:r>
      <w:r>
        <w:rPr>
          <w:rFonts w:hint="eastAsia" w:ascii="Arial Unicode MS" w:hAnsi="Arial Unicode MS" w:eastAsia="Arial Unicode MS" w:cs="Arial Unicode MS"/>
          <w:sz w:val="16"/>
          <w:szCs w:val="16"/>
        </w:rPr>
        <w:t>☐</w:t>
      </w:r>
      <w:r>
        <w:rPr>
          <w:rFonts w:hint="default" w:ascii="Times New Roman" w:hAnsi="Times New Roman" w:eastAsia="宋体" w:cs="Times New Roman"/>
          <w:sz w:val="16"/>
          <w:szCs w:val="16"/>
        </w:rPr>
        <w:t>    No  </w:t>
      </w:r>
      <w:r>
        <w:rPr>
          <w:rFonts w:hint="eastAsia" w:ascii="Arial Unicode MS" w:hAnsi="Arial Unicode MS" w:eastAsia="Arial Unicode MS" w:cs="Arial Unicode MS"/>
          <w:sz w:val="16"/>
          <w:szCs w:val="16"/>
        </w:rPr>
        <w:t>☒</w:t>
      </w:r>
    </w:p>
    <w:tbl>
      <w:tblPr>
        <w:tblStyle w:val="5"/>
        <w:tblW w:w="473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275"/>
        <w:gridCol w:w="120"/>
        <w:gridCol w:w="1401"/>
        <w:gridCol w:w="65"/>
      </w:tblGrid>
      <w:tr>
        <w:tc>
          <w:tcPr>
            <w:tcW w:w="0" w:type="auto"/>
            <w:gridSpan w:val="4"/>
            <w:shd w:val="clear" w:color="auto" w:fill="auto"/>
            <w:vAlign w:val="center"/>
          </w:tcPr>
          <w:p>
            <w:pPr>
              <w:jc w:val="left"/>
              <w:rPr>
                <w:rFonts w:hint="default" w:ascii="Times New Roman" w:hAnsi="Times New Roman" w:cs="Times New Roman"/>
                <w:sz w:val="20"/>
                <w:szCs w:val="20"/>
              </w:rPr>
            </w:pPr>
          </w:p>
        </w:tc>
      </w:tr>
      <w:tr>
        <w:tc>
          <w:tcPr>
            <w:tcW w:w="40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9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Aggregate market value of voting stock held by non-affiliates of the registrant as of June 30, 2019</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786,284,080,955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6"/>
                <w:szCs w:val="16"/>
              </w:rPr>
            </w:pPr>
            <w:r>
              <w:rPr>
                <w:rFonts w:hint="default" w:ascii="Times New Roman" w:hAnsi="Times New Roman" w:eastAsia="宋体" w:cs="Times New Roman"/>
                <w:sz w:val="16"/>
                <w:szCs w:val="16"/>
              </w:rPr>
              <w:t>Number of shares of common stock outstanding as of January 22, 2020</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497,810,444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center"/>
        <w:rPr>
          <w:rFonts w:hint="default" w:ascii="Times New Roman" w:hAnsi="Times New Roman" w:cs="Times New Roman"/>
          <w:sz w:val="14"/>
          <w:szCs w:val="14"/>
        </w:rPr>
      </w:pPr>
      <w:r>
        <w:rPr>
          <w:rFonts w:hint="default" w:ascii="Times New Roman" w:hAnsi="Times New Roman" w:eastAsia="宋体" w:cs="Times New Roman"/>
          <w:sz w:val="14"/>
          <w:szCs w:val="14"/>
        </w:rPr>
        <w:t>____________________________________ </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16"/>
          <w:szCs w:val="16"/>
        </w:rPr>
      </w:pPr>
      <w:r>
        <w:rPr>
          <w:rFonts w:hint="default" w:ascii="Times New Roman" w:hAnsi="Times New Roman" w:eastAsia="宋体" w:cs="Times New Roman"/>
          <w:b/>
          <w:bCs/>
          <w:sz w:val="16"/>
          <w:szCs w:val="16"/>
        </w:rPr>
        <w:t>DOCUMENTS INCORPORATED BY REFERENCE</w:t>
      </w:r>
    </w:p>
    <w:p>
      <w:pPr>
        <w:keepNext w:val="0"/>
        <w:keepLines w:val="0"/>
        <w:widowControl/>
        <w:suppressLineNumbers w:val="0"/>
        <w:pBdr>
          <w:top w:val="none" w:color="auto" w:sz="0" w:space="0"/>
        </w:pBdr>
        <w:spacing w:line="288" w:lineRule="auto"/>
        <w:ind w:left="0" w:firstLine="480"/>
        <w:jc w:val="left"/>
        <w:rPr>
          <w:rFonts w:hint="default" w:ascii="Times New Roman" w:hAnsi="Times New Roman" w:cs="Times New Roman"/>
          <w:sz w:val="16"/>
          <w:szCs w:val="16"/>
        </w:rPr>
      </w:pPr>
      <w:r>
        <w:rPr>
          <w:rFonts w:hint="default" w:ascii="Times New Roman" w:hAnsi="Times New Roman" w:eastAsia="宋体" w:cs="Times New Roman"/>
          <w:sz w:val="16"/>
          <w:szCs w:val="16"/>
        </w:rPr>
        <w:t>The information required by Part III of this Report, to the extent not set forth herein, is incorporated herein by reference from the registrant’s definitive proxy statement relating to the Annual Meeting of Shareholders to be held in 2020, which definitive proxy statement shall be filed with the Securities and Exchange Commission within 120 days after the end of the fiscal year to which this Report relates.</w:t>
      </w:r>
    </w:p>
    <w:tbl>
      <w:tblPr>
        <w:tblStyle w:val="5"/>
        <w:tblW w:w="490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147"/>
      </w:tblGrid>
      <w:tr>
        <w:tc>
          <w:tcPr>
            <w:tcW w:w="0" w:type="auto"/>
            <w:shd w:val="clear" w:color="auto" w:fill="auto"/>
            <w:vAlign w:val="center"/>
          </w:tcPr>
          <w:p>
            <w:pPr>
              <w:jc w:val="left"/>
              <w:rPr>
                <w:rFonts w:hint="default" w:ascii="Times New Roman" w:hAnsi="Times New Roman" w:cs="Times New Roman"/>
                <w:sz w:val="20"/>
                <w:szCs w:val="20"/>
              </w:rPr>
            </w:pPr>
          </w:p>
        </w:tc>
      </w:tr>
      <w:tr>
        <w:tc>
          <w:tcPr>
            <w:tcW w:w="5000" w:type="pct"/>
            <w:shd w:val="clear" w:color="auto" w:fill="auto"/>
            <w:vAlign w:val="center"/>
          </w:tcPr>
          <w:p>
            <w:pPr>
              <w:jc w:val="left"/>
              <w:rPr>
                <w:rFonts w:hint="default" w:ascii="Times New Roman" w:hAnsi="Times New Roman" w:cs="Times New Roman"/>
                <w:sz w:val="20"/>
                <w:szCs w:val="20"/>
              </w:rPr>
            </w:pPr>
          </w:p>
        </w:tc>
      </w:tr>
      <w:tr>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w:t>
      </w:r>
    </w:p>
    <w:p>
      <w:pPr>
        <w:keepNext w:val="0"/>
        <w:keepLines w:val="0"/>
        <w:widowControl/>
        <w:suppressLineNumbers w:val="0"/>
      </w:pPr>
      <w:r>
        <w:rPr>
          <w:rFonts w:hint="default" w:ascii="Times New Roman" w:hAnsi="Times New Roman" w:cs="Times New Roman"/>
          <w:sz w:val="20"/>
          <w:szCs w:val="20"/>
        </w:rP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FORM 10-K</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For the Fiscal Year Ended </w:t>
      </w:r>
      <w:r>
        <w:rPr>
          <w:rFonts w:hint="default" w:ascii="Times New Roman" w:hAnsi="Times New Roman" w:eastAsia="宋体" w:cs="Times New Roman"/>
          <w:b/>
          <w:bCs/>
          <w:color w:val="000000"/>
          <w:sz w:val="20"/>
          <w:szCs w:val="20"/>
          <w:u w:val="none"/>
        </w:rPr>
        <w:t>December 31, 2019</w:t>
      </w:r>
      <w:r>
        <w:rPr>
          <w:rFonts w:hint="default" w:ascii="Times New Roman" w:hAnsi="Times New Roman" w:eastAsia="宋体" w:cs="Times New Roman"/>
          <w:b/>
          <w:bCs/>
          <w:sz w:val="20"/>
          <w:szCs w:val="20"/>
        </w:rPr>
        <w:t xml:space="preserve"> </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INDEX</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494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20"/>
        <w:gridCol w:w="6813"/>
        <w:gridCol w:w="575"/>
      </w:tblGrid>
      <w:tr>
        <w:tc>
          <w:tcPr>
            <w:tcW w:w="0" w:type="auto"/>
            <w:gridSpan w:val="3"/>
            <w:shd w:val="clear" w:color="auto" w:fill="auto"/>
            <w:vAlign w:val="center"/>
          </w:tcPr>
          <w:p>
            <w:pPr>
              <w:jc w:val="left"/>
              <w:rPr>
                <w:rFonts w:hint="default" w:ascii="Times New Roman" w:hAnsi="Times New Roman" w:cs="Times New Roman"/>
                <w:sz w:val="20"/>
                <w:szCs w:val="20"/>
              </w:rPr>
            </w:pPr>
          </w:p>
        </w:tc>
      </w:tr>
      <w:tr>
        <w:tc>
          <w:tcPr>
            <w:tcW w:w="500" w:type="pct"/>
            <w:shd w:val="clear" w:color="auto" w:fill="auto"/>
            <w:vAlign w:val="center"/>
          </w:tcPr>
          <w:p>
            <w:pPr>
              <w:jc w:val="left"/>
              <w:rPr>
                <w:rFonts w:hint="default" w:ascii="Times New Roman" w:hAnsi="Times New Roman" w:cs="Times New Roman"/>
                <w:sz w:val="20"/>
                <w:szCs w:val="20"/>
              </w:rPr>
            </w:pPr>
          </w:p>
        </w:tc>
        <w:tc>
          <w:tcPr>
            <w:tcW w:w="41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16"/>
                <w:szCs w:val="16"/>
              </w:rPr>
            </w:pPr>
            <w:r>
              <w:rPr>
                <w:rFonts w:hint="default" w:ascii="Times New Roman" w:hAnsi="Times New Roman" w:eastAsia="宋体" w:cs="Times New Roman"/>
                <w:b/>
                <w:bCs/>
                <w:sz w:val="16"/>
                <w:szCs w:val="16"/>
              </w:rPr>
              <w:t>Page</w:t>
            </w:r>
          </w:p>
        </w:tc>
      </w:tr>
      <w:tr>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PART I</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"s8E8605F877AD5064B9C4E50BBEC6C4A4"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Business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"s8E8605F877AD5064B9C4E50BBEC6C4A4"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1A.</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"s60C12BBC21E6557EA14B61F6DEB60C62"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Risk Factors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"s60C12BBC21E6557EA14B61F6DEB60C62"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6</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1B.</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"sD1791BC4479D56CD8C34706BBB4AC485"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Unresolved Staff Comments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"sD1791BC4479D56CD8C34706BBB4AC485"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15</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2.</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"s8971D6043EB255FBBF9A777FB829C48D"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Properties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"s8971D6043EB255FBBF9A777FB829C48D"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16</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3.</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"sCEB3B3F4AE4E5591A30EED41C416DE3E"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Legal Proceedings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"sCEB3B3F4AE4E5591A30EED41C416DE3E"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16</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4.</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"sE4A2211660E254608CC37427A068B588"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Mine Safety Disclosures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"sE4A2211660E254608CC37427A068B588"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16</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gridSpan w:val="2"/>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PART II</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5.</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"s7C13519F46A15CB8A287E840828C941F"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Market for the Registrant’s Common Stock, Related Shareholder Matters, and Issuer Purchases of Equity Securities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"s7C13519F46A15CB8A287E840828C941F"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17</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6.</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"sF0EE388C9F075314AE710E5E7A54B527"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Selected Consolidated Financial Data</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"sF0EE388C9F075314AE710E5E7A54B527"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18</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7.</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"sD145CC31D1DD5700B5DE24A28C7AE148"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Management’s Discussion and Analysis of Financial Condition and Results of Operations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"sD145CC31D1DD5700B5DE24A28C7AE148"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19</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7A.</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"sA9DFDF5A74345B5ABD24B453B7A50388"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Quantitative and Qualitative Disclosures About Market Risk</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"sA9DFDF5A74345B5ABD24B453B7A50388"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32</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8.</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"sA7A65C37475B5CDB99955FED2F5D76EE"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Financial Statements and Supplementary Data</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"sA7A65C37475B5CDB99955FED2F5D76EE"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9.</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"s73ACE635D81350ACA58B0FE89CBB781C"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Changes in and Disagreements with Accountants on Accounting and Financial Disclosure</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"s73ACE635D81350ACA58B0FE89CBB781C"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71</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9A.</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"s02F94D3CAEF35AB680DE87262FDA1D22"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Controls and Procedures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"s02F94D3CAEF35AB680DE87262FDA1D22"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71</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9B.</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"s7C6CC09A17A156C9B5CB582969AAA8C1"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Other Information</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"s7C6CC09A17A156C9B5CB582969AAA8C1"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73</w:t>
            </w:r>
            <w:r>
              <w:rPr>
                <w:rFonts w:hint="default" w:ascii="Times New Roman" w:hAnsi="Times New Roman" w:eastAsia="宋体" w:cs="Times New Roman"/>
                <w:sz w:val="20"/>
                <w:szCs w:val="20"/>
              </w:rPr>
              <w:fldChar w:fldCharType="end"/>
            </w:r>
          </w:p>
        </w:tc>
      </w:tr>
      <w:tr>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gridSpan w:val="2"/>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PART III</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10.</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"sC1B0E88B6FEF59418F06EF798ED9EFC6"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Directors, Executive Officers, and Corporate Governance</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"sC1B0E88B6FEF59418F06EF798ED9EFC6"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73</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11.</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"s7095E79A7AEF5DE19398D69DB8105FC1"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Executive Compensation</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"s7095E79A7AEF5DE19398D69DB8105FC1"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73</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12.</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"s75974DADE0F15058AA1CF3F7F0DF27E2"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Security Ownership of Certain Beneficial Owners and Management and Related Shareholder Matters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"s75974DADE0F15058AA1CF3F7F0DF27E2"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73</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13.</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"sCD99E10EE77350DF95C0867E0306458D"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Certain Relationships and Related Transactions, and Director Independence</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"sCD99E10EE77350DF95C0867E0306458D"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73</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14.</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"sB00474BE2BF7597A93444A416B3297C9"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Principal Accountant Fees and Services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"sB00474BE2BF7597A93444A416B3297C9"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73</w:t>
            </w:r>
            <w:r>
              <w:rPr>
                <w:rFonts w:hint="default" w:ascii="Times New Roman" w:hAnsi="Times New Roman" w:eastAsia="宋体" w:cs="Times New Roman"/>
                <w:sz w:val="20"/>
                <w:szCs w:val="20"/>
              </w:rPr>
              <w:fldChar w:fldCharType="end"/>
            </w:r>
          </w:p>
        </w:tc>
      </w:tr>
      <w:tr>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gridSpan w:val="2"/>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PART IV</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15.</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"s4A543C82FD2350A9B0F20228E1669E1B"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Exhibits, Financial Statement Schedules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"s4A543C82FD2350A9B0F20228E1669E1B"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74</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Item 16.</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"s0EE73FEFBB6A5BD49E6C88DF6043F8A5"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Form 10-K Summary</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"s4A543C82FD2350A9B0F20228E1669E1B"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74</w:t>
            </w:r>
            <w:r>
              <w:rPr>
                <w:rFonts w:hint="default" w:ascii="Times New Roman" w:hAnsi="Times New Roman" w:eastAsia="宋体" w:cs="Times New Roman"/>
                <w:sz w:val="20"/>
                <w:szCs w:val="20"/>
              </w:rPr>
              <w:fldChar w:fldCharType="end"/>
            </w:r>
          </w:p>
        </w:tc>
      </w:tr>
      <w:tr>
        <w:tc>
          <w:tcPr>
            <w:tcW w:w="0" w:type="auto"/>
            <w:gridSpan w:val="2"/>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"s19DAE6259EC65E6FA798A46684908396"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Signatures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"s19DAE6259EC65E6FA798A46684908396"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76</w:t>
            </w:r>
            <w:r>
              <w:rPr>
                <w:rFonts w:hint="default" w:ascii="Times New Roman" w:hAnsi="Times New Roman" w:eastAsia="宋体" w:cs="Times New Roman"/>
                <w:sz w:val="20"/>
                <w:szCs w:val="20"/>
              </w:rPr>
              <w:fldChar w:fldCharType="end"/>
            </w:r>
          </w:p>
        </w:tc>
      </w:tr>
    </w:tbl>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w:t>
      </w:r>
    </w:p>
    <w:p>
      <w:pPr>
        <w:keepNext w:val="0"/>
        <w:keepLines w:val="0"/>
        <w:widowControl/>
        <w:suppressLineNumbers w:val="0"/>
      </w:pPr>
      <w:r>
        <w:rPr>
          <w:rFonts w:hint="default" w:ascii="Times New Roman" w:hAnsi="Times New Roman" w:cs="Times New Roman"/>
          <w:sz w:val="20"/>
          <w:szCs w:val="20"/>
        </w:rP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PART I</w:t>
      </w:r>
    </w:p>
    <w:p>
      <w:pPr>
        <w:keepNext w:val="0"/>
        <w:keepLines w:val="0"/>
        <w:widowControl/>
        <w:suppressLineNumbers w:val="0"/>
        <w:spacing w:line="288" w:lineRule="auto"/>
        <w:jc w:val="center"/>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Business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This Annual Report on Form 10-K and the documents incorporated herein by reference contain forward-looking statements based on expectations, estimates, and projections as of the date of this filing. Actual results may differ materially from those expressed in forward-looking statements. See Item 1A of Part I — “Risk Factors.”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Amazon.com, Inc. was incorporated in 1994 in the state of Washington and reincorporated in 1996 in the state of Delaware. Our principal corporate offices are located in Seattle, Washington. We completed our initial public offering in May 1997 and our common stock is listed on the Nasdaq Global Select Market under the symbol “AMZN.”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used herein, “Amazon.com,” “we,” “our,” and similar terms include Amazon.com, Inc. and its subsidiaries, unless the context indicates otherwise.</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General</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seek to be Earth’s most customer-centric company. We are guided by four principles: customer obsession rather than competitor focus, passion for invention, commitment to operational excellence, and long-term thinking. In each of our segments, we serve our primary customer sets, consisting of consumers, sellers, developers, enterprises, and content creators. In addition, we provide services, such as advertising to sellers, vendors, publishers, and authors, through programs such as sponsored ads, display, and video advertising.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organized our operations into three segments: North America, International, and Amazon Web Services (“AWS”). These segments reflect the way the Company evaluates its business performance and manages its operations. Information on our net sales is contained in Item 8 of Part II, “Financial Statements and Supplementary Data — Note 10 — Segment Information.” The financial results of Whole Foods Market, Inc. (“Whole Foods Market”) have been included in our consolidated financial statements from the date of acquisition on August 28, 2017.</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Consumers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serve consumers through our online and physical stores and focus on selection, price, and convenience. We design our stores to enable hundreds of millions of unique products to be sold by us and by third parties across dozens of product categories. Customers access our offerings through our websites, mobile apps, Alexa, devices, streaming, and physically visiting our stores. We also manufacture and sell electronic devices, including Kindle, Fire tablet, Fire TV, Echo, Ring, and other devices, and we develop and produce media content. We seek to offer our customers low prices, fast and free delivery, easy-to-use functionality, and timely customer service. In addition, we offer Amazon Prime, a membership program that includes unlimited free shipping on over 100 million items, access to unlimited streaming of tens of thousands of movies and TV episodes, including Amazon Original content, and other benefits.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fulfill customer orders in a number of ways, including through: North America and International fulfillment and delivery networks that we operate; co-sourced and outsourced arrangements in certain countries; digital delivery; and through our physical stores. We operate customer service centers globally, which are supplemented by co-sourced arrangements. See Item 2 of Part I, “Properties.”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Sellers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offer programs that enable sellers to grow their businesses, sell their products in our stores, and fulfill orders through us. We are not the seller of record in these transactions. We earn fixed fees, a percentage of sales, per-unit activity fees, interest, or some combination thereof, for our seller programs.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Developers and Enterprises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serve developers and enterprises of all sizes, including start-ups, government agencies, and academic institutions, through our AWS segment, which offers a broad set of global compute, storage, database, and other service offerings.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w:t>
      </w:r>
    </w:p>
    <w:p>
      <w:pPr>
        <w:keepNext w:val="0"/>
        <w:keepLines w:val="0"/>
        <w:widowControl/>
        <w:suppressLineNumbers w:val="0"/>
      </w:pPr>
      <w:r>
        <w:rPr>
          <w:rFonts w:hint="default" w:ascii="Times New Roman" w:hAnsi="Times New Roman" w:cs="Times New Roman"/>
          <w:sz w:val="20"/>
          <w:szCs w:val="20"/>
        </w:rP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Content Creators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serve authors and independent publishers with Kindle Direct Publishing, an online service that lets independent authors and publishers choose a royalty option and make their books available in the Kindle Store, along with Amazon’s own publishing arm, Amazon Publishing. We also offer programs that allow authors, musicians, filmmakers, skill and app developers, and others to publish and sell content.</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Competition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businesses encompass a large variety of product types, service offerings, and delivery channels. The worldwide marketplace in which we compete is evolving rapidly and intensely competitive, and we face a broad array of competitors from many different industry sectors around the world. Our current and potential competitors include: (1) physical, e-commerce, and omnichannel retailers, publishers, vendors, distributors, manufacturers, and producers of the products we offer and sell to consumers and businesses; (2) publishers, producers, and distributors of physical, digital, and interactive media of all types and all distribution channels; (3) web search engines, comparison shopping websites, social networks, web portals, and other online and app-based means of discovering, using, or acquiring goods and services, either directly or in collaboration with other retailers; (4) companies that provide e-commerce services, including website development and hosting, omnichannel sales, inventory, and supply chain management, advertising, fulfillment, customer service, and payment processing; (5) companies that provide fulfillment and logistics services for themselves or for third parties, whether online or offline; (6) companies that provide information technology services or products, including on-premises or cloud-based infrastructure and other services; (7) companies that design, manufacture, market, or sell consumer electronics, telecommunication, and electronic devices; and (8) companies that sell grocery products online and in physical stores. We believe that the principal competitive factors in our retail businesses include selection, price, and convenience, including fast and reliable fulfillment. Additional competitive factors for our seller and enterprise services include the quality, speed, and reliability of our services and tools, as well as customers’ ability and willingness to change business practices. Some of our current and potential competitors have greater resources, longer histories, more customers, greater brand recognition, and greater control over inputs critical to our various businesses. They may secure better terms from suppliers, adopt more aggressive pricing, pursue restrictive distribution agreements that restrict our access to supply, direct consumers to their own offerings instead of ours, lock-in potential customers with restrictive terms, and devote more resources to technology, infrastructure, fulfillment, and marketing. The Internet facilitates competitive entry and comparison shopping, which enhances the ability of new, smaller, or lesser-known businesses to compete against us. Each of our businesses is also subject to rapid change and the development of new business models and the entry of new and well-funded competitors. Other companies also may enter into business combinations or alliances that strengthen their competitive positions.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Intellectual Property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regard our trademarks, service marks, copyrights, patents, domain names, trade dress, trade secrets, proprietary technologies, and similar intellectual property as critical to our success, and we rely on trademark, copyright, and patent law, trade-secret protection, and confidentiality and/or license agreements with our employees, customers, partners, and others to protect our proprietary rights. We have registered, or applied for the registration of, a number of U.S. and international domain names, trademarks, service marks, and copyrights. Additionally, we have filed U.S. and international patent applications covering certain of our proprietary technology. We have licensed in the past, and expect that we may license in the future, certain of our proprietary rights to third parties.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Seasonality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business is affected by seasonality, which historically has resulted in higher sales volume during our fourth quarter, which ends December 31. We recognized 34%, 31%, and 31% of our annual revenue during the fourth quarter of 2017, </w:t>
      </w:r>
      <w:r>
        <w:rPr>
          <w:rFonts w:hint="default" w:ascii="Times New Roman" w:hAnsi="Times New Roman" w:eastAsia="宋体" w:cs="Times New Roman"/>
          <w:color w:val="000000"/>
          <w:sz w:val="20"/>
          <w:szCs w:val="20"/>
          <w:u w:val="none"/>
        </w:rPr>
        <w:t>2018</w:t>
      </w:r>
      <w:r>
        <w:rPr>
          <w:rFonts w:hint="default" w:ascii="Times New Roman" w:hAnsi="Times New Roman" w:eastAsia="宋体" w:cs="Times New Roman"/>
          <w:sz w:val="20"/>
          <w:szCs w:val="20"/>
        </w:rPr>
        <w:t>, and 2019. Fourth quarter 2017 results include revenue attributable to Whole Foods Market, which we acquired on August 28, 2017.</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Employees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employed approximately 798,000 full-time and part-time employees 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 However, employment levels fluctuate due to seasonal factors affecting our business. Additionally, we utilize independent contractors and temporary personnel to supplement our workforce. We have works councils, statutory employee representation obligations, and union agreements in certain countries outside the United States and at certain of our studio operations within the United States. We consider our employee relations to be good. Competition for qualified personnel has historically been intense, particularly for software engineers, computer scientists, and other technical staff.</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w:t>
      </w:r>
    </w:p>
    <w:p>
      <w:pPr>
        <w:keepNext w:val="0"/>
        <w:keepLines w:val="0"/>
        <w:widowControl/>
        <w:suppressLineNumbers w:val="0"/>
      </w:pPr>
      <w:r>
        <w:rPr>
          <w:rFonts w:hint="default" w:ascii="Times New Roman" w:hAnsi="Times New Roman" w:cs="Times New Roman"/>
          <w:sz w:val="20"/>
          <w:szCs w:val="20"/>
        </w:rP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Available Information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investor relations website is amazon.com/ir and we encourage investors to use it as a way of easily finding information about us. We promptly make available on this website, free of charge, the reports that we file or furnish with the Securities and Exchange Commission (“SEC”), corporate governance information (including our Code of Business Conduct and Ethics), and select press releases.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Executive Officers and Directors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tables set forth certain information regarding our Executive Officers and Directors as of January 22, 2020:</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Information About Our Executive Officers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797"/>
        <w:gridCol w:w="130"/>
        <w:gridCol w:w="1379"/>
        <w:gridCol w:w="130"/>
        <w:gridCol w:w="4870"/>
      </w:tblGrid>
      <w:tr>
        <w:tc>
          <w:tcPr>
            <w:tcW w:w="0" w:type="auto"/>
            <w:gridSpan w:val="5"/>
            <w:shd w:val="clear" w:color="auto" w:fill="auto"/>
            <w:vAlign w:val="center"/>
          </w:tcPr>
          <w:p>
            <w:pPr>
              <w:jc w:val="left"/>
              <w:rPr>
                <w:rFonts w:hint="default" w:ascii="Times New Roman" w:hAnsi="Times New Roman" w:cs="Times New Roman"/>
                <w:sz w:val="20"/>
                <w:szCs w:val="20"/>
              </w:rPr>
            </w:pPr>
          </w:p>
        </w:tc>
      </w:tr>
      <w:tr>
        <w:tc>
          <w:tcPr>
            <w:tcW w:w="1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8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950" w:type="pct"/>
            <w:shd w:val="clear" w:color="auto" w:fill="auto"/>
            <w:vAlign w:val="center"/>
          </w:tcPr>
          <w:p>
            <w:pPr>
              <w:jc w:val="left"/>
              <w:rPr>
                <w:rFonts w:hint="default" w:ascii="Times New Roman" w:hAnsi="Times New Roman" w:cs="Times New Roman"/>
                <w:sz w:val="20"/>
                <w:szCs w:val="20"/>
              </w:rPr>
            </w:pP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Name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Age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Position</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Jeffrey P. Bezos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President, Chief Executive Officer, and Chairman of the Board</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Jeffrey M. Blackburn</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Senior Vice President, Business Development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Andrew R. Jassy</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CEO Amazon Web Services</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Brian T. Olsavsky</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Senior Vice President and Chief Financial Officer</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Shelley L. Reynolds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Vice President, Worldwide Controller, and Principal Accounting Officer</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Jeffrey A. Wilke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CEO Worldwide Consumer</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David A. Zapolsky</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Senior Vice President, General Counsel, and Secretary</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Jeffrey P. Bezos.</w:t>
      </w:r>
      <w:r>
        <w:rPr>
          <w:rFonts w:hint="default" w:ascii="Times New Roman" w:hAnsi="Times New Roman" w:eastAsia="宋体" w:cs="Times New Roman"/>
          <w:sz w:val="20"/>
          <w:szCs w:val="20"/>
        </w:rPr>
        <w:t> Mr. Bezos has been Chairman of the Board of Amazon.com since founding it in 1994 and Chief Executive Officer since May 1996. Mr. Bezos served as President of the Company from founding until June 1999 and again from October 2000 to the present.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Jeffrey M. Blackburn.</w:t>
      </w:r>
      <w:r>
        <w:rPr>
          <w:rFonts w:hint="default" w:ascii="Times New Roman" w:hAnsi="Times New Roman" w:eastAsia="宋体" w:cs="Times New Roman"/>
          <w:sz w:val="20"/>
          <w:szCs w:val="20"/>
        </w:rPr>
        <w:t> Mr. Blackburn has served as Senior Vice President, Business Development, since April 2006.</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Andrew R. Jassy.</w:t>
      </w:r>
      <w:r>
        <w:rPr>
          <w:rFonts w:hint="default" w:ascii="Times New Roman" w:hAnsi="Times New Roman" w:eastAsia="宋体" w:cs="Times New Roman"/>
          <w:sz w:val="20"/>
          <w:szCs w:val="20"/>
        </w:rPr>
        <w:t> Mr. Jassy has served as CEO Amazon Web Services since April 2016, and Senior Vice President, Amazon Web Services, from April 2006 until April 2016.</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Brian T. Olsavsky.</w:t>
      </w:r>
      <w:r>
        <w:rPr>
          <w:rFonts w:hint="default" w:ascii="Times New Roman" w:hAnsi="Times New Roman" w:eastAsia="宋体" w:cs="Times New Roman"/>
          <w:sz w:val="20"/>
          <w:szCs w:val="20"/>
        </w:rPr>
        <w:t xml:space="preserve"> Mr. Olsavsky has served as Senior Vice President and Chief Financial Officer since June 2015, Vice President, Finance for the Global Consumer Business from December 2011 to June 2015, and numerous financial leadership roles across Amazon with global responsibility since April 2002.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Shelley L. Reynolds.</w:t>
      </w:r>
      <w:r>
        <w:rPr>
          <w:rFonts w:hint="default" w:ascii="Times New Roman" w:hAnsi="Times New Roman" w:eastAsia="宋体" w:cs="Times New Roman"/>
          <w:sz w:val="20"/>
          <w:szCs w:val="20"/>
        </w:rPr>
        <w:t> Ms. Reynolds has served as Vice President, Worldwide Controller, and Principal Accounting Officer since April 2007.</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Jeffrey A. Wilke.</w:t>
      </w:r>
      <w:r>
        <w:rPr>
          <w:rFonts w:hint="default" w:ascii="Times New Roman" w:hAnsi="Times New Roman" w:eastAsia="宋体" w:cs="Times New Roman"/>
          <w:sz w:val="20"/>
          <w:szCs w:val="20"/>
        </w:rPr>
        <w:t> Mr. Wilke has served as CEO Worldwide Consumer since April 2016, Senior Vice President, Consumer Business, from February 2012 until April 2016, and as Senior Vice President, North America Retail, from January 2007 until February 2012.</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David A. Zapolsky.</w:t>
      </w:r>
      <w:r>
        <w:rPr>
          <w:rFonts w:hint="default" w:ascii="Times New Roman" w:hAnsi="Times New Roman" w:eastAsia="宋体" w:cs="Times New Roman"/>
          <w:sz w:val="20"/>
          <w:szCs w:val="20"/>
        </w:rPr>
        <w:t> Mr. Zapolsky has served as Senior Vice President, General Counsel, and Secretary since May 2014, Vice President, General Counsel, and Secretary from September 2012 to May 2014, and as Vice President and Associate General Counsel for Litigation and Regulatory matters from April 2002 until September 2012.</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Board of Directors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86"/>
        <w:gridCol w:w="130"/>
        <w:gridCol w:w="1003"/>
        <w:gridCol w:w="130"/>
        <w:gridCol w:w="5157"/>
      </w:tblGrid>
      <w:tr>
        <w:tc>
          <w:tcPr>
            <w:tcW w:w="0" w:type="auto"/>
            <w:gridSpan w:val="5"/>
            <w:shd w:val="clear" w:color="auto" w:fill="auto"/>
            <w:vAlign w:val="center"/>
          </w:tcPr>
          <w:p>
            <w:pPr>
              <w:jc w:val="left"/>
              <w:rPr>
                <w:rFonts w:hint="default" w:ascii="Times New Roman" w:hAnsi="Times New Roman" w:cs="Times New Roman"/>
                <w:sz w:val="20"/>
                <w:szCs w:val="20"/>
              </w:rPr>
            </w:pPr>
          </w:p>
        </w:tc>
      </w:tr>
      <w:tr>
        <w:tc>
          <w:tcPr>
            <w:tcW w:w="1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150" w:type="pct"/>
            <w:shd w:val="clear" w:color="auto" w:fill="auto"/>
            <w:vAlign w:val="center"/>
          </w:tcPr>
          <w:p>
            <w:pPr>
              <w:jc w:val="left"/>
              <w:rPr>
                <w:rFonts w:hint="default" w:ascii="Times New Roman" w:hAnsi="Times New Roman" w:cs="Times New Roman"/>
                <w:sz w:val="20"/>
                <w:szCs w:val="20"/>
              </w:rPr>
            </w:pP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Name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Age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Position</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Jeffrey P. Bezos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President, Chief Executive Officer, and Chairman of the Board</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Rosalind G. Brewer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Group President, Americas and Chief Operating Officer, Starbucks Corporation</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Jamie S. Gorelick</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69</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Partner, Wilmer Cutler Pickering Hale and Dorr LLP</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Daniel P. Huttenlocher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Dean, MIT Schwarzman College of Computing</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Judith A. McGrath</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67</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Senior Advisor, Astronauts Wanted * No experience necessary</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Indra K. Nooyi</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Former Chief Executive Officer, PepsiCo, Inc.</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Jonathan J. Rubinstein</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63</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Former co-CEO, Bridgewater Associates, LP</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Thomas O. Ryder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Retired, Former Chairman, Reader’s Digest Association, Inc.</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Patricia Q. Stonesifer</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63</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Former President and Chief Executive Officer, Martha’s Table</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Wendell P. Weeks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Chief Executive Officer, Corning Incorporated</w:t>
            </w: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w:t>
      </w:r>
    </w:p>
    <w:p>
      <w:pPr>
        <w:keepNext w:val="0"/>
        <w:keepLines w:val="0"/>
        <w:widowControl/>
        <w:suppressLineNumbers w:val="0"/>
      </w:pPr>
      <w:r>
        <w:rPr>
          <w:rFonts w:hint="default" w:ascii="Times New Roman" w:hAnsi="Times New Roman" w:cs="Times New Roman"/>
          <w:sz w:val="20"/>
          <w:szCs w:val="20"/>
        </w:rP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1A.</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Risk Factors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the global economic climate amplifies many of these risks.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Intense Competition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Expansion Places a Significant Strain on our Management, Operational, Financial, and Other Resources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Expansion into New Products, Services, Technologies, and Geographic Regions Subjects Us to Additional Risks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Experience Significant Fluctuations in Our Operating Results and Growth Rate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sales and operating results will also fluctuate for many other reasons, including due to factors described elsewhere in this section and the following:</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our ability to retain and increase sales to existing customers, attract new customers, and satisfy our customers’ demands;</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w:t>
      </w:r>
    </w:p>
    <w:p>
      <w:pPr>
        <w:keepNext w:val="0"/>
        <w:keepLines w:val="0"/>
        <w:widowControl/>
        <w:suppressLineNumbers w:val="0"/>
      </w:pPr>
      <w:r>
        <w:rPr>
          <w:rFonts w:hint="default" w:ascii="Times New Roman" w:hAnsi="Times New Roman" w:cs="Times New Roman"/>
          <w:sz w:val="20"/>
          <w:szCs w:val="20"/>
        </w:rP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360"/>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our ability to retain and expand our network of sellers;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6798"/>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our ability to offer products on favorable terms, manage inventory, and fulfill orders;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introduction of competitive stores, websites, products, services, price decreases, or improvements;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usage or adoption rates of the Internet, e-commerce, electronic devices, and web services, including outside the U.S.;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timing, effectiveness, and costs of expansion and upgrades of our systems and infrastructure;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5427"/>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success of our geographic, service, and product line expansions;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we finance, and the terms of any such financing for, our current operations and future growth;</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outcomes of legal proceedings and claims, which may include significant monetary damages or injunctive relief and could have a material adverse impact on our operating results;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305"/>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variations in the mix of products and services we sell;</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632"/>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variations in our level of merchandise and vendor returns;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we offer fast and free delivery, continue to reduce prices worldwide, and provide additional benefits to our customers;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799"/>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factors affecting our reputation or brand image;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we invest in technology and content, fulfillment, and other expense categories;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increases in the prices of fuel and gasoline, as well as increases in the prices of other energy products and commodities like paper and packing supplies and hardware products;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operators of the networks between our customers and our stores successfully charge fees to grant our customers unimpaired and unconstrained access to our online services;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5205"/>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our ability to collect amounts owed to us when they become due;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extent to which use of our services is affected by spyware, viruses, phishing and other spam emails, denial of service attacks, data theft, computer intrusions, outages, and similar events;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disruptions from natural or man-made disasters, extreme weather, geopolitical events and security issues (including terrorist attacks and armed hostilities), labor or trade disputes, and similar events.</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International Operations Expose Us to a Number of Risks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to risks described elsewhere in this section, our international sales and operations are subject to a number of risks, including:</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200"/>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local economic and political conditions;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business licensing or certification requirements, such as for imports, exports, web services, and electronic devices;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limitations on the repatriation and investment of funds and foreign currency exchange restrictions;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933"/>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limited fulfillment and technology infrastructure;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shorter payable and longer receivable cycles and the resultant negative impact on cash flow;</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laws and regulations regarding consumer and data protection, privacy, network security, encryption, payments, advertising, and restrictions on pricing or discounts;</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w:t>
      </w:r>
    </w:p>
    <w:p>
      <w:pPr>
        <w:keepNext w:val="0"/>
        <w:keepLines w:val="0"/>
        <w:widowControl/>
        <w:suppressLineNumbers w:val="0"/>
      </w:pPr>
      <w:r>
        <w:rPr>
          <w:rFonts w:hint="default" w:ascii="Times New Roman" w:hAnsi="Times New Roman" w:cs="Times New Roman"/>
          <w:sz w:val="20"/>
          <w:szCs w:val="20"/>
        </w:rP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2744"/>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lower levels of use of the Internet;</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lower levels of consumer spending and fewer opportunities for growth compared to the U.S.;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882"/>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lower levels of credit card usage and increased payment risk;</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difficulty in staffing, developing, and managing foreign operations as a result of distance, language, and cultural differences;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different employee/employer relationships and the existence of works councils and labor unions;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compliance with the U.S. Foreign Corrupt Practices Act and other applicable U.S. and foreign laws prohibiting corrupt payments to government officials and other third parties;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laws and policies of the U.S. and other jurisdictions affecting trade, foreign investment, loans, and taxes;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883"/>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geopolitical events, including war and terrorism.</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Risks Related to Successfully Optimizing and Operating Our Fulfillment Network and Data Centers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Failures to adequately predict customer demand or otherwise optimize and operate our fulfillment network and data centers successfully from time to time result in excess or insufficient fulfillment or data center capacity,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failure to optimize inventory in our fulfillment network increases our net shipping cost by requiring long-zone or partial shipments. We and our co-sourcers may be unable to adequately staff our fulfillment network and customer service centers. 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rely on a limited number of shipping companies to deliver inventory to us and completed orders to our customers. The inability to negotiate acceptable terms with these companies or performance problems or other difficulties experienced by these companies or by our own transportation systems could negatively impact our operating results and customer experience. In addition, our ability to receive inbound inventory efficiently and ship completed orders to customers also may be negatively affected by natural or man-made disasters, extreme weather, geopolitical events and security issues, labor or trade disputes, and similar events.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8</w:t>
      </w:r>
    </w:p>
    <w:p>
      <w:pPr>
        <w:keepNext w:val="0"/>
        <w:keepLines w:val="0"/>
        <w:widowControl/>
        <w:suppressLineNumbers w:val="0"/>
      </w:pPr>
      <w:r>
        <w:rPr>
          <w:rFonts w:hint="default" w:ascii="Times New Roman" w:hAnsi="Times New Roman" w:cs="Times New Roman"/>
          <w:sz w:val="20"/>
          <w:szCs w:val="20"/>
        </w:rP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The Seasonality of Our Retail Business Places Increased Strain on Our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Commercial Agreements, Strategic Alliances, and Other Business Relationships Expose Us to Risks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present and future e-commerce services agreements, other commercial agreements, and strategic alliances create additional risks such as:</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disruption of our ongoing business, including loss of management focus on existing businesses;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2728"/>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impairment of other relationships;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variability in revenue and income from entering into, amending, or terminating such agreements or relationships;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4465"/>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difficulty integrating under the commercial agreements.</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Business Suffers When We Are Unsuccessful in Making, Integrating, and Maintaining Acquisitions and Investments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acquired and invested in a number of companies, and we may in the future acquire or invest in or enter into joint ventures with additional companies. These transactions create risks such as:</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disruption of our ongoing business, including loss of management focus on existing businesses;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2728"/>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problems retaining key personnel;</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additional operating losses and expenses of the businesses we acquired or in which we invested;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potential impairment of tangible and intangible assets and goodwill, including as a result of acquisitions;</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9</w:t>
      </w:r>
    </w:p>
    <w:p>
      <w:pPr>
        <w:keepNext w:val="0"/>
        <w:keepLines w:val="0"/>
        <w:widowControl/>
        <w:suppressLineNumbers w:val="0"/>
      </w:pPr>
      <w:r>
        <w:rPr>
          <w:rFonts w:hint="default" w:ascii="Times New Roman" w:hAnsi="Times New Roman" w:cs="Times New Roman"/>
          <w:sz w:val="20"/>
          <w:szCs w:val="20"/>
        </w:rP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potential impairment of customer and other relationships of the company we acquired or in which we invested or our own customers as a result of any integration of operations;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difficulty of completing such transactions and achieving anticipated benefits within expected timeframes, or at all;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difficulty of incorporating acquired operations, technology, and rights into our offerings, and unanticipated expenses related to such integration;</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difficulty of integrating a new company’s accounting, financial reporting, management, information and information security, human resource, and other administrative systems to permit effective management, and the lack of control if such integration is delayed or not successfully implemented;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losses we may incur as a result of declines in the value of an investment or as a result of incorporating an investee’s financial performance into our financial results;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investments in which an investee’s financial performance is incorporated into our financial results, either in full or in part, the dependence on the investee’s accounting, financial reporting, and similar systems, controls, and processes;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difficulty of implementing at companies we acquire the controls, procedures, and policies appropriate for a larger public company;</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risks associated with businesses we acquire or invest in, which may differ from or be more significant than the risks our other businesses face;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potential unknown liabilities associated with a company we acquire or in which we invest;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foreign transactions, additional risks related to the integration of operations across different cultures and languages, and the economic, political, and regulatory risks associated with specific countries.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Have Foreign Exchange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British Pounds, Euros,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The Loss of Key Senior Management Personnel or the Failure to Hire and Retain Highly Skilled and Other Key Personnel Could Negatively Affect Our Business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depend on our senior management and other key personnel, particularly Jeffrey P. Bezos, our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The loss of any of our executive officers or other key employees or the inability to hire, train, retain, and manage qualified personnel, could harm our business.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Could Be Harmed by Data Loss or Other Security Breaches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regulatory action (including under privacy or data protection laws), and potential liability for us, deter customers or sellers from using our 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10</w:t>
      </w:r>
    </w:p>
    <w:p>
      <w:pPr>
        <w:keepNext w:val="0"/>
        <w:keepLines w:val="0"/>
        <w:widowControl/>
        <w:suppressLineNumbers w:val="0"/>
      </w:pPr>
      <w:r>
        <w:rPr>
          <w:rFonts w:hint="default" w:ascii="Times New Roman" w:hAnsi="Times New Roman" w:cs="Times New Roman"/>
          <w:sz w:val="20"/>
          <w:szCs w:val="20"/>
        </w:rP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although they did not have a material adverse effect on our operating results, there can be no assurance of a similar result in the future. Although we have developed systems and processes that are designed to protect customer information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Risks Related to System Interruption and Lack of Redundancy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experience occasional system interruptions and delays that make our websites and services unavailable or slow to respond and prevent us from efficiently accepting or fulfilling orders or providing services to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computer and communications systems and operations in the past have been, or in the future could be, damaged or interrupted due to events such as natural or man-made disasters, extreme weather, geopolitical events and security issues (including terrorist attacks and armed hostilities),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Significant Inventory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11</w:t>
      </w:r>
    </w:p>
    <w:p>
      <w:pPr>
        <w:keepNext w:val="0"/>
        <w:keepLines w:val="0"/>
        <w:widowControl/>
        <w:suppressLineNumbers w:val="0"/>
      </w:pPr>
      <w:r>
        <w:rPr>
          <w:rFonts w:hint="default" w:ascii="Times New Roman" w:hAnsi="Times New Roman" w:cs="Times New Roman"/>
          <w:sz w:val="20"/>
          <w:szCs w:val="20"/>
        </w:rP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Have a Rapidly Evolving Business Model and Our Stock Price Is Highly Volatile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a rapidly evolving business model. The trading price of our common stock fluctuates significantly in response to, among other risks, the risks described elsewhere in this Item 1A, as well as:</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1972"/>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interest rates;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6077"/>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conditions or trends in the Internet and the industry segments we operate in;</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3200"/>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quarterly variations in operating results;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fluctuations in the stock market in general and market prices for Internet-related companies in particular;</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changes in financial estimates by us or decisions to increase or decrease future spending or investment levels;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6010"/>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financial estimates and recommendations by securities analysts;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our capital structure, including issuance of additional debt or equity to the public;</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changes in the valuation methodology of, or performance by, other e-commerce or technology companies; and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1080"/>
        <w:gridCol w:w="7226"/>
      </w:tblGrid>
      <w:tr>
        <w:trPr>
          <w:tblCellSpacing w:w="0" w:type="dxa"/>
        </w:trPr>
        <w:tc>
          <w:tcPr>
            <w:tcW w:w="10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transactions in our common stock by major investors and certain analyst reports, news, and speculation.</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Government Regulation Is Evolving and Unfavorable Changes Could Harm Our Business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subject to general business regulations and laws, as well as regulations and laws specifically governing the Internet, physical, e-commerce, and omnichannel retail, digital content, web services, electronic devices, artificial intelligence technologies and services, and other products and services that we offer or sell. These regulations and laws cover taxation, privacy, data protection, pricing, content, copyrights, distribution, transportation, mobile communications, electronic device certification, electronic waste, energy consumption, environmental regulation, electronic contracts and other communications, competition, consumer protection,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and other matters. It is not clear how existing laws governing issues such as property ownership, libel, data protection, and personal privacy apply to aspects of our operations such as the Internet, e-commerce, digital content, web services, electronic devices,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the European Commission announced that it has opened an investigation to assess whether aspects of our operations with marketplace sellers violate EU competition rules.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Claims, Litigation, Government Investigations, and Other Proceedings May Adversely Affect Our Business and Results of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and data protection,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12</w:t>
      </w:r>
    </w:p>
    <w:p>
      <w:pPr>
        <w:keepNext w:val="0"/>
        <w:keepLines w:val="0"/>
        <w:widowControl/>
        <w:suppressLineNumbers w:val="0"/>
      </w:pPr>
      <w:r>
        <w:rPr>
          <w:rFonts w:hint="default" w:ascii="Times New Roman" w:hAnsi="Times New Roman" w:cs="Times New Roman"/>
          <w:sz w:val="20"/>
          <w:szCs w:val="20"/>
        </w:rP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Face Additional Tax Liabilities and Collection Obligations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tax regimes, changes in foreign currency exchange rates, changes in our stock price, and changes in our deferred tax assets and liabilities and their valuation. Significant judgment is required in evaluating and estimating our tax expense and liabilities. In the ordinary course of our business, there are many transactions and calculations for which the ultimate tax determination is uncertain. For example, the legislation known as the U.S. Tax Cuts and Jobs Act of 2017 (the “U.S. Tax Act”) requires complex computations to be performed that were not previously required by U.S. tax law, significant judgments to be made in interpretation of the provisions of the U.S. Tax Act, significant estimates in calculations, and the preparation and analysis of information not previously relevant or regularly produced. The U.S. Treasury Department, the IRS, and other standard-setting bodies will continue to interpret or issue guidance on how provisions of the U.S. Tax Act will be applied or otherwise administered. As future guidance is issued, we may make adjustments to amounts that we have previously recorded that may materially impact our financial statements in the period in which the adjustments are made.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Our Supplier Relationships Subject Us to a Number of Risks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stop selling or licensing merchandise, content, components, or services to us on acceptable terms, or delay delivery, including as a result of one or more supplier bankruptcies due to poor economic conditions, as a result of natural disasters, or for other reasons, may result in our being unable to procure alternatives from other suppliers in a timely and efficient manner and on acceptable terms, or at all. In addition, violations by our suppliers or other vendors of applicable laws, regulations, contractual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13</w:t>
      </w:r>
    </w:p>
    <w:p>
      <w:pPr>
        <w:keepNext w:val="0"/>
        <w:keepLines w:val="0"/>
        <w:widowControl/>
        <w:suppressLineNumbers w:val="0"/>
      </w:pPr>
      <w:r>
        <w:rPr>
          <w:rFonts w:hint="default" w:ascii="Times New Roman" w:hAnsi="Times New Roman" w:cs="Times New Roman"/>
          <w:sz w:val="20"/>
          <w:szCs w:val="20"/>
        </w:rP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Are Subject to Risks Related to Government Contracts and Related Procurement Regulations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provide for termination by the government at any time, without cause.</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Are Subject to Product Liability Claims When People or Property Are Harmed by the Products We Sell or Manufacture</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increase our exposure to product liability claims, such as when these sellers do not have sufficient protection from such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Are Subject to Payments-Related Risks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and information security,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We Are Impacted by Fraudulent or Unlawful Activities of Sellers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14</w:t>
      </w:r>
    </w:p>
    <w:p>
      <w:pPr>
        <w:keepNext w:val="0"/>
        <w:keepLines w:val="0"/>
        <w:widowControl/>
        <w:suppressLineNumbers w:val="0"/>
      </w:pPr>
      <w:r>
        <w:rPr>
          <w:rFonts w:hint="default" w:ascii="Times New Roman" w:hAnsi="Times New Roman" w:cs="Times New Roman"/>
          <w:sz w:val="20"/>
          <w:szCs w:val="20"/>
        </w:rP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1B.</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Unresolved Staff Comments</w:t>
            </w:r>
          </w:p>
        </w:tc>
      </w:tr>
    </w:tbl>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None.</w:t>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15</w:t>
      </w:r>
    </w:p>
    <w:p>
      <w:pPr>
        <w:keepNext w:val="0"/>
        <w:keepLines w:val="0"/>
        <w:widowControl/>
        <w:suppressLineNumbers w:val="0"/>
      </w:pPr>
      <w:r>
        <w:rPr>
          <w:rFonts w:hint="default" w:ascii="Times New Roman" w:hAnsi="Times New Roman" w:cs="Times New Roman"/>
          <w:sz w:val="20"/>
          <w:szCs w:val="20"/>
        </w:rP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2.</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Properties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2019, we operated the following facilities (in thousands):</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10"/>
        <w:gridCol w:w="130"/>
        <w:gridCol w:w="1022"/>
        <w:gridCol w:w="61"/>
        <w:gridCol w:w="130"/>
        <w:gridCol w:w="991"/>
        <w:gridCol w:w="44"/>
        <w:gridCol w:w="131"/>
        <w:gridCol w:w="1287"/>
      </w:tblGrid>
      <w:tr>
        <w:tc>
          <w:tcPr>
            <w:tcW w:w="0" w:type="auto"/>
            <w:gridSpan w:val="9"/>
            <w:shd w:val="clear" w:color="auto" w:fill="auto"/>
            <w:vAlign w:val="center"/>
          </w:tcPr>
          <w:p>
            <w:pPr>
              <w:jc w:val="left"/>
              <w:rPr>
                <w:rFonts w:hint="default" w:ascii="Times New Roman" w:hAnsi="Times New Roman" w:cs="Times New Roman"/>
                <w:sz w:val="20"/>
                <w:szCs w:val="20"/>
              </w:rPr>
            </w:pPr>
          </w:p>
        </w:tc>
      </w:tr>
      <w:tr>
        <w:tc>
          <w:tcPr>
            <w:tcW w:w="2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700" w:type="pct"/>
            <w:shd w:val="clear" w:color="auto" w:fill="auto"/>
            <w:vAlign w:val="center"/>
          </w:tcPr>
          <w:p>
            <w:pPr>
              <w:jc w:val="left"/>
              <w:rPr>
                <w:rFonts w:hint="default" w:ascii="Times New Roman" w:hAnsi="Times New Roman" w:cs="Times New Roman"/>
                <w:sz w:val="20"/>
                <w:szCs w:val="20"/>
              </w:rPr>
            </w:pP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Description of Use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Leased Square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Footage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Owned Square Footage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Location</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Office space</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18,051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4,961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r>
      <w:tr>
        <w:tc>
          <w:tcPr>
            <w:tcW w:w="0" w:type="auto"/>
            <w:shd w:val="clear" w:color="auto" w:fill="auto"/>
            <w:tcMar>
              <w:top w:w="40" w:type="dxa"/>
              <w:left w:w="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Office space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15,863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1,831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Physical stores (2)</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20,072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662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Physical stores (2)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169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 data centers, and other</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187,148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5,591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Fulfillment, data centers, and other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76,868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2,570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top"/>
          </w:tcPr>
          <w:p>
            <w:pPr>
              <w:keepNext w:val="0"/>
              <w:keepLines w:val="0"/>
              <w:widowControl/>
              <w:suppressLineNumbers w:val="0"/>
              <w:pBdr>
                <w:top w:val="none" w:color="auto" w:sz="0" w:space="0"/>
                <w:left w:val="none" w:color="auto" w:sz="0" w:space="0"/>
                <w:bottom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318,171</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top"/>
          </w:tcPr>
          <w:p>
            <w:pPr>
              <w:keepNext w:val="0"/>
              <w:keepLines w:val="0"/>
              <w:widowControl/>
              <w:suppressLineNumbers w:val="0"/>
              <w:pBdr>
                <w:top w:val="none" w:color="auto" w:sz="0" w:space="0"/>
                <w:left w:val="none" w:color="auto" w:sz="0" w:space="0"/>
                <w:bottom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15,615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6609"/>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leased properties, represents the total leased space excluding sub-leased space.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6860"/>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This includes 564 North America and 7 International stores as of December 31, 2019. </w:t>
            </w:r>
          </w:p>
        </w:tc>
      </w:tr>
    </w:tbl>
    <w:p>
      <w:pPr>
        <w:rPr>
          <w:vanish/>
          <w:sz w:val="24"/>
          <w:szCs w:val="24"/>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795"/>
        <w:gridCol w:w="130"/>
        <w:gridCol w:w="1061"/>
        <w:gridCol w:w="64"/>
        <w:gridCol w:w="130"/>
        <w:gridCol w:w="1061"/>
        <w:gridCol w:w="65"/>
      </w:tblGrid>
      <w:tr>
        <w:tc>
          <w:tcPr>
            <w:tcW w:w="0" w:type="auto"/>
            <w:gridSpan w:val="7"/>
            <w:shd w:val="clear" w:color="auto" w:fill="auto"/>
            <w:vAlign w:val="center"/>
          </w:tcPr>
          <w:p>
            <w:pPr>
              <w:jc w:val="left"/>
              <w:rPr>
                <w:rFonts w:hint="default" w:ascii="Times New Roman" w:hAnsi="Times New Roman" w:cs="Times New Roman"/>
                <w:sz w:val="20"/>
                <w:szCs w:val="20"/>
              </w:rPr>
            </w:pPr>
          </w:p>
        </w:tc>
      </w:tr>
      <w:tr>
        <w:tc>
          <w:tcPr>
            <w:tcW w:w="3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Segment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Leased Square</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Footage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Owned Square Footage (1)</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199,473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1,983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74,231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958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10,553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center"/>
          </w:tcPr>
          <w:p>
            <w:pPr>
              <w:keepNext w:val="0"/>
              <w:keepLines w:val="0"/>
              <w:widowControl/>
              <w:suppressLineNumbers w:val="0"/>
              <w:pBdr>
                <w:top w:val="none" w:color="auto" w:sz="0" w:space="0"/>
                <w:left w:val="none" w:color="auto" w:sz="0" w:space="0"/>
                <w:bottom w:val="none" w:color="auto" w:sz="0" w:space="0"/>
              </w:pBdr>
              <w:jc w:val="right"/>
              <w:textAlignment w:val="center"/>
              <w:rPr>
                <w:rFonts w:hint="default" w:ascii="Times New Roman" w:hAnsi="Times New Roman" w:cs="Times New Roman"/>
                <w:sz w:val="20"/>
                <w:szCs w:val="20"/>
              </w:rPr>
            </w:pPr>
            <w:r>
              <w:rPr>
                <w:rFonts w:hint="default" w:ascii="Times New Roman" w:hAnsi="Times New Roman" w:eastAsia="宋体" w:cs="Times New Roman"/>
                <w:sz w:val="20"/>
                <w:szCs w:val="20"/>
              </w:rPr>
              <w:t>5,882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top"/>
          </w:tcPr>
          <w:p>
            <w:pPr>
              <w:keepNext w:val="0"/>
              <w:keepLines w:val="0"/>
              <w:widowControl/>
              <w:suppressLineNumbers w:val="0"/>
              <w:pBdr>
                <w:top w:val="none" w:color="auto" w:sz="0" w:space="0"/>
                <w:left w:val="none" w:color="auto" w:sz="0" w:space="0"/>
                <w:bottom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284,257</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top"/>
          </w:tcPr>
          <w:p>
            <w:pPr>
              <w:keepNext w:val="0"/>
              <w:keepLines w:val="0"/>
              <w:widowControl/>
              <w:suppressLineNumbers w:val="0"/>
              <w:pBdr>
                <w:top w:val="none" w:color="auto" w:sz="0" w:space="0"/>
                <w:left w:val="none" w:color="auto" w:sz="0" w:space="0"/>
                <w:bottom w:val="none" w:color="auto" w:sz="0" w:space="0"/>
              </w:pBdr>
              <w:jc w:val="righ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8,823</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Segment amounts exclude corporate facilities. Shared facilities are allocated among the segments based on usage and primarily relate to facilities that hold our technology infrastructure. See Item 8 of Part II, “Financial Statements and Supplementary Data — Note 10 — Segment Information.”</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own and lease our corporate headquarters in Seattle, Washington and Arlington, Virginia.</w:t>
      </w:r>
    </w:p>
    <w:p>
      <w:pPr>
        <w:keepNext w:val="0"/>
        <w:keepLines w:val="0"/>
        <w:widowControl/>
        <w:suppressLineNumbers w:val="0"/>
        <w:spacing w:line="288" w:lineRule="auto"/>
        <w:jc w:val="center"/>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3.</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Legal Proceedings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See Item 8 of Part II, “Financial Statements and Supplementary Data — Note 7 — Commitments and Contingencies — Legal Proceedings.”</w:t>
      </w:r>
    </w:p>
    <w:p>
      <w:pPr>
        <w:keepNext w:val="0"/>
        <w:keepLines w:val="0"/>
        <w:widowControl/>
        <w:suppressLineNumbers w:val="0"/>
        <w:spacing w:line="288" w:lineRule="auto"/>
        <w:jc w:val="left"/>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4.</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Mine Safety Disclosures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Not applicable.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16</w:t>
      </w:r>
    </w:p>
    <w:p>
      <w:pPr>
        <w:keepNext w:val="0"/>
        <w:keepLines w:val="0"/>
        <w:widowControl/>
        <w:suppressLineNumbers w:val="0"/>
      </w:pPr>
      <w:r>
        <w:rPr>
          <w:rFonts w:hint="default" w:ascii="Times New Roman" w:hAnsi="Times New Roman" w:cs="Times New Roman"/>
          <w:sz w:val="20"/>
          <w:szCs w:val="20"/>
        </w:rP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PART II</w:t>
      </w:r>
    </w:p>
    <w:p>
      <w:pPr>
        <w:keepNext w:val="0"/>
        <w:keepLines w:val="0"/>
        <w:widowControl/>
        <w:suppressLineNumbers w:val="0"/>
        <w:spacing w:line="288" w:lineRule="auto"/>
        <w:jc w:val="left"/>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5.</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Market for the Registrant’s Common Stock, Related Shareholder Matters, and Issuer Purchases of Equity Securities</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Market Information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common stock is traded on the Nasdaq Global Select Market under the symbol “AMZN.”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Holders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of </w:t>
      </w:r>
      <w:r>
        <w:rPr>
          <w:rFonts w:hint="default" w:ascii="Times New Roman" w:hAnsi="Times New Roman" w:eastAsia="宋体" w:cs="Times New Roman"/>
          <w:color w:val="000000"/>
          <w:sz w:val="20"/>
          <w:szCs w:val="20"/>
          <w:u w:val="none"/>
        </w:rPr>
        <w:t>January 22, 2020</w:t>
      </w:r>
      <w:r>
        <w:rPr>
          <w:rFonts w:hint="default" w:ascii="Times New Roman" w:hAnsi="Times New Roman" w:eastAsia="宋体" w:cs="Times New Roman"/>
          <w:sz w:val="20"/>
          <w:szCs w:val="20"/>
        </w:rPr>
        <w:t>, there were 3,169 shareholders of record of our common stock, although there is a much larger number of beneficial owners.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Recent Sales of Unregistered Securities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None.</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Issuer Purchases of Equity Securities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None.</w:t>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17</w:t>
      </w:r>
    </w:p>
    <w:p>
      <w:pPr>
        <w:keepNext w:val="0"/>
        <w:keepLines w:val="0"/>
        <w:widowControl/>
        <w:suppressLineNumbers w:val="0"/>
      </w:pPr>
      <w:r>
        <w:rPr>
          <w:rFonts w:hint="default" w:ascii="Times New Roman" w:hAnsi="Times New Roman" w:cs="Times New Roman"/>
          <w:sz w:val="20"/>
          <w:szCs w:val="20"/>
        </w:rP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6.</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Selected Consolidated Financial Data</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selected consolidated financial data should be read in conjunction with the consolidated financial statements and the notes thereto in Item 8 of Part II, “Financial Statements and Supplementary Data,” and the information contained in Item 7 of Part II, “Management’s Discussion and Analysis of Financial Condition and Results of Operations.” Historical results are not necessarily indicative of future results.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676"/>
        <w:gridCol w:w="130"/>
        <w:gridCol w:w="140"/>
        <w:gridCol w:w="650"/>
        <w:gridCol w:w="6"/>
        <w:gridCol w:w="130"/>
        <w:gridCol w:w="140"/>
        <w:gridCol w:w="650"/>
        <w:gridCol w:w="6"/>
        <w:gridCol w:w="130"/>
        <w:gridCol w:w="140"/>
        <w:gridCol w:w="650"/>
        <w:gridCol w:w="6"/>
        <w:gridCol w:w="130"/>
        <w:gridCol w:w="140"/>
        <w:gridCol w:w="650"/>
        <w:gridCol w:w="6"/>
        <w:gridCol w:w="130"/>
        <w:gridCol w:w="140"/>
        <w:gridCol w:w="650"/>
        <w:gridCol w:w="6"/>
      </w:tblGrid>
      <w:tr>
        <w:tc>
          <w:tcPr>
            <w:tcW w:w="0" w:type="auto"/>
            <w:gridSpan w:val="21"/>
            <w:shd w:val="clear" w:color="auto" w:fill="auto"/>
            <w:vAlign w:val="center"/>
          </w:tcPr>
          <w:p>
            <w:pPr>
              <w:jc w:val="left"/>
              <w:rPr>
                <w:rFonts w:hint="default" w:ascii="Times New Roman" w:hAnsi="Times New Roman" w:cs="Times New Roman"/>
                <w:sz w:val="20"/>
                <w:szCs w:val="20"/>
              </w:rPr>
            </w:pPr>
          </w:p>
        </w:tc>
      </w:tr>
      <w:tr>
        <w:tc>
          <w:tcPr>
            <w:tcW w:w="2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9"/>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2015</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2016</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 (1)</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9"/>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(in millions, except per share data)</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Statements of Operations: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107,006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135,987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177,866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232,887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280,522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2,233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4,186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4,106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12,421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14,541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 (loss)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2,371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3,033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10,073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11,588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 earnings per share (2)</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20.68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23.46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 earnings per share (2)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20.14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shares used in computation of earnings per share:</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467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Statements of Cash Flows: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operating activities (3)</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11,909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17,203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18,365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30,723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38,514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9"/>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2015</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2016</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 (4)</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9"/>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(in millions)</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Balance Sheets: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assets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64,747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83,402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131,310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162,648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225,248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long-term obligations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17,477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20,301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45,718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50,708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75,376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 acquired Whole Foods Market on August 28, 2017. The results of Whole Foods Market have been included in our results of operation from the date of acquisition.</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further discussion of earnings per share, see Item 8 of Part II, “Financial Statements and Supplementary Data — Note 1 — Description of Business and Accounting Policies.”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As a result of the adoption of new accounting guidance, we retrospectively adjusted our consolidated statements of cash flows to add restricted cash to cash and cash equivalents, which restated cash provided by operating activities by $(130) million, $(69) million, and $(69) million in 2015, 2016, and 2017. See Item 8 of Part II, “Financial Statements and Supplementary Data — Note 1 — Description of Business and Accounting Policies” for additional information.</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As a result of the adoption of new accounting guidance on January 1, 2019, we recognized lease assets and liabilities for operating leases with terms of more than twelve months. Prior period amounts were not adjusted and continue to be reported in accordance with our historic accounting policies. See Item 8 of Part II, “Financial Statements and Supplementary Data — Note 1 — Description of Business and Accounting Policies” for additional information.</w:t>
            </w:r>
          </w:p>
        </w:tc>
      </w:tr>
    </w:tbl>
    <w:p>
      <w:pPr>
        <w:keepNext w:val="0"/>
        <w:keepLines w:val="0"/>
        <w:widowControl/>
        <w:suppressLineNumbers w:val="0"/>
        <w:pBdr>
          <w:left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pBdr>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w:t>
      </w:r>
    </w:p>
    <w:p>
      <w:pPr>
        <w:keepNext w:val="0"/>
        <w:keepLines w:val="0"/>
        <w:widowControl/>
        <w:suppressLineNumbers w:val="0"/>
        <w:pBdr>
          <w:left w:val="none" w:color="auto" w:sz="0" w:space="0"/>
        </w:pBdr>
        <w:spacing w:line="288" w:lineRule="auto"/>
        <w:ind w:left="0" w:hanging="480"/>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18</w:t>
      </w:r>
    </w:p>
    <w:p>
      <w:pPr>
        <w:keepNext w:val="0"/>
        <w:keepLines w:val="0"/>
        <w:widowControl/>
        <w:suppressLineNumbers w:val="0"/>
      </w:pPr>
      <w:r>
        <w:rPr>
          <w:rFonts w:hint="default" w:ascii="Times New Roman" w:hAnsi="Times New Roman" w:cs="Times New Roman"/>
          <w:sz w:val="20"/>
          <w:szCs w:val="20"/>
        </w:rP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7.</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Management’s Discussion and Analysis of Financial Condition and Results of Operations</w:t>
            </w: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Forward-Looking Statements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This Annual Report on Form 10-K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Annual Report on Form 10-K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seasonality, the degree to which we enter into, maintain, and develop commercial agreements, proposed and completed acquisitions and strategic transactions, payments risks, and risks of fulfillment throughput and productivity. In addition, the global economic climate amplifies many of these risks. These risks and uncertainties, as well as other risks and uncertainties that could cause our actual results to differ significantly from management’s expectations, are described in greater detail in Item 1A of Part I, “Risk Factors.”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Overview</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Our primary source of revenue is the sale of a wide range of products and services to customers</w:t>
      </w:r>
      <w:r>
        <w:rPr>
          <w:rFonts w:hint="default" w:ascii="Times New Roman" w:hAnsi="Times New Roman" w:eastAsia="宋体" w:cs="Times New Roman"/>
          <w:sz w:val="20"/>
          <w:szCs w:val="20"/>
        </w:rPr>
        <w:t>. The products offered through our stores include merchandise and content we have purchased for resale and products offered by third-party sellers, and we also manufacture and sell electronic devices and produce media content. Generally, we recognize gross revenue from items we sell from our inventory as product sales and recognize our net share of revenue of items sold by third-party sellers as service sales. We seek to increase unit sales across our stores, through increased product selection, across numerous product categories. We also offer other services such as compute, storage, and database offerings, fulfillment, advertising, publishing, and digital content subscriptions.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Our financial focus is on long-term, sustainable growth in free cash flows</w:t>
      </w:r>
      <w:r>
        <w:rPr>
          <w:rFonts w:hint="default" w:ascii="Times New Roman" w:hAnsi="Times New Roman" w:eastAsia="宋体" w:cs="Times New Roman"/>
          <w:i/>
          <w:iCs/>
          <w:sz w:val="14"/>
          <w:szCs w:val="14"/>
        </w:rPr>
        <w:t>1</w:t>
      </w:r>
      <w:r>
        <w:rPr>
          <w:rFonts w:hint="default" w:ascii="Times New Roman" w:hAnsi="Times New Roman" w:eastAsia="宋体" w:cs="Times New Roman"/>
          <w:i/>
          <w:iCs/>
          <w:sz w:val="20"/>
          <w:szCs w:val="20"/>
        </w:rPr>
        <w:t>.</w:t>
      </w:r>
      <w:r>
        <w:rPr>
          <w:rFonts w:hint="default" w:ascii="Times New Roman" w:hAnsi="Times New Roman" w:eastAsia="宋体" w:cs="Times New Roman"/>
          <w:sz w:val="20"/>
          <w:szCs w:val="20"/>
        </w:rPr>
        <w:t xml:space="preserve"> Free cash flows are driven primarily by increasing operating income and efficiently managing working capital</w:t>
      </w:r>
      <w:r>
        <w:rPr>
          <w:rFonts w:hint="default" w:ascii="Times New Roman" w:hAnsi="Times New Roman" w:eastAsia="宋体" w:cs="Times New Roman"/>
          <w:sz w:val="14"/>
          <w:szCs w:val="14"/>
        </w:rPr>
        <w:t>2</w:t>
      </w:r>
      <w:r>
        <w:rPr>
          <w:rFonts w:hint="default" w:ascii="Times New Roman" w:hAnsi="Times New Roman" w:eastAsia="宋体" w:cs="Times New Roman"/>
          <w:sz w:val="20"/>
          <w:szCs w:val="20"/>
        </w:rPr>
        <w:t xml:space="preserve">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including capital expenditures focused on improving the customer experience. To increase sales of products and services, we focus on improving all aspects of the customer experience, including lowering prices, improving availability, offering faster delivery and performance times, increasing selection, producing original content, increasing product categories and service offerings, expanding product information, improving ease of use, improving reliability, and earning customer trust.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We seek to reduce our variable costs per unit and work to leverage our fixed costs.</w:t>
      </w:r>
      <w:r>
        <w:rPr>
          <w:rFonts w:hint="default" w:ascii="Times New Roman" w:hAnsi="Times New Roman" w:eastAsia="宋体" w:cs="Times New Roman"/>
          <w:sz w:val="20"/>
          <w:szCs w:val="20"/>
        </w:rPr>
        <w:t xml:space="preserve"> Our variable costs include product and content costs, payment processing and related transaction costs, picking, packaging, and preparing orders for shipment, transportation, customer service support, costs necessary to run AWS, and a portion of our marketing costs. Our fixed costs include the costs necessary to build and run our technology infrastructure; to build, enhance, and add features to our online stores, web services, electronic devices, and digital offerings; and to build and optimize our fulfillment and delivery networks and related facilities. Variable costs generally change directly with sales volume, while fixed costs generally are dependent on the timing of capacity needs, geographic expansion, category expansion, and other factors. To decrease our variable costs on a per unit basis and enable us to lower prices for customers, we seek to increase our direct sourcing, increase discounts from suppliers, and reduce defects in our processes. To minimize unnecessary growth in fixed costs, we seek to improve process efficiencies and maintain a lean culture.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See “Results of Operations — Non-GAAP Financial Measures” below for additional information on our non-GAAP free cash flows financial measures.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6543"/>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Working capital consists of accounts receivable, inventory, and accounts payable.</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19</w:t>
      </w:r>
    </w:p>
    <w:p>
      <w:pPr>
        <w:keepNext w:val="0"/>
        <w:keepLines w:val="0"/>
        <w:widowControl/>
        <w:suppressLineNumbers w:val="0"/>
      </w:pPr>
      <w:r>
        <w:rPr>
          <w:rFonts w:hint="default" w:ascii="Times New Roman" w:hAnsi="Times New Roman" w:cs="Times New Roman"/>
          <w:sz w:val="20"/>
          <w:szCs w:val="20"/>
        </w:rP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Because of our model we are able to turn our inventory quickly and have a cash-generating operating cycle</w:t>
      </w:r>
      <w:r>
        <w:rPr>
          <w:rFonts w:hint="default" w:ascii="Times New Roman" w:hAnsi="Times New Roman" w:eastAsia="宋体" w:cs="Times New Roman"/>
          <w:i/>
          <w:iCs/>
          <w:sz w:val="14"/>
          <w:szCs w:val="14"/>
        </w:rPr>
        <w:t>3</w:t>
      </w:r>
      <w:r>
        <w:rPr>
          <w:rFonts w:hint="default" w:ascii="Times New Roman" w:hAnsi="Times New Roman" w:eastAsia="宋体" w:cs="Times New Roman"/>
          <w:i/>
          <w:iCs/>
          <w:sz w:val="20"/>
          <w:szCs w:val="20"/>
        </w:rPr>
        <w:t>.</w:t>
      </w:r>
      <w:r>
        <w:rPr>
          <w:rFonts w:hint="default" w:ascii="Times New Roman" w:hAnsi="Times New Roman" w:eastAsia="宋体" w:cs="Times New Roman"/>
          <w:sz w:val="20"/>
          <w:szCs w:val="20"/>
        </w:rPr>
        <w:t xml:space="preserve"> On average, our high inventory velocity means we generally collect from consumers before our payments to suppliers come due. We expect variability in inventory turnover over time since it is affected by numerous factors, including our product mix, the mix of sales by us and by third-party sellers, our continuing focus on in-stock inventory availability and selection of product offerings, our investment in new geographies and product lines, and the extent to which we choose to utilize third-party fulfillment providers. We also expect some variability in accounts payable days over time since they are affected by several factors, including the mix of product sales, the mix of sales by third-party sellers, the mix of suppliers, seasonality, and changes in payment terms over time, including the effect of balancing pricing and timing of payment terms with suppliers.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We expect spending in technology and content will increase over time as we add computer scientists, designers, software and hardware engineers, and merchandising employees. Our technology and content investment and capital spending projects often support a variety of product and service offerings due to geographic expansion and the cross-functionality of our systems and operations. We seek to invest efficiently in several areas of technology and content, including AWS, and expansion of new and existing product categories and service offerings, as well as in technology infrastructure to enhance the customer experience and improve our process efficiencies.</w:t>
      </w:r>
      <w:r>
        <w:rPr>
          <w:rFonts w:hint="default" w:ascii="Times New Roman" w:hAnsi="Times New Roman" w:eastAsia="宋体" w:cs="Times New Roman"/>
          <w:sz w:val="20"/>
          <w:szCs w:val="20"/>
        </w:rPr>
        <w:t xml:space="preserve"> We believe that advances in technology, specifically the speed and reduced cost of processing power, the advances of wireless connectivity, and the practical applications of artificial intelligence and machine learning, will continue to improve the consumer experience on the Internet and increase its ubiquity in people’s lives. To best take advantage of these continued advances in technology, we are investing in initiatives to build and deploy innovative and efficient software and electronic devices. We are also investing in AWS, which offers a broad set of global compute, storage, database, and other service offerings to developers and enterprises of all sizes.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We seek to efficiently manage shareholder dilution while maintaining the flexibility to issue shares for strategic purposes, such as financings, acquisitions, and aligning employee compensation with shareholders’ interests.</w:t>
      </w:r>
      <w:r>
        <w:rPr>
          <w:rFonts w:hint="default" w:ascii="Times New Roman" w:hAnsi="Times New Roman" w:eastAsia="宋体" w:cs="Times New Roman"/>
          <w:sz w:val="20"/>
          <w:szCs w:val="20"/>
        </w:rPr>
        <w:t xml:space="preserve"> We utilize restricted stock units as our primary vehicle for equity compensation because we believe this compensation model aligns the long-term interests of our shareholders and employees. In measuring shareholder dilution, we include all vested and unvested stock awards outstanding, without regard to estimated forfeitures. Total shares outstanding plus outstanding stock awards were 507 million and 512 million as of December 31, 2018 and 2019.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Our financial reporting currency is the U.S. Dollar and changes in foreign exchange rates significantly affect our reported results and consolidated trends</w:t>
      </w:r>
      <w:r>
        <w:rPr>
          <w:rFonts w:hint="default" w:ascii="Times New Roman" w:hAnsi="Times New Roman" w:eastAsia="宋体" w:cs="Times New Roman"/>
          <w:sz w:val="20"/>
          <w:szCs w:val="20"/>
        </w:rPr>
        <w:t>. For example, if the U.S. Dollar weakens year-over-year relative to currencies in our international locations, our consolidated net sales and operating expenses will be higher than if currencies had remained constant. Likewise, if the U.S. Dollar strengthens year-over-year relative to currencies in our international locations, our consolidated net sales and operating expenses will be lower than if currencies had remained constant. We believe that our increasing diversification beyond the U.S. economy through our growing international businesses benefits our shareholders over the long-term. We also believe it is useful to evaluate our operating results and growth rates before and after the effect of currency changes.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the remeasurement of our intercompany balances can result in significant gains and losses associated with the effect of movements in foreign currency exchange rates. Currency volatilities may continue, which may significantly impact (either positively or negatively) our reported results and consolidated trends and comparisons.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For additional information about each line item addressed above, refer to Item 8 of Part II, “Financial Statements and Supplementary Data — Note 1 — Description of Business and Accounting Policies.”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Annual Report on Form 10-K for the year ended December 31, 2018 includes a discussion and analysis of our financial condition and results of operations for the year ended December 31, 2017 in Item 7 of Part II, “Management’s Discussion and Analysis of Financial Condition and Results of Operations.”</w:t>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operating cycle is the number of days of sales in inventory plus the number of days of sales in accounts receivable minus accounts payable days.</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20</w:t>
      </w:r>
    </w:p>
    <w:p>
      <w:pPr>
        <w:keepNext w:val="0"/>
        <w:keepLines w:val="0"/>
        <w:widowControl/>
        <w:suppressLineNumbers w:val="0"/>
      </w:pPr>
      <w:r>
        <w:rPr>
          <w:rFonts w:hint="default" w:ascii="Times New Roman" w:hAnsi="Times New Roman" w:cs="Times New Roman"/>
          <w:sz w:val="20"/>
          <w:szCs w:val="20"/>
        </w:rP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Critical Accounting Judgments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preparation of financial statements in conformity with generally accepted accounting principles of the United States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and Accounting Policies.”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Inventories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 we would have recorded an additional cost of sales of approximately $230 million.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Income Taxes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are actively pursuing changes to their tax laws applicable to corporate multinationals, such as the U.S. tax reform legislation commonly known as the U.S. Tax Cuts and Jobs Act of 2017 (the “U.S. Tax Act”). Finally, foreign governments may enact tax laws in response to the U.S. Tax Act that could result in further changes to global taxation and materially affect our financial position and results of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U.S. Tax Act significantly changed how the U.S. taxes corporations. The U.S. Tax Act requires complex computations to be performed that were not previously required by U.S. tax law, significant judgments to be made in interpretation of the provisions of the U.S. Tax Act, significant estimates in calculations, and the preparation and analysis of information not previously relevant or regularly produced. The U.S. Treasury Department, the IRS, and other standard-setting bodies will continue to interpret or issue guidance on how provisions of the U.S. Tax Act will be applied or otherwise administered. As future guidance is issued, we may make adjustments to amounts that we have previously recorded that may materially impact our provision for income taxes in the period in which the adjustments are made.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21</w:t>
      </w:r>
    </w:p>
    <w:p>
      <w:pPr>
        <w:keepNext w:val="0"/>
        <w:keepLines w:val="0"/>
        <w:widowControl/>
        <w:suppressLineNumbers w:val="0"/>
      </w:pPr>
      <w:r>
        <w:rPr>
          <w:rFonts w:hint="default" w:ascii="Times New Roman" w:hAnsi="Times New Roman" w:cs="Times New Roman"/>
          <w:sz w:val="20"/>
          <w:szCs w:val="20"/>
        </w:rP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Recent Accounting Pronouncements</w:t>
      </w:r>
    </w:p>
    <w:p>
      <w:pPr>
        <w:keepNext w:val="0"/>
        <w:keepLines w:val="0"/>
        <w:widowControl/>
        <w:suppressLineNumbers w:val="0"/>
        <w:pBdr>
          <w:top w:val="none" w:color="auto" w:sz="0" w:space="0"/>
          <w:bottom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See Item 8 of Part II, “Financial Statements and Supplementary Data — Note 1 — Description of Business and Accounting Policies.”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Liquidity and Capital Resources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Cash flow information, which reflects retrospective adjustments to our consolidated statements of cash flows as described in Item 8 of Part II, “Financial Statements and Supplementary Data — Note 1 — Description of Business and Accounting Policies,” is as follows (in millions):</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60"/>
        <w:gridCol w:w="140"/>
        <w:gridCol w:w="761"/>
        <w:gridCol w:w="107"/>
        <w:gridCol w:w="130"/>
        <w:gridCol w:w="140"/>
        <w:gridCol w:w="761"/>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Cash provided by (used in):</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72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activities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30,723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38,514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72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Investing activities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(12,369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(24,281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72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Financing activities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(7,686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(10,066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principal sources of liquidity are cash flows generated from operations and our cash, cash equivalents, and marketable securities balances, which, at fair value, were $41.3 billion and $55.0 billion as of December 31, 2018 and 2019. Amounts held in foreign currencies were $13.8 billion and $15.3 billion as of December 31, 2018 and 2019, and were primarily Euros, British Pounds, and Japanese Yen.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Cash provided by (used in) operating activities was $30.7 billion and $38.5 billion in 2018 and 2019.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in 2019, compared to the prior year, is primarily due to the increase in net income, excluding non-cash charges such as depreciation, amortization, and stock-based compensation. Cash provided by (used in) operating activities is also subject to changes in working capital. Working capital at any specific point in time is subject to many variables, including seasonality, inventory management and category expansion, the timing of cash receipts and payments, vendor payment terms, and fluctuations in foreign exchange rates.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$(12.4) billion and $(24.3) billion in 2018 and 2019, with the variability caused primarily by our decision to purchase or lease property and equipment and purchases, maturities, and sales of marketable securities. Cash capital expenditures were $11.3 billion, and $12.7 billion in 2018 and 2019, which primarily reflect additional capacity to support our fulfillment operations and additional investments in support of continued business growth in technology infrastructure (the majority of which is to support AWS). We made cash payments, net of acquired cash, related to acquisition and other investment activity of $2.2 billion and $2.5 billion in 2018 and 2019.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Cash provided by (used in) financing activities was $(7.7) billion and $(10.1) billion in 2018 and 2019. Cash outflows from financing activities result from principal repayments of finance leases and financing obligations and repayments of long-term debt and other, and were $8.5 billion and $12.3 billion in 2018 and 2019. Property and equipment acquired under finance leases was $10.6 billion and $13.7 billion in 2018 and 2019, with the increase reflecting investments in support of continued business growth primarily due to investments in technology infrastructure for AWS, which investments we expect to continue over time.</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had no borrowings outstanding under the commercial paper program (the “Commercial Paper Program”) or unsecured revolving credit facility (the “Credit Agreement”) and $740 million of borrowings outstanding under our $740 million secured revolving credit facility (the “Credit Facility”) as of December 31, 2019. See Item 8 of Part II, “Financial Statements and Supplementary Data — Note 6 — Debt” for additional information.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2018 and 2019, we recorded net tax provisions of $1.2 billion and $2.4 billion. Certain foreign subsidiary earnings are subject to U.S. taxation under the U.S. Tax Act, which also repeals U.S. taxation on the subsequent repatriation of those earnings. We intend to invest substantially all of our foreign subsidiary earnings, as well as our capital in our foreign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22</w:t>
      </w:r>
    </w:p>
    <w:p>
      <w:pPr>
        <w:keepNext w:val="0"/>
        <w:keepLines w:val="0"/>
        <w:widowControl/>
        <w:suppressLineNumbers w:val="0"/>
      </w:pPr>
      <w:r>
        <w:rPr>
          <w:rFonts w:hint="default" w:ascii="Times New Roman" w:hAnsi="Times New Roman" w:cs="Times New Roman"/>
          <w:sz w:val="20"/>
          <w:szCs w:val="20"/>
        </w:rP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subsidiaries, indefinitely outside of the U.S. in those jurisdictions in which we would incur significant, additional costs upon repatriation of such amounts. As of December 31, 2019, cash, cash equivalents, and marketable securities held by foreign subsidiaries was $13.4 billion.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Tax benefits relating to excess stock-based compensation deductions and accelerated depreciation deductions are reducing our U.S. taxable income. The U.S. Tax Act enhanced and extended accelerated depreciation deductions by allowing full expensing of qualified property, primarily equipment, through 2022. Cash taxes paid (net of refunds) were $1.2 billion and $881 million for 2018 and 2019. As of December 31, 2019, we had approximately $1.7 billion of federal tax credits potentially available to offset future tax liabilities. Our federal tax credits are primarily related to the U.S. federal research and development credit. As we utilize our federal tax credits we expect cash paid for taxes to increase. We 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that we deposited into escrow in March 2018, subject to adjustment pending conclusion of all appeals.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liquidity is also affected by restricted cash balances that are pledged as collateral for real estate leases, amounts due to third-party sellers in certain jurisdictions, debt, and standby and trade letters of credit. To the extent we process payments for third-party sellers or offer certain types of stored value to our customers, some jurisdictions may restrict our use of those funds. These restrictions would result in the reclassification of a portion of our cash and cash equivalents from “Cash and cash equivalents” to restricted cash, which is classified within “Accounts receivable, net and other” and “Other assets” on our consolidated balance sheets. As of December 31, 2018 and 2019, restricted cash, cash equivalents, and marketable securities were $426 million and $321 million. See Item 8 of Part II, “Financial Statements and Supplementary Data — Note 7 — Commitments and Contingencies” for additional discussion of our principal contractual commitments, as well as our pledged assets. Additionally, purchase obligations and open purchase orders, consisting of inventory and significant non-inventory commitments, were $15.7 billion as of December 31, 2019. These purchase obligations and open purchase orders are generally cancellable in full or in part through the contractual provisions.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sale of additional equity or convertible debt securities would likely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23</w:t>
      </w:r>
    </w:p>
    <w:p>
      <w:pPr>
        <w:keepNext w:val="0"/>
        <w:keepLines w:val="0"/>
        <w:widowControl/>
        <w:suppressLineNumbers w:val="0"/>
      </w:pPr>
      <w:r>
        <w:rPr>
          <w:rFonts w:hint="default" w:ascii="Times New Roman" w:hAnsi="Times New Roman" w:cs="Times New Roman"/>
          <w:sz w:val="20"/>
          <w:szCs w:val="20"/>
        </w:rP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Results of Operations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organized our operations into three segments: North America, International, and AWS. These segments reflect the way the Company evaluates its business performance and manages its operations. See Item 8 of Part II, “Financial Statements and Supplementary Data — Note 10 — Segment Information.”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Net Sales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Amazon Prime membership fees, advertising services, and certain digital content subscriptions. Net sales information is as follows (in millions):</w:t>
      </w:r>
    </w:p>
    <w:tbl>
      <w:tblPr>
        <w:tblStyle w:val="5"/>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087"/>
        <w:gridCol w:w="140"/>
        <w:gridCol w:w="693"/>
        <w:gridCol w:w="207"/>
        <w:gridCol w:w="130"/>
        <w:gridCol w:w="140"/>
        <w:gridCol w:w="694"/>
        <w:gridCol w:w="2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141,366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170,773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65,866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74,723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25,655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35,026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232,887</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280,522</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Year-over-year Percentage Growth:</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Year-over-year Percentage Growth, excluding the effect of foreign exchange rates: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 mix:</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gridSpan w:val="2"/>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w:t>
            </w:r>
          </w:p>
        </w:tc>
        <w:tc>
          <w:tcPr>
            <w:tcW w:w="0" w:type="auto"/>
            <w:tcBorders>
              <w:top w:val="single" w:color="000000" w:sz="8" w:space="0"/>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w:t>
            </w:r>
          </w:p>
        </w:tc>
        <w:tc>
          <w:tcPr>
            <w:tcW w:w="0" w:type="auto"/>
            <w:tcBorders>
              <w:top w:val="single" w:color="000000" w:sz="8" w:space="0"/>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Sales increased 20% in 2019, compared to the prior year. Changes in foreign currency exchange rates impacted net sales by $1.3 billion and $(2.6) billion for 2018 and 2019. For a discussion of the effect on sales growth of foreign exchange rates, see “Effect of Foreign Exchange Rates” below.</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North America sales increased 21% in 2019, compared to the prior year. The sales growth primarily reflects increased unit sales, including sales by third-party sellers. Increased unit sales were driven largely by our continued efforts to reduce prices for our customers, including from our shipping offers, increased in-stock inventory availability, and increased selection.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International sales increased 13% in 2019, compared to the prior year. The sales growth primarily reflects increased unit sales, including sales by third-party sellers. Increased unit sales were driven largely by our continued efforts to reduce prices for our customers, including from our shipping offers, increased in-stock inventory availability, and increased selection. Changes in foreign currency exchange rates impacted International net sales by $1.3 billion and $(2.4) billion in 2018 and 2019.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AWS sales increased 37% in 2019, compared to the prior year.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24</w:t>
      </w:r>
    </w:p>
    <w:p>
      <w:pPr>
        <w:keepNext w:val="0"/>
        <w:keepLines w:val="0"/>
        <w:widowControl/>
        <w:suppressLineNumbers w:val="0"/>
      </w:pPr>
      <w:r>
        <w:rPr>
          <w:rFonts w:hint="default" w:ascii="Times New Roman" w:hAnsi="Times New Roman" w:cs="Times New Roman"/>
          <w:sz w:val="20"/>
          <w:szCs w:val="20"/>
        </w:rP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 xml:space="preserve">Operating Income (Loss)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60"/>
        <w:gridCol w:w="140"/>
        <w:gridCol w:w="761"/>
        <w:gridCol w:w="107"/>
        <w:gridCol w:w="130"/>
        <w:gridCol w:w="140"/>
        <w:gridCol w:w="761"/>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Operating Income (Loss):</w:t>
            </w:r>
          </w:p>
        </w:tc>
        <w:tc>
          <w:tcPr>
            <w:tcW w:w="0" w:type="auto"/>
            <w:gridSpan w:val="3"/>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7,267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7,033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(2,142</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(1,693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7,296</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9,201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12,421</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14,541</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Operating income was $12.4 billion and $14.5 billion for 2018 and 2019. We believe that operating income (loss) is a more meaningful measure than gross profit and gross margin due to the diversity of our product categories and services.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decrease in North America operating income in absolute dollars in 2019, compared to the prior year, is primarily due to increased shipping costs and marketing expense, partially offset by increased unit sales, including sales by third-party sellers, and advertising sales and slower growth in certain operating expenses. Changes in foreign exchange rates impacted operating income by $17 million and $23 million for 2018 and 2019.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decrease in International operating loss in absolute dollars in 2019, compared to the prior year, is primarily due to increased unit sales, including sales by third-party sellers, and advertising sales, and slower growth in certain operating expenses, partially offset by increased marketing expense. Changes in foreign exchange rates impacted operating loss by $258 million and $(116) million for 2018 and 2019.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AWS operating income in absolute dollars in 2019, compared to the prior year, is primarily due to increased customer usage and cost structure productivity, partially offset by pricing changes and increased spending on technology infrastructure and payroll and related expenses, which was primarily driven by additional investments to support the business growth. Changes in foreign exchange rates impacted operating income by $(49) million and $273 million for 2018 and 2019.</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25</w:t>
      </w:r>
    </w:p>
    <w:p>
      <w:pPr>
        <w:keepNext w:val="0"/>
        <w:keepLines w:val="0"/>
        <w:widowControl/>
        <w:suppressLineNumbers w:val="0"/>
      </w:pPr>
      <w:r>
        <w:rPr>
          <w:rFonts w:hint="default" w:ascii="Times New Roman" w:hAnsi="Times New Roman" w:cs="Times New Roman"/>
          <w:sz w:val="20"/>
          <w:szCs w:val="20"/>
        </w:rP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Operating Expenses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Information about operating expenses is as follows (in millions):</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18"/>
          <w:szCs w:val="18"/>
        </w:rPr>
        <w:t> </w:t>
      </w:r>
    </w:p>
    <w:tbl>
      <w:tblPr>
        <w:tblStyle w:val="5"/>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070"/>
        <w:gridCol w:w="140"/>
        <w:gridCol w:w="677"/>
        <w:gridCol w:w="207"/>
        <w:gridCol w:w="130"/>
        <w:gridCol w:w="140"/>
        <w:gridCol w:w="677"/>
        <w:gridCol w:w="25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2"/>
                <w:szCs w:val="12"/>
              </w:rPr>
            </w:pPr>
            <w:r>
              <w:rPr>
                <w:rFonts w:hint="default" w:ascii="Times New Roman" w:hAnsi="Times New Roman" w:eastAsia="宋体" w:cs="Times New Roman"/>
                <w:sz w:val="12"/>
                <w:szCs w:val="12"/>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2"/>
                <w:szCs w:val="12"/>
              </w:rPr>
            </w:pPr>
            <w:r>
              <w:rPr>
                <w:rFonts w:hint="default" w:ascii="Times New Roman" w:hAnsi="Times New Roman" w:eastAsia="宋体" w:cs="Times New Roman"/>
                <w:sz w:val="12"/>
                <w:szCs w:val="12"/>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3"/>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139,156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165,536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34,027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40,232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28,837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35,931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13,814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18,878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4,336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5,203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operating expenses</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220,466</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265,981</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Year-over-year Percentage Growth:</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Percent of Net Sales: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59.8</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Cost of Sales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cost of sales in absolute dollars in 2019, compared to the prior year, is primarily due to increased product and shipping costs resulting from increased sales.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Shipping costs to receive products from our suppliers are included in our inventory and recognized as cost of sales upon sale of products to our customers. Shipping costs, which include sortation and delivery centers and transportation costs, were $27.7 billion and $37.9 billion in 2018 and 2019. We expect our cost of shipping to continue to increase to the extent our customers accept and use our shipping offers at an increasing rate, we reduce shipping rates,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Costs to operate our AWS segment are primarily classified as “Technology and content” as we leverage a shared infrastructure that supports both our internal technology requirements and external sales to AWS customers.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26</w:t>
      </w:r>
    </w:p>
    <w:p>
      <w:pPr>
        <w:keepNext w:val="0"/>
        <w:keepLines w:val="0"/>
        <w:widowControl/>
        <w:suppressLineNumbers w:val="0"/>
      </w:pPr>
      <w:r>
        <w:rPr>
          <w:rFonts w:hint="default" w:ascii="Times New Roman" w:hAnsi="Times New Roman" w:cs="Times New Roman"/>
          <w:sz w:val="20"/>
          <w:szCs w:val="20"/>
        </w:rP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Fulfillment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because payment processing costs associated with seller transactions are based on the gross purchase price of underlying transactions, and payment processing and related transaction costs are higher as a percentage of sales versus our retail sales, sales by our sellers have higher payment processing costs as a percent of net sales.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fulfillment costs in absolute dollars in 2019, compared to the prior year, is primarily due to variable costs corresponding with increased product and service sales volume and inventory levels and costs from expanding our fulfillment network, which includes physical stores.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Technology and Content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2019, compared to the prior year, is primarily due to an increase in spending on technology infrastructure and increased payroll and related costs associated with technical teams responsible for expanding our existing products and services and initiatives to introduce new products and service offerings. We expect technology and content costs to grow at a slower rate in 2020 due to an increase in the estimated useful life of our servers, which will impact each of our segments. See Item 8 of Part II, “Financial Statements and Supplementary Data — Note 1 — Description of Business and Accounting Policies — Use of Estimates” for additional information on the change in estimated useful life of our servers.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Marketing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third party customer referrals, social and online advertising,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marketing costs in absolute dollars in 2019, compared to the prior year, is primarily due to increased spending on marketing channels, as well as payroll and related expenses for personnel engaged in marketing and selling activities.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While costs associated with Amazon Prime memberships and other shipping offers are not included in marketing expense, we view these offers as effective worldwide marketing tools, and intend to continue offering them indefinitely.</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27</w:t>
      </w:r>
    </w:p>
    <w:p>
      <w:pPr>
        <w:keepNext w:val="0"/>
        <w:keepLines w:val="0"/>
        <w:widowControl/>
        <w:suppressLineNumbers w:val="0"/>
      </w:pPr>
      <w:r>
        <w:rPr>
          <w:rFonts w:hint="default" w:ascii="Times New Roman" w:hAnsi="Times New Roman" w:cs="Times New Roman"/>
          <w:sz w:val="20"/>
          <w:szCs w:val="20"/>
        </w:rP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General and Administrative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increase in general and administrative costs in absolute dollars in 2019, compared to the prior year, is primarily due to increases in payroll and related expenses.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Other Operating Expense (Income),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 was $296 million and $201 million during 2018 and 2019, and is primarily related to the amortization of intangible assets.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Interest Income and Expense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interest income was $440 million and $832 million during 2018 and 2019.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Interest expense was $1.4 billion and $1.6 billion in 2018 and 2019. The increase is primarily related to finance leases.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long-term lease liabilities were $9.7 billion and $39.8 billion as of December 31, 2018 and 2019. Our long-term debt was $23.5 billion and $23.4 billion as of December 31, 2018 and 2019. See Item 8 of Part II, “Financial Statements and Supplementary Data — Note 4 — Leases and Note 6 — Debt” for additional information.</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Other Income (Expense),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Other income (expense), net was $(183) million and $203 million during 2018 and 2019. The primary components of other income (expense), net are related to equity securities and warrant valuations and foreign currency.</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Income Taxes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effective tax rate is subject to significant variation due to several factors, including variability in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recorded a provision for income taxes of $1.2 billion and $2.4 billion in 2018 and 2019. Our provision for income taxes in 2019 was higher than in 2018 primarily due to an increase in U.S. pre-tax income, a decline in excess tax benefits from stock-based compensation, and the one-time provisional tax benefit of the U.S. Tax Act recognized in 2018.</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Tax benefits relating to excess stock-based compensation deductions and accelerated depreciation deductions are reducing our U.S. taxable income. The U.S. Tax Act enhanced and extended accelerated depreciation deductions by allowing full expensing of qualified property, primarily equipment, through 2022. As of December 31, 2019, we had approximately $1.7 billion of federal tax credits potentially available to offset future tax liabilities. Our federal tax credits are primarily related to the U.S. federal research and development credit.</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See Item 8 of Part II, “Financial Statements and Supplementary Data — Note 9 — Income Taxes” for additional information.</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Non-GAAP Financial Measures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provide multiple measures of free cash flows because we believe these measures provide additional perspective on the impact of acquiring property and equipment with cash and through finance leases and financing obligations. We adopted new lease accounting guidance on January 1, 2019 without retrospectively adjusting prior periods. As a result, the line items used in our calculation of measures of free cash flows have changed. See Item 8 of Part II, “Financial Statements and Supplementary Data — Note 1 — Description of Business and Accounting Policies.”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28</w:t>
      </w:r>
    </w:p>
    <w:p>
      <w:pPr>
        <w:keepNext w:val="0"/>
        <w:keepLines w:val="0"/>
        <w:widowControl/>
        <w:suppressLineNumbers w:val="0"/>
      </w:pPr>
      <w:r>
        <w:rPr>
          <w:rFonts w:hint="default" w:ascii="Times New Roman" w:hAnsi="Times New Roman" w:cs="Times New Roman"/>
          <w:sz w:val="20"/>
          <w:szCs w:val="20"/>
        </w:rP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Free Cash Flow</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2018 and 2019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60"/>
        <w:gridCol w:w="140"/>
        <w:gridCol w:w="761"/>
        <w:gridCol w:w="107"/>
        <w:gridCol w:w="130"/>
        <w:gridCol w:w="140"/>
        <w:gridCol w:w="761"/>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operating activities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30,723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38,514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Purchases of property and equipment, net of proceeds from sales and incentives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(11,323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(12,689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19,400</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25,825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investing activities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(12,369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(24,281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financing activities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(7,686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(10,066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Free Cash Flow Less Principal Repayments of Finance Leases and Financing Obligations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2018 and 2019 (in millions):</w:t>
      </w:r>
    </w:p>
    <w:tbl>
      <w:tblPr>
        <w:tblStyle w:val="5"/>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54"/>
        <w:gridCol w:w="140"/>
        <w:gridCol w:w="760"/>
        <w:gridCol w:w="107"/>
        <w:gridCol w:w="130"/>
        <w:gridCol w:w="140"/>
        <w:gridCol w:w="760"/>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operating activities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30,723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38,514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Purchases of property and equipment, net of proceeds from sales and incentives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(11,323</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(12,689</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19,400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25,825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Principal repayments of finance leases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(7,449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(9,628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Principal repayments of financing obligations (1)</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 less principal repayments of finance leases and financing obligations</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11,614</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16,170</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double" w:color="000000" w:sz="6"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investing activities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(12,369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(24,281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financing activities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(7,686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(10,066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(1) Amounts for 2018 have not been retrospectively adjusted.</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29</w:t>
      </w:r>
    </w:p>
    <w:p>
      <w:pPr>
        <w:keepNext w:val="0"/>
        <w:keepLines w:val="0"/>
        <w:widowControl/>
        <w:suppressLineNumbers w:val="0"/>
      </w:pPr>
      <w:r>
        <w:rPr>
          <w:rFonts w:hint="default" w:ascii="Times New Roman" w:hAnsi="Times New Roman" w:cs="Times New Roman"/>
          <w:sz w:val="20"/>
          <w:szCs w:val="20"/>
        </w:rP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 xml:space="preserve">Free Cash Flow Less Equipment Finance Leases and Principal Repayments of All Other Finance Leases and Financing Obligations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2018 and 2019 (in millions):</w:t>
      </w:r>
    </w:p>
    <w:tbl>
      <w:tblPr>
        <w:tblStyle w:val="5"/>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54"/>
        <w:gridCol w:w="140"/>
        <w:gridCol w:w="760"/>
        <w:gridCol w:w="107"/>
        <w:gridCol w:w="130"/>
        <w:gridCol w:w="140"/>
        <w:gridCol w:w="760"/>
        <w:gridCol w:w="107"/>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operating activities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30,723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38,514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Purchases of property and equipment, net of proceeds from sales and incentives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(11,323</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(12,689</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19,400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25,825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Equipment acquired under finance leases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(10,615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(12,916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Principal repayments of all other finance leases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(392</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Principal repayments of financing obligations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Free cash flow less equipment finance leases and principal repayments of all other finance leases and financing obligations</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8,448</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12,490</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investing activities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(12,369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(24,281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cash provided by (used in) financing activities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(7,686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(10,066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the twelve months ended December 31, 2019, this amount relates to equipment included in “Property and equipment acquired under finance leases” of $13,723 million. Amounts for 2018 have not been retrospectively adjusted.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 the twelve months ended December 31, 2019, this amount relates to property included in “Principal repayments of finance leases” of $9,628 million. Amounts for 2018 have not been retrospectively adjusted.</w:t>
            </w: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30</w:t>
      </w:r>
    </w:p>
    <w:p>
      <w:pPr>
        <w:keepNext w:val="0"/>
        <w:keepLines w:val="0"/>
        <w:widowControl/>
        <w:suppressLineNumbers w:val="0"/>
      </w:pPr>
      <w:r>
        <w:rPr>
          <w:rFonts w:hint="default" w:ascii="Times New Roman" w:hAnsi="Times New Roman" w:cs="Times New Roman"/>
          <w:sz w:val="20"/>
          <w:szCs w:val="20"/>
        </w:rP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Effect of Foreign Exchange Rates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periods. The effect on our net sales, operating expenses, and operating income from changes in our foreign exchange rates versus the U.S. Dollar is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858"/>
        <w:gridCol w:w="140"/>
        <w:gridCol w:w="650"/>
        <w:gridCol w:w="6"/>
        <w:gridCol w:w="130"/>
        <w:gridCol w:w="140"/>
        <w:gridCol w:w="517"/>
        <w:gridCol w:w="107"/>
        <w:gridCol w:w="130"/>
        <w:gridCol w:w="140"/>
        <w:gridCol w:w="650"/>
        <w:gridCol w:w="6"/>
        <w:gridCol w:w="130"/>
        <w:gridCol w:w="140"/>
        <w:gridCol w:w="650"/>
        <w:gridCol w:w="6"/>
        <w:gridCol w:w="130"/>
        <w:gridCol w:w="140"/>
        <w:gridCol w:w="581"/>
        <w:gridCol w:w="107"/>
        <w:gridCol w:w="130"/>
        <w:gridCol w:w="140"/>
        <w:gridCol w:w="650"/>
        <w:gridCol w:w="6"/>
      </w:tblGrid>
      <w:tr>
        <w:tc>
          <w:tcPr>
            <w:tcW w:w="0" w:type="auto"/>
            <w:gridSpan w:val="24"/>
            <w:shd w:val="clear" w:color="auto" w:fill="auto"/>
            <w:vAlign w:val="center"/>
          </w:tcPr>
          <w:p>
            <w:pPr>
              <w:jc w:val="left"/>
              <w:rPr>
                <w:rFonts w:hint="default" w:ascii="Times New Roman" w:hAnsi="Times New Roman" w:cs="Times New Roman"/>
                <w:sz w:val="20"/>
                <w:szCs w:val="20"/>
              </w:rPr>
            </w:pPr>
          </w:p>
        </w:tc>
      </w:tr>
      <w:tr>
        <w:tc>
          <w:tcPr>
            <w:tcW w:w="2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2"/>
                <w:szCs w:val="12"/>
              </w:rPr>
            </w:pPr>
            <w:r>
              <w:rPr>
                <w:rFonts w:hint="default" w:ascii="Times New Roman" w:hAnsi="Times New Roman" w:eastAsia="宋体" w:cs="Times New Roman"/>
                <w:sz w:val="12"/>
                <w:szCs w:val="12"/>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 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 2019</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2"/>
                <w:szCs w:val="12"/>
              </w:rPr>
            </w:pPr>
            <w:r>
              <w:rPr>
                <w:rFonts w:hint="default" w:ascii="Times New Roman" w:hAnsi="Times New Roman" w:eastAsia="宋体" w:cs="Times New Roman"/>
                <w:sz w:val="12"/>
                <w:szCs w:val="12"/>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As</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Reported</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Exchange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Rate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Effect (1)</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At Prior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Year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Rates (2)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As</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Reported</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Exchange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Rate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Effect (1)</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At Prior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Year</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Rates (2)</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232,887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(1,253</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231,634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280,522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2,560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283,082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220,466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219,439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265,981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2,740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268,721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12,421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12,195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14,541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14,361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18"/>
          <w:szCs w:val="18"/>
        </w:rPr>
        <w:t>___</w:t>
      </w:r>
      <w:r>
        <w:rPr>
          <w:rFonts w:hint="default" w:ascii="Times New Roman" w:hAnsi="Times New Roman" w:eastAsia="宋体" w:cs="Times New Roman"/>
          <w:sz w:val="20"/>
          <w:szCs w:val="20"/>
        </w:rPr>
        <w:t>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Represents the change in reported amounts resulting from changes in foreign exchange rates from those in effect in the comparable prior year period for operating results.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Represents the outcome that would have resulted had foreign exchange rates in the reported period been the same as those in effect in the comparable prior year period for operating results.</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Guidance</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provided guidance on January 30, 2020, in our earnings release furnished on Form 8-K as set forth below. These forward-looking statements reflect Amazon.com’s expectations as of January 30, 2020,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those outlined in Item 1A of Part I, “Risk Factors.”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First Quarter 2020 Guidance</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960"/>
        <w:gridCol w:w="7346"/>
      </w:tblGrid>
      <w:tr>
        <w:trPr>
          <w:tblCellSpacing w:w="0" w:type="dxa"/>
        </w:trPr>
        <w:tc>
          <w:tcPr>
            <w:tcW w:w="96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Net sales are expected to be between $69.0 billion and $73.0 billion, or to grow between 16% and 22% compared with first quarter 2019. This guidance anticipates a favorable impact of approximately 5 basis points from foreign exchange rates.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60"/>
        <w:gridCol w:w="7346"/>
      </w:tblGrid>
      <w:tr>
        <w:trPr>
          <w:tblCellSpacing w:w="0" w:type="dxa"/>
        </w:trPr>
        <w:tc>
          <w:tcPr>
            <w:tcW w:w="96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Operating income is expected to be between $3.0 billion and $4.2 billion, compared with $4.4 billion in first quarter 2019. This guidance includes approximately $800 million lower depreciation expense due to an increase in the estimated useful life of our servers beginning on January 1, 2020.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60"/>
        <w:gridCol w:w="7346"/>
      </w:tblGrid>
      <w:tr>
        <w:trPr>
          <w:tblCellSpacing w:w="0" w:type="dxa"/>
        </w:trPr>
        <w:tc>
          <w:tcPr>
            <w:tcW w:w="96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This guidance assumes, among other things, that no additional business acquisitions, investments, restructurings, or legal settlements are concluded.</w:t>
            </w: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31</w:t>
      </w:r>
    </w:p>
    <w:p>
      <w:pPr>
        <w:keepNext w:val="0"/>
        <w:keepLines w:val="0"/>
        <w:widowControl/>
        <w:suppressLineNumbers w:val="0"/>
      </w:pPr>
      <w:r>
        <w:rPr>
          <w:rFonts w:hint="default" w:ascii="Times New Roman" w:hAnsi="Times New Roman" w:cs="Times New Roman"/>
          <w:sz w:val="20"/>
          <w:szCs w:val="20"/>
        </w:rP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ind w:left="0" w:firstLine="960"/>
        <w:jc w:val="left"/>
        <w:rPr>
          <w:rFonts w:hint="default" w:ascii="Times New Roman" w:hAnsi="Times New Roman" w:cs="Times New Roman"/>
          <w:sz w:val="20"/>
          <w:szCs w:val="20"/>
        </w:rPr>
      </w:pPr>
      <w:r>
        <w:rPr>
          <w:rFonts w:hint="default" w:ascii="Times New Roman" w:hAnsi="Times New Roman" w:eastAsia="宋体" w:cs="Times New Roman"/>
          <w:sz w:val="20"/>
          <w:szCs w:val="20"/>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7A.</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Quantitative and Qualitative Disclosures About Market Risk</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7 of Part II, “Management’s Discussion and Analysis of Financial Condition and Results of Operations — Liquidity and Capital Resources.”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Interest Rate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following table provides information about our cash equivalents and marketable fixed income securities, including principal cash flows by expected maturity and the related weighted-average interest rates 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 xml:space="preserve"> (in millions, except percentages):</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92"/>
        <w:gridCol w:w="128"/>
        <w:gridCol w:w="127"/>
        <w:gridCol w:w="478"/>
        <w:gridCol w:w="185"/>
        <w:gridCol w:w="128"/>
        <w:gridCol w:w="127"/>
        <w:gridCol w:w="391"/>
        <w:gridCol w:w="185"/>
        <w:gridCol w:w="128"/>
        <w:gridCol w:w="127"/>
        <w:gridCol w:w="391"/>
        <w:gridCol w:w="185"/>
        <w:gridCol w:w="128"/>
        <w:gridCol w:w="127"/>
        <w:gridCol w:w="261"/>
        <w:gridCol w:w="185"/>
        <w:gridCol w:w="128"/>
        <w:gridCol w:w="127"/>
        <w:gridCol w:w="286"/>
        <w:gridCol w:w="185"/>
        <w:gridCol w:w="128"/>
        <w:gridCol w:w="127"/>
        <w:gridCol w:w="615"/>
        <w:gridCol w:w="185"/>
        <w:gridCol w:w="128"/>
        <w:gridCol w:w="127"/>
        <w:gridCol w:w="478"/>
        <w:gridCol w:w="185"/>
        <w:gridCol w:w="129"/>
        <w:gridCol w:w="128"/>
        <w:gridCol w:w="600"/>
        <w:gridCol w:w="77"/>
      </w:tblGrid>
      <w:tr>
        <w:tc>
          <w:tcPr>
            <w:tcW w:w="0" w:type="auto"/>
            <w:gridSpan w:val="33"/>
            <w:shd w:val="clear" w:color="auto" w:fill="auto"/>
            <w:vAlign w:val="center"/>
          </w:tcPr>
          <w:p>
            <w:pPr>
              <w:jc w:val="left"/>
              <w:rPr>
                <w:rFonts w:hint="default" w:ascii="Times New Roman" w:hAnsi="Times New Roman" w:cs="Times New Roman"/>
                <w:sz w:val="20"/>
                <w:szCs w:val="20"/>
              </w:rPr>
            </w:pPr>
          </w:p>
        </w:tc>
      </w:tr>
      <w:tr>
        <w:tc>
          <w:tcPr>
            <w:tcW w:w="1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2023</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Thereafter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Estimated Fair Value as of December 31, 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Money market funds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18,850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18,850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18,850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Weighted average interest rate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1.09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1.09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Corporate debt securities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7,629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2,988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1,052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152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11,829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11,881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Weighted average interest rate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2.29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2.63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2.57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2.38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2.90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2.41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U.S. government and agency securities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4,893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1,634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486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7,072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7,080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Weighted average interest rate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1.64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2.09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2.01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2.29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2.03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1.77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Asset-backed securities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1,492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546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180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95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2,351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2,360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Weighted average interest rate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2.57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2.52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2.53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2.29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2.52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2.54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Foreign government and agency securities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4,630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168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4,804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4,794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Weighted average interest rate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1.90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2.57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2.08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2.30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1.92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Other fixed income securities</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93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94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129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394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Weighted average interest rate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2.39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2.32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2.10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1.92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2.19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37,587</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5,430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1,851</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365</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64</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45,297</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Cash equivalents and marketable fixed income securities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45,359</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32</w:t>
      </w:r>
    </w:p>
    <w:p>
      <w:pPr>
        <w:keepNext w:val="0"/>
        <w:keepLines w:val="0"/>
        <w:widowControl/>
        <w:suppressLineNumbers w:val="0"/>
      </w:pPr>
      <w:r>
        <w:rPr>
          <w:rFonts w:hint="default" w:ascii="Times New Roman" w:hAnsi="Times New Roman" w:cs="Times New Roman"/>
          <w:sz w:val="20"/>
          <w:szCs w:val="20"/>
        </w:rP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 we had $24.8 billion of debt, including the current portion, primarily consisting of the following fixed rate unsecured debt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07"/>
        <w:gridCol w:w="140"/>
        <w:gridCol w:w="895"/>
        <w:gridCol w:w="64"/>
      </w:tblGrid>
      <w:tr>
        <w:tc>
          <w:tcPr>
            <w:tcW w:w="0" w:type="auto"/>
            <w:gridSpan w:val="4"/>
            <w:shd w:val="clear" w:color="auto" w:fill="auto"/>
            <w:vAlign w:val="center"/>
          </w:tcPr>
          <w:p>
            <w:pPr>
              <w:jc w:val="left"/>
              <w:rPr>
                <w:rFonts w:hint="default" w:ascii="Times New Roman" w:hAnsi="Times New Roman" w:cs="Times New Roman"/>
                <w:sz w:val="20"/>
                <w:szCs w:val="20"/>
              </w:rPr>
            </w:pPr>
          </w:p>
        </w:tc>
      </w:tr>
      <w:tr>
        <w:tc>
          <w:tcPr>
            <w:tcW w:w="4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1.900% Notes due on August 21, 2020</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3.300% Notes due on December 5, 2021</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2.500% Notes due on November 29, 2022</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2.400% Notes due on February 22, 2023</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2.800% Notes due on August 22, 2024</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3.800% Notes due on December 5, 2024</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5.200% Notes due on December 3, 2025</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3.150% Notes due on August 22, 2027</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4.800% Notes due on December 5, 2034</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3.875% Notes due on August 22, 2037</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4.950% Notes due on December 5, 2044</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4.050% Notes due on August 22, 2047</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4.250% Notes due on August 22, 2057</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Based upon quoted market prices and Level 2 inputs, the fair value of our total debt was $27.8 billion 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Foreign Exchange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During </w:t>
      </w:r>
      <w:r>
        <w:rPr>
          <w:rFonts w:hint="default" w:ascii="Times New Roman" w:hAnsi="Times New Roman" w:eastAsia="宋体" w:cs="Times New Roman"/>
          <w:color w:val="000000"/>
          <w:sz w:val="20"/>
          <w:szCs w:val="20"/>
          <w:u w:val="none"/>
        </w:rPr>
        <w:t>2019</w:t>
      </w:r>
      <w:r>
        <w:rPr>
          <w:rFonts w:hint="default" w:ascii="Times New Roman" w:hAnsi="Times New Roman" w:eastAsia="宋体" w:cs="Times New Roman"/>
          <w:sz w:val="20"/>
          <w:szCs w:val="20"/>
        </w:rPr>
        <w:t>, net sales from our International segment accounted for 27%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year compared to rates in effect the prior year, International segment net sales decreased by $2.4 billion in comparison with the prior year.</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foreign exchange risk related to foreign-denominated cash, cash equivalents, and marketable securities (“foreign funds”). Based on the balance of foreign funds as of December 31, 2019, of $15.3 billion, an assumed 5%, 10%, and 20% adverse change to foreign exchange would result in fair value declines of $765 million, $1.5 billion, and $3.1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foreign exchange risk related to our intercompany balances denominated in various foreign currencies. Based on the intercompany balances as of December 31, 2019, an assumed 5%, 10%, and 20% adverse change to foreign exchange would result in losses of $195 million, $385 million, and $775 million, recorded to “Other income (expense),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See Item 7 of Part II,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Equity Investment Risk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 our recorded value in equity and equity warrant investments in public and private companies was $3.3 billion. Our equity and equity warrant investments in publicly traded companies represent $679 million of our investments as of December 31, 2019, and are recorded at fair value, which is subject to market price volatility. We perform a qualitative assessment for our equity investments in private companies to identify impairment. If this assessment indicates that an impairment exists, we estimate the fair value of the investment and, if the fair value is less than carrying value, we write down the investment to fair value. Our assessment includes a review of recent operating results and trends, recent sales/acquisitions of the investee securities, and other publicly available data. The current global economic climate provides additional uncertainty. Valuations of private companies are inherently more complex due to the lack of readily available market data. As such, we believe that market sensitivities are not practicable.</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33</w:t>
      </w:r>
    </w:p>
    <w:p>
      <w:pPr>
        <w:keepNext w:val="0"/>
        <w:keepLines w:val="0"/>
        <w:widowControl/>
        <w:suppressLineNumbers w:val="0"/>
      </w:pPr>
      <w:r>
        <w:rPr>
          <w:rFonts w:hint="default" w:ascii="Times New Roman" w:hAnsi="Times New Roman" w:cs="Times New Roman"/>
          <w:sz w:val="20"/>
          <w:szCs w:val="20"/>
        </w:rP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8.</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Financial Statements and Supplementary Data</w:t>
            </w: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INDEX TO CONSOLIDATED FINANCIAL STATEMENTS</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725"/>
        <w:gridCol w:w="581"/>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46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Page</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"sE4ED3AD87FB951D19EEC0A25BA5D2766"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Report of Ernst &amp; Young LLP, Independent Registered Public Accounting Firm</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"sE4ED3AD87FB951D19EEC0A25BA5D2766"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35</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"sA956F78439B35D218F52FD7CF85AF819"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Statements of Cash Flows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"sA956F78439B35D218F52FD7CF85AF819"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37</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"s4C16EC2C85AF5E1289EA58FC8D46FF34"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Statements of Operations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"s4C16EC2C85AF5E1289EA58FC8D46FF34"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38</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"s06391AF7C98C5726A93F0473A1182FE0"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Statements of Comprehensive Income</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"s06391AF7C98C5726A93F0473A1182FE0"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39</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"sA9407C5F158550848FF0ECFE887925DE"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Balance Sheets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"sA9407C5F158550848FF0ECFE887925DE"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40</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"sFA1F8935654C553286804F93ABF6118F"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Consolidated Statements of Stockholders’ Equity</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"sFA1F8935654C553286804F93ABF6118F"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41</w:t>
            </w:r>
            <w:r>
              <w:rPr>
                <w:rFonts w:hint="default" w:ascii="Times New Roman" w:hAnsi="Times New Roman" w:eastAsia="宋体" w:cs="Times New Roman"/>
                <w:sz w:val="20"/>
                <w:szCs w:val="20"/>
              </w:rPr>
              <w:fldChar w:fldCharType="end"/>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"s3493EF18A515521E9FE07A7D12B26B9E"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Notes to Consolidated Financial Statements</w:t>
            </w:r>
            <w:r>
              <w:rPr>
                <w:rFonts w:hint="default" w:ascii="Times New Roman" w:hAnsi="Times New Roman" w:eastAsia="宋体" w:cs="Times New Roman"/>
                <w:sz w:val="20"/>
                <w:szCs w:val="20"/>
              </w:rPr>
              <w:fldChar w:fldCharType="end"/>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"s3493EF18A515521E9FE07A7D12B26B9E"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42</w:t>
            </w:r>
            <w:r>
              <w:rPr>
                <w:rFonts w:hint="default" w:ascii="Times New Roman" w:hAnsi="Times New Roman" w:eastAsia="宋体" w:cs="Times New Roman"/>
                <w:sz w:val="20"/>
                <w:szCs w:val="20"/>
              </w:rPr>
              <w:fldChar w:fldCharType="end"/>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34</w:t>
      </w:r>
    </w:p>
    <w:p>
      <w:pPr>
        <w:keepNext w:val="0"/>
        <w:keepLines w:val="0"/>
        <w:widowControl/>
        <w:suppressLineNumbers w:val="0"/>
      </w:pPr>
      <w:r>
        <w:rPr>
          <w:rFonts w:hint="default" w:ascii="Times New Roman" w:hAnsi="Times New Roman" w:cs="Times New Roman"/>
          <w:sz w:val="20"/>
          <w:szCs w:val="20"/>
        </w:rP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Report of Independent Registered Public Accounting Firm</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Board of Directors and Shareholders</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Amazon.com, Inc.</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Opinion on the Financial Statements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audited the accompanying consolidated balance sheets of Amazon.com, Inc. (the Company) as of December 31, 2019 and 2018, and the related consolidated statements of operations, comprehensive income, stockholders’ equity, and cash flows for each of the three years in the period ended December 31, 2019 and the related notes (collectively referred to as the “consolidated financial statements”). In our opinion, the consolidated financial statements present fairly, in all material respects, the financial position of the Company at December 31, 2019 and 2018, and the results of its operations and its cash flows for each of the three years in the period ended December 31, 2019, in conformity with U.S. generally accepted accounting principles.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also have audited, in accordance with the standards of the Public Company Accounting Oversight Board (United States) (PCAOB), the Company’s internal control over financial reporting as of December 31, 2019, based on criteria established in Internal Control — Integrated Framework issued by the Committee of Sponsoring Organizations of the Treadway Commission (2013 framework) and our report dated January 30, 2020 expressed an unqualified opinion thereon.</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Adoption of New Accounting Standard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discussed in Note 1 to the consolidated financial statements, the Company has changed its method for accounting for leases in 2019 due to the adoption of ASU No. 2016-02, Leases (Topic 842).</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Basis for Opinion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These consolidated financial statements are the responsibility of the Company’s management. Our responsibility is to express an opinion on the Company’s consolidated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conducted our audits in accordance with the standards of the PCAOB. Those standards require that we plan and perform the audit to obtain reasonable assurance about whether the consolidated financial statements are free of material misstatement, whether due to error or fraud. Our audits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We believe that our audits provide a reasonable basis for our opinion.</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Critical Audit Matter</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critical audit matter communicated below is a matter arising from the current period audit of the consolidated financial statements that was communicated or required to be communicated to the audit committee and that: (1) relates to accounts or disclosures that are material to the consolidated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29"/>
        <w:gridCol w:w="6977"/>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800" w:type="pct"/>
            <w:shd w:val="clear" w:color="auto" w:fill="auto"/>
            <w:vAlign w:val="center"/>
          </w:tcPr>
          <w:p>
            <w:pPr>
              <w:jc w:val="left"/>
              <w:rPr>
                <w:rFonts w:hint="default" w:ascii="Times New Roman" w:hAnsi="Times New Roman" w:cs="Times New Roman"/>
                <w:sz w:val="20"/>
                <w:szCs w:val="20"/>
              </w:rPr>
            </w:pPr>
          </w:p>
        </w:tc>
        <w:tc>
          <w:tcPr>
            <w:tcW w:w="4200" w:type="pct"/>
            <w:shd w:val="clear" w:color="auto" w:fill="auto"/>
            <w:vAlign w:val="center"/>
          </w:tcPr>
          <w:p>
            <w:pPr>
              <w:jc w:val="left"/>
              <w:rPr>
                <w:rFonts w:hint="default" w:ascii="Times New Roman" w:hAnsi="Times New Roman" w:cs="Times New Roman"/>
                <w:sz w:val="20"/>
                <w:szCs w:val="20"/>
              </w:rPr>
            </w:pPr>
          </w:p>
        </w:tc>
      </w:tr>
      <w:tr>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b/>
                <w:bCs/>
                <w:i/>
                <w:iCs/>
                <w:sz w:val="20"/>
                <w:szCs w:val="20"/>
              </w:rPr>
              <w:t>Uncertain Tax Positions</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i/>
                <w:iCs/>
                <w:sz w:val="20"/>
                <w:szCs w:val="20"/>
              </w:rPr>
              <w:t>Description of the Matter</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Company is subject to income taxes in the U.S. and numerous foreign jurisdictions and, as discussed in Note 9 of the consolidated financial statements, during the ordinary course of business, there are many tax positions for which the ultimate tax determination is uncertain. As a result, significant judgment is required in evaluating the Company’s tax positions and determining its provision for income taxes. The Company uses significant judgment in (1) determining whether a tax position’s technical merits are more likely than not to be sustained and (2) measuring the amount of tax benefit that qualifies for recognition. As of December 31, 2019, the Company accrued liabilities of $3.9 billion for various tax contingencies.</w:t>
            </w:r>
          </w:p>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Auditing the measurement of the Company’s tax contingencies was challenging because the evaluation of whether a tax position is more likely than not to be sustained and the measurement of the benefit of various tax positions can be complex, involves significant judgment, and is based on interpretations of tax laws and legal rulings.</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35</w:t>
      </w:r>
    </w:p>
    <w:p>
      <w:pPr>
        <w:keepNext w:val="0"/>
        <w:keepLines w:val="0"/>
        <w:widowControl/>
        <w:suppressLineNumbers w:val="0"/>
      </w:pPr>
      <w:r>
        <w:rPr>
          <w:rFonts w:hint="default" w:ascii="Times New Roman" w:hAnsi="Times New Roman" w:cs="Times New Roman"/>
          <w:sz w:val="20"/>
          <w:szCs w:val="20"/>
        </w:rP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29"/>
        <w:gridCol w:w="6977"/>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800" w:type="pct"/>
            <w:shd w:val="clear" w:color="auto" w:fill="auto"/>
            <w:vAlign w:val="center"/>
          </w:tcPr>
          <w:p>
            <w:pPr>
              <w:jc w:val="left"/>
              <w:rPr>
                <w:rFonts w:hint="default" w:ascii="Times New Roman" w:hAnsi="Times New Roman" w:cs="Times New Roman"/>
                <w:sz w:val="20"/>
                <w:szCs w:val="20"/>
              </w:rPr>
            </w:pPr>
          </w:p>
        </w:tc>
        <w:tc>
          <w:tcPr>
            <w:tcW w:w="420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i/>
                <w:iCs/>
                <w:sz w:val="20"/>
                <w:szCs w:val="20"/>
              </w:rPr>
              <w:t>How We Addressed the Matter in Our Audit</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tested controls over the Company’s process to assess the technical merits of its tax contingencies, including controls over the assessment as to whether a tax position is more likely than not to be sustained, management’s process to measure the benefit of its tax positions, and the development of the related disclosures. </w:t>
            </w:r>
          </w:p>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 involved our international tax, transfer pricing, and research and development tax professionals in assessing the technical merits of certain of the Company’s tax positions. Depending on the nature of the specific tax position and, as applicable, developments with the relevant tax authorities relating thereto, our procedures included obtaining and examining the Company’s analysis including the Company’s correspondence with such tax authorities and evaluating the underlying facts upon which the tax positions are based. We used our knowledge of, and experience with, international, transfer pricing, and other income tax laws by the relevant income tax authorities to evaluate the Company’s accounting for its tax contingencies. We evaluated developments in the applicable regulatory environments to assess potential effects on the Company’s positions. We analyzed the Company’s assumptions and data used to determine the amount of tax benefits to recognize and tested the accuracy of the Company’s calculations. We have also evaluated the Company’s income tax disclosures included in Note 9 in relation to these matters.</w:t>
            </w: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 Ernst &amp; Young LLP</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served as the Company’s auditor since 1996. </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Seattle, Washington</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January 30, 2020</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36</w:t>
      </w:r>
    </w:p>
    <w:p>
      <w:pPr>
        <w:keepNext w:val="0"/>
        <w:keepLines w:val="0"/>
        <w:widowControl/>
        <w:suppressLineNumbers w:val="0"/>
      </w:pPr>
      <w:r>
        <w:rPr>
          <w:rFonts w:hint="default" w:ascii="Times New Roman" w:hAnsi="Times New Roman" w:cs="Times New Roman"/>
          <w:sz w:val="20"/>
          <w:szCs w:val="20"/>
        </w:rP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 STATEMENTS OF CASH FLOWS</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 millions)</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078"/>
        <w:gridCol w:w="130"/>
        <w:gridCol w:w="759"/>
        <w:gridCol w:w="100"/>
        <w:gridCol w:w="130"/>
        <w:gridCol w:w="130"/>
        <w:gridCol w:w="759"/>
        <w:gridCol w:w="100"/>
        <w:gridCol w:w="130"/>
        <w:gridCol w:w="130"/>
        <w:gridCol w:w="759"/>
        <w:gridCol w:w="101"/>
      </w:tblGrid>
      <w:tr>
        <w:trPr>
          <w:jc w:val="center"/>
        </w:trPr>
        <w:tc>
          <w:tcPr>
            <w:tcW w:w="0" w:type="auto"/>
            <w:gridSpan w:val="12"/>
            <w:shd w:val="clear" w:color="auto" w:fill="auto"/>
            <w:vAlign w:val="center"/>
          </w:tcPr>
          <w:p>
            <w:pPr>
              <w:jc w:val="left"/>
              <w:rPr>
                <w:rFonts w:hint="default" w:ascii="Times New Roman" w:hAnsi="Times New Roman" w:cs="Times New Roman"/>
                <w:sz w:val="20"/>
                <w:szCs w:val="20"/>
              </w:rPr>
            </w:pPr>
          </w:p>
        </w:tc>
      </w:tr>
      <w:tr>
        <w:trPr>
          <w:jc w:val="center"/>
        </w:trPr>
        <w:tc>
          <w:tcPr>
            <w:tcW w:w="3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CASH, CASH EQUIVALENTS, AND RESTRICTED CASH, BEGINNING OF PERIOD</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19,934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21,856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32,173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OPERATING ACTIVITIES: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Net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3,033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10,073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11,588</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Adjustments to reconcile net income to net cash from operating activities: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Depreciation and amortization of property and equipment and capitalized content costs, operating lease assets, and other</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11,478</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15,341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21,789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Stock-based compensation</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4,215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5,418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6,864</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Other operating expense (income), net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202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274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164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Other expense (income), net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(292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219</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(249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Deferred income taxes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441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796</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Changes in operating assets and liabilities: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Inventories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(3,583</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(1,314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(3,278</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Accounts receivable, net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(4,780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(4,615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(7,681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Accounts payable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7,100</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3,263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8,193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Accrued expenses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283</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472</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(1,383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Unearned revenue</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738</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1,151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1,711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Net cash provided by (used in) operating activities</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18,365</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30,723</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38,514</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INVESTING ACTIVITIES: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Purchases of property and equipment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(11,955</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(13,427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(16,861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Proceeds from property and equipment sales and incentives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1,897</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2,104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4,172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Acquisitions, net of cash acquired,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(13,972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(2,186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(2,461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Sales and maturities of marketable securities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9,677</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8,240</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22,681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Purchases of marketable securities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(12,731</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(7,100</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(31,812</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Net cash provided by (used in) investing activities</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(27,084</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(12,369</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(24,281</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FINANCING ACTIVITIES: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Proceeds from long-term debt and other</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16,228</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768</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2,273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Repayments of long-term debt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(1,301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(668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(2,684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Principal repayments of finance leases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(4,799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(7,449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(9,628</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Principal repayments of financing obligations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(200</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(337</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(27</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Net cash provided by (used in) financing activities</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9,928</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(7,686</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(10,066</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Foreign currency effect on cash, cash equivalents, and restricted cash</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713</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(351</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Net increase (decrease) in cash, cash equivalents, and restricted cash</w:t>
            </w:r>
          </w:p>
        </w:tc>
        <w:tc>
          <w:tcPr>
            <w:tcW w:w="0" w:type="auto"/>
            <w:gridSpan w:val="2"/>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1,922</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gridSpan w:val="2"/>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10,317</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gridSpan w:val="2"/>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4,237</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CASH, CASH EQUIVALENTS, AND RESTRICTED CASH, END OF PERIOD</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21,856</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32,173</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18"/>
                <w:szCs w:val="18"/>
              </w:rPr>
            </w:pP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36,410</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SUPPLEMENTAL CASH FLOW INFORMATION:</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Cash paid for interest on long-term debt</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328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854</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875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Cash paid for operating leases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3,361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Cash paid for interest on finance leases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200</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381</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647</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Cash paid for interest on financing obligations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119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194</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Cash paid for income taxes, net of refunds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957</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1,184</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881</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Assets acquired under operating leases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7,870</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Property and equipment acquired under finance leases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9,637</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10,615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13,723</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Property and equipment acquired under build-to-suit arrangements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3,541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3,641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1,362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37</w:t>
      </w:r>
    </w:p>
    <w:p>
      <w:pPr>
        <w:keepNext w:val="0"/>
        <w:keepLines w:val="0"/>
        <w:widowControl/>
        <w:suppressLineNumbers w:val="0"/>
      </w:pPr>
      <w:r>
        <w:rPr>
          <w:rFonts w:hint="default" w:ascii="Times New Roman" w:hAnsi="Times New Roman" w:cs="Times New Roman"/>
          <w:sz w:val="20"/>
          <w:szCs w:val="20"/>
        </w:rP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 STATEMENTS OF OPERATIONS</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 millions, except per share data)</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982"/>
        <w:gridCol w:w="140"/>
        <w:gridCol w:w="746"/>
        <w:gridCol w:w="107"/>
        <w:gridCol w:w="130"/>
        <w:gridCol w:w="140"/>
        <w:gridCol w:w="747"/>
        <w:gridCol w:w="107"/>
        <w:gridCol w:w="130"/>
        <w:gridCol w:w="140"/>
        <w:gridCol w:w="830"/>
        <w:gridCol w:w="107"/>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30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product sales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118,573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141,915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160,408</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service sales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59,293</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90,972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120,114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net sales</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177,866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232,887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280,522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111,934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139,156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165,536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25,249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34,027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40,232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22,620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28,837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35,931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10,069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13,814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18,878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3,674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4,336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5,203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296</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operating expenses</w:t>
            </w:r>
          </w:p>
        </w:tc>
        <w:tc>
          <w:tcPr>
            <w:tcW w:w="0" w:type="auto"/>
            <w:gridSpan w:val="2"/>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173,760</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220,466</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265,981</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4,106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12,421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14,541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Interest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Interest expense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(848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(1,417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(1,600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income (expense), net</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non-operating income (expense)</w:t>
            </w:r>
          </w:p>
        </w:tc>
        <w:tc>
          <w:tcPr>
            <w:tcW w:w="0" w:type="auto"/>
            <w:gridSpan w:val="2"/>
            <w:tcBorders>
              <w:top w:val="single" w:color="000000" w:sz="8" w:space="0"/>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(300</w:t>
            </w:r>
          </w:p>
        </w:tc>
        <w:tc>
          <w:tcPr>
            <w:tcW w:w="0" w:type="auto"/>
            <w:tcBorders>
              <w:top w:val="single" w:color="000000" w:sz="8" w:space="0"/>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(1,160</w:t>
            </w:r>
          </w:p>
        </w:tc>
        <w:tc>
          <w:tcPr>
            <w:tcW w:w="0" w:type="auto"/>
            <w:tcBorders>
              <w:top w:val="single" w:color="000000" w:sz="8" w:space="0"/>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(565</w:t>
            </w:r>
          </w:p>
        </w:tc>
        <w:tc>
          <w:tcPr>
            <w:tcW w:w="0" w:type="auto"/>
            <w:tcBorders>
              <w:top w:val="single" w:color="000000" w:sz="8" w:space="0"/>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Income before income taxes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3,806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11,261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13,976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Provision for income taxes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(2,374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Equity-method investment activity, net of tax</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3,033</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10,073</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11,588</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 earnings per share</w:t>
            </w:r>
          </w:p>
        </w:tc>
        <w:tc>
          <w:tcPr>
            <w:tcW w:w="0" w:type="auto"/>
            <w:tcBorders>
              <w:top w:val="double" w:color="000000" w:sz="6"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double" w:color="000000" w:sz="6"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6.32</w:t>
            </w:r>
          </w:p>
        </w:tc>
        <w:tc>
          <w:tcPr>
            <w:tcW w:w="0" w:type="auto"/>
            <w:tcBorders>
              <w:top w:val="double" w:color="000000" w:sz="6"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double" w:color="000000" w:sz="6"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double" w:color="000000" w:sz="6"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20.68</w:t>
            </w:r>
          </w:p>
        </w:tc>
        <w:tc>
          <w:tcPr>
            <w:tcW w:w="0" w:type="auto"/>
            <w:tcBorders>
              <w:top w:val="double" w:color="000000" w:sz="6"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double" w:color="000000" w:sz="6"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double" w:color="000000" w:sz="6"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23.46</w:t>
            </w:r>
          </w:p>
        </w:tc>
        <w:tc>
          <w:tcPr>
            <w:tcW w:w="0" w:type="auto"/>
            <w:tcBorders>
              <w:top w:val="double" w:color="000000" w:sz="6"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 earnings per share</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6.15</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20.14</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double" w:color="000000" w:sz="6"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double" w:color="000000" w:sz="6"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23.01</w:t>
            </w:r>
          </w:p>
        </w:tc>
        <w:tc>
          <w:tcPr>
            <w:tcW w:w="0" w:type="auto"/>
            <w:tcBorders>
              <w:top w:val="double" w:color="000000" w:sz="6"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shares used in computation of earnings per share:</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w:t>
            </w:r>
          </w:p>
        </w:tc>
        <w:tc>
          <w:tcPr>
            <w:tcW w:w="0" w:type="auto"/>
            <w:gridSpan w:val="2"/>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480</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487</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494</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w:t>
            </w:r>
          </w:p>
        </w:tc>
        <w:tc>
          <w:tcPr>
            <w:tcW w:w="0" w:type="auto"/>
            <w:gridSpan w:val="2"/>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493</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504</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38</w:t>
      </w:r>
    </w:p>
    <w:p>
      <w:pPr>
        <w:keepNext w:val="0"/>
        <w:keepLines w:val="0"/>
        <w:widowControl/>
        <w:suppressLineNumbers w:val="0"/>
      </w:pPr>
      <w:r>
        <w:rPr>
          <w:rFonts w:hint="default" w:ascii="Times New Roman" w:hAnsi="Times New Roman" w:cs="Times New Roman"/>
          <w:sz w:val="20"/>
          <w:szCs w:val="20"/>
        </w:rP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CONSOLIDATED STATEMENTS OF COMPREHENSIVE INCOME </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 millions)</w:t>
      </w:r>
    </w:p>
    <w:p>
      <w:pPr>
        <w:keepNext w:val="0"/>
        <w:keepLines w:val="0"/>
        <w:widowControl/>
        <w:suppressLineNumbers w:val="0"/>
        <w:spacing w:line="288" w:lineRule="auto"/>
        <w:jc w:val="left"/>
        <w:rPr>
          <w:rFonts w:hint="default" w:ascii="Times New Roman" w:hAnsi="Times New Roman" w:cs="Times New Roman"/>
          <w:sz w:val="18"/>
          <w:szCs w:val="18"/>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16"/>
        <w:gridCol w:w="140"/>
        <w:gridCol w:w="829"/>
        <w:gridCol w:w="107"/>
        <w:gridCol w:w="130"/>
        <w:gridCol w:w="140"/>
        <w:gridCol w:w="830"/>
        <w:gridCol w:w="107"/>
        <w:gridCol w:w="130"/>
        <w:gridCol w:w="140"/>
        <w:gridCol w:w="830"/>
        <w:gridCol w:w="107"/>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3,033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10,073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11,588</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comprehensive income (loss):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Net change in foreign currency translation adjustments: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Foreign currency translation adjustments, net of tax of $5, $6, and $(5)</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Reclassification adjustment for foreign currency translation included in “Other operating expense (income), net,” net of tax of $0, $0, and $29</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(108</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Net foreign currency translation adjustments</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533</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(538</w:t>
            </w:r>
          </w:p>
        </w:tc>
        <w:tc>
          <w:tcPr>
            <w:tcW w:w="0" w:type="auto"/>
            <w:tcBorders>
              <w:top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w:t>
            </w:r>
          </w:p>
        </w:tc>
        <w:tc>
          <w:tcPr>
            <w:tcW w:w="0" w:type="auto"/>
            <w:tcBorders>
              <w:top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change in unrealized gains (losses) on available-for-sale debt securities: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Unrealized gains (losses), net of tax of $5, $0, and $(12)</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Reclassification adjustment for losses (gains) included in “Other income (expense), net,” net of tax of $0, $0, and $0</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unrealized gains (losses) on available-for-sale debt securities</w:t>
            </w:r>
          </w:p>
        </w:tc>
        <w:tc>
          <w:tcPr>
            <w:tcW w:w="0" w:type="auto"/>
            <w:gridSpan w:val="2"/>
            <w:tcBorders>
              <w:top w:val="single" w:color="000000" w:sz="8" w:space="0"/>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w:t>
            </w:r>
          </w:p>
        </w:tc>
        <w:tc>
          <w:tcPr>
            <w:tcW w:w="0" w:type="auto"/>
            <w:tcBorders>
              <w:top w:val="single" w:color="000000" w:sz="8" w:space="0"/>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w:t>
            </w:r>
          </w:p>
        </w:tc>
        <w:tc>
          <w:tcPr>
            <w:tcW w:w="0" w:type="auto"/>
            <w:tcBorders>
              <w:top w:val="single" w:color="000000" w:sz="8" w:space="0"/>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79</w:t>
            </w:r>
          </w:p>
        </w:tc>
        <w:tc>
          <w:tcPr>
            <w:tcW w:w="0" w:type="auto"/>
            <w:tcBorders>
              <w:top w:val="single" w:color="000000" w:sz="8" w:space="0"/>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1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other comprehensive income (loss)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(547</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Comprehensive income</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3,534</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9,526</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11,637</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39</w:t>
      </w:r>
    </w:p>
    <w:p>
      <w:pPr>
        <w:keepNext w:val="0"/>
        <w:keepLines w:val="0"/>
        <w:widowControl/>
        <w:suppressLineNumbers w:val="0"/>
      </w:pPr>
      <w:r>
        <w:rPr>
          <w:rFonts w:hint="default" w:ascii="Times New Roman" w:hAnsi="Times New Roman" w:cs="Times New Roman"/>
          <w:sz w:val="20"/>
          <w:szCs w:val="20"/>
        </w:rP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 BALANCE SHEETS</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 millions, except per share data)</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993"/>
        <w:gridCol w:w="140"/>
        <w:gridCol w:w="844"/>
        <w:gridCol w:w="107"/>
        <w:gridCol w:w="130"/>
        <w:gridCol w:w="140"/>
        <w:gridCol w:w="844"/>
        <w:gridCol w:w="10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u w:val="single"/>
              </w:rPr>
              <w:t>ASSETS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Current assets: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Cash and cash equivalents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31,750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36,092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Marketable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18,929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Inventories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17,174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20,497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Accounts receivable, net and other</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16,677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20,816</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current assets</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75,101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96,334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Property and equipment, net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61,797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72,705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leases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25,141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Goodwill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14,548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14,754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assets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11,202</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16,314</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1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assets</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162,648</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225,248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u w:val="single"/>
              </w:rPr>
              <w:t>LIABILITIES AND STOCKHOLDERS’ EQUITY</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Current liabilities: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Accounts payable</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38,192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47,183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Accrued expenses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23,663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32,439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Unearned revenue</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6,536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8,190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current liabilities</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68,391</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87,812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Long-term lease liabilities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9,650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39,791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Long-term debt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23,495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23,414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long-term liabilities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17,563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12,171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Commitments and contingencies (Note 7)</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Stockholders’ equity:</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Preferred stock, $0.01 par value:</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Authorized shares — 500</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and outstanding shares — none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Common stock, $0.01 par value:</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Authorized shares — 5,000</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shares — 514 and 521</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Outstanding shares — 491 and 498</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Treasury stock, at cost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Additional paid-in capital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26,791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33,658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Accumulated other comprehensive income (loss)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(1,035</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Retained earnings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19,625</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31,220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stockholders’ equity</w:t>
            </w:r>
          </w:p>
        </w:tc>
        <w:tc>
          <w:tcPr>
            <w:tcW w:w="0" w:type="auto"/>
            <w:gridSpan w:val="2"/>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43,549</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62,060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1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liabilities and stockholders’ equity</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162,648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225,248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40</w:t>
      </w:r>
    </w:p>
    <w:p>
      <w:pPr>
        <w:keepNext w:val="0"/>
        <w:keepLines w:val="0"/>
        <w:widowControl/>
        <w:suppressLineNumbers w:val="0"/>
      </w:pPr>
      <w:r>
        <w:rPr>
          <w:rFonts w:hint="default" w:ascii="Times New Roman" w:hAnsi="Times New Roman" w:cs="Times New Roman"/>
          <w:sz w:val="20"/>
          <w:szCs w:val="20"/>
        </w:rP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 STATEMENTS OF STOCKHOLDERS’ EQUITY</w:t>
      </w: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(in millions)</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24"/>
        <w:gridCol w:w="431"/>
        <w:gridCol w:w="54"/>
        <w:gridCol w:w="130"/>
        <w:gridCol w:w="140"/>
        <w:gridCol w:w="444"/>
        <w:gridCol w:w="64"/>
        <w:gridCol w:w="130"/>
        <w:gridCol w:w="140"/>
        <w:gridCol w:w="517"/>
        <w:gridCol w:w="107"/>
        <w:gridCol w:w="130"/>
        <w:gridCol w:w="140"/>
        <w:gridCol w:w="558"/>
        <w:gridCol w:w="80"/>
        <w:gridCol w:w="130"/>
        <w:gridCol w:w="140"/>
        <w:gridCol w:w="811"/>
        <w:gridCol w:w="107"/>
        <w:gridCol w:w="130"/>
        <w:gridCol w:w="140"/>
        <w:gridCol w:w="550"/>
        <w:gridCol w:w="6"/>
        <w:gridCol w:w="130"/>
        <w:gridCol w:w="140"/>
        <w:gridCol w:w="725"/>
        <w:gridCol w:w="108"/>
      </w:tblGrid>
      <w:tr>
        <w:tc>
          <w:tcPr>
            <w:tcW w:w="0" w:type="auto"/>
            <w:gridSpan w:val="27"/>
            <w:shd w:val="clear" w:color="auto" w:fill="auto"/>
            <w:vAlign w:val="center"/>
          </w:tcPr>
          <w:p>
            <w:pPr>
              <w:jc w:val="left"/>
              <w:rPr>
                <w:rFonts w:hint="default" w:ascii="Times New Roman" w:hAnsi="Times New Roman" w:cs="Times New Roman"/>
                <w:sz w:val="20"/>
                <w:szCs w:val="20"/>
              </w:rPr>
            </w:pPr>
          </w:p>
        </w:tc>
      </w:tr>
      <w:tr>
        <w:tc>
          <w:tcPr>
            <w:tcW w:w="14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0"/>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Common Stock</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4"/>
                <w:szCs w:val="14"/>
              </w:rPr>
            </w:pPr>
            <w:r>
              <w:rPr>
                <w:rFonts w:hint="default" w:ascii="Times New Roman" w:hAnsi="Times New Roman" w:eastAsia="宋体" w:cs="Times New Roman"/>
                <w:sz w:val="14"/>
                <w:szCs w:val="14"/>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4"/>
                <w:szCs w:val="14"/>
              </w:rPr>
            </w:pPr>
            <w:r>
              <w:rPr>
                <w:rFonts w:hint="default" w:ascii="Times New Roman" w:hAnsi="Times New Roman" w:eastAsia="宋体" w:cs="Times New Roman"/>
                <w:sz w:val="14"/>
                <w:szCs w:val="14"/>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4"/>
                <w:szCs w:val="14"/>
              </w:rPr>
            </w:pPr>
            <w:r>
              <w:rPr>
                <w:rFonts w:hint="default" w:ascii="Times New Roman" w:hAnsi="Times New Roman" w:eastAsia="宋体" w:cs="Times New Roman"/>
                <w:sz w:val="14"/>
                <w:szCs w:val="14"/>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4"/>
                <w:szCs w:val="14"/>
              </w:rPr>
            </w:pPr>
            <w:r>
              <w:rPr>
                <w:rFonts w:hint="default" w:ascii="Times New Roman" w:hAnsi="Times New Roman" w:eastAsia="宋体" w:cs="Times New Roman"/>
                <w:sz w:val="14"/>
                <w:szCs w:val="14"/>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Shares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Amount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Treasury</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Stock</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Additional</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Paid-In</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Capital</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Accumulated Other Comprehensive Income (Loss)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Retained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Earnings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Total</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Stockholders’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Equity</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Balance as of January 1, 2017</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17,186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(985</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4,916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19,285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Cumulative effect of a change in accounting principle related to stock-based compensation</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Net income</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3,033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3,033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Other comprehensive income (loss)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Exercise of common stock options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Stock-based compensation and issuance of employee benefit plan stock</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4,202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4,202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Balance as of December 31, 2017</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21,389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8,636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27,709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Cumulative effect of change in accounting principles related to revenue recognition, income taxes, and financial instruments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916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912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Net income</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10,073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10,073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Other comprehensive income (loss)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Exercise of common stock options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Stock-based compensation and issuance of employee benefit plan stock</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5,402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5,402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Balance as of December 31, 2018</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26,791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(1,035</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19,625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43,549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8"/>
                <w:szCs w:val="18"/>
              </w:rPr>
            </w:pPr>
            <w:r>
              <w:rPr>
                <w:rFonts w:hint="default" w:ascii="Times New Roman" w:hAnsi="Times New Roman" w:eastAsia="宋体" w:cs="Times New Roman"/>
                <w:sz w:val="18"/>
                <w:szCs w:val="18"/>
              </w:rPr>
              <w:t>Cumulative effect of change in accounting principle related to leases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Net income</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11,588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11,588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Other comprehensive income (loss)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Exercise of common stock options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Stock-based compensation and issuance of employee benefit plan stock</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6,867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6,867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18"/>
                <w:szCs w:val="18"/>
              </w:rPr>
            </w:pPr>
            <w:r>
              <w:rPr>
                <w:rFonts w:hint="default" w:ascii="Times New Roman" w:hAnsi="Times New Roman" w:eastAsia="宋体" w:cs="Times New Roman"/>
                <w:sz w:val="18"/>
                <w:szCs w:val="18"/>
              </w:rPr>
              <w:t>Balance as of December 31, 2019</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498</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(1,837</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33,658</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(986</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31,220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62,060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See accompanying notes to consolidated financial statements.</w:t>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41</w:t>
      </w:r>
    </w:p>
    <w:p>
      <w:pPr>
        <w:keepNext w:val="0"/>
        <w:keepLines w:val="0"/>
        <w:widowControl/>
        <w:suppressLineNumbers w:val="0"/>
      </w:pPr>
      <w:r>
        <w:rPr>
          <w:rFonts w:hint="default" w:ascii="Times New Roman" w:hAnsi="Times New Roman" w:cs="Times New Roman"/>
          <w:sz w:val="20"/>
          <w:szCs w:val="20"/>
        </w:rP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AMAZON.COM, INC.</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NOTES TO CONSOLIDATED FINANCIAL STATEMENTS</w:t>
      </w:r>
    </w:p>
    <w:p>
      <w:pPr>
        <w:keepNext w:val="0"/>
        <w:keepLines w:val="0"/>
        <w:widowControl/>
        <w:suppressLineNumbers w:val="0"/>
        <w:spacing w:line="288" w:lineRule="auto"/>
        <w:jc w:val="center"/>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96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1 — DESCRIPTION OF BUSINESS AND ACCOUNTING POLICIES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Description of Business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seek to be Earth’s most customer-centric company. In each of our segments, we serve our primary customer sets, consisting of consumers, sellers, developers, enterprises, and content creators. We serve consumers through our online and physical stores and focus on selection, price, and convenience. We offer programs that enable sellers to sell their products in our stores and fulfill orders through us, and programs that allow authors, musicians, filmmakers, skill and app developers, and others to publish and sell content. We serve developers and enterprises of all sizes through our AWS segment, which offers a broad set of global compute, storage, database, and other service offerings. We also manufacture and sell electronic devices. In addition, we provide services, such as advertising to sellers, vendors, publishers, and authors, through programs such as sponsored ads, display, and video advertising.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organized our operations into three segments: North America, International, and AWS. See “Note 10 — Segment Information.”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Prior Period Reclassifications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Certain prior period amounts have been reclassified to conform to the current period presentation, including the addition of restricted cash to cash and cash equivalents on our consolidated statements of cash flows and the reclassification of long-term capital lease obligations that existed at December 31, 2018 from “Other long-term liabilities” to “Long-term lease liabilities” within the consolidated balance sheets, as a result of the adoption of new accounting guidance. See “Accounting Pronouncements Recently Adopted.”</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Principles of Consolidation</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 The financial results of Whole Foods Market, Inc. (“Whole Foods Market”) have been included in our consolidated financial statements from the date of acquisition on August 28, 2017.</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Use of Estimates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and inventory valuation. Actual results could differ materially from those estimates. For example, in Q4 2019 we completed a useful life study for our servers and are increasing the useful life from three years to four years for servers in January 2020, which, based on servers that are included in “Property and equipment, net” as of December 31, 2019, will have an anticipated impact to our 2020 operating income of $2.3 billion.</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Earnings per Share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42</w:t>
      </w:r>
    </w:p>
    <w:p>
      <w:pPr>
        <w:keepNext w:val="0"/>
        <w:keepLines w:val="0"/>
        <w:widowControl/>
        <w:suppressLineNumbers w:val="0"/>
      </w:pPr>
      <w:r>
        <w:rPr>
          <w:rFonts w:hint="default" w:ascii="Times New Roman" w:hAnsi="Times New Roman" w:cs="Times New Roman"/>
          <w:sz w:val="20"/>
          <w:szCs w:val="20"/>
        </w:rP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shows the calculation of diluted shares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87"/>
        <w:gridCol w:w="983"/>
        <w:gridCol w:w="69"/>
        <w:gridCol w:w="130"/>
        <w:gridCol w:w="983"/>
        <w:gridCol w:w="70"/>
        <w:gridCol w:w="130"/>
        <w:gridCol w:w="984"/>
        <w:gridCol w:w="70"/>
      </w:tblGrid>
      <w:tr>
        <w:tc>
          <w:tcPr>
            <w:tcW w:w="0" w:type="auto"/>
            <w:gridSpan w:val="9"/>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8"/>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Shares used in computation of basic earnings per share</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dilutive effect of outstanding stock awards</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Shares used in computation of diluted earnings per share</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493</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500</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504</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Revenue</w:t>
      </w:r>
    </w:p>
    <w:p>
      <w:pPr>
        <w:keepNext w:val="0"/>
        <w:keepLines w:val="0"/>
        <w:widowControl/>
        <w:suppressLineNumbers w:val="0"/>
        <w:pBdr>
          <w:top w:val="none" w:color="auto" w:sz="0" w:space="0"/>
        </w:pBdr>
        <w:spacing w:line="288" w:lineRule="auto"/>
        <w:ind w:left="0" w:firstLine="58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Revenue is measured based on the amount of consideration that we expect to receive, reduced by estimates for return allowances, promotional discounts, and rebates. Revenue also excludes any amounts collected on behalf of third parties, including sales and indirect taxes. In arrangements where we have multiple performance obligations, the transaction price is allocated to each performance obligation using the relative stand-alone selling price. We generally determine stand-alone selling prices based on the prices charged to customers or using expected cost plus a margin. </w:t>
      </w:r>
    </w:p>
    <w:p>
      <w:pPr>
        <w:keepNext w:val="0"/>
        <w:keepLines w:val="0"/>
        <w:widowControl/>
        <w:suppressLineNumbers w:val="0"/>
        <w:pBdr>
          <w:top w:val="none" w:color="auto" w:sz="0" w:space="0"/>
        </w:pBdr>
        <w:spacing w:line="288" w:lineRule="auto"/>
        <w:ind w:left="0" w:firstLine="580"/>
        <w:jc w:val="left"/>
        <w:rPr>
          <w:rFonts w:hint="default" w:ascii="Times New Roman" w:hAnsi="Times New Roman" w:cs="Times New Roman"/>
          <w:sz w:val="20"/>
          <w:szCs w:val="20"/>
        </w:rPr>
      </w:pPr>
      <w:r>
        <w:rPr>
          <w:rFonts w:hint="default" w:ascii="Times New Roman" w:hAnsi="Times New Roman" w:eastAsia="宋体" w:cs="Times New Roman"/>
          <w:sz w:val="20"/>
          <w:szCs w:val="20"/>
        </w:rPr>
        <w:t>A description of our principal revenue generating activities is as follows: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Retail sales</w:t>
      </w:r>
      <w:r>
        <w:rPr>
          <w:rFonts w:hint="default" w:ascii="Times New Roman" w:hAnsi="Times New Roman" w:eastAsia="宋体" w:cs="Times New Roman"/>
          <w:sz w:val="20"/>
          <w:szCs w:val="20"/>
        </w:rPr>
        <w:t xml:space="preserve"> - We offer consumer products through our online and physical stores. Revenue is recognized when control of the goods is transferred to the customer, which generally occurs upon our delivery to a third-party carrier or, in the case of an Amazon delivery, to the customer.</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Third-party seller services</w:t>
      </w:r>
      <w:r>
        <w:rPr>
          <w:rFonts w:hint="default" w:ascii="Times New Roman" w:hAnsi="Times New Roman" w:eastAsia="宋体" w:cs="Times New Roman"/>
          <w:sz w:val="20"/>
          <w:szCs w:val="20"/>
        </w:rPr>
        <w:t xml:space="preserve"> - We offer programs that enable sellers to sell their products in our stores, and fulfill orders through us. We are not the seller of record in these transactions. The commissions and any related fulfillment and shipping fees we earn from these arrangements are recognized when the services are rendered, which generally occurs upon delivery of the related products to a third-party carrier or, in the case of an Amazon delivery, to the customer.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Subscription services</w:t>
      </w:r>
      <w:r>
        <w:rPr>
          <w:rFonts w:hint="default" w:ascii="Times New Roman" w:hAnsi="Times New Roman" w:eastAsia="宋体" w:cs="Times New Roman"/>
          <w:sz w:val="20"/>
          <w:szCs w:val="20"/>
        </w:rPr>
        <w:t xml:space="preserve"> - Our subscription sales include fees associated with Amazon Prime memberships and access to content including audiobooks, digital video, digital music, e-books, and other non-AWS subscription services. Prime memberships provide our customers with access to an evolving suite of benefits that represent a single stand-ready obligation. Subscriptions are paid for at the time of or in advance of delivering the services. Revenue from such arrangements is recognized over the subscription period.</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AWS</w:t>
      </w:r>
      <w:r>
        <w:rPr>
          <w:rFonts w:hint="default" w:ascii="Times New Roman" w:hAnsi="Times New Roman" w:eastAsia="宋体" w:cs="Times New Roman"/>
          <w:sz w:val="20"/>
          <w:szCs w:val="20"/>
        </w:rPr>
        <w:t xml:space="preserve"> - Our AWS arrangements include global sales of compute, storage, database, and other services. Revenue is allocated to services using stand-alone selling prices and is primarily recognized when the customer uses these services, based on the quantity of services rendered, such as compute or storage capacity delivered on-demand. Certain services, including compute and database, are also offered as a fixed quantity over a specified term, for which revenue is recognized ratably. Sales commissions we pay in connection with contracts that exceed one year are capitalized and amortized over the contract term.</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Other</w:t>
      </w:r>
      <w:r>
        <w:rPr>
          <w:rFonts w:hint="default" w:ascii="Times New Roman" w:hAnsi="Times New Roman" w:eastAsia="宋体" w:cs="Times New Roman"/>
          <w:sz w:val="20"/>
          <w:szCs w:val="20"/>
        </w:rPr>
        <w:t xml:space="preserve"> - Other revenue primarily includes sales of advertising services, which are recognized as ads are delivered based on the number of clicks or impressions. </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Return Allowances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Return allowances, which reduce revenue and cost of sales, are estimated using historical experience. Liabilities for return allowances are included in “Accrued expenses and other” and were $468 million, $623 million, and $712 million as of December 31, 2017, 2018, and 2019. Additions to the allowance were $1.8 billion, $2.3 billion, and $2.5 billion and deductions from the allowance were $1.9 billion, $2.3 billion, and $2.5 billion in 2017, 2018, and 2019. Included in “Inventories” on our consolidated balance sheets are assets totaling $406 million, $519 million, and $629 million as of December 31, 2017, 2018, and 2019, for the rights to recover products from customers associated with our liabilities for return allowances.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Cost of Sales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43</w:t>
      </w:r>
    </w:p>
    <w:p>
      <w:pPr>
        <w:keepNext w:val="0"/>
        <w:keepLines w:val="0"/>
        <w:widowControl/>
        <w:suppressLineNumbers w:val="0"/>
      </w:pPr>
      <w:r>
        <w:rPr>
          <w:rFonts w:hint="default" w:ascii="Times New Roman" w:hAnsi="Times New Roman" w:cs="Times New Roman"/>
          <w:sz w:val="20"/>
          <w:szCs w:val="20"/>
        </w:rP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Vendor Agreements</w:t>
      </w:r>
    </w:p>
    <w:p>
      <w:pPr>
        <w:keepNext w:val="0"/>
        <w:keepLines w:val="0"/>
        <w:widowControl/>
        <w:suppressLineNumbers w:val="0"/>
        <w:pBdr>
          <w:top w:val="none" w:color="auto" w:sz="0" w:space="0"/>
        </w:pBdr>
        <w:spacing w:line="288" w:lineRule="auto"/>
        <w:ind w:left="0" w:firstLine="58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agreements with our vendors to receive funds primarily for cooperative marketing efforts, promotions, incentives, and volume rebates. We generally consider these amounts received from vendors to be a reduction of the prices we pay for their goods, including property and equipment, or services, and are recorded as a reduction of the cost of inventory, cost of services, or cost of property and equipment. Volume rebates typically depend 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Fulfillment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Fulfillment costs primarily consist of those costs incurred in operating and staffing our North America and International segments’ fulfillment centers, physical stores,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Technology and Content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Technology and content costs are generally expensed as incurred.</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Marketing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Marketing costs primarily consist of advertising and payroll and related expenses for personnel engaged in marketing and selling activities, including sales commissions related to AWS. We pay commissions to third parties when their customer referrals result in sales. We also participate in cooperative advertising arrangements with certain of our vendors, and other third parties.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Advertising and other promotional costs to market our products and services are expensed as incurred and were $6.3 billion, $8.2 billion, and $11.0 billion in 2017, 2018, and 2019.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General and Administrative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 expenses primarily consist of costs for corporate functions, including payroll and related expenses; facilities and equipment expenses, such as depreciation and amortization expense and rent; and professional fees and litigation costs.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Stock-Based Compensation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Compensation cost for all stock awards expected to vest is measured at fair value on the date of grant and recognized over the service period. The fair value of restricted stock units is determined based on the number of shares granted and the quoted price of our common stock. Such value is recognized as expense over the service period, net of estimated forfeitures, using the accelerated method. The estimated number of stock awards that will ultimately vest requires judgment, and to the extent actual results or updated estimates differ from our current estimates, such amounts will be recorded as a cumulative adjustment in the period estimates are revised. We consider many factors when estimating expected forfeitures, including historical forfeiture experience and employee level.</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Other Operating Expense (Income),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Other operating expense (income), net, consists primarily of marketing-related, contract-based, and customer-related intangible asset amortization expense, and expenses related to legal settlements.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44</w:t>
      </w:r>
    </w:p>
    <w:p>
      <w:pPr>
        <w:keepNext w:val="0"/>
        <w:keepLines w:val="0"/>
        <w:widowControl/>
        <w:suppressLineNumbers w:val="0"/>
      </w:pPr>
      <w:r>
        <w:rPr>
          <w:rFonts w:hint="default" w:ascii="Times New Roman" w:hAnsi="Times New Roman" w:cs="Times New Roman"/>
          <w:sz w:val="20"/>
          <w:szCs w:val="20"/>
        </w:rP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Other Income (Expense),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Other income (expense), net, consists primarily of adjustments to and gains on equity securities of $18 million, $145 million, and $231 million in 2017, 2018, and 2019, equity warrant valuation gains (losses) of $109 million, $(131) million, and $11 million in 2017, 2018, and 2019, and foreign currency gains (losses) of $247 million, $(206) million, and $(20) million in 2017, 2018, and 2019.</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Income Taxes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Income tax expense includes U.S. (federal and state) and foreign income taxes. Certain foreign subsidiary earnings are subject to U.S. taxation under the U.S. Tax Act, which also repeals U.S. taxation on the subsequent repatriation of those earnings.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Deferred income tax balances reflect the effects of temporary differences between the carrying amounts of assets and liabilities and their tax bases and are stated at enacted tax rates expected to be in effect when taxes are actually paid or recovered.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Deferred tax assets are evaluated for future realization and reduced by a valuation allowance to the extent we believe they will not be realized. We consider many factors when assessing the likelihood of future realization of our deferred tax assets, including our recent cumulative loss experience and expectations of future earnings, capital gains and investment in such jurisdiction, the carry-forward periods available to us for tax reporting purposes, and other relevant factors.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utilize a two-step approach to recognizing and measuring uncertain income tax positions (tax contingencies). The first step is to evaluate the tax position for recognition by determining if the weight of available evidence indicates it is more likely than not the position will be sustained on audit, including resolution of related appeals or litigation processes. The second step is to measure the tax benefit as the largest amount which is more than 50% likely of being realized upon ultimate settlement. We consider many factors when evaluating our tax positions and estimating our tax benefits, which may require periodic adjustments and which may not accurately forecast actual outcomes. We include interest and penalties related to our tax contingencies in income tax expense.</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Fair Value of Financial Instruments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top w:val="none" w:color="auto" w:sz="0" w:space="0"/>
          <w:left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Level 1 — </w:t>
      </w:r>
      <w:r>
        <w:rPr>
          <w:rFonts w:hint="default" w:ascii="Times New Roman" w:hAnsi="Times New Roman" w:eastAsia="宋体" w:cs="Times New Roman"/>
          <w:sz w:val="20"/>
          <w:szCs w:val="20"/>
        </w:rPr>
        <w:t>Valuations based on quoted prices for identical assets and liabilities in active markets.</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Level 2 — </w:t>
      </w:r>
      <w:r>
        <w:rPr>
          <w:rFonts w:hint="default" w:ascii="Times New Roman" w:hAnsi="Times New Roman" w:eastAsia="宋体" w:cs="Times New Roman"/>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Level 3 — </w:t>
      </w:r>
      <w:r>
        <w:rPr>
          <w:rFonts w:hint="default" w:ascii="Times New Roman" w:hAnsi="Times New Roman" w:eastAsia="宋体" w:cs="Times New Roman"/>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For our cash, cash equivalents, or marketable securities, 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cash, cash equivalents, restricted cash, or marketable securities categorized as Level 3 assets as of December 31, 2018 and 2019.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hold equity warrants giving us the right to acquire stock of other companies. As of December 31, 2018 and 2019, these warrants had a fair value of $440 million and $669 million, and are recorded within “Other assets” on our consolidated balance sheets. These assets are primarily classified as Level 2 assets.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Cash and Cash Equivalents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classify all highly liquid instruments with an original maturity of three months or less as cash equivalents.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45</w:t>
      </w:r>
    </w:p>
    <w:p>
      <w:pPr>
        <w:keepNext w:val="0"/>
        <w:keepLines w:val="0"/>
        <w:widowControl/>
        <w:suppressLineNumbers w:val="0"/>
      </w:pPr>
      <w:r>
        <w:rPr>
          <w:rFonts w:hint="default" w:ascii="Times New Roman" w:hAnsi="Times New Roman" w:cs="Times New Roman"/>
          <w:sz w:val="20"/>
          <w:szCs w:val="20"/>
        </w:rP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Inventories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provide Fulfillment by Amazon services in connection with certain of our sellers’ programs. Third-party sellers maintain ownership of their inventory, regardless of whether fulfillment is provided by us or the third-party sellers, and therefore these products are not included in our inventories.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also purchase electronic device components from a variety of suppliers and use several contract manufacturers to provide manufacturing services for our products. During the normal course of business, in order to manage manufacturing lead times and help ensure adequate supply, we enter into agreements with contract manufacturers and suppliers for certain electronic device components. A portion of our reported purchase commitments arising from these agreements consists of firm, non-cancellable commitments. These commitments are based on forecasted customer demand. If we reduce these commitments, we may incur additional costs. We also have firm, non-cancellable commitments for certain products offered in our Whole Foods Market stores.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Accounts Receivable, Net and Other</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Included in “Accounts receivable, net and other” on our consolidated balance sheets are amounts primarily related to customers, vendors, and sellers. As of December 31, 2018 and 2019, customer receivables, net, were $9.4 billion and $12.6 billion, vendor receivables, net, were $3.2 billion and $4.2 billion, and seller receivables, net, were $710 million and $863 million. Seller receivables are amounts due from sellers related to our seller lending program, which provides funding to sellers primarily to procure inventory.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estimate losses on receivables based on known troubled accounts and historical experience of losses incurred. Receivables are considered impaired and written-off when it is probable that all contractual payments due will not be collected in accordance with the terms of the agreement. The allowance for doubtful accounts was $348 million, $495 million, and $718 million as of December 31, 2017, 2018, and 2019. Additions to the allowance were $626 million, $878 million, and $1.0 billion, and deductions to the allowance were $515 million, $731 million, and $793 million in 2017, 2018, and 2019.</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Software Development Costs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incur software development costs related to products to be sold, leased, or marketed to external users, internal-use software, and our websites. Software development costs capitalized were not significant for the years presented. All other costs, including those related to design or maintenance, are expensed as incurred.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Property and Equipment, Net</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Property and equipment are stated at cost less accumulated depreciation and amortization. Incentives that we receive from property and equipment vendors are recorded as a reduction in our costs. Property includes buildings and land that we own, along with property we have acquired under build-to-suit lease arrangements when we have control over the building during the construction period and finance lease arrangements. Equipment includes assets such as servers and networking equipment, heavy equipment, and other fulfillment equipment. Depreciation and amortization is recorded on a straight-line basis over the estimated useful lives of the assets (generally the lesser of 40 years or the remaining life of the underlying building, three years for our servers, five years for networking equipment, ten years for heavy equipment, and three to seven years for other fulfillment equipment). Depreciation and amortization expense is classified within the corresponding operating expense categories on our consolidated statements of operations.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Leases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one to ten years for equipment and one to twenty years for property.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46</w:t>
      </w:r>
    </w:p>
    <w:p>
      <w:pPr>
        <w:keepNext w:val="0"/>
        <w:keepLines w:val="0"/>
        <w:widowControl/>
        <w:suppressLineNumbers w:val="0"/>
      </w:pPr>
      <w:r>
        <w:rPr>
          <w:rFonts w:hint="default" w:ascii="Times New Roman" w:hAnsi="Times New Roman" w:cs="Times New Roman"/>
          <w:sz w:val="20"/>
          <w:szCs w:val="20"/>
        </w:rPr>
        <w:pict>
          <v:rect id="_x0000_i110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or lease prepayments reclassified from “Other assets” upon lease commencement. Leasehold improvements are capitalized at cost and amortized over the lesser of their expected useful life or the lease term.</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When we have the option to extend the lease term, terminate the lease before the contractual expiration date, or purchase the leased asset, and it is reasonably certain that we will exercise the option, we consider these options in determining the classification and measurement of the lease. Our leases may include variable payments based on measures that include changes in price indices, market interest rates, or the level of sales at a physical store, which are expensed as incurred.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in the instance where title does not transfer at the end of the lease term, the lease term. The interest component of a finance lease is included in interest expense and recognized using the effective interest method over the lease term.</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establish assets and liabilities for the present value of estimated future costs to retire long-lived assets at the termination or expiration of a lease. Such assets are depreciated over the lease period into operating expense, and the recorded liabilities are accreted to the future value of the estimated retirement costs.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Financing Obligations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If we do not control the building after the construction period ends, the assets and liabilities for construction costs are derecognized, and we classify the lease as either operating or finance.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Goodwill</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evaluate goodwill for impairment annually or more frequently when an event occurs or circumstances change that indicate the carrying value may not be recoverable. In testing goodwill for impairment, we may elect to utilize a qualitative assessment to evaluate whether it is more likely than not that the fair value of a reporting unit is less than its carrying amount. If our qualitative assessment indicates that goodwill impairment is more likely than not, we perform a two-step impairment test. We test goodwill for impairment under the two-step impairment test by first comparing the book value of net assets to the fair value of the reporting units. If the fair value is determined to be less than the book value or qualitative factors indicate that it is more likely than not that goodwill is impaired, a second step is performed to compute the amount of impairment as the difference between the estimated fair value of goodwill and the carrying value. We estimate the fair value of the reporting units using discounted cash flows. Forecasts of future cash flows are based on our best estimate of future net sales and operating expenses, based primarily on expected category expansion, pricing, market segment share, and general economic conditions.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completed the required annual testing of goodwill for impairment for all reporting units as of April 1, 2019, and determined that goodwill is not impaired as the fair value of our reporting units substantially exceeded their book value. There were no events that caused us to update our annual impairment test. See “Note 5 — Acquisitions, Goodwill, and Acquired Intangible Assets.”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Other Assets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Included in “Other assets” on our consolidated balance sheets are amounts primarily related to acquired intangible assets, net of accumulated amortization; video and music content, net of accumulated amortization; long-term deferred tax assets; certain equity investments; marketable securities restricted for longer than one year, the majority of which are attributable to collateralization of bank guarantees and debt related to our international operations; lease prepayments made prior to lease commencement; and equity warrant assets.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Digital Video and Music Content</w:t>
      </w:r>
    </w:p>
    <w:p>
      <w:pPr>
        <w:keepNext w:val="0"/>
        <w:keepLines w:val="0"/>
        <w:widowControl/>
        <w:suppressLineNumbers w:val="0"/>
        <w:pBdr>
          <w:top w:val="none" w:color="auto" w:sz="0" w:space="0"/>
        </w:pBdr>
        <w:spacing w:line="288" w:lineRule="auto"/>
        <w:ind w:left="0" w:firstLine="68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47</w:t>
      </w:r>
    </w:p>
    <w:p>
      <w:pPr>
        <w:keepNext w:val="0"/>
        <w:keepLines w:val="0"/>
        <w:widowControl/>
        <w:suppressLineNumbers w:val="0"/>
      </w:pPr>
      <w:r>
        <w:rPr>
          <w:rFonts w:hint="default" w:ascii="Times New Roman" w:hAnsi="Times New Roman" w:cs="Times New Roman"/>
          <w:sz w:val="20"/>
          <w:szCs w:val="20"/>
        </w:rPr>
        <w:pict>
          <v:rect id="_x0000_i110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amortize the asset to “Cost of sales” on an accelerated basis, based on estimated usage or viewing patterns, or on a straight-line basis. If the licensing fee is not determinable or reasonably estimable, no asset or liability is recorded and licensing costs are expensed as incurred. We also develop original video content for which the production costs are capitalized and amortized to “Cost of sales” predominantly on an accelerated basis that follows the viewing patterns associated with the content. The weighted average remaining life of our capitalized video content is 2.7 years.</w:t>
      </w:r>
    </w:p>
    <w:p>
      <w:pPr>
        <w:keepNext w:val="0"/>
        <w:keepLines w:val="0"/>
        <w:widowControl/>
        <w:suppressLineNumbers w:val="0"/>
        <w:pBdr>
          <w:top w:val="none" w:color="auto" w:sz="0" w:space="0"/>
        </w:pBdr>
        <w:spacing w:line="288" w:lineRule="auto"/>
        <w:ind w:left="0" w:firstLine="68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2018 and 2019 were $3.8 billion and $5.8 billion. Total video and music expense was $6.7 billion and $7.8 billion for the year ended December 31, 2018 and 2019. Total video and music expense includes licensing and production costs associated with content offered within Amazon Prime memberships, and costs associated with digital subscriptions and sold or rented content.</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Investments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generally invest our excess cash in AAA-rated money market funds and investment grade short- to intermediate-term fixed income securities. Such investments are included in “Cash and cash equivalents” or “Marketable securities” on the accompanying consolidated balance sheets. Marketable debt securities are classified as available-for-sale and reported at fair value with unrealized gains and losses included in “Accumulated other comprehensive income (loss).”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Equity investments are accounted for using the equity method of accounting if the investment gives us the ability to exercise significant influence, but not control, over an investee. Equity-method investments are included within “Other assets” on our consolidated balance sheets. Our share of the earnings or losses as reported by equity-method investees, amortization of basis differences, and related gains or losses, if any, are classified as “Equity</w:t>
      </w:r>
      <w:r>
        <w:rPr>
          <w:rFonts w:hint="default" w:ascii="Times New Roman" w:hAnsi="Times New Roman" w:eastAsia="宋体" w:cs="Times New Roman"/>
          <w:i/>
          <w:iCs/>
          <w:sz w:val="20"/>
          <w:szCs w:val="20"/>
        </w:rPr>
        <w:t>-</w:t>
      </w:r>
      <w:r>
        <w:rPr>
          <w:rFonts w:hint="default" w:ascii="Times New Roman" w:hAnsi="Times New Roman" w:eastAsia="宋体" w:cs="Times New Roman"/>
          <w:sz w:val="20"/>
          <w:szCs w:val="20"/>
        </w:rPr>
        <w:t xml:space="preserve">method investment activity, net of tax” on our consolidated statements of operations.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Equity investments without readily determinable fair values and for which we do not have the ability to exercise significant influence are accounted for at cost with adjustments for observable changes in prices or impairments and are classified as “Other assets” on our consolidated balance sheets with adjustments recognized in “Other income (expense), net” on our consolidated statements of operations. As of December 31, 2018 and 2019, these investments had a carrying value of $282 million and $1.5 billion.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Equity investments that have readily determinable fair values are included in “Marketable securities” on our consolidated balance sheets and measured at fair value with changes recognized in “Other income (expense), net” on our consolidated statement of operations.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periodically evaluate whether declines in fair values of our investments indicate impairment. For debt securities and equity-method investments, we also evaluate whether declines in fair value of our investments below their book value are other-than-temporary. This evaluation consists of several qualitative and quantitative factors regarding the severity and duration of the unrealized loss as well as our ability and intent to hold the investment until a forecasted recovery occurs. Additionally, we assess whether we have plans to sell the security or it is more likely than not we will be required to sell any investment before recovery of its amortized cost basis. Factors considered include: quoted market prices; recent financial results and operating trends; implied values from any recent transactions or offers of investee securities; credit quality of debt instrument issuers; other publicly available information that may affect the value of our investments; duration and severity of the decline in value; and our strategy and intentions for holding the investment.</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Long-Lived Assets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Long-lived assets, other than goodwill, are reviewed for impairment whenever events or changes in circumstances indicate that the carrying amount of the assets might not be recoverable. Conditions that would necessitate an impairment assessment include a significant decline in the observable market value of an asset, a significant change in the extent or manner in which an asset is used, or any other significant adverse change that would indicate that the carrying amount of an asset or group of assets may not be recoverable.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For long-lived assets used in operations, including lease assets, impairment losses are only recorded if the asset’s carrying amount is not recoverable through its undiscounted, probability-weighted future cash flows. We measure the impairment loss based on the difference between the carrying amount and estimated fair value. Long-lived assets are considered held for sale when certain criteria are met, including when management has committed to a plan to sell the asset, the asset is available for sale in its immediate condition, and the sale is probable within one year of the reporting date. Assets held for sale are reported at the lower of cost or fair value less costs to sell. Assets held for sale were not significant as of December 31, 2018 and 2019.</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48</w:t>
      </w:r>
    </w:p>
    <w:p>
      <w:pPr>
        <w:keepNext w:val="0"/>
        <w:keepLines w:val="0"/>
        <w:widowControl/>
        <w:suppressLineNumbers w:val="0"/>
      </w:pPr>
      <w:r>
        <w:rPr>
          <w:rFonts w:hint="default" w:ascii="Times New Roman" w:hAnsi="Times New Roman" w:cs="Times New Roman"/>
          <w:sz w:val="20"/>
          <w:szCs w:val="20"/>
        </w:rPr>
        <w:pict>
          <v:rect id="_x0000_i110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Accrued Expenses and Other</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Included in “Accrued expenses and other” on our consolidated balance sheets are liabilities primarily related to leases and asset retirement obligations, payroll and related expenses, unredeemed gift cards, customer liabilities, current debt, acquired digital media content, and other operating expenses.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2018 and 2019, our liabilities for payroll related expenses were $3.4 billion and $4.3 billion and our liabilities for unredeemed gift cards were $2.8 billion and $3.3 billion. We reduce the liability for a gift card when redeemed by a customer. The portion of gift cards that we do not expect to be redeemed is recognized based on customer usage patterns.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Unearned Revenue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2018 was $7.9 billion, of which $6.3 billion was recognized as revenue during the year ended December 31, 2019 and our total unearned revenue as of December 31, 2019 was $10.2 billion. Included in “Other long-term liabilities” on our consolidated balance sheets was $1.4 billion and $2.0 billion of unearned revenue as of December 31, 2018 and 2019.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$29.8 billion as of December 31, 2019. The weighted average remaining life of our long-term contracts is 3.3 years. However, the amount and timing of revenue recognition is largely driven by customer usage, which can extend beyond the original contractual term.</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Other Long-Term Liabilities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Included in “Other long-term liabilities” on our consolidated balance sheets are liabilities primarily related to deferred tax liabilities, financing obligations, asset retirement obligations, tax contingencies, and digital video and music content.</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Foreign Currency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internationally-focused stores for which the net sales generated, as well as most of the related expenses directly incurred from those operations, are denominated in local functional currencies. The functional currency of our subsidiaries that either operate or support these stores is generally the same as the local currency. Assets and liabilities of these subsidiaries are translated into U.S. Dollars at period-end foreign exchange rates, and revenues and expenses are translated at average rates prevailing throughout the period. Translation adjustments are included in “Accumulated other comprehensive income (loss),” a separate component of stockholders’ equity, and in the “Foreign currency effect on cash, cash equivalents, and restricted cash,” on our consolidated statements of cash flows. Transaction gains and losses including intercompany transactions denominated in a currency other than the functional currency of the entity involved are included in “Other income (expense), net” on our consolidated statements of operations. In connection with the settlement and remeasurement of intercompany balances, we recorded gains (losses) of $202 million, $(186) million, and $95 million in 2017, 2018, and 2019.</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Accounting Pronouncements Recently Adopted</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May 2014, the Financial Accounting Standards Board (“FASB”) issued an Accounting Standards Update (“ASU”) amending revenue recognition guidance and requiring more detailed disclosures to enable users of financial statements to understand the nature, amount, timing, and uncertainty of revenue and cash flows arising from contracts with customers. We adopted this ASU on January 1, 2018 for all revenue contracts with our customers using the modified retrospective approach and increased retained earnings by approximately $650 million. The adjustment primarily relates to the unredeemed portion of our gift cards, which are now recognized over the expected customer usage period rather than waiting until gift cards expire or when the likelihood of redemption becomes remote. We changed the recognition and classification of Amazon Prime memberships, which are now accounted for as a single performance obligation and recognized ratably over the membership period as service sales. Previously, Prime memberships were considered to be arrangements with multiple deliverables and were allocated among product sales and service sales. Other changes relate primarily to the presentation of revenue. Certain advertising services are now classified as revenue rather than a reduction in cost of sales, and sales of apps, in-app content, and certain digital media content are presented on a net basis. Prior year amounts have not been adjusted and continue to be reported in accordance with our historic accounting policy.</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impact of applying this ASU for the year ended December 31, 2018 primarily resulted in a decrease in product sales and an increase in service sales driven by the reclassification of Prime membership fees of approximately $3.8 billion. Service sales also increased by approximately $3.0 billion for the year ended December 31, 2018 due to the reclassification of certain advertising services.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49</w:t>
      </w:r>
    </w:p>
    <w:p>
      <w:pPr>
        <w:keepNext w:val="0"/>
        <w:keepLines w:val="0"/>
        <w:widowControl/>
        <w:suppressLineNumbers w:val="0"/>
      </w:pPr>
      <w:r>
        <w:rPr>
          <w:rFonts w:hint="default" w:ascii="Times New Roman" w:hAnsi="Times New Roman" w:cs="Times New Roman"/>
          <w:sz w:val="20"/>
          <w:szCs w:val="20"/>
        </w:rPr>
        <w:pict>
          <v:rect id="_x0000_i110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January 2016, the FASB issued an ASU that updates certain aspects of recognition, measurement, presentation, and disclosure of financial instruments. Under this ASU, certain equity investments are measured at fair value with changes recognized in net income. We adopted this ASU in Q1 2018 with no material impact to our consolidated financial statements.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February 2016, the FASB issued an ASU amending the accounting for leases, primarily requiring the recognition of lease assets and liabilities for operating leases with terms of more than twelve months on our consolidated balance sheets. Under the new guidance, leases previously described as capital lease obligations and finance lease obligations are now referred to as finance leases and financing obligations, respectively. We adopted this ASU on January 1, 2019 by recording an immaterial cumulative adjustment to retained earnings rather than retrospectively adjusting prior periods. Prior period amounts were not adjusted and continue to be reported in accordance with our historic accounting policies resulting in a balance sheet presentation that is not comparable to the prior period in the first year of adoption. The adoption of this ASU resulted in the recognition of operating lease assets and liabilities of approximately $21 billion, which included the reclassification of finance lease obligations to operating leases of $1.2 billion. As of December 31, 2018, amounts related to finance lease obligations and construction liabilities totaled $9.6 billion, of which $1.5 billion was derecognized for buildings that we do not control during the construction period and $5.4 billion and $1.5 billion were reclassified to finance leases and operating leases, respectively.</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October 2016, the FASB issued an ASU amending the accounting for income taxes. The new guidance requires the recognition of the income tax consequences of an intercompany asset transfer, other than transfers of inventory, when the transfer occurs. For intercompany transfers of inventory, the income tax effects will continue to be deferred until the inventory has been sold to a third party. We adopted this ASU in Q1 2018 with an increase of approximately $250 million to retained earnings and deferred tax assets net of valuation allowances.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November 2016, the FASB issued an ASU amending the presentation of restricted cash within the consolidated statements of cash flows. The new guidance requires that restricted cash be added to cash and cash equivalents on the consolidated statements of cash flows. We adopted this ASU in Q1 2018 on a retrospective basis with the following impacts to our consolidated statements of cash flows (in millions): </w:t>
      </w:r>
    </w:p>
    <w:tbl>
      <w:tblPr>
        <w:tblStyle w:val="5"/>
        <w:tblW w:w="498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00"/>
        <w:gridCol w:w="140"/>
        <w:gridCol w:w="990"/>
        <w:gridCol w:w="107"/>
        <w:gridCol w:w="130"/>
        <w:gridCol w:w="140"/>
        <w:gridCol w:w="991"/>
        <w:gridCol w:w="107"/>
        <w:gridCol w:w="130"/>
        <w:gridCol w:w="140"/>
        <w:gridCol w:w="991"/>
        <w:gridCol w:w="107"/>
      </w:tblGrid>
      <w:tr>
        <w:trPr>
          <w:jc w:val="center"/>
        </w:trPr>
        <w:tc>
          <w:tcPr>
            <w:tcW w:w="0" w:type="auto"/>
            <w:gridSpan w:val="12"/>
            <w:shd w:val="clear" w:color="auto" w:fill="auto"/>
            <w:vAlign w:val="center"/>
          </w:tcPr>
          <w:p>
            <w:pPr>
              <w:jc w:val="left"/>
              <w:rPr>
                <w:rFonts w:hint="default" w:ascii="Times New Roman" w:hAnsi="Times New Roman" w:cs="Times New Roman"/>
                <w:sz w:val="20"/>
                <w:szCs w:val="20"/>
              </w:rPr>
            </w:pPr>
          </w:p>
        </w:tc>
      </w:tr>
      <w:tr>
        <w:trPr>
          <w:jc w:val="center"/>
        </w:trPr>
        <w:tc>
          <w:tcPr>
            <w:tcW w:w="2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 2017</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Previously Reported</w:t>
            </w:r>
          </w:p>
        </w:tc>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Adjustments</w:t>
            </w:r>
          </w:p>
        </w:tc>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As Revised</w:t>
            </w:r>
          </w:p>
        </w:tc>
      </w:tr>
      <w:tr>
        <w:trPr>
          <w:jc w:val="center"/>
        </w:trPr>
        <w:tc>
          <w:tcPr>
            <w:tcW w:w="0" w:type="auto"/>
            <w:tcBorders>
              <w:top w:val="single" w:color="000000" w:sz="8" w:space="0"/>
            </w:tcBorders>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activities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18,434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(69</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18,365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Investing activities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(27,819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735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(27,084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Financing activities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9,860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9,928</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Net change in cash, cash equivalents, and restricted cash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475</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bottom w:val="double" w:color="000000" w:sz="6"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734</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bottom w:val="double" w:color="000000" w:sz="6"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1,209</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March 2019, the FASB issued an ASU amending the accounting for film costs, inclusive of episodic television and movie costs. The new guidance aligns the accounting for production costs of episodic television with that of movies by requiring production costs to be capitalized. Previously, we only capitalized a portion of the production costs related to our produced episodic television content. We adopted this ASU as of January 1, 2019 and began capitalizing substantially all of our production costs. Adoption of this ASU resulted in approximately $1.0 billion of incremental capitalized film costs classified in “Other Assets” as of December 31, 2019.</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50</w:t>
      </w:r>
    </w:p>
    <w:p>
      <w:pPr>
        <w:keepNext w:val="0"/>
        <w:keepLines w:val="0"/>
        <w:widowControl/>
        <w:suppressLineNumbers w:val="0"/>
      </w:pPr>
      <w:r>
        <w:rPr>
          <w:rFonts w:hint="default" w:ascii="Times New Roman" w:hAnsi="Times New Roman" w:cs="Times New Roman"/>
          <w:sz w:val="20"/>
          <w:szCs w:val="20"/>
        </w:rPr>
        <w:pict>
          <v:rect id="_x0000_i110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2 — FINANCIAL INSTRUMENTS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Cash, Cash Equivalents, Restricted Cash, and Marketable Securities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2018 and 2019,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10"/>
        <w:gridCol w:w="140"/>
        <w:gridCol w:w="771"/>
        <w:gridCol w:w="68"/>
        <w:gridCol w:w="130"/>
        <w:gridCol w:w="140"/>
        <w:gridCol w:w="726"/>
        <w:gridCol w:w="69"/>
        <w:gridCol w:w="130"/>
        <w:gridCol w:w="140"/>
        <w:gridCol w:w="725"/>
        <w:gridCol w:w="107"/>
        <w:gridCol w:w="130"/>
        <w:gridCol w:w="140"/>
        <w:gridCol w:w="772"/>
        <w:gridCol w:w="108"/>
      </w:tblGrid>
      <w:tr>
        <w:trPr>
          <w:jc w:val="center"/>
        </w:trPr>
        <w:tc>
          <w:tcPr>
            <w:tcW w:w="0" w:type="auto"/>
            <w:gridSpan w:val="16"/>
            <w:shd w:val="clear" w:color="auto" w:fill="auto"/>
            <w:vAlign w:val="center"/>
          </w:tcPr>
          <w:p>
            <w:pPr>
              <w:jc w:val="left"/>
              <w:rPr>
                <w:rFonts w:hint="default" w:ascii="Times New Roman" w:hAnsi="Times New Roman" w:cs="Times New Roman"/>
                <w:sz w:val="20"/>
                <w:szCs w:val="20"/>
              </w:rPr>
            </w:pPr>
          </w:p>
        </w:tc>
      </w:tr>
      <w:tr>
        <w:trPr>
          <w:jc w:val="center"/>
        </w:trPr>
        <w:tc>
          <w:tcPr>
            <w:tcW w:w="2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5"/>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2018</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Cost or</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Amortized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Cost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Gross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Unrealized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Gains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Gross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Unrealized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Losses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Estimated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Fair Value</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10,406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10,406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Level 1 securities: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12,515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12,515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Equity securities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170</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815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815</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11,686</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11,667</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Corporate debt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5,008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4,990</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896</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892</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190</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w:t>
            </w:r>
          </w:p>
        </w:tc>
        <w:tc>
          <w:tcPr>
            <w:tcW w:w="0" w:type="auto"/>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Equity securities</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41,516</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tcBorders>
              <w:bottom w:val="double" w:color="000000" w:sz="6"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tcBorders>
              <w:bottom w:val="double" w:color="000000" w:sz="6"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(45</w:t>
            </w:r>
          </w:p>
        </w:tc>
        <w:tc>
          <w:tcPr>
            <w:tcW w:w="0" w:type="auto"/>
            <w:tcBorders>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41,676</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(426</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rPr>
          <w:jc w:val="center"/>
        </w:trP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Total cash, cash equivalents, and marketable securities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41,250</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51</w:t>
      </w:r>
    </w:p>
    <w:p>
      <w:pPr>
        <w:keepNext w:val="0"/>
        <w:keepLines w:val="0"/>
        <w:widowControl/>
        <w:suppressLineNumbers w:val="0"/>
      </w:pPr>
      <w:r>
        <w:rPr>
          <w:rFonts w:hint="default" w:ascii="Times New Roman" w:hAnsi="Times New Roman" w:cs="Times New Roman"/>
          <w:sz w:val="20"/>
          <w:szCs w:val="20"/>
        </w:rPr>
        <w:pict>
          <v:rect id="_x0000_i110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10"/>
        <w:gridCol w:w="140"/>
        <w:gridCol w:w="771"/>
        <w:gridCol w:w="68"/>
        <w:gridCol w:w="130"/>
        <w:gridCol w:w="140"/>
        <w:gridCol w:w="726"/>
        <w:gridCol w:w="69"/>
        <w:gridCol w:w="130"/>
        <w:gridCol w:w="140"/>
        <w:gridCol w:w="725"/>
        <w:gridCol w:w="107"/>
        <w:gridCol w:w="130"/>
        <w:gridCol w:w="140"/>
        <w:gridCol w:w="772"/>
        <w:gridCol w:w="108"/>
      </w:tblGrid>
      <w:tr>
        <w:tc>
          <w:tcPr>
            <w:tcW w:w="0" w:type="auto"/>
            <w:gridSpan w:val="16"/>
            <w:shd w:val="clear" w:color="auto" w:fill="auto"/>
            <w:vAlign w:val="center"/>
          </w:tcPr>
          <w:p>
            <w:pPr>
              <w:jc w:val="left"/>
              <w:rPr>
                <w:rFonts w:hint="default" w:ascii="Times New Roman" w:hAnsi="Times New Roman" w:cs="Times New Roman"/>
                <w:sz w:val="20"/>
                <w:szCs w:val="20"/>
              </w:rPr>
            </w:pPr>
          </w:p>
        </w:tc>
      </w:tr>
      <w:tr>
        <w:tc>
          <w:tcPr>
            <w:tcW w:w="2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5"/>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Cost or</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Amortized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Cost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Gross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Unrealized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Gains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Gross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Unrealized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Losses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Estimated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Fair Value</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9,776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9,776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Level 1 securities: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Equity securities (1)</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4,794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4,794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7,070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7,080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Corporate debt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11,845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11,881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2,355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Equity securities (1)</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55,083</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tcBorders>
              <w:top w:val="single" w:color="000000" w:sz="8" w:space="0"/>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55,342</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double" w:color="000000" w:sz="6"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(321</w:t>
            </w:r>
          </w:p>
        </w:tc>
        <w:tc>
          <w:tcPr>
            <w:tcW w:w="0" w:type="auto"/>
            <w:tcBorders>
              <w:top w:val="double" w:color="000000" w:sz="6" w:space="0"/>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Total cash, cash equivalents, and marketable securities</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55,021</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related unrealized gain (loss) recorded in “Other income (expense), net” was $4 million for the year ended December 31, 2019.</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 are required to pledge or otherwise restrict a portion of our cash, cash equivalents, and marketable securities as collateral for real estate leases,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7 — Commitments and Contingencies.”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summarizes gross gains and gross losses realized on sales of available-for-sale fixed income marketable securities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3"/>
        <w:gridCol w:w="140"/>
        <w:gridCol w:w="876"/>
        <w:gridCol w:w="45"/>
        <w:gridCol w:w="130"/>
        <w:gridCol w:w="140"/>
        <w:gridCol w:w="876"/>
        <w:gridCol w:w="45"/>
        <w:gridCol w:w="130"/>
        <w:gridCol w:w="140"/>
        <w:gridCol w:w="876"/>
        <w:gridCol w:w="45"/>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Realized gains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Realized losses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summarizes the remaining contractual maturities of our cash equivalents and marketable fixed income securities as of December 31, 2019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91"/>
        <w:gridCol w:w="140"/>
        <w:gridCol w:w="793"/>
        <w:gridCol w:w="68"/>
        <w:gridCol w:w="130"/>
        <w:gridCol w:w="140"/>
        <w:gridCol w:w="776"/>
        <w:gridCol w:w="6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Amortized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Cost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Estimated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Fair Value</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Due within one year</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35,064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35,071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Due after one year through five years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9,262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9,304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Due after five years through ten years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Due after ten years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45,307</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45,359</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Actual maturities may differ from the contractual maturities because borrowers may have certain prepayment conditions.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52</w:t>
      </w:r>
    </w:p>
    <w:p>
      <w:pPr>
        <w:keepNext w:val="0"/>
        <w:keepLines w:val="0"/>
        <w:widowControl/>
        <w:suppressLineNumbers w:val="0"/>
      </w:pPr>
      <w:r>
        <w:rPr>
          <w:rFonts w:hint="default" w:ascii="Times New Roman" w:hAnsi="Times New Roman" w:cs="Times New Roman"/>
          <w:sz w:val="20"/>
          <w:szCs w:val="20"/>
        </w:rPr>
        <w:pict>
          <v:rect id="_x0000_i110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Consolidated Statements of Cash Flows Reconciliation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57"/>
        <w:gridCol w:w="140"/>
        <w:gridCol w:w="957"/>
        <w:gridCol w:w="73"/>
        <w:gridCol w:w="130"/>
        <w:gridCol w:w="140"/>
        <w:gridCol w:w="936"/>
        <w:gridCol w:w="73"/>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Cash and cash equivalents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31,750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36,092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Restricted cash included in accounts receivable, net and other</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Restricted cash included in other assets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32,173</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36,410</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3 — PROPERTY AND EQUIPMENT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Property and equipment, at cost, consisted of the following (in millions):</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030"/>
        <w:gridCol w:w="140"/>
        <w:gridCol w:w="882"/>
        <w:gridCol w:w="51"/>
        <w:gridCol w:w="130"/>
        <w:gridCol w:w="140"/>
        <w:gridCol w:w="882"/>
        <w:gridCol w:w="51"/>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property and equipment (1):</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Land and buildings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31,741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39,223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Equipment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54,591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71,310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assets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2,577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3,111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Construction in progress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6,861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6,036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property and equipment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95,770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119,680</w:t>
            </w:r>
          </w:p>
        </w:tc>
        <w:tc>
          <w:tcPr>
            <w:tcW w:w="0" w:type="auto"/>
            <w:tcBorders>
              <w:top w:val="single" w:color="000000" w:sz="8" w:space="0"/>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accumulated depreciation and amortization (1)</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33,973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46,975</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property and equipment, net</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61,797</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72,705</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left w:val="none" w:color="auto" w:sz="0" w:space="0"/>
        </w:pBdr>
        <w:spacing w:line="288" w:lineRule="auto"/>
        <w:ind w:left="0" w:hanging="480"/>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480"/>
        <w:gridCol w:w="6653"/>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Includes the original cost and accumulated depreciation of fully-depreciated assets.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Depreciation and amortization expense on property and equipment was $8.8 billion, $12.1 billion, and $15.1 billion which includes amortization of property and equipment acquired under finance leases of $5.4 billion, $7.3 billion, and $10.1 billion for 2017, 2018, and 2019. </w:t>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4 — LEASES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Gross assets acquired under finance leases, inclusive of those where title transfers at the end of the lease, are recorded in “Property and equipment, net” and were $36.1 billion and $57.4 billion as of December 31, 2018 and 2019. Accumulated amortization associated with finance leases was $19.8 billion and $30.0 billion as of December 31, 2018 and 2019.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Lease cost recognized in our consolidated statements of operations is summarized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875"/>
        <w:gridCol w:w="140"/>
        <w:gridCol w:w="1227"/>
        <w:gridCol w:w="64"/>
      </w:tblGrid>
      <w:tr>
        <w:tc>
          <w:tcPr>
            <w:tcW w:w="0" w:type="auto"/>
            <w:gridSpan w:val="4"/>
            <w:shd w:val="clear" w:color="auto" w:fill="auto"/>
            <w:vAlign w:val="center"/>
          </w:tcPr>
          <w:p>
            <w:pPr>
              <w:jc w:val="left"/>
              <w:rPr>
                <w:rFonts w:hint="default" w:ascii="Times New Roman" w:hAnsi="Times New Roman" w:cs="Times New Roman"/>
                <w:sz w:val="20"/>
                <w:szCs w:val="20"/>
              </w:rPr>
            </w:pPr>
          </w:p>
        </w:tc>
      </w:tr>
      <w:tr>
        <w:tc>
          <w:tcPr>
            <w:tcW w:w="41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88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 xml:space="preserve">Year Ended </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lease cost (1)</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3,669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Finance lease cost:</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Amortization of lease assets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10,094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Interest on lease liabilities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695</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Finance lease cost</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10,789</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Variable lease cost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966</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lease cost</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15,424</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Rental expense under operating lease agreements was $2.2 billion and $3.4 billion for 2017 and 2018.</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53</w:t>
      </w:r>
    </w:p>
    <w:p>
      <w:pPr>
        <w:keepNext w:val="0"/>
        <w:keepLines w:val="0"/>
        <w:widowControl/>
        <w:suppressLineNumbers w:val="0"/>
      </w:pPr>
      <w:r>
        <w:rPr>
          <w:rFonts w:hint="default" w:ascii="Times New Roman" w:hAnsi="Times New Roman" w:cs="Times New Roman"/>
          <w:sz w:val="20"/>
          <w:szCs w:val="20"/>
        </w:rPr>
        <w:pict>
          <v:rect id="_x0000_i111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Other information about lease amounts recognized in our consolidated financial statements is summarized as follows: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832"/>
        <w:gridCol w:w="1267"/>
        <w:gridCol w:w="207"/>
      </w:tblGrid>
      <w:tr>
        <w:tc>
          <w:tcPr>
            <w:tcW w:w="0" w:type="auto"/>
            <w:gridSpan w:val="3"/>
            <w:shd w:val="clear" w:color="auto" w:fill="auto"/>
            <w:vAlign w:val="center"/>
          </w:tcPr>
          <w:p>
            <w:pPr>
              <w:jc w:val="left"/>
              <w:rPr>
                <w:rFonts w:hint="default" w:ascii="Times New Roman" w:hAnsi="Times New Roman" w:cs="Times New Roman"/>
                <w:sz w:val="20"/>
                <w:szCs w:val="20"/>
              </w:rPr>
            </w:pPr>
          </w:p>
        </w:tc>
      </w:tr>
      <w:tr>
        <w:tc>
          <w:tcPr>
            <w:tcW w:w="4150" w:type="pct"/>
            <w:shd w:val="clear" w:color="auto" w:fill="auto"/>
            <w:vAlign w:val="center"/>
          </w:tcPr>
          <w:p>
            <w:pPr>
              <w:jc w:val="left"/>
              <w:rPr>
                <w:rFonts w:hint="default" w:ascii="Times New Roman" w:hAnsi="Times New Roman" w:cs="Times New Roman"/>
                <w:sz w:val="20"/>
                <w:szCs w:val="20"/>
              </w:rPr>
            </w:pPr>
          </w:p>
        </w:tc>
        <w:tc>
          <w:tcPr>
            <w:tcW w:w="8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88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 2019</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remaining lease term – operating leases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remaining lease term – finance leases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discount rate – operating leases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Weighted-average discount rate – finance leases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2019, our lease liabilities were as follows (in millions):</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31"/>
        <w:gridCol w:w="140"/>
        <w:gridCol w:w="663"/>
        <w:gridCol w:w="107"/>
        <w:gridCol w:w="130"/>
        <w:gridCol w:w="140"/>
        <w:gridCol w:w="664"/>
        <w:gridCol w:w="107"/>
        <w:gridCol w:w="130"/>
        <w:gridCol w:w="140"/>
        <w:gridCol w:w="747"/>
        <w:gridCol w:w="107"/>
      </w:tblGrid>
      <w:tr>
        <w:trPr>
          <w:jc w:val="center"/>
        </w:trPr>
        <w:tc>
          <w:tcPr>
            <w:tcW w:w="0" w:type="auto"/>
            <w:gridSpan w:val="12"/>
            <w:shd w:val="clear" w:color="auto" w:fill="auto"/>
            <w:vAlign w:val="center"/>
          </w:tcPr>
          <w:p>
            <w:pPr>
              <w:jc w:val="left"/>
              <w:rPr>
                <w:rFonts w:hint="default" w:ascii="Times New Roman" w:hAnsi="Times New Roman" w:cs="Times New Roman"/>
                <w:sz w:val="20"/>
                <w:szCs w:val="20"/>
              </w:rPr>
            </w:pPr>
          </w:p>
        </w:tc>
      </w:tr>
      <w:tr>
        <w:trPr>
          <w:jc w:val="center"/>
        </w:trPr>
        <w:tc>
          <w:tcPr>
            <w:tcW w:w="32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88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Operating Leases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Finance Leases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lease liabilities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31,963</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28,875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60,838</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imputed interest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(6,128</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(1,896</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(8,024</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rPr>
          <w:jc w:val="center"/>
        </w:trP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Present value of lease liabilities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25,835</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26,979</w:t>
            </w:r>
          </w:p>
        </w:tc>
        <w:tc>
          <w:tcPr>
            <w:tcW w:w="0" w:type="auto"/>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52,814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current portion of lease liabilities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(3,139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(9,884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(13,023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rPr>
          <w:jc w:val="center"/>
        </w:trP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22,696</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17,095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39,791</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5 — ACQUISITIONS, GOODWILL, AND ACQUIRED INTANGIBLE ASSETS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2017 Acquisition Activity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On May 12, 2017, we acquired Souq Group Ltd., an e-commerce company, for approximately $583 million, net of cash acquired, and on August 28, 2017, we acquired Whole Foods Market, a grocery store chain, for approximately $13.2 billion, net of cash acquired. Both acquisitions are intended to expand our retail presence. During 2017, we also acquired certain other companies for an aggregate purchase price of $204 million. The primary reason for our other 2017 acquisitions was to acquire technologies and know-how to enable Amazon to serve customers more effectively.</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2018 Acquisition Activity</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On April 12, 2018, we acquired Ring Inc. (“Ring”) for cash consideration of approximately $839 million, net of cash acquired, and on September 11, 2018, we acquired PillPack, Inc. (“PillPack”) for cash consideration of approximately $753 million, net of cash acquired, to expand our product and service offerings. During 2018, we also acquired certain other companies for an aggregate purchase price of $57 million. The primary reason for our other 2018 acquisitions was to acquire technologies and know-how to enable Amazon to serve customers more effectively.</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2019 Acquisition Activity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During 2019, we acquired certain companies for an aggregate purchase price of $315 million. The primary reason for these acquisitions, none of which were individually material to our consolidated financial statements, was to acquire technologies and know-how to enable Amazon to serve customers more effectively.</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Acquisition-related costs were expensed as incurred and were not significant. </w:t>
      </w:r>
    </w:p>
    <w:p>
      <w:pPr>
        <w:keepNext w:val="0"/>
        <w:keepLines w:val="0"/>
        <w:widowControl/>
        <w:suppressLineNumbers w:val="0"/>
        <w:pBdr>
          <w:top w:val="none" w:color="auto" w:sz="0" w:space="0"/>
        </w:pBdr>
        <w:spacing w:line="288" w:lineRule="auto"/>
        <w:ind w:left="0" w:firstLine="580"/>
        <w:jc w:val="left"/>
        <w:rPr>
          <w:rFonts w:hint="default" w:ascii="Times New Roman" w:hAnsi="Times New Roman" w:cs="Times New Roman"/>
          <w:sz w:val="20"/>
          <w:szCs w:val="20"/>
        </w:rPr>
      </w:pPr>
      <w:r>
        <w:rPr>
          <w:rFonts w:hint="default" w:ascii="Times New Roman" w:hAnsi="Times New Roman" w:eastAsia="宋体" w:cs="Times New Roman"/>
          <w:sz w:val="20"/>
          <w:szCs w:val="20"/>
        </w:rPr>
        <w:t>Pro forma results of operations have not been presented because the effects of 2019 acquisitions, individually and in the aggregate, were not material to our consolidated results of operations.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54</w:t>
      </w:r>
    </w:p>
    <w:p>
      <w:pPr>
        <w:keepNext w:val="0"/>
        <w:keepLines w:val="0"/>
        <w:widowControl/>
        <w:suppressLineNumbers w:val="0"/>
      </w:pPr>
      <w:r>
        <w:rPr>
          <w:rFonts w:hint="default" w:ascii="Times New Roman" w:hAnsi="Times New Roman" w:cs="Times New Roman"/>
          <w:sz w:val="20"/>
          <w:szCs w:val="20"/>
        </w:rPr>
        <w:pict>
          <v:rect id="_x0000_i111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Purchase Price Allocation</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aggregate purchase price of these acquisitions was allocated as follows (in millions):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17"/>
        <w:gridCol w:w="140"/>
        <w:gridCol w:w="996"/>
        <w:gridCol w:w="107"/>
        <w:gridCol w:w="130"/>
        <w:gridCol w:w="140"/>
        <w:gridCol w:w="996"/>
        <w:gridCol w:w="107"/>
        <w:gridCol w:w="130"/>
        <w:gridCol w:w="140"/>
        <w:gridCol w:w="996"/>
        <w:gridCol w:w="107"/>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Purchase Price</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Cash paid, net of cash acquired</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13,859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1,618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Indemnification holdback</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13,963</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1,649</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Allocation</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Goodwill</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9,501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1,228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Intangible assets (1):</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Marketing-related</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1,987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Contract-based</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Technology-based</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2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Customer-related</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193</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2,647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677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Property and equipment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3,810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Deferred tax assets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assets acquired</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1,858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Long-term debt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(1,165</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Deferred tax liabilities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(961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liabilities assumed</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(1,844</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(388</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13,963</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1,649</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315</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Intangible assets acquired in 2017, 2018, and 2019 have estimated useful lives of between one and twenty-five years, two and seven years, and two and seven years, with weighted-average amortization periods of twenty-one years, six years, and five years. </w:t>
            </w:r>
          </w:p>
        </w:tc>
      </w:tr>
    </w:tbl>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determined the estimated fair value of identifiable intangible assets acquired primarily by using the income approach. These assets are included within “Other assets” on our consolidated balance sheets and are being amortized to operating expenses on a straight-line basis over their estimated useful lives.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Goodwill</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goodwill of the acquired companies is primarily related to expected improvements in technology performance and functionality, as well as sales growth from future product and service offerings and new customers, together with certain intangible assets that do not qualify for separate recognition. The goodwill of the acquired companies is generally not deductible for tax purposes. The following summarizes our goodwill activity in 2018 and 2019 by segment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731"/>
        <w:gridCol w:w="140"/>
        <w:gridCol w:w="1070"/>
        <w:gridCol w:w="107"/>
        <w:gridCol w:w="130"/>
        <w:gridCol w:w="140"/>
        <w:gridCol w:w="987"/>
        <w:gridCol w:w="107"/>
        <w:gridCol w:w="130"/>
        <w:gridCol w:w="140"/>
        <w:gridCol w:w="1070"/>
        <w:gridCol w:w="107"/>
        <w:gridCol w:w="130"/>
        <w:gridCol w:w="140"/>
        <w:gridCol w:w="1070"/>
        <w:gridCol w:w="107"/>
      </w:tblGrid>
      <w:tr>
        <w:tc>
          <w:tcPr>
            <w:tcW w:w="0" w:type="auto"/>
            <w:gridSpan w:val="16"/>
            <w:shd w:val="clear" w:color="auto" w:fill="auto"/>
            <w:vAlign w:val="center"/>
          </w:tcPr>
          <w:p>
            <w:pPr>
              <w:jc w:val="left"/>
              <w:rPr>
                <w:rFonts w:hint="default" w:ascii="Times New Roman" w:hAnsi="Times New Roman" w:cs="Times New Roman"/>
                <w:sz w:val="20"/>
                <w:szCs w:val="20"/>
              </w:rPr>
            </w:pPr>
          </w:p>
        </w:tc>
      </w:tr>
      <w:tr>
        <w:tc>
          <w:tcPr>
            <w:tcW w:w="17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7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7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7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North</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America</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International</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AWS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Consolidated</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Goodwill - January 1, 2018</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11,165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1,108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1,077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13,350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New acquisitions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1,228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adjustments (2)</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Goodwill - December 31, 2018</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12,191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1,270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14,548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New acquisitions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adjustments (2)</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Goodwill - December 31, 2019</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12,264</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1,300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1,190</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14,754</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005"/>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Primarily includes the acquisitions of Ring and PillPack in the North America segment.</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4282"/>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Primarily includes changes in foreign exchange rates.</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55</w:t>
      </w:r>
    </w:p>
    <w:p>
      <w:pPr>
        <w:keepNext w:val="0"/>
        <w:keepLines w:val="0"/>
        <w:widowControl/>
        <w:suppressLineNumbers w:val="0"/>
      </w:pPr>
      <w:r>
        <w:rPr>
          <w:rFonts w:hint="default" w:ascii="Times New Roman" w:hAnsi="Times New Roman" w:cs="Times New Roman"/>
          <w:sz w:val="20"/>
          <w:szCs w:val="20"/>
        </w:rPr>
        <w:pict>
          <v:rect id="_x0000_i111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Intangible Assets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Acquired intangible assets, included within “Other assets” on our consolidated balance sheets, consist of the following (in millions):</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46"/>
        <w:gridCol w:w="122"/>
        <w:gridCol w:w="583"/>
        <w:gridCol w:w="73"/>
        <w:gridCol w:w="121"/>
        <w:gridCol w:w="122"/>
        <w:gridCol w:w="843"/>
        <w:gridCol w:w="95"/>
        <w:gridCol w:w="121"/>
        <w:gridCol w:w="122"/>
        <w:gridCol w:w="583"/>
        <w:gridCol w:w="73"/>
        <w:gridCol w:w="121"/>
        <w:gridCol w:w="122"/>
        <w:gridCol w:w="583"/>
        <w:gridCol w:w="73"/>
        <w:gridCol w:w="121"/>
        <w:gridCol w:w="122"/>
        <w:gridCol w:w="843"/>
        <w:gridCol w:w="95"/>
        <w:gridCol w:w="121"/>
        <w:gridCol w:w="122"/>
        <w:gridCol w:w="583"/>
        <w:gridCol w:w="73"/>
        <w:gridCol w:w="121"/>
        <w:gridCol w:w="802"/>
      </w:tblGrid>
      <w:tr>
        <w:tc>
          <w:tcPr>
            <w:tcW w:w="0" w:type="auto"/>
            <w:gridSpan w:val="26"/>
            <w:shd w:val="clear" w:color="auto" w:fill="auto"/>
            <w:vAlign w:val="center"/>
          </w:tcPr>
          <w:p>
            <w:pPr>
              <w:jc w:val="left"/>
              <w:rPr>
                <w:rFonts w:hint="default" w:ascii="Times New Roman" w:hAnsi="Times New Roman" w:cs="Times New Roman"/>
                <w:sz w:val="20"/>
                <w:szCs w:val="20"/>
              </w:rPr>
            </w:pPr>
          </w:p>
        </w:tc>
      </w:tr>
      <w:tr>
        <w:tc>
          <w:tcPr>
            <w:tcW w:w="9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3"/>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top w:val="single" w:color="000000" w:sz="8" w:space="0"/>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Acquired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Intangibles,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Gross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Accumulated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Amortization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Acquired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Intangibles,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Net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Acquired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Intangibles,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Gross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Accumulated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Amortization (1)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Acquired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Intangibles,</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Net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Weighted</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Average Life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Remaining</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Marketing-related</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2,542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2,111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(340</w:t>
            </w:r>
          </w:p>
        </w:tc>
        <w:tc>
          <w:tcPr>
            <w:tcW w:w="0" w:type="auto"/>
            <w:tcBorders>
              <w:top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1,963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20.7</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Contract-based</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1,430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1,206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1,702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(302</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10.5</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content-based</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941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1,011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Customer-related</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(208</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229</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(130</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Acquired intangibles (2)</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5,350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(1,240</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4,110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5,298</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(1,249</w:t>
            </w:r>
          </w:p>
        </w:tc>
        <w:tc>
          <w:tcPr>
            <w:tcW w:w="0" w:type="auto"/>
            <w:tcBorders>
              <w:top w:val="single" w:color="000000" w:sz="8" w:space="0"/>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4,049</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14.3</w:t>
            </w: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020"/>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Excludes the original cost and accumulated amortization of fully-amortized intangibles.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6643"/>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Intangible assets have estimated useful lives of between one and twenty-five years.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Amortization expense for acquired intangibles was $366 million, $475 million, and $565 million in 2017, 2018, and 2019. Expected future amortization expense of acquired intangible assets as of December 31, 2019 is as follows (in millions):</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92"/>
        <w:gridCol w:w="140"/>
        <w:gridCol w:w="1310"/>
        <w:gridCol w:w="64"/>
      </w:tblGrid>
      <w:tr>
        <w:tc>
          <w:tcPr>
            <w:tcW w:w="0" w:type="auto"/>
            <w:gridSpan w:val="4"/>
            <w:shd w:val="clear" w:color="auto" w:fill="auto"/>
            <w:vAlign w:val="center"/>
          </w:tcPr>
          <w:p>
            <w:pPr>
              <w:jc w:val="left"/>
              <w:rPr>
                <w:rFonts w:hint="default" w:ascii="Times New Roman" w:hAnsi="Times New Roman" w:cs="Times New Roman"/>
                <w:sz w:val="20"/>
                <w:szCs w:val="20"/>
              </w:rPr>
            </w:pPr>
          </w:p>
        </w:tc>
      </w:tr>
      <w:tr>
        <w:tc>
          <w:tcPr>
            <w:tcW w:w="4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8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gridSpan w:val="4"/>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Year Ended December 31,</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2020</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2021</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2022</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2024</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Thereafter</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2,116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4,021</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56</w:t>
      </w:r>
    </w:p>
    <w:p>
      <w:pPr>
        <w:keepNext w:val="0"/>
        <w:keepLines w:val="0"/>
        <w:widowControl/>
        <w:suppressLineNumbers w:val="0"/>
      </w:pPr>
      <w:r>
        <w:rPr>
          <w:rFonts w:hint="default" w:ascii="Times New Roman" w:hAnsi="Times New Roman" w:cs="Times New Roman"/>
          <w:sz w:val="20"/>
          <w:szCs w:val="20"/>
        </w:rPr>
        <w:pict>
          <v:rect id="_x0000_i111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6 — DEBT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2019, we had $23.3 billion of unsecured senior notes outstanding (the “Notes”). As of December 31, 2018 and 2019, the net unamortized discount and debt issuance costs on the Notes was $101 million. We also have other long-term debt with a carrying amount, including the current portion and borrowings under our credit facility, of $715 million and $1.6 billion as of December 31, 2018 and 2019. The face value of our total long-term debt obligations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492"/>
        <w:gridCol w:w="140"/>
        <w:gridCol w:w="594"/>
        <w:gridCol w:w="107"/>
        <w:gridCol w:w="130"/>
        <w:gridCol w:w="140"/>
        <w:gridCol w:w="595"/>
        <w:gridCol w:w="10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2.600% Notes due on December 5, 2019</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1.900% Notes due on August 21, 2020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3.300% Notes due on December 5, 2021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2.500% Notes due on November 29, 2022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2.400% Notes due on February 22, 2023 (3)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2.800% Notes due on August 22, 2024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3.800% Notes due on December 5, 2024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5.200% Notes due on December 3, 2025 (4)</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3.150% Notes due on August 22, 2027 (3)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4.800% Notes due on December 5, 2034 (2)</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3.875% Notes due on August 22, 2037 (3)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4.950% Notes due on December 5, 2044 (2)</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4.050% Notes due on August 22, 2047 (3)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4.250% Notes due on August 22, 2057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Credit Facility</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long-term debt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debt</w:t>
            </w:r>
          </w:p>
        </w:tc>
        <w:tc>
          <w:tcPr>
            <w:tcW w:w="0" w:type="auto"/>
            <w:gridSpan w:val="2"/>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24,965</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24,820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Less current portion of long-term debt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(1,371</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(1,307</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Face value of long-term debt</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23,594</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23,513</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12"/>
          <w:szCs w:val="12"/>
        </w:rPr>
      </w:pPr>
      <w:r>
        <w:rPr>
          <w:rFonts w:hint="default" w:ascii="Times New Roman" w:hAnsi="Times New Roman" w:eastAsia="宋体" w:cs="Times New Roman"/>
          <w:sz w:val="12"/>
          <w:szCs w:val="12"/>
        </w:rPr>
        <w:t>_____________________________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6304"/>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in November 2012, effective interest rate of the 2022 Notes was 2.66%.</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in December 2014, effective interest rates of the 2021, 2024, 2034, and 2044 Notes were 3.43%, 3.90%, 4.92%, and 5.11%.</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Issued in August 2017, effective interest rates of the 2020, 2023, 2024, 2027, 2037, 2047, and 2057 Notes were 2.16%, 2.56%, 2.95%, 3.25%, 3.94%, 4.13%, and 4.33%.</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Consists of $872 million of 2025 Notes issued in December 2017 in exchange for notes assumed in connection with the acquisition of Whole Foods Market and $128 million of 2025 Notes issued by Whole Foods Market that did not participate in our December 2017 exchange offer. The effective interest rate of the 2025 Notes was 3.02%.</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Interest on the Notes issued in 2012 is payable semi-annually in arrears in May and November. Interest on the Notes issued in 2014 is payable semi-annually in arrears in June and December. Interest on the Notes issued in 2017 is payable semi-annually in arrears in February and August. Interest on the 2025 Notes is payable semi-annually in arrears in June and December. We may redeem the Notes at any time in whole, or from time to time, in part at specified redemption prices. We are not subject to any financial covenants under the Notes. The proceeds from the November 2012 and the December 2014 Notes were used for general corporate purposes. The proceeds from the August 2017 Notes were used to fund the consideration for the acquisition of Whole Foods Market, to repay notes due in 2017, and for general corporate purposes. The estimated fair value of the Notes was approximately $24.3 billion and $26.2 billion as of December 31, 2018 and 2019, which is based on quoted prices for our debt as of those dates.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October 2016, we entered into a $500 million secured revolving credit facility with a lender that is secured by certain seller receivables, which we subsequently increased to $740 million and may from time to time increase in the future subject to lender approval (the “Credit Facility”). The Credit Facility is available until October 2022, bears interest at the London interbank offered rate (“LIBOR”) plus 1.40%, and has a commitment fee of 0.50% on the undrawn portion. There were $594 million and $740 million of borrowings outstanding under the Credit Facility as of December 31, 2018 and 2019, which had a weighted-average interest rate of 3.2% and 3.4% as of December 31, 2018 and 2019. As of December 31, 2018 and 2019, we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57</w:t>
      </w:r>
    </w:p>
    <w:p>
      <w:pPr>
        <w:keepNext w:val="0"/>
        <w:keepLines w:val="0"/>
        <w:widowControl/>
        <w:suppressLineNumbers w:val="0"/>
      </w:pPr>
      <w:r>
        <w:rPr>
          <w:rFonts w:hint="default" w:ascii="Times New Roman" w:hAnsi="Times New Roman" w:cs="Times New Roman"/>
          <w:sz w:val="20"/>
          <w:szCs w:val="20"/>
        </w:rPr>
        <w:pict>
          <v:rect id="_x0000_i111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have pledged $686 million and $852 million of our cash and seller receivables as collateral for debt related to our Credit Facility. The estimated fair value of the Credit Facility, which is based on Level 2 inputs, approximated its carrying value as of December 31, 2018 and 2019.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other debt, including the current portion, had a weighted-average interest rate of 6.0% and 4.1% as of December 31, 2018 and 2019. We used the net proceeds from the issuance of this debt primarily to fund certain business operations. The estimated fair value of the other long-term debt, which is based on Level 2 inputs, approximated its carrying value as of December 31, 2018 and 2019.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2019, future principal payments for our total debt were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92"/>
        <w:gridCol w:w="140"/>
        <w:gridCol w:w="1310"/>
        <w:gridCol w:w="64"/>
      </w:tblGrid>
      <w:tr>
        <w:tc>
          <w:tcPr>
            <w:tcW w:w="0" w:type="auto"/>
            <w:gridSpan w:val="4"/>
            <w:shd w:val="clear" w:color="auto" w:fill="auto"/>
            <w:vAlign w:val="center"/>
          </w:tcPr>
          <w:p>
            <w:pPr>
              <w:jc w:val="left"/>
              <w:rPr>
                <w:rFonts w:hint="default" w:ascii="Times New Roman" w:hAnsi="Times New Roman" w:cs="Times New Roman"/>
                <w:sz w:val="20"/>
                <w:szCs w:val="20"/>
              </w:rPr>
            </w:pPr>
          </w:p>
        </w:tc>
      </w:tr>
      <w:tr>
        <w:tc>
          <w:tcPr>
            <w:tcW w:w="4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8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gridSpan w:val="4"/>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Year Ended December 31,</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2020</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1,307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2021</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1,141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2022</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1,773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2023</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1,510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2024</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3,339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Thereafter</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15,750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24,820</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April 2018, we established a commercial paper program (the “Commercial Paper Program”) under which we may from time to time issue unsecured commercial paper up to a total of $7.0 billion at any time, with individual maturities that may vary but will not exceed 397 days from the date of issue. There were no borrowings outstanding under the Commercial Paper Program as of December 31, 2018 and 2019. </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April 2018, in connection with our Commercial Paper Program, we amended and restated our unsecured revolving credit facility (the “Credit Agreement”) with a syndicate of lenders to increase our borrowing capacity thereunder to $7.0 billion. As amended and restated, the Credit Agreement has a term of three years, but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2018 and 2019.</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58</w:t>
      </w:r>
    </w:p>
    <w:p>
      <w:pPr>
        <w:keepNext w:val="0"/>
        <w:keepLines w:val="0"/>
        <w:widowControl/>
        <w:suppressLineNumbers w:val="0"/>
      </w:pPr>
      <w:r>
        <w:rPr>
          <w:rFonts w:hint="default" w:ascii="Times New Roman" w:hAnsi="Times New Roman" w:cs="Times New Roman"/>
          <w:sz w:val="20"/>
          <w:szCs w:val="20"/>
        </w:rPr>
        <w:pict>
          <v:rect id="_x0000_i111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7 — COMMITMENTS AND CONTINGENCIES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Commitments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entered into non-cancellable operating and finance leases and financing obligations for equipment and office, fulfillment, sortation, delivery, data center, physical store, and renewable energy facilities.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following summarizes our principal contractual commitments, excluding open orders for purchases that support normal operations and are generally cancellable, 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 xml:space="preserve">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89"/>
        <w:gridCol w:w="140"/>
        <w:gridCol w:w="550"/>
        <w:gridCol w:w="6"/>
        <w:gridCol w:w="130"/>
        <w:gridCol w:w="140"/>
        <w:gridCol w:w="550"/>
        <w:gridCol w:w="6"/>
        <w:gridCol w:w="130"/>
        <w:gridCol w:w="140"/>
        <w:gridCol w:w="550"/>
        <w:gridCol w:w="6"/>
        <w:gridCol w:w="130"/>
        <w:gridCol w:w="140"/>
        <w:gridCol w:w="550"/>
        <w:gridCol w:w="6"/>
        <w:gridCol w:w="130"/>
        <w:gridCol w:w="140"/>
        <w:gridCol w:w="550"/>
        <w:gridCol w:w="6"/>
        <w:gridCol w:w="130"/>
        <w:gridCol w:w="140"/>
        <w:gridCol w:w="614"/>
        <w:gridCol w:w="103"/>
        <w:gridCol w:w="131"/>
        <w:gridCol w:w="141"/>
        <w:gridCol w:w="651"/>
        <w:gridCol w:w="7"/>
      </w:tblGrid>
      <w:tr>
        <w:tc>
          <w:tcPr>
            <w:tcW w:w="0" w:type="auto"/>
            <w:gridSpan w:val="28"/>
            <w:shd w:val="clear" w:color="auto" w:fill="auto"/>
            <w:vAlign w:val="center"/>
          </w:tcPr>
          <w:p>
            <w:pPr>
              <w:jc w:val="left"/>
              <w:rPr>
                <w:rFonts w:hint="default" w:ascii="Times New Roman" w:hAnsi="Times New Roman" w:cs="Times New Roman"/>
                <w:sz w:val="20"/>
                <w:szCs w:val="20"/>
              </w:rPr>
            </w:pPr>
          </w:p>
        </w:tc>
      </w:tr>
      <w:tr>
        <w:tc>
          <w:tcPr>
            <w:tcW w:w="21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9"/>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2021</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2022</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2023</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Thereafter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Debt principal and interest</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2,202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2,009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2,603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2,273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4,084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26,019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39,190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lease liabilities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3,757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3,630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3,226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2,605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15,845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31,963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9,878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7,655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989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28,875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Financing obligations, including interest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2,452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3,190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Unconditional purchase obligations (1)</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4,593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3,641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3,293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3,103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2,358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19,988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Other commitments (2)(3)</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3,837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2,274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1,770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1,439</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1,389</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12,186</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22,895</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Total commitments</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24,409</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19,355</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15,100</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11,197</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12,219</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63,821</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146,101</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Includes the estimated timing and amounts of payments for rent and tenant improvements associated with build-to-suit lease arrangements and lease arrangements prior to the lease commencement date and digital media content liabilities associated with long-term digital media content assets with initial terms greater than one year.</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Excludes approximately $3.9 billion of accrued tax contingencies for which we cannot make a reasonably reliable estimate of the amount and period of payment, if any.</w:t>
            </w:r>
          </w:p>
        </w:tc>
      </w:tr>
    </w:tbl>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Pledged Assets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2018 and 2019, we have pledged or otherwise restricted $575 million and $994 million of our cash, cash equivalents, and marketable securities, and certain property and equipment as collateral for real estate leases, amounts due to third-party sellers in certain jurisdictions, debt, and standby and trade letters of credit. Additionally, we have pledged our cash and seller receivables for debt related to our Credit Facility. See “Note 6 — Debt.”</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Suppliers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During 2019, no vendor accounted for 10% or more of our purchases. We generally do not have long-term contracts or arrangements with our vendors to guarantee the availability of merchandise, particular payment terms, or the extension of credit limits.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Other Contingencies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2016, we determined that we processed and delivered orders of consumer products for certain individuals and entities located outside Iran covered by the Iran Threat Reduction and Syria Human Rights Act or other United States sanctions and export control laws. The consumer products included books, music, other media, apparel, home and kitchen, health and beauty, jewelry, office, consumer electronics, software, lawn and patio, grocery, and automotive products. Our review is ongoing and we have voluntarily reported these orders to the United States Treasury Department’s Office of Foreign Assets Control and the United States Department of Commerce’s Bureau of Industry and Security. We intend to cooperate fully with OFAC and BIS with respect to their review, which may result in the imposition of penalties. For additional information, see Item 9B of Part II, “Other Information — Disclosure Pursuant to Section 13(r) of the Exchange Act.”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are subject to claims related to various indirect taxes (such as sales, value added, consumption, service, and similar taxes), including in jurisdictions in which we already collect and remit such taxes. If the relevant taxing authorities were successfully to pursue these claims, we could be subject to significant additional tax liabilities. For example, in June 2017, the State of South Carolina issued an assessment for uncollected sales and use taxes for the period from January 2016 to March 2016, including interest and penalties. South Carolina is alleging that we should have collected sales and use taxes on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59</w:t>
      </w:r>
    </w:p>
    <w:p>
      <w:pPr>
        <w:keepNext w:val="0"/>
        <w:keepLines w:val="0"/>
        <w:widowControl/>
        <w:suppressLineNumbers w:val="0"/>
      </w:pPr>
      <w:r>
        <w:rPr>
          <w:rFonts w:hint="default" w:ascii="Times New Roman" w:hAnsi="Times New Roman" w:cs="Times New Roman"/>
          <w:sz w:val="20"/>
          <w:szCs w:val="20"/>
        </w:rPr>
        <w:pict>
          <v:rect id="_x0000_i111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 If other tax authorities were successfully to seek additional adjustments of a similar nature, we could be subject to significant additional tax liabilities.</w:t>
      </w: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Legal Proceedings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Company is involved from time to time in claims, proceedings, and litigation, including the following: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Beginning in August 2013, a number of complaints were filed alleging, among other things, that Amazon.com, Inc. and several of its subsidiaries failed to compensate hourly workers for time spent waiting in security lines and otherwise violated federal and state wage and hour statutes and common law. In August 2013, Busk v. Integrity Staffing Solutions, Inc. and Amazon.com, Inc. was filed in the United States District Court for the District of Nevada, and Vance v. Amazon.com, Inc., Zappos.com Inc., another affiliate of Amazon.com, Inc., and Kelly Services, Inc. was filed in the United States District Court for the Western District of Kentucky. In September 2013, Allison v. Amazon.com, Inc. and Integrity Staffing Solutions, Inc. was filed in the United States District Court for the Western District of Washington, and Johnson v. Amazon.com, Inc. and an affiliate of Amazon.com, Inc. was filed in the United States District Court for the Western District of Kentucky. In October 2013, Davis v. Amazon.com, Inc., an affiliate of Amazon.com, Inc., and Integrity Staffing Solutions, Inc. was filed in the United States District Court for the Middle District of Tennessee. The plaintiffs variously purport to represent a nationwide class of certain current and former employees under the Fair Labor Standards Act and/or state-law-based subclasses for certain current and former employees in states including Arizona, California, Pennsylvania, South Carolina, Kentucky, Washington, and Nevada, and one complaint asserts nationwide breach of contract and unjust enrichment claims. The complaints seek an unspecified amount of damages, interest, injunctive relief, and attorneys’ fees. We have been named in several other similar cases. In December 2014, the Supreme Court ruled in Busk that time spent waiting for and undergoing security screening is not compensable working time under the federal wage and hour statute. In February 2015, the courts in those actions alleging only federal law claims entered stipulated orders dismissing those actions without prejudice. In March 2016, the United States District Court for the Western District of Kentucky dismissed the Vance case with prejudice. In April 2016, the plaintiffs appealed the district court’s judgment to the United States Court of Appeals for the Federal Circuit. In March 2017, the court of appeals affirmed the district court’s decision. In June 2017, the United States District Court for the Western District of Kentucky dismissed the Busk and Saldana cases with prejudice. We dispute any remaining allegations of wrongdoing and intend to defend ourselves vigorously in these matters.</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March 2015, Zitovault, LLC filed a complaint against Amazon.com, Inc., Amazon.com, LLC, Amazon Web Services, Inc., and Amazon Web Services, LLC for patent infringement in the United States District Court for the Eastern District of Texas. The complaint alleges that Elastic Compute Cloud, Virtual Private Cloud, Elastic Load Balancing, Auto-Scaling, and Elastic Beanstalk infringe U.S. Patent No. 6,484,257, entitled “System and Method for Maintaining N Number of Simultaneous Cryptographic Sessions Using a Distributed Computing Environment.” The complaint seeks injunctive relief, an unspecified amount of damages, enhanced damages, attorneys’ fees, costs, and interest. In January 2016, the case was transferred to the United States District Court for the Western District of Washington. In June 2016, the case was stayed pending resolution of a review petition we filed with the United States Patent and Trademark Office. In January 2019, the stay of the case was lifted following resolution of the review petition. We dispute the allegations of wrongdoing and intend to defend ourselves vigorously in this matter.</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November 2015, Eolas Technologies, Inc. filed a complaint against Amazon.com, Inc. in the United States District Court for the Eastern District of Texas. The complaint alleges, among other things, that the use of “interactive features” on www.amazon.com, including “search suggestions and search results,” infringes U.S. Patent No. 9,195,507, entitled “Distributed Hypermedia Method and System for Automatically Invoking External Application Providing Interaction and Display of Embedded Objects Within A Hypermedia Document.” The complaint sought a judgment of infringement together with costs and attorneys’ fees. In February 2016, Eolas filed an amended complaint seeking, among other things, an unspecified amount of damages. In February 2017, Eolas alleged in its damages report that in the event of a finding of liability Amazon could be subject to $130-$250 million in damages. In April 2017, the case was transferred to the United States District Court for the Northern District of California. We dispute the allegations of wrongdoing and intend to defend ourselves vigorously in this matter.</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October 2017, SRC Labs, LLC and Saint Regis Mohawk Tribe filed a complaint for patent infringement against Amazon Web Services, Inc., Amazon.com, Inc., and VADATA, Inc. in the United States District Court for the Eastern District of Virginia. The complaint alleges, among other things, that certain AWS EC2 Instances infringe U.S. Patent Nos. 6,434,687, entitled “System and method for accelerating web site access and processing utilizing a computer system incorporating reconfigurable processors operating under a single operating system image”; 7,149,867, entitled “System and method of enhancing efficiency and utilization of memory bandwidth in reconfigurable hardware”; 7,225,324 and 7,620,800, both entitled “Multi-adaptive processing systems and techniques for enhancing parallelism and performance of computational functions”;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60</w:t>
      </w:r>
    </w:p>
    <w:p>
      <w:pPr>
        <w:keepNext w:val="0"/>
        <w:keepLines w:val="0"/>
        <w:widowControl/>
        <w:suppressLineNumbers w:val="0"/>
      </w:pPr>
      <w:r>
        <w:rPr>
          <w:rFonts w:hint="default" w:ascii="Times New Roman" w:hAnsi="Times New Roman" w:cs="Times New Roman"/>
          <w:sz w:val="20"/>
          <w:szCs w:val="20"/>
        </w:rPr>
        <w:pict>
          <v:rect id="_x0000_i111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and 9,153,311, entitled “System and method for retaining DRAM data when reprogramming reconfigurable devices with DRAM memory controllers.” The complaint seeks an unspecified amount of damages, enhanced damages, interest, and a compulsory on-going royalty. In February 2018, the Virginia district court transferred the case to the United States District Court for the Western District of Washington. In November 2018, the case was stayed pending resolution of eight review petitions filed with the United States Patent and Trademark Office relating to the ‘324, ‘867, and ‘311 patents. We dispute the allegations of wrongdoing and intend to defend ourselves vigorously in this matter.</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May 2018, Rensselaer Polytechnic Institute and CF Dynamic Advances LLC filed a complaint against Amazon.com, Inc. in the United States District Court for the Northern District of New York. The complaint alleges, among other things, that “Alexa Voice Software and Alexa enabled devices” infringe U.S. Patent No. 7,177,798, entitled “Natural Language Interface Using Constrained Intermediate Dictionary of Results.” The complaint seeks an injunction, an unspecified amount of damages, enhanced damages, an ongoing royalty, pre- and post-judgment interest, attorneys’ fees, and costs. We dispute the allegations of wrongdoing and intend to defend ourselves vigorously in this matter.</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June 2018, VoIP-Pal.com, Inc. filed a complaint against Amazon Technologies, Inc. and Amazon.com, Inc. in the United States District Court for the District of Nevada. The complaint alleges, among other things, that the Alexa calling and messaging system, the Alexa app, and Echo, Tap, and Fire devices with Alexa support infringe U.S. Patent Nos. 9,537,762; 9,813,330; 9,826,002; and 9,948,549, all entitled “Producing Routing Messages For Voice Over IP Communications.” The complaint seeks an unspecified amount of damages, enhanced damages, attorneys’ fees, costs, and interest. In November 2018, the case was transferred to the United States District Court for the Northern District of California. In November 2019, the District Court entered judgment invalidating all asserted claims of U.S. Patent Nos. 9,537,762; 9,813,330; 9,826,002; and 9,948,549. We dispute the allegations of wrongdoing and intend to defend ourselves vigorously in this matter.</w:t>
      </w:r>
    </w:p>
    <w:p>
      <w:pPr>
        <w:keepNext w:val="0"/>
        <w:keepLines w:val="0"/>
        <w:widowControl/>
        <w:suppressLineNumbers w:val="0"/>
        <w:pBdr>
          <w:top w:val="none" w:color="auto" w:sz="0" w:space="0"/>
        </w:pBdr>
        <w:spacing w:line="288" w:lineRule="auto"/>
        <w:ind w:left="0" w:firstLine="58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December 2018, Kove IO, Inc. filed a complaint against Amazon Web Services, Inc. in the United States District Court for the Northern District of Illinois. The complaint alleges, among other things, that Amazon S3 and DynamoDB infringe U.S. Patent Nos. 7,814,170 and 7,103,640, both entitled “Network Distributed Tracking Wire Transfer Protocol,” and 7,233,978, entitled “Method And Apparatus For Managing Location Information In A Network Separate From The Data To Which The Location Information Pertains.” The complaint seeks an unspecified amount of damages, enhanced damages, attorneys’ fees, costs, interest, and injunctive relief. We dispute the allegations of wrongdoing and intend to defend ourselves vigorously in this matter.</w:t>
      </w:r>
    </w:p>
    <w:p>
      <w:pPr>
        <w:keepNext w:val="0"/>
        <w:keepLines w:val="0"/>
        <w:widowControl/>
        <w:suppressLineNumbers w:val="0"/>
        <w:pBdr>
          <w:top w:val="none" w:color="auto" w:sz="0" w:space="0"/>
          <w:bottom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January 2019, Saint Lawrence Communications, LLC filed a complaint against Amazon.com, Inc. and Amazon.com LLC in the United States District Court for the Eastern District of Texas. The complaint alleges, among other things, that voice encoding functionality in Amazon devices infringes U.S. Patent Nos. 6,795,805, entitled “Periodicity Enhancement In Decoding Wideband Signals”; 6,807,524, entitled “Perceptual Weighting Device And Method For Efficient Coding Of Wideband Signals”; 7,151,802, entitled “High Frequency Content Recovering Method And Device For Over-Sampled Synthesized Wideband Signal”; 7,191,123, entitled “Gain-Smoothing In Wideband Speech And Audio Signal Decoder”; and 7,260,521, entitled “Method And Device For Adaptive Bandwidth Pitch Search In Coding Wideband Signals.” The complaint seeks an unspecified amount of damages, enhanced damages, attorneys’ fees, costs, and interest. We dispute the allegations of wrongdoing and intend to defend ourselves vigorously in this matter.</w:t>
      </w:r>
    </w:p>
    <w:p>
      <w:pPr>
        <w:keepNext w:val="0"/>
        <w:keepLines w:val="0"/>
        <w:widowControl/>
        <w:suppressLineNumbers w:val="0"/>
        <w:pBdr>
          <w:top w:val="none" w:color="auto" w:sz="0" w:space="0"/>
          <w:bottom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April 2019, Vocalife LLC filed a complaint against Amazon.com, Inc. and Amazon.com LLC in the United States District Court for the Eastern District of Texas. The complaint alleges, among other things, that Amazon Echo devices infringe U.S. Patent No. RE47,049, entitled “Microphone Array System.” The complaint seeks injunctive relief, an unspecified amount of damages, attorneys’ fees, costs, and interest. We dispute the allegations of wrongdoing and intend to defend ourselves vigorously in this matter.</w:t>
      </w:r>
    </w:p>
    <w:p>
      <w:pPr>
        <w:keepNext w:val="0"/>
        <w:keepLines w:val="0"/>
        <w:widowControl/>
        <w:suppressLineNumbers w:val="0"/>
        <w:pBdr>
          <w:top w:val="none" w:color="auto" w:sz="0" w:space="0"/>
          <w:bottom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 May 2019, Neodron Ltd. filed a petition with the United States International Trade Commission requesting that the International Trade Commission commence an investigation into the sale of Amazon Fire HD 10 tablets and certain Dell, Hewlett Packard, Lenovo, Microsoft, Motorola, and Samsung devices (the “accused devices”). Neodron’s petition alleges that the accused devices infringe at least one of U.S. Patent Nos. 8,422,173, entitled “Capacitive Position Sensor”; 8,791,910, entitled “Capacitive Keyboard With Position-Dependent Reduced Keying Ambiguity”; 9,024,790, entitled “Capacitive Keyboard With Non-Locking Reduced Keying Ambiguity”; and 9,372,580, entitled “Enhanced Touch Detection Methods.” Neodron is seeking a limited exclusion order preventing the importation of the accused devices into the United States. In December 2019, Neodron withdrew its infringement allegations against Amazon with regard to U.S. Patent No. 9,372,580. In May 2019, Neodron also filed a complaint against Amazon.com, Inc. in the United States District Court for the Western District of Texas. The complaint alleges, among other things, that Amazon’s Fire HD 10 tablet infringes U.S. Patent Nos. 8,422,173, entitled “Capacitive Position Sensor,” and 9,372,580, entitled “Enhanced Touch Detection Methods.” The May 2019 complaint seeks an unspecified amount of damages and interest, a permanent injunction, and enhanced damages. In June 2019, Neodron filed a second complaint against Amazon.com, Inc. in the United States District Court for the Western District of Texas. The complaint alleges, among other things, that Amazon’s Fire HD 10 tablet infringes U.S. Patent Nos. 9,823,784, entitled “Capacitive Touch Screen With Noise Suppression”; 9,489,072, entitled “Noise Reduction In Capacitive Touch Sensors”; and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61</w:t>
      </w:r>
    </w:p>
    <w:p>
      <w:pPr>
        <w:keepNext w:val="0"/>
        <w:keepLines w:val="0"/>
        <w:widowControl/>
        <w:suppressLineNumbers w:val="0"/>
      </w:pPr>
      <w:r>
        <w:rPr>
          <w:rFonts w:hint="default" w:ascii="Times New Roman" w:hAnsi="Times New Roman" w:cs="Times New Roman"/>
          <w:sz w:val="20"/>
          <w:szCs w:val="20"/>
        </w:rPr>
        <w:pict>
          <v:rect id="_x0000_i111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bottom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8,502,547, entitled “Capacitive Sensor.” The June 2019 complaint seeks an unspecified amount of damages and interest, a permanent injunction, and enhanced damages. We dispute the allegations of wrongdoing and intend to defend ourselves vigorously in these matters.</w:t>
      </w:r>
    </w:p>
    <w:p>
      <w:pPr>
        <w:keepNext w:val="0"/>
        <w:keepLines w:val="0"/>
        <w:widowControl/>
        <w:suppressLineNumbers w:val="0"/>
        <w:pBdr>
          <w:top w:val="none" w:color="auto" w:sz="0" w:space="0"/>
        </w:pBdr>
        <w:spacing w:line="288" w:lineRule="auto"/>
        <w:ind w:left="0" w:firstLine="58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outcomes of our legal proceedings and other contingencies are inherently unpredictable, subject to significant uncertainties, and could be material to our operating results and cash flows for a particular period. In addition, for the matters disclosed above that do not include an estimate of the amount of loss or range of losses, such an estimate is not possible or is immaterial, and we may be unable to estimate the possible loss or range of losses that could potentially result from the application of non-monetary remedies.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See also “Note 9 — Income Taxes.”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8 — STOCKHOLDERS’ EQUITY</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Preferred Stock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authorized 500 million shares of $0.01 par value preferred stock. No preferred stock was outstanding for any year presented.</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Common Stock</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Common shares outstanding plus shares underlying outstanding stock awards totaled 504 million, 507 million, and 512 million, as of December 31, 2017, 2018, and 2019. These totals include all vested and unvested stock awards outstanding, including those awards we estimate will be forfeited.</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Stock Repurchase Activity</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February 2016, the Board of Directors authorized a program to repurchase up to $5.0 billion of our common stock, with no fixed expiration. There were no repurchases of common stock in 2017, 2018, or 2019.</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Stock Award Plans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Employees vest in restricted stock unit awards and stock options over the corresponding service term, generally between two and five years.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Stock Award Activity</w:t>
      </w:r>
    </w:p>
    <w:p>
      <w:pPr>
        <w:keepNext w:val="0"/>
        <w:keepLines w:val="0"/>
        <w:widowControl/>
        <w:suppressLineNumbers w:val="0"/>
        <w:pBdr>
          <w:top w:val="none" w:color="auto" w:sz="0" w:space="0"/>
          <w:left w:val="none" w:color="auto" w:sz="0" w:space="0"/>
        </w:pBdr>
        <w:spacing w:line="288" w:lineRule="auto"/>
        <w:ind w:left="0" w:firstLine="0"/>
        <w:jc w:val="left"/>
        <w:rPr>
          <w:rFonts w:hint="default" w:ascii="Times New Roman" w:hAnsi="Times New Roman" w:cs="Times New Roman"/>
          <w:sz w:val="20"/>
          <w:szCs w:val="20"/>
        </w:rPr>
      </w:pPr>
      <w:r>
        <w:rPr>
          <w:rFonts w:hint="default" w:ascii="Times New Roman" w:hAnsi="Times New Roman" w:eastAsia="宋体" w:cs="Times New Roman"/>
          <w:sz w:val="20"/>
          <w:szCs w:val="20"/>
        </w:rPr>
        <w:t>Stock-based compensation expense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13"/>
        <w:gridCol w:w="140"/>
        <w:gridCol w:w="959"/>
        <w:gridCol w:w="45"/>
        <w:gridCol w:w="130"/>
        <w:gridCol w:w="140"/>
        <w:gridCol w:w="959"/>
        <w:gridCol w:w="45"/>
        <w:gridCol w:w="130"/>
        <w:gridCol w:w="140"/>
        <w:gridCol w:w="959"/>
        <w:gridCol w:w="46"/>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8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6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10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Cost of sales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149</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Fulfillment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911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1,121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1,182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Technology and content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2,888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Marketing</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511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1,135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General and administrative</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567</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673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52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stock-based compensation expense (1)</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4,215</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5,418</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6,864</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jc w:val="left"/>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2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related tax benefits were $860 million, $1.1 billion, and $1.4 billion for 2017, 2018, and 2019. </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62</w:t>
      </w:r>
    </w:p>
    <w:p>
      <w:pPr>
        <w:keepNext w:val="0"/>
        <w:keepLines w:val="0"/>
        <w:widowControl/>
        <w:suppressLineNumbers w:val="0"/>
      </w:pPr>
      <w:r>
        <w:rPr>
          <w:rFonts w:hint="default" w:ascii="Times New Roman" w:hAnsi="Times New Roman" w:cs="Times New Roman"/>
          <w:sz w:val="20"/>
          <w:szCs w:val="20"/>
        </w:rPr>
        <w:pict>
          <v:rect id="_x0000_i111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 summarizes our restricted stock unit activity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92"/>
        <w:gridCol w:w="1173"/>
        <w:gridCol w:w="107"/>
        <w:gridCol w:w="130"/>
        <w:gridCol w:w="140"/>
        <w:gridCol w:w="1179"/>
        <w:gridCol w:w="85"/>
      </w:tblGrid>
      <w:tr>
        <w:tc>
          <w:tcPr>
            <w:tcW w:w="0" w:type="auto"/>
            <w:gridSpan w:val="7"/>
            <w:shd w:val="clear" w:color="auto" w:fill="auto"/>
            <w:vAlign w:val="center"/>
          </w:tcPr>
          <w:p>
            <w:pPr>
              <w:jc w:val="left"/>
              <w:rPr>
                <w:rFonts w:hint="default" w:ascii="Times New Roman" w:hAnsi="Times New Roman" w:cs="Times New Roman"/>
                <w:sz w:val="20"/>
                <w:szCs w:val="20"/>
              </w:rPr>
            </w:pPr>
          </w:p>
        </w:tc>
      </w:tr>
      <w:tr>
        <w:tc>
          <w:tcPr>
            <w:tcW w:w="3350" w:type="pct"/>
            <w:shd w:val="clear" w:color="auto" w:fill="auto"/>
            <w:vAlign w:val="center"/>
          </w:tcPr>
          <w:p>
            <w:pPr>
              <w:jc w:val="left"/>
              <w:rPr>
                <w:rFonts w:hint="default" w:ascii="Times New Roman" w:hAnsi="Times New Roman" w:cs="Times New Roman"/>
                <w:sz w:val="20"/>
                <w:szCs w:val="20"/>
              </w:rPr>
            </w:pPr>
          </w:p>
        </w:tc>
        <w:tc>
          <w:tcPr>
            <w:tcW w:w="7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7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Number of Units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Weighted Average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Grant-Date</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Fair Value</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Outstanding as of January 1, 2017</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granted</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946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vested</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forfeited</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649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Outstanding as of December 31, 2017</w:t>
            </w:r>
          </w:p>
        </w:tc>
        <w:tc>
          <w:tcPr>
            <w:tcW w:w="0" w:type="auto"/>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20.1</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granted</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1,522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vested</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578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forfeited</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862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Outstanding as of December 31, 2018</w:t>
            </w:r>
          </w:p>
        </w:tc>
        <w:tc>
          <w:tcPr>
            <w:tcW w:w="0" w:type="auto"/>
            <w:tcBorders>
              <w:top w:val="single" w:color="000000" w:sz="8" w:space="0"/>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15.9</w:t>
            </w:r>
          </w:p>
        </w:tc>
        <w:tc>
          <w:tcPr>
            <w:tcW w:w="0" w:type="auto"/>
            <w:tcBorders>
              <w:top w:val="single" w:color="000000" w:sz="8" w:space="0"/>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1,024</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granted</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1,808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vested</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Units forfeited</w:t>
            </w:r>
          </w:p>
        </w:tc>
        <w:tc>
          <w:tcPr>
            <w:tcW w:w="0" w:type="auto"/>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1,223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Outstanding as of December 31, 2019</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14.3</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Scheduled vesting for outstanding restricted stock units 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797"/>
        <w:gridCol w:w="721"/>
        <w:gridCol w:w="56"/>
        <w:gridCol w:w="130"/>
        <w:gridCol w:w="554"/>
        <w:gridCol w:w="56"/>
        <w:gridCol w:w="130"/>
        <w:gridCol w:w="554"/>
        <w:gridCol w:w="56"/>
        <w:gridCol w:w="130"/>
        <w:gridCol w:w="554"/>
        <w:gridCol w:w="56"/>
        <w:gridCol w:w="130"/>
        <w:gridCol w:w="554"/>
        <w:gridCol w:w="56"/>
        <w:gridCol w:w="130"/>
        <w:gridCol w:w="727"/>
        <w:gridCol w:w="91"/>
        <w:gridCol w:w="130"/>
        <w:gridCol w:w="637"/>
        <w:gridCol w:w="57"/>
      </w:tblGrid>
      <w:tr>
        <w:tc>
          <w:tcPr>
            <w:tcW w:w="0" w:type="auto"/>
            <w:gridSpan w:val="21"/>
            <w:shd w:val="clear" w:color="auto" w:fill="auto"/>
            <w:vAlign w:val="center"/>
          </w:tcPr>
          <w:p>
            <w:pPr>
              <w:jc w:val="left"/>
              <w:rPr>
                <w:rFonts w:hint="default" w:ascii="Times New Roman" w:hAnsi="Times New Roman" w:cs="Times New Roman"/>
                <w:sz w:val="20"/>
                <w:szCs w:val="20"/>
              </w:rPr>
            </w:pPr>
          </w:p>
        </w:tc>
      </w:tr>
      <w:tr>
        <w:tc>
          <w:tcPr>
            <w:tcW w:w="170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3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4"/>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2020</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2023</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2024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Thereafter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Total</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Scheduled vesting — restricted stock units</w:t>
            </w:r>
          </w:p>
        </w:tc>
        <w:tc>
          <w:tcPr>
            <w:tcW w:w="0" w:type="auto"/>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0.1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14.3</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As of </w:t>
      </w:r>
      <w:r>
        <w:rPr>
          <w:rFonts w:hint="default" w:ascii="Times New Roman" w:hAnsi="Times New Roman" w:eastAsia="宋体" w:cs="Times New Roman"/>
          <w:color w:val="000000"/>
          <w:sz w:val="20"/>
          <w:szCs w:val="20"/>
          <w:u w:val="none"/>
        </w:rPr>
        <w:t>December 31, 2019</w:t>
      </w:r>
      <w:r>
        <w:rPr>
          <w:rFonts w:hint="default" w:ascii="Times New Roman" w:hAnsi="Times New Roman" w:eastAsia="宋体" w:cs="Times New Roman"/>
          <w:sz w:val="20"/>
          <w:szCs w:val="20"/>
        </w:rPr>
        <w:t xml:space="preserve">, there was $8.8 billion of net unrecognized compensation cost related to unvested stock-based compensation arrangements. This compensation is recognized on an accelerated basis with approximately half of the compensation expected to be expensed in the next twelve months, and has a weighted-average recognition period of 1.1 years. The estimated forfeiture rate as of December 31, 2017, 2018, and 2019 was 28%, 27%, and 27%. Changes in our estimates and assumptions relating to forfeitures may cause us to realize material changes in stock-based compensation expense in the future.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During 2017, 2018, and 2019, the fair value of restricted stock units that vested was $6.8 billion, $11.4 billion, and $11.7 billion.</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Common Stock Available for Future Issuance</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2019, common stock available for future issuance to employees is 108 million shares.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9 — INCOME TAXES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2017, 2018, and 2019, we recorded net tax provisions of $769 million, $1.2 billion, and $2.4 billion. Tax benefits relating to excess stock-based compensation deductions and accelerated depreciation deductions are reducing our U.S. taxable income. Cash taxes paid, net of refunds, were $957 million, $1.2 billion, and $881 million for 2017, 2018, and 2019.</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U.S. Tax Act was signed into law on December 22, 2017. The U.S. Tax Act significantly revised the U.S. corporate income tax by, among other things, lowering the statutory corporate tax rate from 35% to 21%, eliminating certain deductions, imposing a mandatory one-time tax on accumulated earnings of foreign subsidiaries, introducing new tax regimes, and changing how foreign earnings are subject to U.S. tax. The U.S. Tax Act also enhanced and extended accelerated depreciation deductions by allowing full expensing of qualified property, primarily equipment, through 2022. We reasonably estimated the effects of the U.S. Tax Act and recorded provisional amounts in our financial statements as of December 31, 2017. We recorded a provisional tax benefit for the impact of the U.S. Tax Act of approximately $789 million. This amount was primarily comprised of the remeasurement of federal net deferred tax liabilities resulting from the permanent reduction in the U.S. statutory corporate tax rate to 21% from 35%, after taking into account the mandatory one-time tax on the accumulated earnings of our foreign subsidiaries. The amount of this one-time tax was not material. In 2018, we completed our determination of the accounting implications of the U.S. Tax Act.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63</w:t>
      </w:r>
    </w:p>
    <w:p>
      <w:pPr>
        <w:keepNext w:val="0"/>
        <w:keepLines w:val="0"/>
        <w:widowControl/>
        <w:suppressLineNumbers w:val="0"/>
      </w:pPr>
      <w:r>
        <w:rPr>
          <w:rFonts w:hint="default" w:ascii="Times New Roman" w:hAnsi="Times New Roman" w:cs="Times New Roman"/>
          <w:sz w:val="20"/>
          <w:szCs w:val="20"/>
        </w:rPr>
        <w:pict>
          <v:rect id="_x0000_i112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components of the provision for income taxes, net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065"/>
        <w:gridCol w:w="140"/>
        <w:gridCol w:w="746"/>
        <w:gridCol w:w="107"/>
        <w:gridCol w:w="130"/>
        <w:gridCol w:w="140"/>
        <w:gridCol w:w="747"/>
        <w:gridCol w:w="107"/>
        <w:gridCol w:w="130"/>
        <w:gridCol w:w="140"/>
        <w:gridCol w:w="747"/>
        <w:gridCol w:w="107"/>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3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U.S. Federal:</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Current</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Deferred</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(202</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914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(339</w:t>
            </w:r>
          </w:p>
        </w:tc>
        <w:tc>
          <w:tcPr>
            <w:tcW w:w="0" w:type="auto"/>
            <w:tcBorders>
              <w:top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436</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1,076</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U.S. State:</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Current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Deferred</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185</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327</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284</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Current</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1,140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Deferred</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199</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(129</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(126</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923</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1,014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Provision for income taxes, net</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769</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1,197</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2,374</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U.S. and international components of income before income taxes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101"/>
        <w:gridCol w:w="140"/>
        <w:gridCol w:w="782"/>
        <w:gridCol w:w="107"/>
        <w:gridCol w:w="130"/>
        <w:gridCol w:w="140"/>
        <w:gridCol w:w="783"/>
        <w:gridCol w:w="35"/>
        <w:gridCol w:w="130"/>
        <w:gridCol w:w="140"/>
        <w:gridCol w:w="783"/>
        <w:gridCol w:w="35"/>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3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5,630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11,157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13,285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(1,824</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104</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691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Income before income taxes</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3,806</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11,261</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13,976</w:t>
            </w:r>
          </w:p>
        </w:tc>
        <w:tc>
          <w:tcPr>
            <w:tcW w:w="0" w:type="auto"/>
            <w:tcBorders>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items accounting for differences between income taxes computed at the federal statutory rate and the provision recorded for income taxes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065"/>
        <w:gridCol w:w="140"/>
        <w:gridCol w:w="746"/>
        <w:gridCol w:w="107"/>
        <w:gridCol w:w="130"/>
        <w:gridCol w:w="140"/>
        <w:gridCol w:w="747"/>
        <w:gridCol w:w="107"/>
        <w:gridCol w:w="130"/>
        <w:gridCol w:w="140"/>
        <w:gridCol w:w="747"/>
        <w:gridCol w:w="107"/>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31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Income taxes computed at the federal statutory rate (1)</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2,365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2,935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Effect of:</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Tax impact of foreign earnings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1,178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State taxes, net of federal benefits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Tax credits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(466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Stock-based compensation (2)</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(917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(1,086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(850</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2017 Impact of U.S. Tax Act</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(789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net</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71</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153</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769</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1,197</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2,374</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537"/>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U.S. Tax Act reduced the U.S. federal statutory rate from 35% to 21% beginning in 2018.</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Includes non-deductible stock-based compensation and excess tax benefits from stock-based compensation. Our tax provision includes $1.3 billion, $1.6 billion, and $1.4 billion of excess tax benefits from stock-based compensation for 2017, 2018, and 2019.</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Our provision for income taxes in 2018 was higher than in 2017 primarily due to an increase in U.S. pre-tax income and the one-time provisional tax benefit of the U.S. Tax Act recognized in 2017. This was partially offset by the reduction to the U.S. federal statutory tax rate in 2018, a decline in the proportion of foreign losses for which we may not realize a tax benefit and an increase in excess tax benefits from stock-based compensation.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regularly assess whether it is more likely than not that we will realize our deferred tax assets in each taxing jurisdiction in which we operate. In performing this assessment with respect to each jurisdiction, we review all available evidence, including recent cumulative loss experience and expectations of future earnings, capital gains, and investment in such jurisdiction, the carry-forward periods available to us for tax reporting purposes, and other relevant factors. In Q2 2017, we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64</w:t>
      </w:r>
    </w:p>
    <w:p>
      <w:pPr>
        <w:keepNext w:val="0"/>
        <w:keepLines w:val="0"/>
        <w:widowControl/>
        <w:suppressLineNumbers w:val="0"/>
      </w:pPr>
      <w:r>
        <w:rPr>
          <w:rFonts w:hint="default" w:ascii="Times New Roman" w:hAnsi="Times New Roman" w:cs="Times New Roman"/>
          <w:sz w:val="20"/>
          <w:szCs w:val="20"/>
        </w:rPr>
        <w:pict>
          <v:rect id="_x0000_i112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recognized an estimated charge to tax expense of $600 million to record a valuation allowance against the net deferred tax assets in Luxembourg.</w:t>
      </w: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provision for income taxes in 2019 was higher than in 2018 primarily due to an increase in U.S. pre-tax income, a decline in excess tax benefits from stock-based compensation, and the one-time provisional tax benefit of the U.S. Tax Act recognized in 2018.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Certain foreign subsidiary earnings are subject to U.S. taxation under the U.S. Tax Act, which also repeals U.S. taxation on the subsequent repatriation of those earnings. We intend to invest substantially all of our foreign subsidiary earnings, as well as our capital in our foreign subsidiaries, indefinitely outside of the U.S. in those jurisdictions in which we would incur significant, additional costs upon repatriation of such amounts.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Deferred income tax assets and liabilities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993"/>
        <w:gridCol w:w="140"/>
        <w:gridCol w:w="844"/>
        <w:gridCol w:w="107"/>
        <w:gridCol w:w="130"/>
        <w:gridCol w:w="140"/>
        <w:gridCol w:w="844"/>
        <w:gridCol w:w="108"/>
      </w:tblGrid>
      <w:tr>
        <w:tc>
          <w:tcPr>
            <w:tcW w:w="0" w:type="auto"/>
            <w:gridSpan w:val="8"/>
            <w:shd w:val="clear" w:color="auto" w:fill="auto"/>
            <w:vAlign w:val="center"/>
          </w:tcPr>
          <w:p>
            <w:pPr>
              <w:jc w:val="left"/>
              <w:rPr>
                <w:rFonts w:hint="default" w:ascii="Times New Roman" w:hAnsi="Times New Roman" w:cs="Times New Roman"/>
                <w:sz w:val="20"/>
                <w:szCs w:val="20"/>
              </w:rPr>
            </w:pPr>
          </w:p>
        </w:tc>
      </w:tr>
      <w:tr>
        <w:tc>
          <w:tcPr>
            <w:tcW w:w="36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7"/>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Deferred tax assets (1):</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Loss carryforwards U.S. - Federal/States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Loss carryforwards - Foreign</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2,551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Accrued liabilities, reserves, and other expenses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1,064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1,373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Stock-based compensation</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1,293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1,585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Depreciation and amortization</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2,386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2,385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lease liabilities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6,648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items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shd w:val="clear" w:fill="CCEEFF"/>
              </w:rPr>
              <w:t>Tax credits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734</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772</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gross deferred tax assets</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8,734</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16,911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shd w:val="clear" w:fill="CCEEFF"/>
              </w:rPr>
              <w:t>Less valuation allowances (2)</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(4,950</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(5,754</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168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Deferred tax assets, net of valuation allowances</w:t>
            </w:r>
          </w:p>
        </w:tc>
        <w:tc>
          <w:tcPr>
            <w:tcW w:w="0" w:type="auto"/>
            <w:gridSpan w:val="2"/>
            <w:tcBorders>
              <w:top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3,784</w:t>
            </w:r>
          </w:p>
        </w:tc>
        <w:tc>
          <w:tcPr>
            <w:tcW w:w="0" w:type="auto"/>
            <w:tcBorders>
              <w:top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11,157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shd w:val="clear" w:fill="CCEEFF"/>
              </w:rPr>
              <w:t>Deferred tax liabilities: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Depreciation and amortization</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(3,579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(5,507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lease assets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(6,331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items</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(749</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(640</w:t>
            </w:r>
          </w:p>
        </w:tc>
        <w:tc>
          <w:tcPr>
            <w:tcW w:w="0" w:type="auto"/>
            <w:tcBorders>
              <w:bottom w:val="single" w:color="000000" w:sz="8"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shd w:val="clear" w:fill="CCEEFF"/>
              </w:rPr>
              <w:t>Net deferred tax assets (liabilities), net of valuation allowances</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(544</w:t>
            </w:r>
          </w:p>
        </w:tc>
        <w:tc>
          <w:tcPr>
            <w:tcW w:w="0" w:type="auto"/>
            <w:tcBorders>
              <w:top w:val="single" w:color="000000" w:sz="8" w:space="0"/>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(1,321</w:t>
            </w:r>
          </w:p>
        </w:tc>
        <w:tc>
          <w:tcPr>
            <w:tcW w:w="0" w:type="auto"/>
            <w:tcBorders>
              <w:bottom w:val="double" w:color="000000" w:sz="6"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6270"/>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Deferred tax assets are presented after tax effects and net of tax contingencies.</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Relates primarily to deferred tax assets that would only be realizable upon the generation of net income in certain foreign taxing jurisdictions.</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valuation allowances primarily relate to foreign deferred tax assets, including substantially all of our foreign net operating loss carryforwards as of December 31, 2019. Our foreign net operating loss carryforwards for income tax purposes as of December 31, 2019 were approximately $8.6 billion before tax effects and certain of these amounts are subject to annual limitations under applicable tax law. If not utilized, a portion of these losses will begin to expire in 2020. As of December 31, 2019, our federal tax credit carryforwards for income tax purposes were approximately $1.7 billion. If not utilized, a portion of the tax credit carryforwards will begin to expire in 2027. </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Tax Contingencies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are subject to income taxes in the U.S. (federal and state) and numerous foreign jurisdictions. Significant judgment is required in evaluating our tax positions and determining our provision for income taxes. During the ordinary course of business, there are many transactions and calculations for which the ultimate tax determination is uncertain. We establish reserves for tax-related uncertainties based on estimates of whether, and the extent to which, additional taxes will be due. These reserves are established when we believe that certain positions might be challenged despite our belief that our tax return positions are fully supportable. We adjust these reserves in light of changing facts and circumstances, such as the outcome of tax audits. The provision for income taxes includes the impact of reserve provisions and changes to reserves that are considered appropriate.</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65</w:t>
      </w:r>
    </w:p>
    <w:p>
      <w:pPr>
        <w:keepNext w:val="0"/>
        <w:keepLines w:val="0"/>
        <w:widowControl/>
        <w:suppressLineNumbers w:val="0"/>
      </w:pPr>
      <w:r>
        <w:rPr>
          <w:rFonts w:hint="default" w:ascii="Times New Roman" w:hAnsi="Times New Roman" w:cs="Times New Roman"/>
          <w:sz w:val="20"/>
          <w:szCs w:val="20"/>
        </w:rPr>
        <w:pict>
          <v:rect id="_x0000_i112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reconciliation of our tax contingencies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314"/>
        <w:gridCol w:w="140"/>
        <w:gridCol w:w="663"/>
        <w:gridCol w:w="107"/>
        <w:gridCol w:w="130"/>
        <w:gridCol w:w="140"/>
        <w:gridCol w:w="664"/>
        <w:gridCol w:w="107"/>
        <w:gridCol w:w="130"/>
        <w:gridCol w:w="140"/>
        <w:gridCol w:w="664"/>
        <w:gridCol w:w="107"/>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3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tax contingencies – January 1</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1,710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3,414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increases to tax positions in prior periods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decreases to tax positions in prior periods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(139</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(181</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Gross increases to current period tax positions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518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1,088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Settlements with tax authorities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(207</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Lapse of statute of limitations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shd w:val="clear" w:fill="CCEEFF"/>
              </w:rPr>
              <w:t>Gross tax contingencies – December 31 (1)</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2,309</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3,414</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3,923</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2019, we had approximately $3.9 billion of accrued tax contingencies of which $2.1 billion, if fully recognized, would decrease our effective tax rate.</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As of December 31, 2018 and 2019, we had accrued interest and penalties, net of federal income tax benefit, related to tax contingencies of $127 million and $131 million. Interest and penalties, net of federal income tax benefit, recognized for the years ended December 31, 2017, 2018, and 2019 was $40 million, $20 million, and $4 million.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color w:val="000000"/>
          <w:sz w:val="20"/>
          <w:szCs w:val="20"/>
          <w:u w:val="none"/>
        </w:rPr>
        <w:t>We are under examination, or may be subject to examination, by the Internal Revenue Service (“IRS”) for the calendar year 2007 and thereafter.</w:t>
      </w:r>
      <w:r>
        <w:rPr>
          <w:rFonts w:hint="default" w:ascii="Times New Roman" w:hAnsi="Times New Roman" w:eastAsia="宋体" w:cs="Times New Roman"/>
          <w:sz w:val="20"/>
          <w:szCs w:val="20"/>
        </w:rPr>
        <w:t xml:space="preserve">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that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Changes in state, federal, and foreign tax laws may increase our tax contingencies. The timing of the resolution of income tax examinations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examinations in one or more jurisdictions. These assessments or settlements could result in changes to our contingencies related to positions on tax filings in years through 2019. The actual amount of any change could vary significantly depending on the ultimate timing and nature of any settlements. We cannot currently provide an estimate of the range of possible outcomes.</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10 — SEGMENT INFORMATION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66</w:t>
      </w:r>
    </w:p>
    <w:p>
      <w:pPr>
        <w:keepNext w:val="0"/>
        <w:keepLines w:val="0"/>
        <w:widowControl/>
        <w:suppressLineNumbers w:val="0"/>
      </w:pPr>
      <w:r>
        <w:rPr>
          <w:rFonts w:hint="default" w:ascii="Times New Roman" w:hAnsi="Times New Roman" w:cs="Times New Roman"/>
          <w:sz w:val="20"/>
          <w:szCs w:val="20"/>
        </w:rPr>
        <w:pict>
          <v:rect id="_x0000_i112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36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North America</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pBdr>
          <w:top w:val="none" w:color="auto" w:sz="0" w:space="0"/>
        </w:pBdr>
        <w:spacing w:line="288" w:lineRule="auto"/>
        <w:ind w:left="0" w:firstLine="32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International</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pBdr>
          <w:top w:val="none" w:color="auto" w:sz="0" w:space="0"/>
        </w:pBdr>
        <w:spacing w:line="288" w:lineRule="auto"/>
        <w:ind w:left="0" w:firstLine="340"/>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AWS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AWS segment consists of amounts earned from global sales of compute, storage, database, and other service offerings for start-ups, enterprises, government agencies, and academic institutions.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Information on reportable segments and reconciliation to consolidated net income (loss)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16"/>
        <w:gridCol w:w="140"/>
        <w:gridCol w:w="829"/>
        <w:gridCol w:w="107"/>
        <w:gridCol w:w="130"/>
        <w:gridCol w:w="140"/>
        <w:gridCol w:w="830"/>
        <w:gridCol w:w="107"/>
        <w:gridCol w:w="130"/>
        <w:gridCol w:w="140"/>
        <w:gridCol w:w="830"/>
        <w:gridCol w:w="107"/>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North America</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106,110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141,366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170,773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103,273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134,099</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163,740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2,837</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7,267</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7,033</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International</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54,297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65,866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74,723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57,359</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68,008</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76,416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 (loss)</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(3,062</w:t>
            </w:r>
          </w:p>
        </w:tc>
        <w:tc>
          <w:tcPr>
            <w:tcW w:w="0" w:type="auto"/>
            <w:tcBorders>
              <w:top w:val="single" w:color="000000" w:sz="8" w:space="0"/>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(2,142</w:t>
            </w:r>
          </w:p>
        </w:tc>
        <w:tc>
          <w:tcPr>
            <w:tcW w:w="0" w:type="auto"/>
            <w:tcBorders>
              <w:top w:val="single" w:color="000000" w:sz="8" w:space="0"/>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(1,693</w:t>
            </w:r>
          </w:p>
        </w:tc>
        <w:tc>
          <w:tcPr>
            <w:tcW w:w="0" w:type="auto"/>
            <w:tcBorders>
              <w:top w:val="single" w:color="000000" w:sz="8" w:space="0"/>
              <w:bottom w:val="double" w:color="000000" w:sz="6" w:space="0"/>
            </w:tcBorders>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AWS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17,459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25,655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35,026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13,128</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18,359</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25,825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4,331</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7,296</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9,201</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Consolidated</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177,866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232,887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280,522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expenses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173,760</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220,466</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265,981</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4,106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12,421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14,541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Total non-operating income (expense)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(1,160</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(565</w:t>
            </w:r>
          </w:p>
        </w:tc>
        <w:tc>
          <w:tcPr>
            <w:tcW w:w="0" w:type="auto"/>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Provision for income taxes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(769</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(2,374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Equity-method investment activity, net of tax</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w:t>
            </w:r>
          </w:p>
        </w:tc>
        <w:tc>
          <w:tcPr>
            <w:tcW w:w="0" w:type="auto"/>
            <w:tcBorders>
              <w:bottom w:val="single" w:color="000000" w:sz="8" w:space="0"/>
            </w:tcBorders>
            <w:shd w:val="clear" w:color="auto" w:fill="CCEEFF"/>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3,033</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10,073</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11,588</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67</w:t>
      </w:r>
    </w:p>
    <w:p>
      <w:pPr>
        <w:keepNext w:val="0"/>
        <w:keepLines w:val="0"/>
        <w:widowControl/>
        <w:suppressLineNumbers w:val="0"/>
      </w:pPr>
      <w:r>
        <w:rPr>
          <w:rFonts w:hint="default" w:ascii="Times New Roman" w:hAnsi="Times New Roman" w:cs="Times New Roman"/>
          <w:sz w:val="20"/>
          <w:szCs w:val="20"/>
        </w:rPr>
        <w:pict>
          <v:rect id="_x0000_i112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Net sales by groups of similar products and services, which also have similar economic characteristics,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3"/>
        <w:gridCol w:w="140"/>
        <w:gridCol w:w="876"/>
        <w:gridCol w:w="45"/>
        <w:gridCol w:w="130"/>
        <w:gridCol w:w="140"/>
        <w:gridCol w:w="876"/>
        <w:gridCol w:w="45"/>
        <w:gridCol w:w="130"/>
        <w:gridCol w:w="140"/>
        <w:gridCol w:w="876"/>
        <w:gridCol w:w="45"/>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tcBorders>
              <w:top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Online stores (1)</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108,354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122,987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141,247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Physical stores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5,798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17,224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17,192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Third-party seller services (3)</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31,881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42,745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53,762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Subscription services (4)</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9,721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14,168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19,210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17,459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25,655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35,026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Other (5)</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4,653</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10,108</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14,085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10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177,866</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232,887</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280,522</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Includes product sales and digital media content where we record revenue gross. We leverage our retail infrastructure to offer a wide selection of consumable and durable goods that includes media products available in both a physical and digital format, such as books, music, videos, games, and software. These product sales include digital products sold on a transactional basis. Digital product subscriptions that provide unlimited viewing or usage rights are included in “Subscription services.”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Includes product sales where our customers physically select items in a store. Sales from customers who order goods online for delivery or pickup at our physical stores are included in “Online stores.”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Includes commissions and any related fulfillment and shipping fees, and other third-party seller services.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Includes annual and monthly fees associated with Amazon Prime memberships, as well as audiobook, digital video, digital music, e-book, and other non-AWS subscription services. </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(5)</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Primarily includes sales of advertising services, as well as sales related to our other service offerings. </w:t>
            </w:r>
          </w:p>
        </w:tc>
      </w:tr>
    </w:tbl>
    <w:p>
      <w:pPr>
        <w:keepNext w:val="0"/>
        <w:keepLines w:val="0"/>
        <w:widowControl/>
        <w:suppressLineNumbers w:val="0"/>
        <w:pBdr>
          <w:top w:val="none" w:color="auto" w:sz="0" w:space="0"/>
          <w:left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Net sales generated from our internationally-focused online stores are denominated in local functional currencies. Revenues are translated at average rates prevailing throughout the period. Net sales attributed to countries that represent a significant portion of consolidated net sales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3"/>
        <w:gridCol w:w="140"/>
        <w:gridCol w:w="876"/>
        <w:gridCol w:w="45"/>
        <w:gridCol w:w="130"/>
        <w:gridCol w:w="140"/>
        <w:gridCol w:w="876"/>
        <w:gridCol w:w="45"/>
        <w:gridCol w:w="130"/>
        <w:gridCol w:w="140"/>
        <w:gridCol w:w="876"/>
        <w:gridCol w:w="45"/>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United States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120,486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160,146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193,636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Germany</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16,951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19,881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22,232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United Kingdom</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11,372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14,524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17,527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Japan</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11,907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13,829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16,002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Rest of world</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17,150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24,507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31,125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177,866</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232,887</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280,522</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Total segment assets exclude corporate assets, such as cash and cash equivalents, marketable securities, other long-term investments, corporate facilities, goodwill and other acquired intangible assets, and tax assets. Technology infrastructure assets are allocated among the segments based on usage, with the majority allocated to the AWS segment. Total segment assets reconciled to consolidated amounts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3"/>
        <w:gridCol w:w="140"/>
        <w:gridCol w:w="876"/>
        <w:gridCol w:w="45"/>
        <w:gridCol w:w="130"/>
        <w:gridCol w:w="140"/>
        <w:gridCol w:w="876"/>
        <w:gridCol w:w="45"/>
        <w:gridCol w:w="130"/>
        <w:gridCol w:w="140"/>
        <w:gridCol w:w="876"/>
        <w:gridCol w:w="45"/>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 (1)</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35,844</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47,251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72,277</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18,014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19,923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30,709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18,660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26,340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36,500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Corporate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58,792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69,134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85,762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131,310</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162,648</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225,248</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 and International segment assets primarily consist of property and equipment, inventory, and accounts receivable.</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265"/>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 segment assets primarily consist of property and equipment and accounts receivable.</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68</w:t>
      </w:r>
    </w:p>
    <w:p>
      <w:pPr>
        <w:keepNext w:val="0"/>
        <w:keepLines w:val="0"/>
        <w:widowControl/>
        <w:suppressLineNumbers w:val="0"/>
      </w:pPr>
      <w:r>
        <w:rPr>
          <w:rFonts w:hint="default" w:ascii="Times New Roman" w:hAnsi="Times New Roman" w:cs="Times New Roman"/>
          <w:sz w:val="20"/>
          <w:szCs w:val="20"/>
        </w:rPr>
        <w:pict>
          <v:rect id="_x0000_i112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left w:val="none" w:color="auto" w:sz="0" w:space="0"/>
        </w:pBdr>
        <w:spacing w:line="288" w:lineRule="auto"/>
        <w:ind w:left="0" w:firstLine="0"/>
        <w:jc w:val="left"/>
        <w:rPr>
          <w:rFonts w:hint="default" w:ascii="Times New Roman" w:hAnsi="Times New Roman" w:cs="Times New Roman"/>
          <w:sz w:val="20"/>
          <w:szCs w:val="20"/>
        </w:rPr>
      </w:pPr>
      <w:r>
        <w:rPr>
          <w:rFonts w:hint="default" w:ascii="Times New Roman" w:hAnsi="Times New Roman" w:eastAsia="宋体" w:cs="Times New Roman"/>
          <w:sz w:val="20"/>
          <w:szCs w:val="20"/>
        </w:rPr>
        <w:t>Property and equipment, net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3"/>
        <w:gridCol w:w="140"/>
        <w:gridCol w:w="876"/>
        <w:gridCol w:w="45"/>
        <w:gridCol w:w="130"/>
        <w:gridCol w:w="140"/>
        <w:gridCol w:w="876"/>
        <w:gridCol w:w="45"/>
        <w:gridCol w:w="130"/>
        <w:gridCol w:w="140"/>
        <w:gridCol w:w="876"/>
        <w:gridCol w:w="45"/>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20,401</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27,052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31,719</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7,425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8,552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9,566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14,885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18,851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23,481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Corporate</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6,155</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7,342</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7,939</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48,866</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61,797</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72,705</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Total net additions to property and equipment by segment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3"/>
        <w:gridCol w:w="140"/>
        <w:gridCol w:w="876"/>
        <w:gridCol w:w="45"/>
        <w:gridCol w:w="130"/>
        <w:gridCol w:w="140"/>
        <w:gridCol w:w="876"/>
        <w:gridCol w:w="45"/>
        <w:gridCol w:w="130"/>
        <w:gridCol w:w="140"/>
        <w:gridCol w:w="876"/>
        <w:gridCol w:w="45"/>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 (1)</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13,200</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10,749</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11,752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 (1)</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5,196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2,476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3,298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 (2)</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9,190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9,783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13,058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Corporate</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2,197</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2,060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1,910</w:t>
            </w:r>
          </w:p>
        </w:tc>
        <w:tc>
          <w:tcPr>
            <w:tcW w:w="0" w:type="auto"/>
            <w:tcBorders>
              <w:bottom w:val="single" w:color="000000" w:sz="8"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29,783</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25,068</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30,018</w:t>
            </w:r>
          </w:p>
        </w:tc>
        <w:tc>
          <w:tcPr>
            <w:tcW w:w="0" w:type="auto"/>
            <w:tcBorders>
              <w:top w:val="single" w:color="000000" w:sz="8" w:space="0"/>
              <w:bottom w:val="double" w:color="000000" w:sz="6"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pBdr>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Includes property and equipment added under finance leases of $2.9 billion, $2.0 billion, and $3.8 billion in 2017, 2018, and 2019, and under financing obligations of $2.9 billion, $3.0 billion, and $1.3 billion in 2017, 2018, and 2019.</w:t>
            </w:r>
          </w:p>
        </w:tc>
      </w:tr>
    </w:tbl>
    <w:p>
      <w:pPr>
        <w:rPr>
          <w:vanish/>
          <w:sz w:val="24"/>
          <w:szCs w:val="24"/>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Includes property and equipment added under finance leases of $7.3 billion, $8.4 billion, and $10.6 billion in 2017, 2018, and 2019, and under financing obligations of $134 million, $245 million, and $0 million in 2017, 2018, and 2019.</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U.S. property and equipment, net was $35.5 billion, $45.1 billion, and $53.0 billion, in 2017, 2018, and 2019, and non-U.S. property and equipment, net was $13.4 billion, $16.7 billion, and $19.7 billion in 2017, 2018, and 2019. Except for the U.S., property and equipment, net, in any single country was less than 10% of consolidated property and equipment, net.</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Depreciation and amortization expense, including other corporate property and equipment depreciation and amortization expense, are allocated to all segments based on usage. Total depreciation and amortization expense,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3"/>
        <w:gridCol w:w="140"/>
        <w:gridCol w:w="876"/>
        <w:gridCol w:w="45"/>
        <w:gridCol w:w="130"/>
        <w:gridCol w:w="140"/>
        <w:gridCol w:w="876"/>
        <w:gridCol w:w="45"/>
        <w:gridCol w:w="130"/>
        <w:gridCol w:w="140"/>
        <w:gridCol w:w="876"/>
        <w:gridCol w:w="45"/>
      </w:tblGrid>
      <w:tr>
        <w:tc>
          <w:tcPr>
            <w:tcW w:w="0" w:type="auto"/>
            <w:gridSpan w:val="12"/>
            <w:shd w:val="clear" w:color="auto" w:fill="auto"/>
            <w:vAlign w:val="center"/>
          </w:tcPr>
          <w:p>
            <w:pPr>
              <w:jc w:val="left"/>
              <w:rPr>
                <w:rFonts w:hint="default" w:ascii="Times New Roman" w:hAnsi="Times New Roman" w:cs="Times New Roman"/>
                <w:sz w:val="20"/>
                <w:szCs w:val="20"/>
              </w:rPr>
            </w:pPr>
          </w:p>
        </w:tc>
      </w:tr>
      <w:tr>
        <w:tc>
          <w:tcPr>
            <w:tcW w:w="29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1"/>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2019</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North America</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3,029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4,415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5,106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International</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1,278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1,886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AWS</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4,524</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6,095</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tcBorders>
              <w:bottom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8,158</w:t>
            </w:r>
          </w:p>
        </w:tc>
        <w:tc>
          <w:tcPr>
            <w:tcW w:w="0" w:type="auto"/>
            <w:tcBorders>
              <w:bottom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Consolidated</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8,831</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12,138</w:t>
            </w:r>
          </w:p>
        </w:tc>
        <w:tc>
          <w:tcPr>
            <w:tcW w:w="0" w:type="auto"/>
            <w:tcBorders>
              <w:top w:val="single" w:color="000000" w:sz="8" w:space="0"/>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double" w:color="000000" w:sz="6"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bottom w:val="double" w:color="000000" w:sz="6" w:space="0"/>
            </w:tcBorders>
            <w:shd w:val="clear" w:color="auto" w:fill="auto"/>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15,150</w:t>
            </w:r>
          </w:p>
        </w:tc>
        <w:tc>
          <w:tcPr>
            <w:tcW w:w="0" w:type="auto"/>
            <w:tcBorders>
              <w:bottom w:val="double" w:color="000000" w:sz="6" w:space="0"/>
            </w:tcBorders>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69</w:t>
      </w:r>
    </w:p>
    <w:p>
      <w:pPr>
        <w:keepNext w:val="0"/>
        <w:keepLines w:val="0"/>
        <w:widowControl/>
        <w:suppressLineNumbers w:val="0"/>
      </w:pPr>
      <w:r>
        <w:rPr>
          <w:rFonts w:hint="default" w:ascii="Times New Roman" w:hAnsi="Times New Roman" w:cs="Times New Roman"/>
          <w:sz w:val="20"/>
          <w:szCs w:val="20"/>
        </w:rPr>
        <w:pict>
          <v:rect id="_x0000_i112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Note 11 — QUARTERLY RESULTS (UNAUDITED)</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The following tables contain selected unaudited statement of operations information for each quarter of 2018 and 2019. The following information reflects all normal recurring adjustments necessary for a fair presentation of the information for the periods presented. The operating results for any quarter are not necessarily indicative of results for any future period. Our business is affected by seasonality, which historically has resulted in higher sales volume during our fourth quarter. Unaudited quarterly results are as follows (in millions, except per share data):</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644"/>
        <w:gridCol w:w="140"/>
        <w:gridCol w:w="821"/>
        <w:gridCol w:w="107"/>
        <w:gridCol w:w="130"/>
        <w:gridCol w:w="140"/>
        <w:gridCol w:w="821"/>
        <w:gridCol w:w="107"/>
        <w:gridCol w:w="130"/>
        <w:gridCol w:w="140"/>
        <w:gridCol w:w="821"/>
        <w:gridCol w:w="107"/>
        <w:gridCol w:w="130"/>
        <w:gridCol w:w="140"/>
        <w:gridCol w:w="821"/>
        <w:gridCol w:w="107"/>
      </w:tblGrid>
      <w:tr>
        <w:tc>
          <w:tcPr>
            <w:tcW w:w="0" w:type="auto"/>
            <w:gridSpan w:val="16"/>
            <w:shd w:val="clear" w:color="auto" w:fill="auto"/>
            <w:vAlign w:val="center"/>
          </w:tcPr>
          <w:p>
            <w:pPr>
              <w:jc w:val="left"/>
              <w:rPr>
                <w:rFonts w:hint="default" w:ascii="Times New Roman" w:hAnsi="Times New Roman" w:cs="Times New Roman"/>
                <w:sz w:val="20"/>
                <w:szCs w:val="20"/>
              </w:rPr>
            </w:pPr>
          </w:p>
        </w:tc>
      </w:tr>
      <w:tr>
        <w:tc>
          <w:tcPr>
            <w:tcW w:w="2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15"/>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 2018 (1)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First</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Quarter</w:t>
            </w:r>
          </w:p>
        </w:tc>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Second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Quarter</w:t>
            </w:r>
          </w:p>
        </w:tc>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Third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Quarter</w:t>
            </w:r>
          </w:p>
        </w:tc>
        <w:tc>
          <w:tcPr>
            <w:tcW w:w="0" w:type="auto"/>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top w:val="single" w:color="000000" w:sz="8" w:space="0"/>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Fourth</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Quarter</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51,042</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52,886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56,576</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tcBorders>
              <w:top w:val="single" w:color="000000" w:sz="8" w:space="0"/>
            </w:tcBorders>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top w:val="single" w:color="000000" w:sz="8" w:space="0"/>
            </w:tcBorders>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tcBorders>
              <w:top w:val="single" w:color="000000" w:sz="8" w:space="0"/>
            </w:tcBorders>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72,383</w:t>
            </w:r>
          </w:p>
        </w:tc>
        <w:tc>
          <w:tcPr>
            <w:tcW w:w="0" w:type="auto"/>
            <w:tcBorders>
              <w:top w:val="single" w:color="000000" w:sz="8" w:space="0"/>
            </w:tcBorders>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1,927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2,983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3,724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3,786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Income before income taxes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1,916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2,605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3,390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3,350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Provision for income taxes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(508</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1,629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2,534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2,883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 earnings per share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3.36</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6.18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 earnings per share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5.75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6.04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Shares used in computation of earnings per share:</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488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rPr>
          <w:vanish/>
          <w:sz w:val="24"/>
          <w:szCs w:val="24"/>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644"/>
        <w:gridCol w:w="140"/>
        <w:gridCol w:w="821"/>
        <w:gridCol w:w="107"/>
        <w:gridCol w:w="130"/>
        <w:gridCol w:w="140"/>
        <w:gridCol w:w="821"/>
        <w:gridCol w:w="107"/>
        <w:gridCol w:w="130"/>
        <w:gridCol w:w="140"/>
        <w:gridCol w:w="821"/>
        <w:gridCol w:w="107"/>
        <w:gridCol w:w="130"/>
        <w:gridCol w:w="140"/>
        <w:gridCol w:w="821"/>
        <w:gridCol w:w="107"/>
      </w:tblGrid>
      <w:tr>
        <w:tc>
          <w:tcPr>
            <w:tcW w:w="0" w:type="auto"/>
            <w:gridSpan w:val="16"/>
            <w:shd w:val="clear" w:color="auto" w:fill="auto"/>
            <w:vAlign w:val="center"/>
          </w:tcPr>
          <w:p>
            <w:pPr>
              <w:jc w:val="left"/>
              <w:rPr>
                <w:rFonts w:hint="default" w:ascii="Times New Roman" w:hAnsi="Times New Roman" w:cs="Times New Roman"/>
                <w:sz w:val="20"/>
                <w:szCs w:val="20"/>
              </w:rPr>
            </w:pPr>
          </w:p>
        </w:tc>
      </w:tr>
      <w:tr>
        <w:tc>
          <w:tcPr>
            <w:tcW w:w="22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55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15"/>
            <w:tcBorders>
              <w:bottom w:val="single" w:color="000000" w:sz="8" w:space="0"/>
            </w:tcBorders>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Year Ended December 31, 2019 (1)</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6"/>
                <w:szCs w:val="16"/>
              </w:rPr>
            </w:pPr>
            <w:r>
              <w:rPr>
                <w:rFonts w:hint="default" w:ascii="Times New Roman" w:hAnsi="Times New Roman" w:eastAsia="宋体" w:cs="Times New Roman"/>
                <w:sz w:val="16"/>
                <w:szCs w:val="16"/>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First</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Quarter</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Second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Quarter</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Third</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Quarter</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6"/>
                <w:szCs w:val="16"/>
              </w:rPr>
            </w:pPr>
            <w:r>
              <w:rPr>
                <w:rFonts w:hint="default" w:ascii="Times New Roman" w:hAnsi="Times New Roman" w:eastAsia="宋体" w:cs="Times New Roman"/>
                <w:b/>
                <w:bCs/>
                <w:sz w:val="16"/>
                <w:szCs w:val="16"/>
              </w:rPr>
              <w:t>Fourth</w:t>
            </w:r>
            <w:r>
              <w:rPr>
                <w:rFonts w:hint="default" w:ascii="Times New Roman" w:hAnsi="Times New Roman" w:eastAsia="宋体" w:cs="Times New Roman"/>
                <w:b/>
                <w:bCs/>
                <w:sz w:val="16"/>
                <w:szCs w:val="16"/>
              </w:rPr>
              <w:br w:type="textWrapping"/>
            </w:r>
            <w:r>
              <w:rPr>
                <w:rFonts w:hint="default" w:ascii="Times New Roman" w:hAnsi="Times New Roman" w:eastAsia="宋体" w:cs="Times New Roman"/>
                <w:b/>
                <w:bCs/>
                <w:sz w:val="16"/>
                <w:szCs w:val="16"/>
              </w:rPr>
              <w:t>Quarter</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sales</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59,700</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63,404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69,981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CCEEFF"/>
            <w:tcMar>
              <w:top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87,437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Operating income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4,420</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3,084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3,157</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3,879</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Income before income taxes</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4,401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2,889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2,632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4,053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Provision for income taxes</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(836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(257</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(494</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(786</w:t>
            </w:r>
          </w:p>
        </w:tc>
        <w:tc>
          <w:tcPr>
            <w:tcW w:w="0" w:type="auto"/>
            <w:shd w:val="clear" w:color="auto" w:fill="auto"/>
            <w:tcMar>
              <w:top w:w="40" w:type="dxa"/>
              <w:bottom w:w="40" w:type="dxa"/>
              <w:right w:w="40" w:type="dxa"/>
            </w:tcMar>
            <w:vAlign w:val="bottom"/>
          </w:tcPr>
          <w:p>
            <w:pPr>
              <w:keepNext w:val="0"/>
              <w:keepLines w:val="0"/>
              <w:widowControl/>
              <w:suppressLineNumbers w:val="0"/>
              <w:pBdr>
                <w:top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w:t>
            </w: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Net income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3,561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2,625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2,134</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3,268</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 earnings per share</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7.24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5.32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4.31</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6.58</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CCEEFF"/>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 earnings per share</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7.09</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5.22</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4.23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6.47</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Shares used in computation of earnings per share:</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3"/>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CCEEFF"/>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Basic</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491</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493</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495</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CCEEFF"/>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CCEEFF"/>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496</w:t>
            </w:r>
          </w:p>
        </w:tc>
        <w:tc>
          <w:tcPr>
            <w:tcW w:w="0" w:type="auto"/>
            <w:shd w:val="clear" w:color="auto" w:fill="CCEEFF"/>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r>
        <w:tc>
          <w:tcPr>
            <w:tcW w:w="0" w:type="auto"/>
            <w:shd w:val="clear" w:color="auto" w:fill="auto"/>
            <w:tcMar>
              <w:top w:w="40" w:type="dxa"/>
              <w:left w:w="56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Diluted</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502</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503</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504</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tcMar>
            <w:vAlign w:val="bottom"/>
          </w:tcPr>
          <w:p>
            <w:pPr>
              <w:keepNext w:val="0"/>
              <w:keepLines w:val="0"/>
              <w:widowControl/>
              <w:suppressLineNumbers w:val="0"/>
              <w:pBdr>
                <w:top w:val="none" w:color="auto" w:sz="0" w:space="0"/>
                <w:left w:val="none" w:color="auto" w:sz="0" w:space="0"/>
                <w:bottom w:val="none" w:color="auto" w:sz="0" w:space="0"/>
              </w:pBdr>
              <w:jc w:val="righ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505</w:t>
            </w:r>
          </w:p>
        </w:tc>
        <w:tc>
          <w:tcPr>
            <w:tcW w:w="0" w:type="auto"/>
            <w:shd w:val="clear" w:color="auto" w:fill="auto"/>
            <w:vAlign w:val="bottom"/>
          </w:tcPr>
          <w:p>
            <w:pPr>
              <w:keepNext w:val="0"/>
              <w:keepLines w:val="0"/>
              <w:widowControl/>
              <w:suppressLineNumbers w:val="0"/>
              <w:pBdr>
                <w:top w:val="none" w:color="auto" w:sz="0" w:space="0"/>
                <w:left w:val="none" w:color="auto" w:sz="0" w:space="0"/>
              </w:pBdr>
              <w:jc w:val="left"/>
              <w:textAlignment w:val="bottom"/>
              <w:rPr>
                <w:rFonts w:hint="default" w:ascii="Times New Roman" w:hAnsi="Times New Roman" w:cs="Times New Roman"/>
                <w:sz w:val="20"/>
                <w:szCs w:val="20"/>
              </w:rPr>
            </w:pP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___________________</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0"/>
        <w:gridCol w:w="7826"/>
      </w:tblGrid>
      <w:tr>
        <w:trPr>
          <w:tblCellSpacing w:w="0" w:type="dxa"/>
        </w:trPr>
        <w:tc>
          <w:tcPr>
            <w:tcW w:w="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The sum of quarterly amounts, including per share amounts, may not equal amounts reported for year-to-date periods. This is due to the effects of rounding and changes in the number of weighted-average shares outstanding for each period.</w:t>
            </w: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70</w:t>
      </w:r>
    </w:p>
    <w:p>
      <w:pPr>
        <w:keepNext w:val="0"/>
        <w:keepLines w:val="0"/>
        <w:widowControl/>
        <w:suppressLineNumbers w:val="0"/>
      </w:pPr>
      <w:r>
        <w:rPr>
          <w:rFonts w:hint="default" w:ascii="Times New Roman" w:hAnsi="Times New Roman" w:cs="Times New Roman"/>
          <w:sz w:val="20"/>
          <w:szCs w:val="20"/>
        </w:rPr>
        <w:pict>
          <v:rect id="_x0000_i112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rPr>
          <w:jc w:val="center"/>
        </w:trPr>
        <w:tc>
          <w:tcPr>
            <w:tcW w:w="0" w:type="auto"/>
            <w:gridSpan w:val="2"/>
            <w:shd w:val="clear" w:color="auto" w:fill="auto"/>
            <w:vAlign w:val="center"/>
          </w:tcPr>
          <w:p>
            <w:pPr>
              <w:jc w:val="left"/>
              <w:rPr>
                <w:rFonts w:hint="default" w:ascii="Times New Roman" w:hAnsi="Times New Roman" w:cs="Times New Roman"/>
                <w:sz w:val="20"/>
                <w:szCs w:val="20"/>
              </w:rPr>
            </w:pPr>
          </w:p>
        </w:tc>
      </w:tr>
      <w:tr>
        <w:trPr>
          <w:jc w:val="center"/>
        </w:trP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9.</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Changes in and Disagreements with Accountants On Accounting and Financial Disclosure</w:t>
            </w:r>
          </w:p>
        </w:tc>
      </w:tr>
    </w:tbl>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None.</w:t>
      </w:r>
    </w:p>
    <w:p>
      <w:pPr>
        <w:keepNext w:val="0"/>
        <w:keepLines w:val="0"/>
        <w:widowControl/>
        <w:suppressLineNumbers w:val="0"/>
        <w:spacing w:line="288" w:lineRule="auto"/>
        <w:jc w:val="left"/>
        <w:rPr>
          <w:rFonts w:hint="default" w:ascii="Times New Roman" w:hAnsi="Times New Roman" w:cs="Times New Roman"/>
          <w:sz w:val="20"/>
          <w:szCs w:val="20"/>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4"/>
        <w:gridCol w:w="7392"/>
      </w:tblGrid>
      <w:tr>
        <w:tc>
          <w:tcPr>
            <w:tcW w:w="0" w:type="auto"/>
            <w:gridSpan w:val="2"/>
            <w:shd w:val="clear" w:color="auto" w:fill="auto"/>
            <w:vAlign w:val="center"/>
          </w:tcPr>
          <w:p>
            <w:pPr>
              <w:jc w:val="left"/>
              <w:rPr>
                <w:rFonts w:hint="default" w:ascii="Times New Roman" w:hAnsi="Times New Roman" w:cs="Times New Roman"/>
                <w:sz w:val="20"/>
                <w:szCs w:val="20"/>
              </w:rPr>
            </w:pPr>
          </w:p>
        </w:tc>
      </w:tr>
      <w:tr>
        <w:tc>
          <w:tcPr>
            <w:tcW w:w="550" w:type="pct"/>
            <w:shd w:val="clear" w:color="auto" w:fill="auto"/>
            <w:vAlign w:val="center"/>
          </w:tcPr>
          <w:p>
            <w:pPr>
              <w:jc w:val="left"/>
              <w:rPr>
                <w:rFonts w:hint="default" w:ascii="Times New Roman" w:hAnsi="Times New Roman" w:cs="Times New Roman"/>
                <w:sz w:val="20"/>
                <w:szCs w:val="20"/>
              </w:rPr>
            </w:pPr>
          </w:p>
        </w:tc>
        <w:tc>
          <w:tcPr>
            <w:tcW w:w="44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9A.</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Controls and Procedures</w:t>
            </w:r>
          </w:p>
        </w:tc>
      </w:tr>
    </w:tbl>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Evaluation of Disclosure Controls and Procedures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December 31, 2019. Based on this evaluation, our principal executive officer and principal financial officer concluded that, as of December 31, 2019,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Management’s Report on Internal Control over Financial Reporting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Management is responsible for establishing and maintaining adequate internal control over financial reporting, as defined in Rule 13a-15(f) of the 1934 Act. Management has assessed the effectiveness of our internal control over financial reporting as of December 31, 2019 based on criteria established in Internal Control — Integrated Framework (2013) issued by the Committee of Sponsoring Organizations of the Treadway Commission. As a result of this assessment, management concluded that, as of December 31, 2019, our internal control over financial reporting was effective in providing reasonable assurance regarding the reliability of financial reporting and the preparation of financial statements for external purposes in accordance with generally accepted accounting principles. Ernst &amp; Young has independently assessed the effectiveness of our internal control over financial reporting and its report is included below. </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Changes in Internal Control Over Financial Reporting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There were no changes in our internal control over financial reporting during the quarter ended December 31, 2019 that materially affected, or are reasonably likely to materially affect, our internal control over financial reporting. </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Limitations on Controls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disclosure controls and procedures and internal control over financial reporting are designed to provide reasonable assurance of achieving their objectives as specified above. Management does not expect, however, that our disclosure controls and procedures or our internal control over financial reporting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 </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71</w:t>
      </w:r>
    </w:p>
    <w:p>
      <w:pPr>
        <w:keepNext w:val="0"/>
        <w:keepLines w:val="0"/>
        <w:widowControl/>
        <w:suppressLineNumbers w:val="0"/>
      </w:pPr>
      <w:r>
        <w:rPr>
          <w:rFonts w:hint="default" w:ascii="Times New Roman" w:hAnsi="Times New Roman" w:cs="Times New Roman"/>
          <w:sz w:val="20"/>
          <w:szCs w:val="20"/>
        </w:rPr>
        <w:pict>
          <v:rect id="_x0000_i112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Report of Independent Registered Public Accounting Firm</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Board of Directors and Shareholders </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Amazon.com, Inc. </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Opinion on Internal Control Over Financial Reporting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have audited Amazon.com, Inc.’s internal control over financial reporting as of </w:t>
      </w:r>
      <w:r>
        <w:rPr>
          <w:rFonts w:hint="default" w:ascii="Times New Roman" w:hAnsi="Times New Roman" w:eastAsia="宋体" w:cs="Times New Roman"/>
          <w:color w:val="000000"/>
          <w:sz w:val="20"/>
          <w:szCs w:val="20"/>
        </w:rPr>
        <w:t>December 31, 2019</w:t>
      </w:r>
      <w:r>
        <w:rPr>
          <w:rFonts w:hint="default" w:ascii="Times New Roman" w:hAnsi="Times New Roman" w:eastAsia="宋体" w:cs="Times New Roman"/>
          <w:sz w:val="20"/>
          <w:szCs w:val="20"/>
        </w:rPr>
        <w:t xml:space="preserve">, based on criteria established in Internal Control — Integrated Framework issued by the Committee of Sponsoring Organizations of the Treadway Commission (2013 framework) (the COSO criteria). In our opinion, Amazon.com, Inc. (the Company) maintained, in all material respects, effective internal control over financial reporting as of December 31, 2019, based on the COSO criteria.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also have audited, in accordance with the standards of the Public Company Accounting Oversight Board (United States) (PCAOB), the consolidated balance sheets of the Company as of December 31, 2019 and 2018, and the related consolidated statements of operations, comprehensive income, stockholders’ equity, and cash flows for each of the three years in the period ended December 31, 2019 and the related notes and our report dated January 30, 2020 expressed an unqualified opinion thereon. </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Basis for Opinion</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b/>
          <w:bCs/>
          <w:sz w:val="20"/>
          <w:szCs w:val="20"/>
        </w:rPr>
        <w:t>Definition and Limitations of Internal Control Over Financial Reporting</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/s/ Ernst &amp; Young LLP</w:t>
      </w:r>
    </w:p>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Seattle, Washington </w: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color w:val="000000"/>
          <w:sz w:val="20"/>
          <w:szCs w:val="20"/>
        </w:rPr>
        <w:t>January 30, 2020</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72</w:t>
      </w:r>
    </w:p>
    <w:p>
      <w:pPr>
        <w:keepNext w:val="0"/>
        <w:keepLines w:val="0"/>
        <w:widowControl/>
        <w:suppressLineNumbers w:val="0"/>
      </w:pPr>
      <w:r>
        <w:rPr>
          <w:rFonts w:hint="default" w:ascii="Times New Roman" w:hAnsi="Times New Roman" w:cs="Times New Roman"/>
          <w:sz w:val="20"/>
          <w:szCs w:val="20"/>
        </w:rPr>
        <w:pict>
          <v:rect id="_x0000_i112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80"/>
        <w:gridCol w:w="1540"/>
      </w:tblGrid>
      <w:tr>
        <w:trPr>
          <w:tblCellSpacing w:w="0" w:type="dxa"/>
        </w:trPr>
        <w:tc>
          <w:tcPr>
            <w:tcW w:w="1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9B.</w:t>
            </w:r>
          </w:p>
        </w:tc>
        <w:tc>
          <w:tcPr>
            <w:tcW w:w="0" w:type="auto"/>
            <w:shd w:val="clear" w:color="auto" w:fill="auto"/>
            <w:vAlign w:val="top"/>
          </w:tcPr>
          <w:p>
            <w:pPr>
              <w:keepNext w:val="0"/>
              <w:keepLines w:val="0"/>
              <w:widowControl/>
              <w:suppressLineNumbers w:val="0"/>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Other Information </w:t>
            </w:r>
          </w:p>
        </w:tc>
      </w:tr>
    </w:tbl>
    <w:p>
      <w:pPr>
        <w:keepNext w:val="0"/>
        <w:keepLines w:val="0"/>
        <w:widowControl/>
        <w:suppressLineNumbers w:val="0"/>
        <w:pBdr>
          <w:top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i/>
          <w:iCs/>
          <w:sz w:val="20"/>
          <w:szCs w:val="20"/>
        </w:rPr>
        <w:t>Disclosure Pursuant to Section 13(r) of the Exchange Act</w:t>
      </w:r>
    </w:p>
    <w:p>
      <w:pPr>
        <w:keepNext w:val="0"/>
        <w:keepLines w:val="0"/>
        <w:widowControl/>
        <w:suppressLineNumbers w:val="0"/>
        <w:pBdr>
          <w:top w:val="none" w:color="auto" w:sz="0" w:space="0"/>
        </w:pBdr>
        <w:spacing w:line="288" w:lineRule="auto"/>
        <w:ind w:left="0" w:firstLine="58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We determined that, between January 2012 and December 2019, we processed and delivered orders of consumer products for certain individuals and entities located outside Iran covered by the Iran Threat Reduction and Syria Human Rights Act (“ITRA”), in addition to those we have previously disclosed, as follows: consumer products valued at approximately $13,700 for individuals who may have been acting for 14 Iranian embassies and diplomatic organizations located in countries other than Iran; consumer products valued at approximately $90 for an individual designated under Executive Order 13224; consumer products valued at approximately $8,600 for individuals who may have been acting for seven entities owned or controlled by the Iranian government; and consumer products valued at approximately $1,800 for individuals who may have been acting for five entities designated under Executive Order 13224 or Executive Order 13382, three of which are owned or controlled by the Iranian Government. The consumer products included books, other media, apparel, home and kitchen, jewelry, health and beauty, office, toys, consumer electronics, lawn and patio, automotive, software, grocery, and pet products. In addition, the information provided pursuant to Section 13(r) of the Exchange Act in Item 5 of Part II of the Company’s Quarterly Reports on 10-Q for the quarters ended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"http://www.sec.gov/Archives/edgar/data/1018724/000101872419000043/amzn-2019331x10q.htm" \l "sD5A37366B8D25B0582B3110FBE8ABA98"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March 31, 2019</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"http://www.sec.gov/Archives/edgar/data/1018724/000101872419000071/amzn-2019630x10q.htm" \l "sAC101E13CEFC550DB585247751C082E4"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June 30, 2019</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and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"http://www.sec.gov/Archives/edgar/data/1018724/000101872419000089/amzn-2019930x10q.htm" \l "sA264D0122243587E99F0AE9A8A484CC9"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September 30, 2019</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is hereby incorporated by reference to such reports. We are unable to accurately calculate the net profit attributable to these transactions. We do not plan to continue selling to these accounts in the future. Our review is ongoing and we are enhancing our processes designed to identify transactions associated with individuals and entities covered by the ITRA.</w:t>
      </w:r>
    </w:p>
    <w:p>
      <w:pPr>
        <w:keepNext w:val="0"/>
        <w:keepLines w:val="0"/>
        <w:widowControl/>
        <w:suppressLineNumbers w:val="0"/>
        <w:pBdr>
          <w:top w:val="none" w:color="auto" w:sz="0" w:space="0"/>
        </w:pBdr>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PART III </w:t>
      </w:r>
    </w:p>
    <w:p>
      <w:pPr>
        <w:keepNext w:val="0"/>
        <w:keepLines w:val="0"/>
        <w:widowControl/>
        <w:suppressLineNumbers w:val="0"/>
        <w:spacing w:line="288" w:lineRule="auto"/>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240" w:type="dxa"/>
          <w:left w:w="0" w:type="dxa"/>
          <w:bottom w:w="0" w:type="dxa"/>
          <w:right w:w="0" w:type="dxa"/>
        </w:tblCellMar>
      </w:tblPr>
      <w:tblGrid>
        <w:gridCol w:w="1480"/>
        <w:gridCol w:w="4739"/>
      </w:tblGrid>
      <w:tr>
        <w:trPr>
          <w:tblCellSpacing w:w="0" w:type="dxa"/>
        </w:trPr>
        <w:tc>
          <w:tcPr>
            <w:tcW w:w="1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10.</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Directors, Executive Officers, and Corporate Governance </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Information regarding our Executive Officers required by Item 10 of Part III is set forth in Item 1 of Part I “Business — Information About Our Executive Officers.” Information required by Item 10 of Part III regarding our Directors and any material changes to the process by which security holders may recommend nominees to the Board of Directors is included in our Proxy Statement relating to our </w:t>
      </w:r>
      <w:r>
        <w:rPr>
          <w:rFonts w:hint="default" w:ascii="Times New Roman" w:hAnsi="Times New Roman" w:eastAsia="宋体" w:cs="Times New Roman"/>
          <w:color w:val="000000"/>
          <w:sz w:val="20"/>
          <w:szCs w:val="20"/>
        </w:rPr>
        <w:t>2020</w:t>
      </w:r>
      <w:r>
        <w:rPr>
          <w:rFonts w:hint="default" w:ascii="Times New Roman" w:hAnsi="Times New Roman" w:eastAsia="宋体" w:cs="Times New Roman"/>
          <w:sz w:val="20"/>
          <w:szCs w:val="20"/>
        </w:rPr>
        <w:t xml:space="preserve"> Annual Meeting of Shareholders, and is incorporated herein by reference. Information relating to our Code of Business Conduct and Ethics and, to the extent applicable, compliance with Section 16(a) of the 1934 Act is set forth in our Proxy Statement relating to our </w:t>
      </w:r>
      <w:r>
        <w:rPr>
          <w:rFonts w:hint="default" w:ascii="Times New Roman" w:hAnsi="Times New Roman" w:eastAsia="宋体" w:cs="Times New Roman"/>
          <w:color w:val="000000"/>
          <w:sz w:val="20"/>
          <w:szCs w:val="20"/>
        </w:rPr>
        <w:t>2020</w:t>
      </w:r>
      <w:r>
        <w:rPr>
          <w:rFonts w:hint="default" w:ascii="Times New Roman" w:hAnsi="Times New Roman" w:eastAsia="宋体" w:cs="Times New Roman"/>
          <w:sz w:val="20"/>
          <w:szCs w:val="20"/>
        </w:rPr>
        <w:t xml:space="preserve"> Annual Meeting of Shareholders and is incorporated herein by reference. To the extent permissible under Nasdaq rules, we intend to disclose amendments to our Code of Business Conduct and Ethics, as well as waivers of the provisions thereof, on our investor relations website under the heading “Corporate Governance” at amazon.com/ir. </w:t>
      </w:r>
    </w:p>
    <w:p>
      <w:pPr>
        <w:keepNext w:val="0"/>
        <w:keepLines w:val="0"/>
        <w:widowControl/>
        <w:suppressLineNumbers w:val="0"/>
        <w:spacing w:line="288" w:lineRule="auto"/>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60" w:type="dxa"/>
          <w:left w:w="0" w:type="dxa"/>
          <w:bottom w:w="0" w:type="dxa"/>
          <w:right w:w="0" w:type="dxa"/>
        </w:tblCellMar>
      </w:tblPr>
      <w:tblGrid>
        <w:gridCol w:w="1480"/>
        <w:gridCol w:w="2050"/>
      </w:tblGrid>
      <w:tr>
        <w:trPr>
          <w:tblCellSpacing w:w="0" w:type="dxa"/>
        </w:trPr>
        <w:tc>
          <w:tcPr>
            <w:tcW w:w="1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11.</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Executive Compensation </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Information required by Item 11 of Part III is included in our Proxy Statement relating to our </w:t>
      </w:r>
      <w:r>
        <w:rPr>
          <w:rFonts w:hint="default" w:ascii="Times New Roman" w:hAnsi="Times New Roman" w:eastAsia="宋体" w:cs="Times New Roman"/>
          <w:color w:val="000000"/>
          <w:sz w:val="20"/>
          <w:szCs w:val="20"/>
        </w:rPr>
        <w:t>2020</w:t>
      </w:r>
      <w:r>
        <w:rPr>
          <w:rFonts w:hint="default" w:ascii="Times New Roman" w:hAnsi="Times New Roman" w:eastAsia="宋体" w:cs="Times New Roman"/>
          <w:sz w:val="20"/>
          <w:szCs w:val="20"/>
        </w:rPr>
        <w:t xml:space="preserve"> Annual Meeting of Shareholders and is incorporated herein by reference. </w:t>
      </w:r>
    </w:p>
    <w:p>
      <w:pPr>
        <w:keepNext w:val="0"/>
        <w:keepLines w:val="0"/>
        <w:widowControl/>
        <w:suppressLineNumbers w:val="0"/>
        <w:spacing w:line="288" w:lineRule="auto"/>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60" w:type="dxa"/>
          <w:left w:w="0" w:type="dxa"/>
          <w:bottom w:w="0" w:type="dxa"/>
          <w:right w:w="0" w:type="dxa"/>
        </w:tblCellMar>
      </w:tblPr>
      <w:tblGrid>
        <w:gridCol w:w="1480"/>
        <w:gridCol w:w="6826"/>
      </w:tblGrid>
      <w:tr>
        <w:trPr>
          <w:tblCellSpacing w:w="0" w:type="dxa"/>
        </w:trPr>
        <w:tc>
          <w:tcPr>
            <w:tcW w:w="1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12.</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Security Ownership of Certain Beneficial Owners and Management and Related Shareholder Matters </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Information required by Item 12 of Part III is included in our Proxy Statement relating to our </w:t>
      </w:r>
      <w:r>
        <w:rPr>
          <w:rFonts w:hint="default" w:ascii="Times New Roman" w:hAnsi="Times New Roman" w:eastAsia="宋体" w:cs="Times New Roman"/>
          <w:color w:val="000000"/>
          <w:sz w:val="20"/>
          <w:szCs w:val="20"/>
        </w:rPr>
        <w:t>2020</w:t>
      </w:r>
      <w:r>
        <w:rPr>
          <w:rFonts w:hint="default" w:ascii="Times New Roman" w:hAnsi="Times New Roman" w:eastAsia="宋体" w:cs="Times New Roman"/>
          <w:sz w:val="20"/>
          <w:szCs w:val="20"/>
        </w:rPr>
        <w:t xml:space="preserve"> Annual Meeting of Shareholders and is incorporated herein by reference. </w:t>
      </w:r>
    </w:p>
    <w:p>
      <w:pPr>
        <w:keepNext w:val="0"/>
        <w:keepLines w:val="0"/>
        <w:widowControl/>
        <w:suppressLineNumbers w:val="0"/>
        <w:spacing w:line="288" w:lineRule="auto"/>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60" w:type="dxa"/>
          <w:left w:w="0" w:type="dxa"/>
          <w:bottom w:w="0" w:type="dxa"/>
          <w:right w:w="0" w:type="dxa"/>
        </w:tblCellMar>
      </w:tblPr>
      <w:tblGrid>
        <w:gridCol w:w="1480"/>
        <w:gridCol w:w="6312"/>
      </w:tblGrid>
      <w:tr>
        <w:trPr>
          <w:tblCellSpacing w:w="0" w:type="dxa"/>
        </w:trPr>
        <w:tc>
          <w:tcPr>
            <w:tcW w:w="1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13.</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Certain Relationships and Related Transactions, and Director Independence </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Information required by Item 13 of Part III is included in our Proxy Statement relating to our </w:t>
      </w:r>
      <w:r>
        <w:rPr>
          <w:rFonts w:hint="default" w:ascii="Times New Roman" w:hAnsi="Times New Roman" w:eastAsia="宋体" w:cs="Times New Roman"/>
          <w:color w:val="000000"/>
          <w:sz w:val="20"/>
          <w:szCs w:val="20"/>
        </w:rPr>
        <w:t>2020</w:t>
      </w:r>
      <w:r>
        <w:rPr>
          <w:rFonts w:hint="default" w:ascii="Times New Roman" w:hAnsi="Times New Roman" w:eastAsia="宋体" w:cs="Times New Roman"/>
          <w:sz w:val="20"/>
          <w:szCs w:val="20"/>
        </w:rPr>
        <w:t xml:space="preserve"> Annual Meeting of Shareholders and is incorporated herein by reference. </w:t>
      </w:r>
    </w:p>
    <w:p>
      <w:pPr>
        <w:keepNext w:val="0"/>
        <w:keepLines w:val="0"/>
        <w:widowControl/>
        <w:suppressLineNumbers w:val="0"/>
        <w:spacing w:line="288" w:lineRule="auto"/>
        <w:jc w:val="left"/>
        <w:rPr>
          <w:rFonts w:hint="default" w:ascii="Times New Roman" w:hAnsi="Times New Roman" w:cs="Times New Roman"/>
          <w:sz w:val="20"/>
          <w:szCs w:val="20"/>
        </w:rPr>
      </w:pP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60" w:type="dxa"/>
          <w:left w:w="0" w:type="dxa"/>
          <w:bottom w:w="0" w:type="dxa"/>
          <w:right w:w="0" w:type="dxa"/>
        </w:tblCellMar>
      </w:tblPr>
      <w:tblGrid>
        <w:gridCol w:w="1480"/>
        <w:gridCol w:w="3300"/>
      </w:tblGrid>
      <w:tr>
        <w:trPr>
          <w:tblCellSpacing w:w="0" w:type="dxa"/>
        </w:trPr>
        <w:tc>
          <w:tcPr>
            <w:tcW w:w="1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14.</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Principal Accountant Fees and Services </w:t>
            </w:r>
          </w:p>
        </w:tc>
      </w:tr>
    </w:tbl>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Information required by Item 14 of Part III is included in our Proxy Statement relating to our </w:t>
      </w:r>
      <w:r>
        <w:rPr>
          <w:rFonts w:hint="default" w:ascii="Times New Roman" w:hAnsi="Times New Roman" w:eastAsia="宋体" w:cs="Times New Roman"/>
          <w:color w:val="000000"/>
          <w:sz w:val="20"/>
          <w:szCs w:val="20"/>
        </w:rPr>
        <w:t>2020</w:t>
      </w:r>
      <w:r>
        <w:rPr>
          <w:rFonts w:hint="default" w:ascii="Times New Roman" w:hAnsi="Times New Roman" w:eastAsia="宋体" w:cs="Times New Roman"/>
          <w:sz w:val="20"/>
          <w:szCs w:val="20"/>
        </w:rPr>
        <w:t xml:space="preserve"> Annual Meeting of Shareholders and is incorporated herein by reference. </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73</w:t>
      </w:r>
    </w:p>
    <w:p>
      <w:pPr>
        <w:keepNext w:val="0"/>
        <w:keepLines w:val="0"/>
        <w:widowControl/>
        <w:suppressLineNumbers w:val="0"/>
      </w:pPr>
      <w:r>
        <w:rPr>
          <w:rFonts w:hint="default" w:ascii="Times New Roman" w:hAnsi="Times New Roman" w:cs="Times New Roman"/>
          <w:sz w:val="20"/>
          <w:szCs w:val="20"/>
        </w:rPr>
        <w:pict>
          <v:rect id="_x0000_i113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 xml:space="preserve">PART IV </w:t>
      </w:r>
    </w:p>
    <w:p>
      <w:pPr>
        <w:keepNext w:val="0"/>
        <w:keepLines w:val="0"/>
        <w:widowControl/>
        <w:suppressLineNumbers w:val="0"/>
        <w:spacing w:line="288" w:lineRule="auto"/>
        <w:jc w:val="left"/>
        <w:rPr>
          <w:rFonts w:hint="default" w:ascii="Times New Roman" w:hAnsi="Times New Roman" w:cs="Times New Roman"/>
          <w:sz w:val="28"/>
          <w:szCs w:val="28"/>
        </w:rPr>
      </w:pPr>
      <w:r>
        <w:rPr>
          <w:rFonts w:hint="default" w:ascii="Times New Roman" w:hAnsi="Times New Roman" w:eastAsia="宋体" w:cs="Times New Roman"/>
          <w:sz w:val="28"/>
          <w:szCs w:val="28"/>
        </w:rPr>
        <w:t> </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240" w:type="dxa"/>
          <w:left w:w="0" w:type="dxa"/>
          <w:bottom w:w="0" w:type="dxa"/>
          <w:right w:w="0" w:type="dxa"/>
        </w:tblCellMar>
      </w:tblPr>
      <w:tblGrid>
        <w:gridCol w:w="1480"/>
        <w:gridCol w:w="3357"/>
      </w:tblGrid>
      <w:tr>
        <w:trPr>
          <w:tblCellSpacing w:w="0" w:type="dxa"/>
        </w:trPr>
        <w:tc>
          <w:tcPr>
            <w:tcW w:w="1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15.</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 xml:space="preserve">Exhibits, Financial Statement Schedules </w:t>
            </w:r>
          </w:p>
        </w:tc>
      </w:tr>
    </w:tbl>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 </w:t>
      </w:r>
      <w:r>
        <w:rPr>
          <w:rFonts w:hint="default" w:ascii="Times New Roman" w:hAnsi="Times New Roman" w:eastAsia="宋体" w:cs="Times New Roman"/>
          <w:i/>
          <w:iCs/>
          <w:sz w:val="20"/>
          <w:szCs w:val="20"/>
        </w:rPr>
        <w:t xml:space="preserve">List of Documents Filed as a Part of This Report: </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(1) </w:t>
      </w:r>
      <w:r>
        <w:rPr>
          <w:rFonts w:hint="default" w:ascii="Times New Roman" w:hAnsi="Times New Roman" w:eastAsia="宋体" w:cs="Times New Roman"/>
          <w:i/>
          <w:iCs/>
          <w:sz w:val="20"/>
          <w:szCs w:val="20"/>
        </w:rPr>
        <w:t xml:space="preserve">Index to Consolidated Financial Statements: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Report of Ernst &amp; Young LLP, Independent Registered Public Accounting Firm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Consolidated Statements of Cash Flows for each of the three years ended December 31, 2019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Consolidated Statements of Operations for each of the three years ended December 31, 2019 </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Consolidated Statements of Comprehensive Income for each of the three years ended December 31, 2019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Consolidated Balance Sheets as of December 31, 2018 and 2019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Consolidated Statements of Stockholders’ Equity for each of the three years ended December 31, 2019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Notes to Consolidated Financial Statements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Report of Ernst &amp; Young LLP, Independent Registered Public Accounting Firm </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(2) </w:t>
      </w:r>
      <w:r>
        <w:rPr>
          <w:rFonts w:hint="default" w:ascii="Times New Roman" w:hAnsi="Times New Roman" w:eastAsia="宋体" w:cs="Times New Roman"/>
          <w:i/>
          <w:iCs/>
          <w:sz w:val="20"/>
          <w:szCs w:val="20"/>
        </w:rPr>
        <w:t xml:space="preserve">Index to Financial Statement Schedules: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All schedules have been omitted because the required information is included in the consolidated financial statements or the notes thereto, or because it is not required. </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(3) </w:t>
      </w:r>
      <w:r>
        <w:rPr>
          <w:rFonts w:hint="default" w:ascii="Times New Roman" w:hAnsi="Times New Roman" w:eastAsia="宋体" w:cs="Times New Roman"/>
          <w:i/>
          <w:iCs/>
          <w:sz w:val="20"/>
          <w:szCs w:val="20"/>
        </w:rPr>
        <w:t xml:space="preserve">Index to Exhibits </w:t>
      </w:r>
    </w:p>
    <w:p>
      <w:pPr>
        <w:keepNext w:val="0"/>
        <w:keepLines w:val="0"/>
        <w:widowControl/>
        <w:suppressLineNumbers w:val="0"/>
        <w:pBdr>
          <w:top w:val="none" w:color="auto" w:sz="0" w:space="0"/>
          <w:left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See exhibits listed under Part (b) below. </w:t>
      </w:r>
    </w:p>
    <w:p>
      <w:pPr>
        <w:keepNext w:val="0"/>
        <w:keepLines w:val="0"/>
        <w:widowControl/>
        <w:suppressLineNumbers w:val="0"/>
        <w:pBdr>
          <w:top w:val="none" w:color="auto" w:sz="0" w:space="0"/>
          <w:left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(b) </w:t>
      </w:r>
      <w:r>
        <w:rPr>
          <w:rFonts w:hint="default" w:ascii="Times New Roman" w:hAnsi="Times New Roman" w:eastAsia="宋体" w:cs="Times New Roman"/>
          <w:i/>
          <w:iCs/>
          <w:sz w:val="20"/>
          <w:szCs w:val="20"/>
        </w:rPr>
        <w:t xml:space="preserve">Exhibits: </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40"/>
        <w:gridCol w:w="131"/>
        <w:gridCol w:w="7535"/>
      </w:tblGrid>
      <w:tr>
        <w:trPr>
          <w:jc w:val="center"/>
        </w:trPr>
        <w:tc>
          <w:tcPr>
            <w:tcW w:w="0" w:type="auto"/>
            <w:gridSpan w:val="3"/>
            <w:shd w:val="clear" w:color="auto" w:fill="auto"/>
            <w:vAlign w:val="center"/>
          </w:tcPr>
          <w:p>
            <w:pPr>
              <w:jc w:val="left"/>
              <w:rPr>
                <w:rFonts w:hint="default" w:ascii="Times New Roman" w:hAnsi="Times New Roman" w:cs="Times New Roman"/>
                <w:sz w:val="20"/>
                <w:szCs w:val="20"/>
              </w:rPr>
            </w:pPr>
          </w:p>
        </w:tc>
      </w:tr>
      <w:tr>
        <w:trPr>
          <w:jc w:val="center"/>
        </w:trPr>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Exhibit Number</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rPr>
              <w:t xml:space="preserve">Description </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"http://www.sec.gov/Archives/edgar/data/1018724/000089102000001049/0000891020-00-001049.txt"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Restated Certificate of Incorporation of the Company (incorporated by reference to Exhibit 3.1 to the Company’s Quarterly Report on Form 10-Q for the Quarter ended March 31, 2000).</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"http://www.sec.gov/Archives/edgar/data/1018724/000101872416000206/amzn-20160225xex32.htm"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the Company (incorporated by reference to the Company’s Current Report on Form 8-K, filed February 25, 2016).</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"http://www.sec.gov/Archives/edgar/data/1018724/000119312512485763/d445039dex401.htm"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Indenture, dated as of November 29, 2012, between Amazon.com, Inc. and Wells Fargo Bank, National Association, as trustee, and Form of 0.650% Note due 2015, Form of 1.200% Note due 2017, and Form of 2.500% Note due 2022 (incorporated by reference to the Company’s Current Report on Form 8-K, filed November 29, 2012).</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"http://www.sec.gov/Archives/edgar/data/1018724/000119312514434903/d831692dex41.htm"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December 5, 2014, containing Form of 2.600% Note due 2019, Form of 3.300% Note due 2021, Form of 3.800% Note due 2024, Form of 4.800% Note due 2034, and Form of 4.950% Note due 2044 (incorporated by reference to the Company’s Current Report on Form 8-K, filed December 5, 2014).</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4.3</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"http://www.sec.gov/Archives/edgar/data/1018724/000119312517264654/d274242dex42.htm"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August 22, 2017, containing Form of 1.900% Note due 2020, Form of 2.400% Note due 2023, Form of 2.800% Note due 2024, Form of 3.150% Note due 2027, Form of 3.875% Note due 2037, Form of 4.050% Note due 2047, and Form of 4.250% Note due 2057 (incorporated by reference to the Company’s Current Report on Form 8-K, filed August 22, 2017).</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"http://www.sec.gov/Archives/edgar/data/1018724/000119312517264654/d274242dex410.htm"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Registration Rights Agreement, dated as of August 22, 2017, among Amazon.com, Inc. and the representatives of the initial purchasers of Amazon.com, Inc.’s 1.900% Notes due 2020, 2.400% Notes due 2023, 2.800% Notes due 2024, 3.150% Notes due 2027, 3.875% Notes due 2037, 4.050% Notes due 2047, and 4.250% Notes due 2057 (incorporated by reference to the Company’s Current Report on Form 8-K, filed August 22, 2017).</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4.5</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"http://www.sec.gov/Archives/edgar/data/1018724/000119312517374998/d466336dex46.htm"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December 20, 2017, containing Form of 5.200% Note due 2025 (incorporated by reference to the Company’s Current Report on Form 8-K, filed December 20, 2017).</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4.6</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"https://www.sec.gov/Archives/edgar/data/0001018724/000101872420000004/amzn-20191231xex46.htm"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Description of Securities.</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"http://www.sec.gov/Archives/edgar/data/1018724/000119312513174667/d492540dex101.htm"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1997 Stock Incentive Plan (amended and restated) (incorporated by reference to the Company’s Quarterly Report on Form 10-Q for the Quarter ended March 31, 2013).</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74</w:t>
      </w:r>
    </w:p>
    <w:p>
      <w:pPr>
        <w:keepNext w:val="0"/>
        <w:keepLines w:val="0"/>
        <w:widowControl/>
        <w:suppressLineNumbers w:val="0"/>
      </w:pPr>
      <w:r>
        <w:rPr>
          <w:rFonts w:hint="default" w:ascii="Times New Roman" w:hAnsi="Times New Roman" w:cs="Times New Roman"/>
          <w:sz w:val="20"/>
          <w:szCs w:val="20"/>
        </w:rPr>
        <w:pict>
          <v:rect id="_x0000_i113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40"/>
        <w:gridCol w:w="131"/>
        <w:gridCol w:w="7535"/>
      </w:tblGrid>
      <w:tr>
        <w:trPr>
          <w:jc w:val="center"/>
        </w:trPr>
        <w:tc>
          <w:tcPr>
            <w:tcW w:w="0" w:type="auto"/>
            <w:gridSpan w:val="3"/>
            <w:shd w:val="clear" w:color="auto" w:fill="auto"/>
            <w:vAlign w:val="center"/>
          </w:tcPr>
          <w:p>
            <w:pPr>
              <w:jc w:val="left"/>
              <w:rPr>
                <w:rFonts w:hint="default" w:ascii="Times New Roman" w:hAnsi="Times New Roman" w:cs="Times New Roman"/>
                <w:sz w:val="20"/>
                <w:szCs w:val="20"/>
              </w:rPr>
            </w:pPr>
          </w:p>
        </w:tc>
      </w:tr>
      <w:tr>
        <w:trPr>
          <w:jc w:val="center"/>
        </w:trPr>
        <w:tc>
          <w:tcPr>
            <w:tcW w:w="400" w:type="pct"/>
            <w:shd w:val="clear" w:color="auto" w:fill="auto"/>
            <w:vAlign w:val="center"/>
          </w:tcPr>
          <w:p>
            <w:pPr>
              <w:jc w:val="left"/>
              <w:rPr>
                <w:rFonts w:hint="default" w:ascii="Times New Roman" w:hAnsi="Times New Roman" w:cs="Times New Roman"/>
                <w:sz w:val="20"/>
                <w:szCs w:val="20"/>
              </w:rPr>
            </w:pPr>
          </w:p>
        </w:tc>
        <w:tc>
          <w:tcPr>
            <w:tcW w:w="50" w:type="pct"/>
            <w:shd w:val="clear" w:color="auto" w:fill="auto"/>
            <w:vAlign w:val="center"/>
          </w:tcPr>
          <w:p>
            <w:pPr>
              <w:jc w:val="left"/>
              <w:rPr>
                <w:rFonts w:hint="default" w:ascii="Times New Roman" w:hAnsi="Times New Roman" w:cs="Times New Roman"/>
                <w:sz w:val="20"/>
                <w:szCs w:val="20"/>
              </w:rPr>
            </w:pPr>
          </w:p>
        </w:tc>
        <w:tc>
          <w:tcPr>
            <w:tcW w:w="4550" w:type="pct"/>
            <w:shd w:val="clear" w:color="auto" w:fill="auto"/>
            <w:vAlign w:val="center"/>
          </w:tcPr>
          <w:p>
            <w:pPr>
              <w:jc w:val="left"/>
              <w:rPr>
                <w:rFonts w:hint="default" w:ascii="Times New Roman" w:hAnsi="Times New Roman" w:cs="Times New Roman"/>
                <w:sz w:val="20"/>
                <w:szCs w:val="20"/>
              </w:rPr>
            </w:pP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"http://www.sec.gov/Archives/edgar/data/1018724/000119312513174667/d492540dex102.htm"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1999 Nonofficer Employee Stock Option Plan (amended and restated) (incorporated by reference to the Company’s Quarterly Report on Form 10-Q for the Quarter ended March 31, 2013).</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10.3†</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"http://www.sec.gov/Archives/edgar/data/1018724/0000891020-97-000603.txt"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Indemnification Agreement between the Company and each of its Directors (incorporated by reference to Exhibit 10.1 to the Company’s Registration Statement on Form S-1 (Registration No. 333-23795) filed March 24, 1997, as amended on April 21, 1997).</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"http://www.sec.gov/Archives/edgar/data/1018724/000095014903000355/v87419orexv10w12.htm"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Unit Agreement for Officers and Employees (incorporated by reference to the Company’s Annual Report on Form 10-K for the Year ended December 31, 2002).</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10.5†</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"http://www.sec.gov/Archives/edgar/data/1018724/000095014903000355/v87419orexv10w13.htm"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Unit Agreement for Directors (incorporated by reference to the Company’s Annual Report on Form 10-K for the Year ended December 31, 2002).</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10.6†</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"http://www.sec.gov/Archives/edgar/data/1018724/000103221002000059/dex1016.htm"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Agreement (incorporated by reference to the Company’s Annual Report on Form 10-K for the Year ended December 31, 2001).</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10.7†</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"http://www.sec.gov/Archives/edgar/data/1018724/000101872419000004/amzn-20181231xex107.htm"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Global Restricted Stock Unit Award Agreement for Executive Officers (incorporated by reference to the Company’s Annual Report on Form 10-K for the Year ended December 31, 2018).</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10.8</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"http://www.sec.gov/Archives/edgar/data/1018724/000101872416000286/amzn-20160630xex101.htm"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Credit Agreement, dated as of May 20, 2016, among Amazon.com, Inc., Bank of America, N.A., as administrative agent, and the other lenders party thereto (incorporated by reference to the Company’s Quarterly Report on Form 10-Q for the Quarter ended June 30, 2016).</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21.1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"https://www.sec.gov/Archives/edgar/data/0001018724/000101872420000004/amzn-20191231xex211.htm"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List of Significant Subsidiaries.</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23.1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"https://www.sec.gov/Archives/edgar/data/0001018724/000101872420000004/amzn-20191231xex231.htm"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Consent of Independent Registered Public Accounting Firm.</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"https://www.sec.gov/Archives/edgar/data/0001018724/000101872420000004/amzn-20191231xex311.htm"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31.2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"https://www.sec.gov/Archives/edgar/data/0001018724/000101872420000004/amzn-20191231xex312.htm"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32.1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"https://www.sec.gov/Archives/edgar/data/0001018724/000101872420000004/amzn-20191231xex321.htm"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32.2</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"https://www.sec.gov/Archives/edgar/data/0001018724/000101872420000004/amzn-20191231xex322.htm"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101</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The following financial statements from the Company’s Annual Report on Form 10-K for the year ended December 31, 2019, formatted in XBRL: (i) Consolidated Statements of Cash Flows, (ii) Consolidated Statements of Operations, (iii) Consolidated Statements of Comprehensive Income, (iv) Consolidated Balance Sheets, (v) Consolidated Statements of Stockholders’ Equity, and (vi) Notes to Consolidated Financial Statements, tagged as blocks of text and including detailed tags.</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As permitted by Item 601(b)(4)(iii)(A) of Regulation S-K, the Company has not filed with this Annual Report on Form 10-K certain instruments defining the rights of holders of long-term debt of the Company and its subsidiaries because the total amount of securities authorized thereunder does not exceed 10 percent of the total assets of the Company and its subsidiaries on a consolidated basis. The Company agrees to furnish a copy of such agreements to the Commission upon request.</w:t>
            </w:r>
          </w:p>
        </w:tc>
      </w:tr>
      <w:tr>
        <w:trPr>
          <w:jc w:val="center"/>
        </w:trP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rPr>
          <w:jc w:val="center"/>
        </w:trP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104</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The cover page from the Company’s Annual Report on Form 10-K for the year ended December 31, 2019, formatted in iXBRL (included as Exhibit 101).</w:t>
            </w:r>
          </w:p>
        </w:tc>
      </w:tr>
    </w:tbl>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__________________</w:t>
      </w:r>
    </w:p>
    <w:p>
      <w:pPr>
        <w:keepNext w:val="0"/>
        <w:keepLines w:val="0"/>
        <w:widowControl/>
        <w:suppressLineNumbers w:val="0"/>
        <w:pBdr>
          <w:bottom w:val="none" w:color="auto" w:sz="0" w:space="0"/>
        </w:pBdr>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t>†    Executive Compensation Plan or Agreement.</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240" w:type="dxa"/>
          <w:left w:w="0" w:type="dxa"/>
          <w:bottom w:w="0" w:type="dxa"/>
          <w:right w:w="0" w:type="dxa"/>
        </w:tblCellMar>
      </w:tblPr>
      <w:tblGrid>
        <w:gridCol w:w="1480"/>
        <w:gridCol w:w="1767"/>
      </w:tblGrid>
      <w:tr>
        <w:trPr>
          <w:tblCellSpacing w:w="0" w:type="dxa"/>
        </w:trPr>
        <w:tc>
          <w:tcPr>
            <w:tcW w:w="1480" w:type="dxa"/>
            <w:shd w:val="clear" w:color="auto" w:fill="auto"/>
            <w:vAlign w:val="center"/>
          </w:tcPr>
          <w:p>
            <w:pPr>
              <w:rPr>
                <w:rFonts w:hint="default" w:ascii="Times New Roman" w:hAnsi="Times New Roman" w:cs="Times New Roman"/>
                <w:sz w:val="20"/>
                <w:szCs w:val="20"/>
              </w:rPr>
            </w:pPr>
          </w:p>
        </w:tc>
        <w:tc>
          <w:tcPr>
            <w:tcW w:w="0" w:type="auto"/>
            <w:shd w:val="clear" w:color="auto" w:fill="auto"/>
            <w:vAlign w:val="center"/>
          </w:tcPr>
          <w:p>
            <w:pPr>
              <w:rPr>
                <w:rFonts w:hint="default" w:ascii="Times New Roman" w:hAnsi="Times New Roman" w:cs="Times New Roman"/>
                <w:sz w:val="20"/>
                <w:szCs w:val="20"/>
              </w:rPr>
            </w:pPr>
          </w:p>
        </w:tc>
      </w:tr>
      <w:tr>
        <w:trPr>
          <w:tblCellSpacing w:w="0" w:type="dxa"/>
        </w:trPr>
        <w:tc>
          <w:tcPr>
            <w:tcW w:w="0" w:type="auto"/>
            <w:shd w:val="clear" w:color="auto" w:fill="auto"/>
            <w:vAlign w:val="top"/>
          </w:tcPr>
          <w:p>
            <w:pPr>
              <w:keepNext w:val="0"/>
              <w:keepLines w:val="0"/>
              <w:widowControl/>
              <w:suppressLineNumbers w:val="0"/>
              <w:pBdr>
                <w:top w:val="none" w:color="auto" w:sz="0" w:space="0"/>
                <w:left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Item 16.</w:t>
            </w:r>
          </w:p>
        </w:tc>
        <w:tc>
          <w:tcPr>
            <w:tcW w:w="0" w:type="auto"/>
            <w:shd w:val="clear" w:color="auto" w:fill="auto"/>
            <w:vAlign w:val="top"/>
          </w:tcPr>
          <w:p>
            <w:pPr>
              <w:keepNext w:val="0"/>
              <w:keepLines w:val="0"/>
              <w:widowControl/>
              <w:suppressLineNumbers w:val="0"/>
              <w:pBdr>
                <w:top w:val="none" w:color="auto" w:sz="0" w:space="0"/>
              </w:pBdr>
              <w:spacing w:line="288" w:lineRule="auto"/>
              <w:jc w:val="left"/>
              <w:textAlignment w:val="top"/>
              <w:rPr>
                <w:rFonts w:hint="default" w:ascii="Times New Roman" w:hAnsi="Times New Roman" w:cs="Times New Roman"/>
                <w:sz w:val="20"/>
                <w:szCs w:val="20"/>
              </w:rPr>
            </w:pPr>
            <w:r>
              <w:rPr>
                <w:rFonts w:hint="default" w:ascii="Times New Roman" w:hAnsi="Times New Roman" w:eastAsia="宋体" w:cs="Times New Roman"/>
                <w:b/>
                <w:bCs/>
                <w:i/>
                <w:iCs/>
                <w:sz w:val="20"/>
                <w:szCs w:val="20"/>
              </w:rPr>
              <w:t>Form 10-K Summary</w:t>
            </w:r>
          </w:p>
        </w:tc>
      </w:tr>
    </w:tbl>
    <w:p>
      <w:pPr>
        <w:keepNext w:val="0"/>
        <w:keepLines w:val="0"/>
        <w:widowControl/>
        <w:suppressLineNumbers w:val="0"/>
        <w:pBdr>
          <w:top w:val="none" w:color="auto" w:sz="0" w:space="0"/>
        </w:pBdr>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None.</w:t>
      </w: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75</w:t>
      </w:r>
    </w:p>
    <w:p>
      <w:pPr>
        <w:keepNext w:val="0"/>
        <w:keepLines w:val="0"/>
        <w:widowControl/>
        <w:suppressLineNumbers w:val="0"/>
      </w:pPr>
      <w:r>
        <w:rPr>
          <w:rFonts w:hint="default" w:ascii="Times New Roman" w:hAnsi="Times New Roman" w:cs="Times New Roman"/>
          <w:sz w:val="20"/>
          <w:szCs w:val="20"/>
        </w:rPr>
        <w:pict>
          <v:rect id="_x0000_i113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88" w:lineRule="auto"/>
        <w:jc w:val="left"/>
        <w:rPr>
          <w:rFonts w:hint="default" w:ascii="Times New Roman" w:hAnsi="Times New Roman" w:cs="Times New Roman"/>
          <w:sz w:val="20"/>
          <w:szCs w:val="20"/>
        </w:rPr>
      </w:pP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"https://www.sec.gov/ix?doc=/Archives/edgar/data/0001018724/000101872420000004/amzn-20191231x10k.htm" \l "s5E7C4CFCDCB5541E9D6C54E92E7E2E36" </w:instrText>
      </w:r>
      <w:r>
        <w:rPr>
          <w:rFonts w:hint="default" w:ascii="Times New Roman" w:hAnsi="Times New Roman" w:eastAsia="宋体" w:cs="Times New Roman"/>
          <w:sz w:val="20"/>
          <w:szCs w:val="20"/>
        </w:rPr>
        <w:fldChar w:fldCharType="separate"/>
      </w:r>
      <w:r>
        <w:rPr>
          <w:rStyle w:val="8"/>
          <w:rFonts w:hint="default" w:ascii="Times New Roman" w:hAnsi="Times New Roman" w:eastAsia="宋体" w:cs="Times New Roman"/>
          <w:sz w:val="20"/>
          <w:szCs w:val="20"/>
        </w:rPr>
        <w:t>Table of Contents</w:t>
      </w:r>
      <w:r>
        <w:rPr>
          <w:rFonts w:hint="default" w:ascii="Times New Roman" w:hAnsi="Times New Roman" w:eastAsia="宋体" w:cs="Times New Roman"/>
          <w:sz w:val="20"/>
          <w:szCs w:val="20"/>
        </w:rPr>
        <w:fldChar w:fldCharType="end"/>
      </w:r>
    </w:p>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b/>
          <w:bCs/>
          <w:sz w:val="20"/>
          <w:szCs w:val="20"/>
        </w:rPr>
        <w:t>SIGNATURES</w:t>
      </w:r>
    </w:p>
    <w:p>
      <w:pPr>
        <w:keepNext w:val="0"/>
        <w:keepLines w:val="0"/>
        <w:widowControl/>
        <w:suppressLineNumbers w:val="0"/>
        <w:pBdr>
          <w:top w:val="none" w:color="auto" w:sz="0" w:space="0"/>
        </w:pBdr>
        <w:spacing w:line="288" w:lineRule="auto"/>
        <w:ind w:left="0" w:firstLine="64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Pursuant to the requirements of Section 13 or 15(d) of the Securities Exchange Act of 1934, the registrant has duly caused this Report to be signed on its behalf by the undersigned, thereunto duly authorized, as of </w:t>
      </w:r>
      <w:r>
        <w:rPr>
          <w:rFonts w:hint="default" w:ascii="Times New Roman" w:hAnsi="Times New Roman" w:eastAsia="宋体" w:cs="Times New Roman"/>
          <w:color w:val="000000"/>
          <w:sz w:val="20"/>
          <w:szCs w:val="20"/>
        </w:rPr>
        <w:t>January 30, 2020</w:t>
      </w:r>
      <w:r>
        <w:rPr>
          <w:rFonts w:hint="default" w:ascii="Times New Roman" w:hAnsi="Times New Roman" w:eastAsia="宋体" w:cs="Times New Roman"/>
          <w:sz w:val="20"/>
          <w:szCs w:val="20"/>
        </w:rPr>
        <w:t xml:space="preserve">. </w:t>
      </w:r>
    </w:p>
    <w:p>
      <w:pPr>
        <w:keepNext w:val="0"/>
        <w:keepLines w:val="0"/>
        <w:widowControl/>
        <w:suppressLineNumbers w:val="0"/>
        <w:spacing w:line="288" w:lineRule="auto"/>
        <w:jc w:val="left"/>
        <w:rPr>
          <w:rFonts w:hint="default" w:ascii="Times New Roman" w:hAnsi="Times New Roman" w:cs="Times New Roman"/>
          <w:sz w:val="18"/>
          <w:szCs w:val="18"/>
        </w:rPr>
      </w:pPr>
      <w:r>
        <w:rPr>
          <w:rFonts w:hint="default" w:ascii="Times New Roman" w:hAnsi="Times New Roman" w:eastAsia="宋体" w:cs="Times New Roman"/>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715"/>
        <w:gridCol w:w="369"/>
        <w:gridCol w:w="3222"/>
      </w:tblGrid>
      <w:tr>
        <w:tc>
          <w:tcPr>
            <w:tcW w:w="0" w:type="auto"/>
            <w:gridSpan w:val="3"/>
            <w:shd w:val="clear" w:color="auto" w:fill="auto"/>
            <w:vAlign w:val="center"/>
          </w:tcPr>
          <w:p>
            <w:pPr>
              <w:jc w:val="left"/>
              <w:rPr>
                <w:rFonts w:hint="default" w:ascii="Times New Roman" w:hAnsi="Times New Roman" w:cs="Times New Roman"/>
                <w:sz w:val="20"/>
                <w:szCs w:val="20"/>
              </w:rPr>
            </w:pPr>
          </w:p>
        </w:tc>
      </w:tr>
      <w:tr>
        <w:tc>
          <w:tcPr>
            <w:tcW w:w="2849" w:type="pct"/>
            <w:shd w:val="clear" w:color="auto" w:fill="auto"/>
            <w:vAlign w:val="center"/>
          </w:tcPr>
          <w:p>
            <w:pPr>
              <w:jc w:val="left"/>
              <w:rPr>
                <w:rFonts w:hint="default" w:ascii="Times New Roman" w:hAnsi="Times New Roman" w:cs="Times New Roman"/>
                <w:sz w:val="20"/>
                <w:szCs w:val="20"/>
              </w:rPr>
            </w:pPr>
          </w:p>
        </w:tc>
        <w:tc>
          <w:tcPr>
            <w:tcW w:w="200" w:type="pct"/>
            <w:shd w:val="clear" w:color="auto" w:fill="auto"/>
            <w:vAlign w:val="center"/>
          </w:tcPr>
          <w:p>
            <w:pPr>
              <w:jc w:val="left"/>
              <w:rPr>
                <w:rFonts w:hint="default" w:ascii="Times New Roman" w:hAnsi="Times New Roman" w:cs="Times New Roman"/>
                <w:sz w:val="20"/>
                <w:szCs w:val="20"/>
              </w:rPr>
            </w:pPr>
          </w:p>
        </w:tc>
        <w:tc>
          <w:tcPr>
            <w:tcW w:w="1950"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gridSpan w:val="2"/>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1"/>
                <w:szCs w:val="21"/>
              </w:rPr>
            </w:pPr>
            <w:r>
              <w:rPr>
                <w:rFonts w:hint="default" w:ascii="Times New Roman" w:hAnsi="Times New Roman" w:eastAsia="宋体" w:cs="Times New Roman"/>
                <w:sz w:val="21"/>
                <w:szCs w:val="21"/>
              </w:rPr>
              <w:t>AMAZON.COM, INC.</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By:</w:t>
            </w:r>
          </w:p>
        </w:tc>
        <w:tc>
          <w:tcPr>
            <w:tcW w:w="0" w:type="auto"/>
            <w:tcBorders>
              <w:bottom w:val="single" w:color="000000" w:sz="8" w:space="0"/>
            </w:tcBorders>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sz w:val="20"/>
                <w:szCs w:val="20"/>
              </w:rPr>
              <w:t>/s/ Jeffrey P. Bezos</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Jeffrey P. Bezos</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President, Chief Executive Officer,</w:t>
            </w:r>
          </w:p>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and Chairman of the Board</w:t>
            </w:r>
          </w:p>
        </w:tc>
      </w:tr>
    </w:tbl>
    <w:p>
      <w:pPr>
        <w:keepNext w:val="0"/>
        <w:keepLines w:val="0"/>
        <w:widowControl/>
        <w:suppressLineNumbers w:val="0"/>
        <w:spacing w:line="288" w:lineRule="auto"/>
        <w:jc w:val="left"/>
        <w:rPr>
          <w:rFonts w:hint="default" w:ascii="Times New Roman" w:hAnsi="Times New Roman" w:cs="Times New Roman"/>
          <w:sz w:val="20"/>
          <w:szCs w:val="20"/>
        </w:rPr>
      </w:pPr>
    </w:p>
    <w:p>
      <w:pPr>
        <w:keepNext w:val="0"/>
        <w:keepLines w:val="0"/>
        <w:widowControl/>
        <w:suppressLineNumbers w:val="0"/>
        <w:spacing w:line="288" w:lineRule="auto"/>
        <w:ind w:left="0" w:firstLine="600"/>
        <w:jc w:val="left"/>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Pursuant to the requirements of the Securities Exchange Act of 1934, this Report has been signed below by the following persons on behalf of the registrant and in the capacities indicated as of </w:t>
      </w:r>
      <w:r>
        <w:rPr>
          <w:rFonts w:hint="default" w:ascii="Times New Roman" w:hAnsi="Times New Roman" w:eastAsia="宋体" w:cs="Times New Roman"/>
          <w:color w:val="000000"/>
          <w:sz w:val="20"/>
          <w:szCs w:val="20"/>
        </w:rPr>
        <w:t>January 30, 2020</w:t>
      </w:r>
      <w:r>
        <w:rPr>
          <w:rFonts w:hint="default" w:ascii="Times New Roman" w:hAnsi="Times New Roman" w:eastAsia="宋体" w:cs="Times New Roman"/>
          <w:sz w:val="20"/>
          <w:szCs w:val="20"/>
        </w:rPr>
        <w:t xml:space="preserve">. </w:t>
      </w:r>
      <w:r>
        <w:rPr>
          <w:rFonts w:hint="default" w:ascii="Times New Roman" w:hAnsi="Times New Roman" w:eastAsia="宋体" w:cs="Times New Roman"/>
          <w:sz w:val="18"/>
          <w:szCs w:val="18"/>
        </w:rPr>
        <w:t> </w:t>
      </w:r>
    </w:p>
    <w:tbl>
      <w:tblPr>
        <w:tblStyle w:val="5"/>
        <w:tblW w:w="4766"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47"/>
        <w:gridCol w:w="158"/>
        <w:gridCol w:w="4512"/>
      </w:tblGrid>
      <w:tr>
        <w:tc>
          <w:tcPr>
            <w:tcW w:w="0" w:type="auto"/>
            <w:gridSpan w:val="3"/>
            <w:shd w:val="clear" w:color="auto" w:fill="auto"/>
            <w:vAlign w:val="center"/>
          </w:tcPr>
          <w:p>
            <w:pPr>
              <w:jc w:val="left"/>
              <w:rPr>
                <w:rFonts w:hint="default" w:ascii="Times New Roman" w:hAnsi="Times New Roman" w:cs="Times New Roman"/>
                <w:sz w:val="20"/>
                <w:szCs w:val="20"/>
              </w:rPr>
            </w:pPr>
          </w:p>
        </w:tc>
      </w:tr>
      <w:tr>
        <w:tc>
          <w:tcPr>
            <w:tcW w:w="2050" w:type="pct"/>
            <w:shd w:val="clear" w:color="auto" w:fill="auto"/>
            <w:vAlign w:val="center"/>
          </w:tcPr>
          <w:p>
            <w:pPr>
              <w:jc w:val="left"/>
              <w:rPr>
                <w:rFonts w:hint="default" w:ascii="Times New Roman" w:hAnsi="Times New Roman" w:cs="Times New Roman"/>
                <w:sz w:val="20"/>
                <w:szCs w:val="20"/>
              </w:rPr>
            </w:pPr>
          </w:p>
        </w:tc>
        <w:tc>
          <w:tcPr>
            <w:tcW w:w="100" w:type="pct"/>
            <w:shd w:val="clear" w:color="auto" w:fill="auto"/>
            <w:vAlign w:val="center"/>
          </w:tcPr>
          <w:p>
            <w:pPr>
              <w:jc w:val="left"/>
              <w:rPr>
                <w:rFonts w:hint="default" w:ascii="Times New Roman" w:hAnsi="Times New Roman" w:cs="Times New Roman"/>
                <w:sz w:val="20"/>
                <w:szCs w:val="20"/>
              </w:rPr>
            </w:pPr>
          </w:p>
        </w:tc>
        <w:tc>
          <w:tcPr>
            <w:tcW w:w="2849" w:type="pct"/>
            <w:shd w:val="clear" w:color="auto" w:fill="auto"/>
            <w:vAlign w:val="center"/>
          </w:tcPr>
          <w:p>
            <w:pPr>
              <w:jc w:val="left"/>
              <w:rPr>
                <w:rFonts w:hint="default" w:ascii="Times New Roman" w:hAnsi="Times New Roman" w:cs="Times New Roman"/>
                <w:sz w:val="20"/>
                <w:szCs w:val="20"/>
              </w:rPr>
            </w:pP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u w:val="single"/>
              </w:rPr>
              <w:t>Signature</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14"/>
                <w:szCs w:val="14"/>
              </w:rPr>
            </w:pPr>
            <w:r>
              <w:rPr>
                <w:rFonts w:hint="default" w:ascii="Times New Roman" w:hAnsi="Times New Roman" w:eastAsia="宋体" w:cs="Times New Roman"/>
                <w:b/>
                <w:bCs/>
                <w:sz w:val="14"/>
                <w:szCs w:val="14"/>
                <w:u w:val="single"/>
              </w:rPr>
              <w:t>Title</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Jeffrey P. Bezos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Jeffrey P. Bezos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Chairman of the Board, President, and Chief Executive Officer (Principal Executive Officer)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Brian T. Olsavsky</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Brian T. Olsavsky</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Senior Vice President and Chief Financial Officer (Principal Financial Officer)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Shelley L. Reynolds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Times New Roman" w:hAnsi="Times New Roman" w:cs="Times New Roman"/>
                <w:sz w:val="20"/>
                <w:szCs w:val="20"/>
              </w:rPr>
            </w:pPr>
            <w:r>
              <w:rPr>
                <w:rFonts w:hint="default" w:ascii="Times New Roman" w:hAnsi="Times New Roman" w:eastAsia="宋体" w:cs="Times New Roman"/>
                <w:b/>
                <w:bCs/>
                <w:sz w:val="20"/>
                <w:szCs w:val="20"/>
              </w:rPr>
              <w:t>Shelley L. Reynolds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Vice President, Worldwide Controller (Principal Accounting Officer)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Rosalind G. Brewer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Rosalind G. Brewer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Jamie S. Gorelick</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Jamie S. Gorelick</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Daniel P. Huttenlocher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Daniel P. Huttenlocher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Judith A. McGrath</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Judith A. McGrath</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Indra K. Nooyi</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Indra K. Nooyi</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Jonathan J. Rubinstein</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Jonathan J. Rubinstein</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Thomas O. Ryder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Thomas O. Ryder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Patricia Q. Stonesifer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Patricia Q. Stonesifer</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tcBorders>
              <w:bottom w:val="single" w:color="000000" w:sz="8" w:space="0"/>
            </w:tcBorders>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/s/ Wendell P. Weeks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r>
      <w:tr>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Times New Roman" w:hAnsi="Times New Roman" w:cs="Times New Roman"/>
                <w:sz w:val="20"/>
                <w:szCs w:val="20"/>
              </w:rPr>
            </w:pPr>
            <w:r>
              <w:rPr>
                <w:rFonts w:hint="default" w:ascii="Times New Roman" w:hAnsi="Times New Roman" w:eastAsia="宋体" w:cs="Times New Roman"/>
                <w:b/>
                <w:bCs/>
                <w:sz w:val="20"/>
                <w:szCs w:val="20"/>
              </w:rPr>
              <w:t>Wendell P. Weeks</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 </w:t>
            </w:r>
          </w:p>
        </w:tc>
        <w:tc>
          <w:tcPr>
            <w:tcW w:w="0" w:type="auto"/>
            <w:shd w:val="clear" w:color="auto" w:fill="auto"/>
            <w:tcMar>
              <w:top w:w="40" w:type="dxa"/>
              <w:left w:w="40" w:type="dxa"/>
              <w:bottom w:w="40" w:type="dxa"/>
              <w:right w:w="4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Times New Roman" w:hAnsi="Times New Roman" w:cs="Times New Roman"/>
                <w:sz w:val="20"/>
                <w:szCs w:val="20"/>
              </w:rPr>
            </w:pPr>
            <w:r>
              <w:rPr>
                <w:rFonts w:hint="default" w:ascii="Times New Roman" w:hAnsi="Times New Roman" w:eastAsia="宋体" w:cs="Times New Roman"/>
                <w:sz w:val="20"/>
                <w:szCs w:val="20"/>
              </w:rPr>
              <w:t>Director</w:t>
            </w:r>
          </w:p>
        </w:tc>
      </w:tr>
    </w:tbl>
    <w:p>
      <w:pPr>
        <w:keepNext w:val="0"/>
        <w:keepLines w:val="0"/>
        <w:widowControl/>
        <w:suppressLineNumbers w:val="0"/>
        <w:jc w:val="left"/>
        <w:rPr>
          <w:rFonts w:hint="default" w:ascii="Times New Roman" w:hAnsi="Times New Roman" w:cs="Times New Roman"/>
          <w:sz w:val="20"/>
          <w:szCs w:val="20"/>
        </w:rPr>
      </w:pPr>
    </w:p>
    <w:p>
      <w:pPr>
        <w:keepNext w:val="0"/>
        <w:keepLines w:val="0"/>
        <w:widowControl/>
        <w:suppressLineNumbers w:val="0"/>
        <w:spacing w:line="288" w:lineRule="auto"/>
        <w:jc w:val="center"/>
        <w:rPr>
          <w:rFonts w:hint="default" w:ascii="Times New Roman" w:hAnsi="Times New Roman" w:cs="Times New Roman"/>
          <w:sz w:val="20"/>
          <w:szCs w:val="20"/>
        </w:rPr>
      </w:pPr>
      <w:r>
        <w:rPr>
          <w:rFonts w:hint="default" w:ascii="Times New Roman" w:hAnsi="Times New Roman" w:eastAsia="宋体" w:cs="Times New Roman"/>
          <w:sz w:val="20"/>
          <w:szCs w:val="20"/>
        </w:rPr>
        <w:t>76</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3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3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4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4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9AE5A"/>
    <w:rsid w:val="FBF9A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single" w:color="FFFFFF" w:sz="18" w:space="0"/>
        <w:left w:val="single" w:color="FFFFFF" w:sz="18" w:space="0"/>
        <w:bottom w:val="single" w:color="FFFFFF" w:sz="18" w:space="0"/>
        <w:right w:val="single" w:color="FFFFFF" w:sz="18" w:space="0"/>
      </w:pBd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2023-02-11T00:13:00Z</dcterms:created>
  <dc:creator>徐馨润</dc:creator>
  <cp:lastModifiedBy>徐馨润</cp:lastModifiedBy>
  <dcterms:modified xsi:type="dcterms:W3CDTF">2023-02-11T00:14:33Z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C8D3F12E61303F23186DE6632A0E5915</vt:lpwstr>
  </property>
</Properties>
</file>