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8169"/>
        <w:gridCol w:w="84"/>
      </w:tblGrid>
      <w:tr>
        <w:trPr>
          <w:jc w:val="center"/>
        </w:trPr>
        <w:tc>
          <w:tcPr>
            <w:tcW w:w="50" w:type="pct"/>
            <w:shd w:val="clear" w:color="auto" w:fill="auto"/>
            <w:vAlign w:val="top"/>
          </w:tcPr>
          <w:p>
            <w:pPr>
              <w:rPr>
                <w:rFonts w:hint="eastAsia" w:ascii="宋体"/>
                <w:sz w:val="24"/>
                <w:szCs w:val="24"/>
              </w:rPr>
            </w:pPr>
            <w:bookmarkStart w:id="0" w:name="_GoBack"/>
            <w:bookmarkEnd w:id="0"/>
          </w:p>
        </w:tc>
        <w:tc>
          <w:tcPr>
            <w:tcW w:w="490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left w:w="20" w:type="dxa"/>
              <w:right w:w="20" w:type="dxa"/>
            </w:tcMar>
            <w:vAlign w:val="bottom"/>
          </w:tcPr>
          <w:p>
            <w:pPr>
              <w:jc w:val="lef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320"/>
        <w:gridCol w:w="83"/>
        <w:gridCol w:w="83"/>
        <w:gridCol w:w="7672"/>
        <w:gridCol w:w="83"/>
      </w:tblGrid>
      <w:tr>
        <w:tc>
          <w:tcPr>
            <w:tcW w:w="50" w:type="pct"/>
            <w:shd w:val="clear" w:color="auto" w:fill="auto"/>
            <w:vAlign w:val="top"/>
          </w:tcPr>
          <w:p>
            <w:pPr>
              <w:rPr>
                <w:rFonts w:hint="eastAsia" w:ascii="宋体"/>
                <w:sz w:val="24"/>
                <w:szCs w:val="24"/>
              </w:rPr>
            </w:pPr>
          </w:p>
        </w:tc>
        <w:tc>
          <w:tcPr>
            <w:tcW w:w="192"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0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June 30, 2020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320"/>
        <w:gridCol w:w="83"/>
        <w:gridCol w:w="83"/>
        <w:gridCol w:w="7672"/>
        <w:gridCol w:w="83"/>
      </w:tblGrid>
      <w:tr>
        <w:tc>
          <w:tcPr>
            <w:tcW w:w="50" w:type="pct"/>
            <w:shd w:val="clear" w:color="auto" w:fill="auto"/>
            <w:vAlign w:val="top"/>
          </w:tcPr>
          <w:p>
            <w:pPr>
              <w:rPr>
                <w:rFonts w:hint="eastAsia" w:ascii="宋体"/>
                <w:sz w:val="24"/>
                <w:szCs w:val="24"/>
              </w:rPr>
            </w:pPr>
          </w:p>
        </w:tc>
        <w:tc>
          <w:tcPr>
            <w:tcW w:w="192"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0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5"/>
        <w:gridCol w:w="3872"/>
        <w:gridCol w:w="75"/>
        <w:gridCol w:w="36"/>
        <w:gridCol w:w="207"/>
        <w:gridCol w:w="36"/>
        <w:gridCol w:w="75"/>
        <w:gridCol w:w="3872"/>
        <w:gridCol w:w="76"/>
      </w:tblGrid>
      <w:tr>
        <w:tc>
          <w:tcPr>
            <w:tcW w:w="50" w:type="pct"/>
            <w:shd w:val="clear" w:color="auto" w:fill="auto"/>
            <w:vAlign w:val="top"/>
          </w:tcPr>
          <w:p>
            <w:pPr>
              <w:rPr>
                <w:rFonts w:hint="eastAsia" w:ascii="宋体"/>
                <w:sz w:val="24"/>
                <w:szCs w:val="24"/>
              </w:rPr>
            </w:pPr>
          </w:p>
        </w:tc>
        <w:tc>
          <w:tcPr>
            <w:tcW w:w="233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3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3198"/>
        <w:gridCol w:w="83"/>
        <w:gridCol w:w="83"/>
        <w:gridCol w:w="1491"/>
        <w:gridCol w:w="83"/>
        <w:gridCol w:w="83"/>
        <w:gridCol w:w="3136"/>
        <w:gridCol w:w="84"/>
      </w:tblGrid>
      <w:tr>
        <w:trPr>
          <w:jc w:val="center"/>
        </w:trPr>
        <w:tc>
          <w:tcPr>
            <w:tcW w:w="50" w:type="pct"/>
            <w:shd w:val="clear" w:color="auto" w:fill="auto"/>
            <w:vAlign w:val="top"/>
          </w:tcPr>
          <w:p>
            <w:pPr>
              <w:rPr>
                <w:rFonts w:hint="eastAsia" w:ascii="宋体"/>
                <w:sz w:val="24"/>
                <w:szCs w:val="24"/>
              </w:rPr>
            </w:pPr>
          </w:p>
        </w:tc>
        <w:tc>
          <w:tcPr>
            <w:tcW w:w="192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89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88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default" w:ascii="Wingdings" w:hAnsi="Wingdings" w:eastAsia="宋体" w:cs="Wingdings"/>
          <w:color w:val="000000"/>
          <w:sz w:val="18"/>
          <w:szCs w:val="18"/>
        </w:rPr>
        <w:t>☒</w:t>
      </w:r>
      <w:r>
        <w:rPr>
          <w:rFonts w:hint="default" w:ascii="Times New Roman" w:hAnsi="Times New Roman" w:eastAsia="宋体" w:cs="Times New Roman"/>
          <w:color w:val="000000"/>
          <w:sz w:val="18"/>
          <w:szCs w:val="18"/>
        </w:rPr>
        <w:t>    No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default" w:ascii="Wingdings" w:hAnsi="Wingdings" w:eastAsia="宋体" w:cs="Wingdings"/>
          <w:color w:val="000000"/>
          <w:sz w:val="18"/>
          <w:szCs w:val="18"/>
        </w:rPr>
        <w:t>☒</w:t>
      </w:r>
      <w:r>
        <w:rPr>
          <w:rFonts w:hint="default" w:ascii="Times New Roman" w:hAnsi="Times New Roman" w:eastAsia="宋体" w:cs="Times New Roman"/>
          <w:color w:val="000000"/>
          <w:sz w:val="18"/>
          <w:szCs w:val="18"/>
        </w:rPr>
        <w:t>    No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489"/>
        <w:gridCol w:w="57"/>
        <w:gridCol w:w="36"/>
        <w:gridCol w:w="36"/>
        <w:gridCol w:w="36"/>
        <w:gridCol w:w="36"/>
        <w:gridCol w:w="3636"/>
        <w:gridCol w:w="39"/>
        <w:gridCol w:w="81"/>
        <w:gridCol w:w="1847"/>
        <w:gridCol w:w="82"/>
        <w:gridCol w:w="36"/>
        <w:gridCol w:w="36"/>
        <w:gridCol w:w="36"/>
        <w:gridCol w:w="36"/>
        <w:gridCol w:w="224"/>
        <w:gridCol w:w="37"/>
      </w:tblGrid>
      <w:tr>
        <w:tc>
          <w:tcPr>
            <w:tcW w:w="50" w:type="pct"/>
            <w:shd w:val="clear" w:color="auto" w:fill="auto"/>
            <w:vAlign w:val="top"/>
          </w:tcPr>
          <w:p>
            <w:pPr>
              <w:rPr>
                <w:rFonts w:hint="eastAsia" w:ascii="宋体"/>
                <w:sz w:val="24"/>
                <w:szCs w:val="24"/>
              </w:rPr>
            </w:pPr>
          </w:p>
        </w:tc>
        <w:tc>
          <w:tcPr>
            <w:tcW w:w="98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5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13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Wingdings" w:hAnsi="Wingdings" w:eastAsia="宋体" w:cs="Wingding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Wingdings" w:hAnsi="Wingdings" w:eastAsia="宋体" w:cs="Wingdings"/>
                <w:color w:val="000000"/>
                <w:sz w:val="20"/>
                <w:szCs w:val="20"/>
              </w:rPr>
              <w:t>☐</w:t>
            </w:r>
          </w:p>
        </w:tc>
      </w:tr>
      <w:tr>
        <w:trPr>
          <w:trHeight w:val="60" w:hRule="atLeast"/>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default" w:ascii="Wingdings" w:hAnsi="Wingdings" w:eastAsia="宋体" w:cs="Wingding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500,889,651 shares of common stock, par value $0.01 per share, outstanding as of July 22, 2020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8169"/>
        <w:gridCol w:w="84"/>
      </w:tblGrid>
      <w:tr>
        <w:tc>
          <w:tcPr>
            <w:tcW w:w="50" w:type="pct"/>
            <w:shd w:val="clear" w:color="auto" w:fill="auto"/>
            <w:vAlign w:val="top"/>
          </w:tcPr>
          <w:p>
            <w:pPr>
              <w:rPr>
                <w:rFonts w:hint="eastAsia" w:ascii="宋体"/>
                <w:sz w:val="24"/>
                <w:szCs w:val="24"/>
              </w:rPr>
            </w:pPr>
          </w:p>
        </w:tc>
        <w:tc>
          <w:tcPr>
            <w:tcW w:w="490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left w:w="20" w:type="dxa"/>
              <w:right w:w="20" w:type="dxa"/>
            </w:tcMar>
            <w:vAlign w:val="bottom"/>
          </w:tcPr>
          <w:p>
            <w:pPr>
              <w:jc w:val="left"/>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June 30, 2020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749"/>
        <w:gridCol w:w="81"/>
        <w:gridCol w:w="81"/>
        <w:gridCol w:w="6361"/>
        <w:gridCol w:w="81"/>
        <w:gridCol w:w="81"/>
        <w:gridCol w:w="488"/>
        <w:gridCol w:w="81"/>
        <w:gridCol w:w="80"/>
        <w:gridCol w:w="80"/>
        <w:gridCol w:w="80"/>
      </w:tblGrid>
      <w:tr>
        <w:trPr>
          <w:gridAfter w:val="3"/>
          <w:wAfter w:w="240" w:type="dxa"/>
        </w:trPr>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93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02"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gridAfter w:val="3"/>
          <w:wAfter w:w="240" w:type="dxa"/>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Comprehensive Income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"i4e01ae04cb2e45ecb483b1d74e035358_85"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"i4e01ae04cb2e45ecb483b1d74e035358_85"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300" w:hRule="atLeast"/>
        </w:trPr>
        <w:tc>
          <w:tcPr>
            <w:tcW w:w="0" w:type="auto"/>
            <w:gridSpan w:val="6"/>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"i4e01ae04cb2e45ecb483b1d74e035358_112"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46</w:t>
            </w:r>
            <w:r>
              <w:rPr>
                <w:rFonts w:hint="default" w:ascii="Times New Roman" w:hAnsi="Times New Roman" w:eastAsia="宋体" w:cs="Times New Roman"/>
                <w:color w:val="0000FF"/>
                <w:sz w:val="20"/>
                <w:szCs w:val="20"/>
                <w:u w:val="single"/>
              </w:rPr>
              <w:fldChar w:fldCharType="end"/>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"i4e01ae04cb2e45ecb483b1d74e035358_115"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"i4e01ae04cb2e45ecb483b1d74e035358_115"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47</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27"/>
        <w:gridCol w:w="36"/>
        <w:gridCol w:w="115"/>
        <w:gridCol w:w="495"/>
        <w:gridCol w:w="75"/>
        <w:gridCol w:w="36"/>
        <w:gridCol w:w="36"/>
        <w:gridCol w:w="36"/>
        <w:gridCol w:w="115"/>
        <w:gridCol w:w="495"/>
        <w:gridCol w:w="75"/>
        <w:gridCol w:w="36"/>
        <w:gridCol w:w="36"/>
        <w:gridCol w:w="36"/>
        <w:gridCol w:w="115"/>
        <w:gridCol w:w="495"/>
        <w:gridCol w:w="75"/>
        <w:gridCol w:w="36"/>
        <w:gridCol w:w="36"/>
        <w:gridCol w:w="36"/>
        <w:gridCol w:w="115"/>
        <w:gridCol w:w="495"/>
        <w:gridCol w:w="75"/>
        <w:gridCol w:w="36"/>
        <w:gridCol w:w="36"/>
        <w:gridCol w:w="36"/>
        <w:gridCol w:w="115"/>
        <w:gridCol w:w="495"/>
        <w:gridCol w:w="75"/>
        <w:gridCol w:w="36"/>
        <w:gridCol w:w="36"/>
        <w:gridCol w:w="36"/>
        <w:gridCol w:w="115"/>
        <w:gridCol w:w="495"/>
        <w:gridCol w:w="75"/>
        <w:gridCol w:w="36"/>
        <w:gridCol w:w="36"/>
        <w:gridCol w:w="36"/>
        <w:gridCol w:w="63"/>
        <w:gridCol w:w="63"/>
        <w:gridCol w:w="63"/>
        <w:gridCol w:w="63"/>
        <w:gridCol w:w="63"/>
        <w:gridCol w:w="63"/>
        <w:gridCol w:w="63"/>
        <w:gridCol w:w="63"/>
        <w:gridCol w:w="61"/>
        <w:gridCol w:w="36"/>
        <w:gridCol w:w="36"/>
        <w:gridCol w:w="36"/>
        <w:gridCol w:w="36"/>
        <w:gridCol w:w="36"/>
        <w:gridCol w:w="36"/>
      </w:tblGrid>
      <w:tr>
        <w:trPr>
          <w:gridAfter w:val="18"/>
          <w:wAfter w:w="889" w:type="dxa"/>
          <w:jc w:val="center"/>
        </w:trPr>
        <w:tc>
          <w:tcPr>
            <w:tcW w:w="50" w:type="pct"/>
            <w:shd w:val="clear" w:color="auto" w:fill="auto"/>
            <w:vAlign w:val="top"/>
          </w:tcPr>
          <w:p>
            <w:pPr>
              <w:rPr>
                <w:rFonts w:hint="eastAsia" w:ascii="宋体"/>
                <w:sz w:val="24"/>
                <w:szCs w:val="24"/>
              </w:rPr>
            </w:pPr>
          </w:p>
        </w:tc>
        <w:tc>
          <w:tcPr>
            <w:tcW w:w="278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1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1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1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1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2"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23,507 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32,173 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36,410 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20,536 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22,965 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2,625 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5,243 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6,186 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7,778 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12,096 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13,180 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to net cash from operating activities: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5,202 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5,748 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10,056 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11,110 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18,097 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22,843 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3,245 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4,358 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6,012 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7,977 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(310)</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(2,100)</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(672)</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(1,381)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(3,826)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(2,193)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(2,854)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(2,594)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(1,592)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(6,873)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(6,680)</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3,668 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8,616 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(2,716)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8,060 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11,482 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1,699 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(3,556)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854 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1,806 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1,286 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9,118 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20,606 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10,963 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23,669 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36,029 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51,220 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(3,562)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(7,459)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(6,852)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(14,254)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(13,938)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(24,263)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1,488 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2,212 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2,927 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4,895 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(1,285)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(210)</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(2,592)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(1,385)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5,161 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8,138 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7,804 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19,764 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11,706 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34,641 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(9,950)</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(19,209)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(16,827)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(34,210)</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(22,919)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(49,196)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(7,549)</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(17,804)</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(15,672)</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(26,698)</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(24,816)</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(35,308)</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2,433 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3,050 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972 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4,145 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(1,906)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(2,537)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(958)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(3,693)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9,994 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10,699 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(1,305)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(2,327)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(2,817)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(4,541)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(5,417)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(8,693)</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(10,504)</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(2,158)</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7,408 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(4,535)</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4,817 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(8,665)</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(714)</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(542)</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10,337 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(9,208)</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1,432 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2,429 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14,877 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22,965 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22,965 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22,965 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37,842 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3835"/>
        <w:gridCol w:w="37"/>
        <w:gridCol w:w="135"/>
        <w:gridCol w:w="724"/>
        <w:gridCol w:w="85"/>
        <w:gridCol w:w="36"/>
        <w:gridCol w:w="36"/>
        <w:gridCol w:w="36"/>
        <w:gridCol w:w="135"/>
        <w:gridCol w:w="687"/>
        <w:gridCol w:w="85"/>
        <w:gridCol w:w="36"/>
        <w:gridCol w:w="36"/>
        <w:gridCol w:w="36"/>
        <w:gridCol w:w="135"/>
        <w:gridCol w:w="687"/>
        <w:gridCol w:w="85"/>
        <w:gridCol w:w="36"/>
        <w:gridCol w:w="36"/>
        <w:gridCol w:w="36"/>
        <w:gridCol w:w="135"/>
        <w:gridCol w:w="688"/>
        <w:gridCol w:w="85"/>
        <w:gridCol w:w="36"/>
        <w:gridCol w:w="36"/>
        <w:gridCol w:w="36"/>
        <w:gridCol w:w="36"/>
        <w:gridCol w:w="36"/>
        <w:gridCol w:w="36"/>
        <w:gridCol w:w="36"/>
        <w:gridCol w:w="37"/>
        <w:gridCol w:w="37"/>
        <w:gridCol w:w="37"/>
        <w:gridCol w:w="37"/>
        <w:gridCol w:w="37"/>
      </w:tblGrid>
      <w:tr>
        <w:trPr>
          <w:gridAfter w:val="12"/>
          <w:wAfter w:w="444" w:type="dxa"/>
        </w:trPr>
        <w:tc>
          <w:tcPr>
            <w:tcW w:w="50" w:type="pct"/>
            <w:shd w:val="clear" w:color="auto" w:fill="auto"/>
            <w:vAlign w:val="top"/>
          </w:tcPr>
          <w:p>
            <w:pPr>
              <w:rPr>
                <w:rFonts w:hint="eastAsia" w:ascii="宋体"/>
                <w:sz w:val="24"/>
                <w:szCs w:val="24"/>
              </w:rPr>
            </w:pPr>
          </w:p>
        </w:tc>
        <w:tc>
          <w:tcPr>
            <w:tcW w:w="24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35,856 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50,244 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70,139 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92,085 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27,548 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38,668 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52,965 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72,279 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123,104 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36,337 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52,660 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70,257 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96,917 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13,806 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17,872 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25,337 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10,388 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16,991 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19,713 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4,291 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7,955 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9,173 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60,320 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83,069 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115,600 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154,532 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3,084 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7,504 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9,832 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6,221 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7,291 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2,625 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6,186 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5.32 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10.50 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12.57 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15.59 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5.22 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10.30 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12.31 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15.32 </w:t>
            </w:r>
          </w:p>
        </w:tc>
        <w:tc>
          <w:tcPr>
            <w:tcW w:w="0" w:type="auto"/>
            <w:tcBorders>
              <w:top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
        <w:gridCol w:w="3817"/>
        <w:gridCol w:w="55"/>
        <w:gridCol w:w="135"/>
        <w:gridCol w:w="706"/>
        <w:gridCol w:w="85"/>
        <w:gridCol w:w="36"/>
        <w:gridCol w:w="36"/>
        <w:gridCol w:w="36"/>
        <w:gridCol w:w="135"/>
        <w:gridCol w:w="687"/>
        <w:gridCol w:w="85"/>
        <w:gridCol w:w="36"/>
        <w:gridCol w:w="36"/>
        <w:gridCol w:w="36"/>
        <w:gridCol w:w="135"/>
        <w:gridCol w:w="687"/>
        <w:gridCol w:w="85"/>
        <w:gridCol w:w="36"/>
        <w:gridCol w:w="36"/>
        <w:gridCol w:w="36"/>
        <w:gridCol w:w="135"/>
        <w:gridCol w:w="688"/>
        <w:gridCol w:w="85"/>
        <w:gridCol w:w="36"/>
        <w:gridCol w:w="36"/>
        <w:gridCol w:w="36"/>
        <w:gridCol w:w="36"/>
        <w:gridCol w:w="36"/>
        <w:gridCol w:w="36"/>
        <w:gridCol w:w="36"/>
        <w:gridCol w:w="37"/>
        <w:gridCol w:w="37"/>
        <w:gridCol w:w="37"/>
        <w:gridCol w:w="37"/>
        <w:gridCol w:w="37"/>
      </w:tblGrid>
      <w:tr>
        <w:trPr>
          <w:gridAfter w:val="12"/>
          <w:wAfter w:w="444" w:type="dxa"/>
        </w:trPr>
        <w:tc>
          <w:tcPr>
            <w:tcW w:w="50" w:type="pct"/>
            <w:shd w:val="clear" w:color="auto" w:fill="auto"/>
            <w:vAlign w:val="top"/>
          </w:tcPr>
          <w:p>
            <w:pPr>
              <w:rPr>
                <w:rFonts w:hint="eastAsia" w:ascii="宋体"/>
                <w:sz w:val="24"/>
                <w:szCs w:val="24"/>
              </w:rPr>
            </w:pPr>
          </w:p>
        </w:tc>
        <w:tc>
          <w:tcPr>
            <w:tcW w:w="24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6,186 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translation adjustments, net of tax of $(6), $(8), $(8) and $13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Unrealized gains (losses), net of tax of $(11), $(73), $(11) and $(61)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$0, $0, $0 and $0</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21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401 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57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2,675 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5,851 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6,261 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7,309 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5621"/>
        <w:gridCol w:w="56"/>
        <w:gridCol w:w="135"/>
        <w:gridCol w:w="1025"/>
        <w:gridCol w:w="85"/>
        <w:gridCol w:w="36"/>
        <w:gridCol w:w="36"/>
        <w:gridCol w:w="36"/>
        <w:gridCol w:w="135"/>
        <w:gridCol w:w="1005"/>
        <w:gridCol w:w="85"/>
      </w:tblGrid>
      <w:tr>
        <w:tc>
          <w:tcPr>
            <w:tcW w:w="50" w:type="pct"/>
            <w:shd w:val="clear" w:color="auto" w:fill="auto"/>
            <w:vAlign w:val="top"/>
          </w:tcPr>
          <w:p>
            <w:pPr>
              <w:rPr>
                <w:rFonts w:hint="eastAsia" w:ascii="宋体"/>
                <w:sz w:val="24"/>
                <w:szCs w:val="24"/>
              </w:rPr>
            </w:pPr>
          </w:p>
        </w:tc>
        <w:tc>
          <w:tcPr>
            <w:tcW w:w="339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36,092 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37,466 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18,929 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33,925 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20,497 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19,599 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20,816 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19,918 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96,334 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110,908 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72,705 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86,517 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25,141 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28,537 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16,314 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17,601 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157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258,314 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47,183 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51,036 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32,439 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33,863 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8,190 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87,812 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93,896 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39,791 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42,798 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23,414 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33,128 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12,171 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14,764 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Preferred stock, $0.01 par value:</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Authorized shares — 500</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Common stock, $0.01 par value:</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Authorized shares — 5,000</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Issued shares — 521 and 524</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shares — 498 and 501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38,017 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(1,455)</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38,998 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73,728 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157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225,248 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258,314 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center"/>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2020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2019 Annual Report on Form 10-K.</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Prior Period Rec</w:t>
      </w:r>
      <w:r>
        <w:rPr>
          <w:rFonts w:hint="default" w:ascii="Times New Roman" w:hAnsi="Times New Roman" w:eastAsia="宋体" w:cs="Times New Roman"/>
          <w:b/>
          <w:bCs/>
          <w:i/>
          <w:iCs/>
          <w:color w:val="000000"/>
          <w:sz w:val="20"/>
          <w:szCs w:val="20"/>
          <w:shd w:val="clear" w:fill="FFFFFF"/>
        </w:rPr>
        <w:t>lassifications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Certain prior period amounts have been reclassified to conform to the current period presentation. Proceeds from and repayments of short-term debt, and other were reclassified from proceeds from and repayments of long-term debt, and other on our consolidated statements of cash flows.</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Given the global economic climate and additional or unforeseen effects from the COVID-19 pandemic, these estimates have become more challenging, and actual results could differ materially from these estimates.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review the useful lives of equipment on an ongoing basis, and effective January 1, 2020 we changed our estimate of the useful life for our servers from three to four years. The longer useful life is due to continuous improvements in our hardware, software, and data center designs. The effect of this change in estimate for Q2 2020, based on servers that were included in “Property and equipment, net” as of March 31, 2020 and those acquired during the quarter ended June 30, 2020, was a reduction in depreciation and amortization expense of $696 million and an increase in net income of $534 million, or $1.07 per basic share and $1.05 per diluted share. The effect of this change in estimate for the six months ended June 30, 2020, based on servers that were included in “Property and equipment, net” as of December 31, 2019 and those acquired during the six months ended June 30, 2020, was a reduction in depreciation and amortization expense of $1.5 billion and an increase in net income of $1.1 billion, or $2.27 per basic share and $2.24 per diluted share.</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069"/>
        <w:gridCol w:w="36"/>
        <w:gridCol w:w="115"/>
        <w:gridCol w:w="464"/>
        <w:gridCol w:w="75"/>
        <w:gridCol w:w="36"/>
        <w:gridCol w:w="36"/>
        <w:gridCol w:w="36"/>
        <w:gridCol w:w="115"/>
        <w:gridCol w:w="430"/>
        <w:gridCol w:w="75"/>
        <w:gridCol w:w="36"/>
        <w:gridCol w:w="36"/>
        <w:gridCol w:w="36"/>
        <w:gridCol w:w="115"/>
        <w:gridCol w:w="430"/>
        <w:gridCol w:w="75"/>
        <w:gridCol w:w="36"/>
        <w:gridCol w:w="36"/>
        <w:gridCol w:w="36"/>
        <w:gridCol w:w="115"/>
        <w:gridCol w:w="430"/>
        <w:gridCol w:w="75"/>
        <w:gridCol w:w="36"/>
        <w:gridCol w:w="36"/>
        <w:gridCol w:w="36"/>
        <w:gridCol w:w="115"/>
        <w:gridCol w:w="436"/>
        <w:gridCol w:w="75"/>
        <w:gridCol w:w="36"/>
        <w:gridCol w:w="36"/>
        <w:gridCol w:w="36"/>
        <w:gridCol w:w="115"/>
        <w:gridCol w:w="436"/>
        <w:gridCol w:w="75"/>
        <w:gridCol w:w="36"/>
        <w:gridCol w:w="36"/>
        <w:gridCol w:w="36"/>
        <w:gridCol w:w="63"/>
        <w:gridCol w:w="63"/>
        <w:gridCol w:w="63"/>
        <w:gridCol w:w="63"/>
        <w:gridCol w:w="63"/>
        <w:gridCol w:w="63"/>
        <w:gridCol w:w="63"/>
        <w:gridCol w:w="63"/>
        <w:gridCol w:w="61"/>
        <w:gridCol w:w="36"/>
        <w:gridCol w:w="36"/>
        <w:gridCol w:w="36"/>
        <w:gridCol w:w="36"/>
        <w:gridCol w:w="36"/>
        <w:gridCol w:w="36"/>
      </w:tblGrid>
      <w:tr>
        <w:trPr>
          <w:gridAfter w:val="18"/>
          <w:wAfter w:w="889" w:type="dxa"/>
        </w:trPr>
        <w:tc>
          <w:tcPr>
            <w:tcW w:w="50" w:type="pct"/>
            <w:shd w:val="clear" w:color="auto" w:fill="auto"/>
            <w:vAlign w:val="top"/>
          </w:tcPr>
          <w:p>
            <w:pPr>
              <w:rPr>
                <w:rFonts w:hint="eastAsia" w:ascii="宋体"/>
                <w:sz w:val="24"/>
                <w:szCs w:val="24"/>
              </w:rPr>
            </w:pPr>
          </w:p>
        </w:tc>
        <w:tc>
          <w:tcPr>
            <w:tcW w:w="208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cente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433 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837 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872 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838 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1,086 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1,547 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2,115 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1,547 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3,929 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315 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329 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536 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662 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283 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486 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822 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2,220 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3,347 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3,094 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5,755 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3,094 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10,530 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3,307 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3,155 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5,935 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5,321 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11,944 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righ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13,110 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build-to-suit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719 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2,825 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1,504 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
        <w:gridCol w:w="4099"/>
        <w:gridCol w:w="61"/>
        <w:gridCol w:w="61"/>
        <w:gridCol w:w="623"/>
        <w:gridCol w:w="85"/>
        <w:gridCol w:w="36"/>
        <w:gridCol w:w="36"/>
        <w:gridCol w:w="36"/>
        <w:gridCol w:w="50"/>
        <w:gridCol w:w="623"/>
        <w:gridCol w:w="85"/>
        <w:gridCol w:w="36"/>
        <w:gridCol w:w="36"/>
        <w:gridCol w:w="36"/>
        <w:gridCol w:w="50"/>
        <w:gridCol w:w="635"/>
        <w:gridCol w:w="85"/>
        <w:gridCol w:w="36"/>
        <w:gridCol w:w="36"/>
        <w:gridCol w:w="36"/>
        <w:gridCol w:w="50"/>
        <w:gridCol w:w="623"/>
        <w:gridCol w:w="85"/>
        <w:gridCol w:w="85"/>
        <w:gridCol w:w="85"/>
        <w:gridCol w:w="85"/>
        <w:gridCol w:w="83"/>
        <w:gridCol w:w="85"/>
        <w:gridCol w:w="83"/>
        <w:gridCol w:w="36"/>
        <w:gridCol w:w="36"/>
        <w:gridCol w:w="36"/>
        <w:gridCol w:w="36"/>
        <w:gridCol w:w="37"/>
        <w:gridCol w:w="37"/>
      </w:tblGrid>
      <w:tr>
        <w:trPr>
          <w:gridAfter w:val="12"/>
          <w:wAfter w:w="730" w:type="dxa"/>
        </w:trPr>
        <w:tc>
          <w:tcPr>
            <w:tcW w:w="50" w:type="pct"/>
            <w:shd w:val="clear" w:color="auto" w:fill="auto"/>
            <w:vAlign w:val="top"/>
          </w:tcPr>
          <w:p>
            <w:pPr>
              <w:rPr>
                <w:rFonts w:hint="eastAsia" w:ascii="宋体"/>
                <w:sz w:val="24"/>
                <w:szCs w:val="24"/>
              </w:rPr>
            </w:pPr>
          </w:p>
        </w:tc>
        <w:tc>
          <w:tcPr>
            <w:tcW w:w="270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2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$1.6 billion and $1.7 billion as of December 31, 2019 and June 30, 2020.</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2019 and June 30, 2020, customer receivables, net, were $12.6 billion and $12.2 billion, vendor receivables, net, were $4.2 billion and $3.1 billion, and seller receivables, net, were $863 million and $543 million.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$718 million and $1.1 billion as of December 31, 2019 and June 30, 2020.</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32" w:beforeAutospacing="0"/>
        <w:ind w:left="0" w:firstLine="540"/>
        <w:jc w:val="left"/>
      </w:pPr>
      <w:r>
        <w:rPr>
          <w:rFonts w:hint="default" w:ascii="Times New Roman" w:hAnsi="Times New Roman" w:eastAsia="宋体" w:cs="Times New Roman"/>
          <w:color w:val="000000"/>
          <w:sz w:val="20"/>
          <w:szCs w:val="20"/>
        </w:rPr>
        <w:t xml:space="preserve">The total capitalized costs of video, which is primarily released content, and music as of December 31, 2019 and June 30, 2020 were $5.8 billion and $6.1 billion. Total video and music expense was $1.8 billion and $2.8 billion in Q2 2019 and Q2 2020, and $3.5 billion and $5.2 billion for the six months ended June 30, 2019 and 2020.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2019 was $10.2 billion, of which $5.6 billion was recognized as </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revenue during the six months ended June 30, 2020. Included in “Other long-term liabilities” on our consolidated balance sheets was $2.0 billion of unearned revenue as of December 31, 2019 and June 30, 2020.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$41.0 billion as of June 30, 2020. The weighted average remaining life of our long-term contracts is 3.3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2019 and June 30, 2020,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cash, cash equivalents, restricted cash, or marketable securities categorized as Level 3 assets as of December 31, 2019 and June 30, 2020.</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2715"/>
        <w:gridCol w:w="38"/>
        <w:gridCol w:w="135"/>
        <w:gridCol w:w="825"/>
        <w:gridCol w:w="85"/>
        <w:gridCol w:w="36"/>
        <w:gridCol w:w="36"/>
        <w:gridCol w:w="36"/>
        <w:gridCol w:w="135"/>
        <w:gridCol w:w="615"/>
        <w:gridCol w:w="85"/>
        <w:gridCol w:w="36"/>
        <w:gridCol w:w="36"/>
        <w:gridCol w:w="36"/>
        <w:gridCol w:w="135"/>
        <w:gridCol w:w="646"/>
        <w:gridCol w:w="85"/>
        <w:gridCol w:w="36"/>
        <w:gridCol w:w="36"/>
        <w:gridCol w:w="36"/>
        <w:gridCol w:w="135"/>
        <w:gridCol w:w="646"/>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trPr>
          <w:gridAfter w:val="18"/>
          <w:wAfter w:w="654" w:type="dxa"/>
        </w:trPr>
        <w:tc>
          <w:tcPr>
            <w:tcW w:w="50" w:type="pct"/>
            <w:shd w:val="clear" w:color="auto" w:fill="auto"/>
            <w:vAlign w:val="top"/>
          </w:tcPr>
          <w:p>
            <w:pPr>
              <w:rPr>
                <w:rFonts w:hint="eastAsia" w:ascii="宋体"/>
                <w:sz w:val="24"/>
                <w:szCs w:val="24"/>
              </w:rPr>
            </w:pPr>
          </w:p>
        </w:tc>
        <w:tc>
          <w:tcPr>
            <w:tcW w:w="182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9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9,776 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9,277 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9,277 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18,850 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6,324 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6,325 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7,080 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8,087 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8,123 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11,881 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21,785 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22,045 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3,277 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55,342 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71,045 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71,769 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55,021 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71,391 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$14 million and $235 million in Q2 2019 and Q2 2020, and $82 million and $204 million for the six months ended June 30, 2019 and 2020.</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June 30, 2020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6109"/>
        <w:gridCol w:w="56"/>
        <w:gridCol w:w="135"/>
        <w:gridCol w:w="781"/>
        <w:gridCol w:w="85"/>
        <w:gridCol w:w="36"/>
        <w:gridCol w:w="36"/>
        <w:gridCol w:w="36"/>
        <w:gridCol w:w="135"/>
        <w:gridCol w:w="761"/>
        <w:gridCol w:w="85"/>
      </w:tblGrid>
      <w:tr>
        <w:tc>
          <w:tcPr>
            <w:tcW w:w="50" w:type="pct"/>
            <w:shd w:val="clear" w:color="auto" w:fill="auto"/>
            <w:vAlign w:val="top"/>
          </w:tcPr>
          <w:p>
            <w:pPr>
              <w:rPr>
                <w:rFonts w:hint="eastAsia" w:ascii="宋体"/>
                <w:sz w:val="24"/>
                <w:szCs w:val="24"/>
              </w:rPr>
            </w:pPr>
          </w:p>
        </w:tc>
        <w:tc>
          <w:tcPr>
            <w:tcW w:w="369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42,733 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42,746 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15,956 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2,710 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61,768 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62,081 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2019 and June 30, 2020, these warrants had a fair value of $669 million and $1.0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2019 and June 30, 2020, equity investments not accounted for under the equity-method and without readily determinable fair values, had a carrying value of $1.5 billion, and are recorded within “Other assets” on our consolidated balance sheets with adjustments recognized in “Other income (expense), net” on our consolidated statements of operations. </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5658"/>
        <w:gridCol w:w="56"/>
        <w:gridCol w:w="135"/>
        <w:gridCol w:w="1012"/>
        <w:gridCol w:w="85"/>
        <w:gridCol w:w="36"/>
        <w:gridCol w:w="36"/>
        <w:gridCol w:w="36"/>
        <w:gridCol w:w="135"/>
        <w:gridCol w:w="993"/>
        <w:gridCol w:w="86"/>
      </w:tblGrid>
      <w:tr>
        <w:tc>
          <w:tcPr>
            <w:tcW w:w="50" w:type="pct"/>
            <w:shd w:val="clear" w:color="auto" w:fill="auto"/>
            <w:vAlign w:val="top"/>
          </w:tcPr>
          <w:p>
            <w:pPr>
              <w:rPr>
                <w:rFonts w:hint="eastAsia" w:ascii="宋体"/>
                <w:sz w:val="24"/>
                <w:szCs w:val="24"/>
              </w:rPr>
            </w:pPr>
          </w:p>
        </w:tc>
        <w:tc>
          <w:tcPr>
            <w:tcW w:w="341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2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2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36,092 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37,466 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36,410 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37,842 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Gross assets acquired under finance leases, inclusive of those where title transfers at the end of the lease, are recorded in “Property and equipment, net” and were $57.4 billion and $60.8 billion as of December 31, 2019 and June 30, 2020. Accumulated amortization associated with finance leases was $30.0 billion and $32.1 billion as of December 31, 2019 and June 30,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4956"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
        <w:gridCol w:w="2620"/>
        <w:gridCol w:w="46"/>
        <w:gridCol w:w="135"/>
        <w:gridCol w:w="925"/>
        <w:gridCol w:w="85"/>
        <w:gridCol w:w="36"/>
        <w:gridCol w:w="36"/>
        <w:gridCol w:w="36"/>
        <w:gridCol w:w="135"/>
        <w:gridCol w:w="897"/>
        <w:gridCol w:w="85"/>
        <w:gridCol w:w="36"/>
        <w:gridCol w:w="36"/>
        <w:gridCol w:w="36"/>
        <w:gridCol w:w="135"/>
        <w:gridCol w:w="1124"/>
        <w:gridCol w:w="85"/>
        <w:gridCol w:w="36"/>
        <w:gridCol w:w="36"/>
        <w:gridCol w:w="36"/>
        <w:gridCol w:w="135"/>
        <w:gridCol w:w="898"/>
        <w:gridCol w:w="85"/>
        <w:gridCol w:w="36"/>
        <w:gridCol w:w="36"/>
        <w:gridCol w:w="36"/>
        <w:gridCol w:w="36"/>
        <w:gridCol w:w="36"/>
        <w:gridCol w:w="36"/>
        <w:gridCol w:w="36"/>
        <w:gridCol w:w="36"/>
        <w:gridCol w:w="36"/>
        <w:gridCol w:w="36"/>
        <w:gridCol w:w="36"/>
        <w:gridCol w:w="36"/>
        <w:gridCol w:w="36"/>
        <w:gridCol w:w="36"/>
      </w:tblGrid>
      <w:tr>
        <w:trPr>
          <w:gridAfter w:val="12"/>
          <w:wAfter w:w="444" w:type="dxa"/>
        </w:trPr>
        <w:tc>
          <w:tcPr>
            <w:tcW w:w="50" w:type="pct"/>
            <w:shd w:val="clear" w:color="auto" w:fill="auto"/>
            <w:vAlign w:val="top"/>
          </w:tcPr>
          <w:p>
            <w:pPr>
              <w:rPr>
                <w:rFonts w:hint="eastAsia" w:ascii="宋体"/>
                <w:sz w:val="24"/>
                <w:szCs w:val="24"/>
              </w:rPr>
            </w:pPr>
          </w:p>
        </w:tc>
        <w:tc>
          <w:tcPr>
            <w:tcW w:w="172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75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4,709 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316 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4,243 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294 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531 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558 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2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3,717 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3,628 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7,266 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7,018 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Other information about lease amounts recognized in our consolidated financial statements is summarized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
        <w:gridCol w:w="5611"/>
        <w:gridCol w:w="46"/>
        <w:gridCol w:w="50"/>
        <w:gridCol w:w="1011"/>
        <w:gridCol w:w="202"/>
        <w:gridCol w:w="36"/>
        <w:gridCol w:w="36"/>
        <w:gridCol w:w="37"/>
        <w:gridCol w:w="37"/>
        <w:gridCol w:w="996"/>
        <w:gridCol w:w="203"/>
      </w:tblGrid>
      <w:tr>
        <w:tc>
          <w:tcPr>
            <w:tcW w:w="50" w:type="pct"/>
            <w:shd w:val="clear" w:color="auto" w:fill="auto"/>
            <w:vAlign w:val="top"/>
          </w:tcPr>
          <w:p>
            <w:pPr>
              <w:rPr>
                <w:rFonts w:hint="eastAsia" w:ascii="宋体"/>
                <w:sz w:val="24"/>
                <w:szCs w:val="24"/>
              </w:rPr>
            </w:pPr>
          </w:p>
        </w:tc>
        <w:tc>
          <w:tcPr>
            <w:tcW w:w="339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 years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years</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
        <w:gridCol w:w="4890"/>
        <w:gridCol w:w="41"/>
        <w:gridCol w:w="135"/>
        <w:gridCol w:w="694"/>
        <w:gridCol w:w="85"/>
        <w:gridCol w:w="36"/>
        <w:gridCol w:w="36"/>
        <w:gridCol w:w="36"/>
        <w:gridCol w:w="135"/>
        <w:gridCol w:w="662"/>
        <w:gridCol w:w="85"/>
        <w:gridCol w:w="36"/>
        <w:gridCol w:w="36"/>
        <w:gridCol w:w="36"/>
        <w:gridCol w:w="135"/>
        <w:gridCol w:w="663"/>
        <w:gridCol w:w="85"/>
        <w:gridCol w:w="36"/>
        <w:gridCol w:w="36"/>
        <w:gridCol w:w="36"/>
        <w:gridCol w:w="36"/>
        <w:gridCol w:w="36"/>
        <w:gridCol w:w="36"/>
        <w:gridCol w:w="36"/>
        <w:gridCol w:w="36"/>
        <w:gridCol w:w="36"/>
        <w:gridCol w:w="36"/>
        <w:gridCol w:w="36"/>
        <w:gridCol w:w="36"/>
      </w:tblGrid>
      <w:tr>
        <w:trPr>
          <w:gridAfter w:val="12"/>
          <w:wAfter w:w="433" w:type="dxa"/>
        </w:trPr>
        <w:tc>
          <w:tcPr>
            <w:tcW w:w="50" w:type="pct"/>
            <w:shd w:val="clear" w:color="auto" w:fill="auto"/>
            <w:vAlign w:val="top"/>
          </w:tcPr>
          <w:p>
            <w:pPr>
              <w:rPr>
                <w:rFonts w:hint="eastAsia" w:ascii="宋体"/>
                <w:sz w:val="24"/>
                <w:szCs w:val="24"/>
              </w:rPr>
            </w:pPr>
          </w:p>
        </w:tc>
        <w:tc>
          <w:tcPr>
            <w:tcW w:w="313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31,963 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28,875 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60,838 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(6,128)</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(1,896)</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(8,024)</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25,835 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26,979 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52,814 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(3,139)</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(9,884)</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(13,023)</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22,696 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17,095 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39,791 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
        <w:gridCol w:w="4878"/>
        <w:gridCol w:w="41"/>
        <w:gridCol w:w="135"/>
        <w:gridCol w:w="694"/>
        <w:gridCol w:w="85"/>
        <w:gridCol w:w="36"/>
        <w:gridCol w:w="36"/>
        <w:gridCol w:w="36"/>
        <w:gridCol w:w="135"/>
        <w:gridCol w:w="663"/>
        <w:gridCol w:w="85"/>
        <w:gridCol w:w="36"/>
        <w:gridCol w:w="36"/>
        <w:gridCol w:w="36"/>
        <w:gridCol w:w="135"/>
        <w:gridCol w:w="686"/>
        <w:gridCol w:w="85"/>
        <w:gridCol w:w="36"/>
        <w:gridCol w:w="36"/>
        <w:gridCol w:w="36"/>
        <w:gridCol w:w="36"/>
        <w:gridCol w:w="36"/>
        <w:gridCol w:w="36"/>
        <w:gridCol w:w="36"/>
        <w:gridCol w:w="36"/>
        <w:gridCol w:w="36"/>
        <w:gridCol w:w="36"/>
        <w:gridCol w:w="36"/>
        <w:gridCol w:w="36"/>
      </w:tblGrid>
      <w:tr>
        <w:trPr>
          <w:gridAfter w:val="12"/>
          <w:wAfter w:w="432" w:type="dxa"/>
          <w:jc w:val="center"/>
        </w:trPr>
        <w:tc>
          <w:tcPr>
            <w:tcW w:w="50" w:type="pct"/>
            <w:shd w:val="clear" w:color="auto" w:fill="auto"/>
            <w:vAlign w:val="top"/>
          </w:tcPr>
          <w:p>
            <w:pPr>
              <w:rPr>
                <w:rFonts w:hint="eastAsia" w:ascii="宋体"/>
                <w:sz w:val="24"/>
                <w:szCs w:val="24"/>
              </w:rPr>
            </w:pPr>
          </w:p>
        </w:tc>
        <w:tc>
          <w:tcPr>
            <w:tcW w:w="311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jc w:val="center"/>
        </w:trPr>
        <w:tc>
          <w:tcPr>
            <w:tcW w:w="0" w:type="auto"/>
            <w:gridSpan w:val="3"/>
            <w:shd w:val="clear" w:color="auto" w:fill="auto"/>
            <w:tcMar>
              <w:top w:w="40" w:type="dxa"/>
              <w:left w:w="58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36,048 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28,787 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64,835 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(6,449)</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(1,997)</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(8,446)</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29,599 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26,790 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56,389 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(10,061)</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(13,591)</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26,069 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16,729 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42,798 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entered into non-cancellable operating and finance leases and financing obligations for equipment and office, fulfillment, sortation, delivery, data center, physical store, and renewable energy facilities.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June 30, 2020 (in millions):</w:t>
      </w:r>
      <w:r>
        <w:rPr>
          <w:rFonts w:hint="default" w:ascii="Times New Roman" w:hAnsi="Times New Roman" w:eastAsia="宋体" w:cs="Times New Roman"/>
          <w:color w:val="000000"/>
          <w:sz w:val="18"/>
          <w:szCs w:val="18"/>
        </w:rPr>
        <w:t>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1330"/>
        <w:gridCol w:w="38"/>
        <w:gridCol w:w="128"/>
        <w:gridCol w:w="581"/>
        <w:gridCol w:w="81"/>
        <w:gridCol w:w="35"/>
        <w:gridCol w:w="35"/>
        <w:gridCol w:w="35"/>
        <w:gridCol w:w="128"/>
        <w:gridCol w:w="581"/>
        <w:gridCol w:w="81"/>
        <w:gridCol w:w="35"/>
        <w:gridCol w:w="36"/>
        <w:gridCol w:w="36"/>
        <w:gridCol w:w="129"/>
        <w:gridCol w:w="582"/>
        <w:gridCol w:w="82"/>
        <w:gridCol w:w="36"/>
        <w:gridCol w:w="36"/>
        <w:gridCol w:w="36"/>
        <w:gridCol w:w="129"/>
        <w:gridCol w:w="582"/>
        <w:gridCol w:w="82"/>
        <w:gridCol w:w="36"/>
        <w:gridCol w:w="36"/>
        <w:gridCol w:w="36"/>
        <w:gridCol w:w="129"/>
        <w:gridCol w:w="582"/>
        <w:gridCol w:w="82"/>
        <w:gridCol w:w="36"/>
        <w:gridCol w:w="36"/>
        <w:gridCol w:w="36"/>
        <w:gridCol w:w="129"/>
        <w:gridCol w:w="582"/>
        <w:gridCol w:w="82"/>
        <w:gridCol w:w="36"/>
        <w:gridCol w:w="36"/>
        <w:gridCol w:w="36"/>
        <w:gridCol w:w="129"/>
        <w:gridCol w:w="676"/>
        <w:gridCol w:w="82"/>
        <w:gridCol w:w="36"/>
        <w:gridCol w:w="36"/>
        <w:gridCol w:w="36"/>
        <w:gridCol w:w="36"/>
        <w:gridCol w:w="36"/>
        <w:gridCol w:w="36"/>
        <w:gridCol w:w="36"/>
        <w:gridCol w:w="36"/>
        <w:gridCol w:w="36"/>
        <w:gridCol w:w="36"/>
        <w:gridCol w:w="36"/>
        <w:gridCol w:w="36"/>
        <w:gridCol w:w="36"/>
        <w:gridCol w:w="36"/>
        <w:gridCol w:w="36"/>
        <w:gridCol w:w="36"/>
        <w:gridCol w:w="36"/>
        <w:gridCol w:w="36"/>
      </w:tblGrid>
      <w:tr>
        <w:trPr>
          <w:gridAfter w:val="18"/>
          <w:wAfter w:w="648" w:type="dxa"/>
        </w:trPr>
        <w:tc>
          <w:tcPr>
            <w:tcW w:w="50" w:type="pct"/>
            <w:shd w:val="clear" w:color="auto" w:fill="auto"/>
            <w:vAlign w:val="top"/>
          </w:tcPr>
          <w:p>
            <w:pPr>
              <w:rPr>
                <w:rFonts w:hint="eastAsia" w:ascii="宋体"/>
                <w:sz w:val="24"/>
                <w:szCs w:val="24"/>
              </w:rPr>
            </w:pPr>
          </w:p>
        </w:tc>
        <w:tc>
          <w:tcPr>
            <w:tcW w:w="18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6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December 31,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2,190 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3,271 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38,738 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52,885 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4,313 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3,884 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3,508 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3,193 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19,080 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36,048 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9,227 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28,787 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3,990 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17,417 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(2)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21,011 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33,691 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12,384 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23,344 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18,726 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14,307 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13,914 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89,261 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171,936 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the estimated timing and amounts of payments for rent and tenant improvements associated with build-to-suit lease arrangements and lease arrangements prior to the lease commencement date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(3)Excludes approximately $3.7 billion of accrued tax contingencies for which we cannot make a reasonably reliable estimate of the amount and period of payment, if any.</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Pledged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2019 and June 30, 2020, we have pledged or otherwise restricted $994 million and $957 million of our cash, cash equivalents, and marketable securities, and certain property and equipment as collateral for real estate leases, amounts due to third-party sellers in certain jurisdictions, debt, and standby and trade letters of credit. Additionally, we have pledged our cash and seller receivables for debt related to our Credit Facility. See “Note 5 — Debt.” </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liabilities.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2019 Annual Report on Form 10-K and in Item 1 of Part I, “Financial Statements — Note 4 — Commitments and Contingencies — Legal Proceedings” of our Quarterly Report on Form 10-Q for the period ended March 31, 2020 as supplemented by the following:</w:t>
      </w:r>
    </w:p>
    <w:p>
      <w:pPr>
        <w:keepNext w:val="0"/>
        <w:keepLines w:val="0"/>
        <w:widowControl/>
        <w:suppressLineNumbers w:val="0"/>
        <w:spacing w:after="100" w:afterAutospacing="0"/>
        <w:ind w:left="0" w:firstLine="450"/>
        <w:jc w:val="left"/>
      </w:pPr>
      <w:r>
        <w:rPr>
          <w:rFonts w:hint="default" w:ascii="Times New Roman" w:hAnsi="Times New Roman" w:eastAsia="宋体" w:cs="Times New Roman"/>
          <w:color w:val="000000"/>
          <w:sz w:val="20"/>
          <w:szCs w:val="20"/>
        </w:rPr>
        <w:t>Beginning in March 2020, a number of class-action complaints were filed alleging, among other things, price fixing arrangements between Amazon.com, Inc. and third-party sellers in Amazon’s stores, monopolization and attempted monopolization of an alleged market in online retail or other submarkets, and consumer protection and unjust enrichment claims. In March 2020, Frame-Wilson v. Amazon.com, Inc. was filed in the United States District Court for the Western District of Washington. Beginning in April 2020, class action complaints were filed in the Superior Court of Quebec – Division of Montreal, the Ontario Superior Court of Justice, and the Federal Court of Canada against Amazon.com, Inc. and related entities. The complaints allege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and injunctive relief. We dispute the allegations of wrongdoing and intend to defend ourselves vigorously in these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June 30, 2020, we had $33.2 billion of unsecured senior notes outstanding (the “Notes”), including $10.0 billion issued in June 2020 for general corporate purposes. We also have other long-term debt and borrowings under our credit facility of $1.6 billion and $1.2 billion as of December 31, 2019 and June 30, 2020. Our total long-term debt obligations are as follows (in millions):</w:t>
      </w:r>
    </w:p>
    <w:p>
      <w:pPr>
        <w:keepNext w:val="0"/>
        <w:keepLines w:val="0"/>
        <w:widowControl/>
        <w:suppressLineNumbers w:val="0"/>
        <w:spacing w:before="100" w:beforeAutospacing="0"/>
        <w:ind w:left="0" w:firstLine="495"/>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2542"/>
        <w:gridCol w:w="60"/>
        <w:gridCol w:w="72"/>
        <w:gridCol w:w="676"/>
        <w:gridCol w:w="72"/>
        <w:gridCol w:w="36"/>
        <w:gridCol w:w="36"/>
        <w:gridCol w:w="36"/>
        <w:gridCol w:w="48"/>
        <w:gridCol w:w="943"/>
        <w:gridCol w:w="60"/>
        <w:gridCol w:w="36"/>
        <w:gridCol w:w="36"/>
        <w:gridCol w:w="36"/>
        <w:gridCol w:w="60"/>
        <w:gridCol w:w="895"/>
        <w:gridCol w:w="60"/>
        <w:gridCol w:w="36"/>
        <w:gridCol w:w="36"/>
        <w:gridCol w:w="36"/>
        <w:gridCol w:w="135"/>
        <w:gridCol w:w="953"/>
        <w:gridCol w:w="86"/>
        <w:gridCol w:w="37"/>
        <w:gridCol w:w="37"/>
        <w:gridCol w:w="37"/>
        <w:gridCol w:w="136"/>
        <w:gridCol w:w="957"/>
        <w:gridCol w:w="86"/>
      </w:tblGrid>
      <w:tr>
        <w:tc>
          <w:tcPr>
            <w:tcW w:w="50" w:type="pct"/>
            <w:shd w:val="clear" w:color="auto" w:fill="auto"/>
            <w:vAlign w:val="top"/>
          </w:tcPr>
          <w:p>
            <w:pPr>
              <w:rPr>
                <w:rFonts w:hint="eastAsia" w:ascii="宋体"/>
                <w:sz w:val="24"/>
                <w:szCs w:val="24"/>
              </w:rPr>
            </w:pPr>
          </w:p>
        </w:tc>
        <w:tc>
          <w:tcPr>
            <w:tcW w:w="153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2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7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9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8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left w:w="20" w:type="dxa"/>
              <w:right w:w="20" w:type="dxa"/>
            </w:tcMar>
            <w:vAlign w:val="bottom"/>
          </w:tcPr>
          <w:p>
            <w:pPr>
              <w:jc w:val="cente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left w:w="20" w:type="dxa"/>
              <w:right w:w="20" w:type="dxa"/>
            </w:tcMar>
            <w:vAlign w:val="bottom"/>
          </w:tcPr>
          <w:p>
            <w:pPr>
              <w:jc w:val="cente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left w:w="20" w:type="dxa"/>
              <w:right w:w="20" w:type="dxa"/>
            </w:tcMar>
            <w:vAlign w:val="bottom"/>
          </w:tcPr>
          <w:p>
            <w:pPr>
              <w:jc w:val="cente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2019</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June 30, 2020</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2021 - 2044</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3.30% - 4.95%</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3.43% - 5.11%</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2020 - 2057</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1.90% - 5.20%</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2.16% - 4.33%</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17,000 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17,000 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debt</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24,820 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34,486 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(1,305)</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righ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(1,154)</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23,414 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righ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33,128 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 average remaining lives of the 2012, 2014, 2017, and 2020 Notes were 2.4 years, 12.3 years, 15.7 years, and 19.2 years as of June 30, 2020. The combined weighted average remaining life of the Notes was 15.8 years as of June 30, 2020.</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$26.2 billion and $38.2 billion as of December 31, 2019 and June 30, 2020, which is based on quoted prices for our debt as of those dates.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October 2016, we entered into a $500 million secured revolving credit facility with a lender that is secured by certain seller receivables, which we subsequently increased to $740 million and may from time to time increase in the future subject to lender approval (the “Credit Facility”). The Credit Facility is available until October 2022, bears interest at the London interbank offered rate (“LIBOR”) plus 1.40%, and has a commitment fee of 0.50% on the undrawn portion. There were $740 million and $573 million of borrowings outstanding under the Credit Facility as of December 31, 2019 and June 30, 2020, which had a weighted-average interest rate of 3.4% and 3.2%, respectively. As of December 31, 2019 and June 30, 2020, we have pledged $852 million and $672 million of our cash and seller receivables as collateral for debt related to our Credit Facility. The estimated fair value of the Credit Facility, which is based on Level 2 inputs, approximated its carrying value as of December 31, 2019 and June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Other long-term debt, including the current portion, had a weighted-average interest rate of 4.1% and 2.9% as of December 31, 2019 and June 30, 2020. We used the net proceeds from the issuance of this debt primarily to fund certain business operations. The estimated fair value of other long-term debt, which is based on Level 2 inputs, approximated its carrying value as of December 31, 2019 and June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In June 2020, we increased the size of the Commercial Paper Program to $10.0 billion. There were no borrowings outstanding under the Commercial Paper Program as of December 31, 2019. There were $730 million of borrowings outstanding under the Commercial Paper Program as of June 30, 2020, which are included in “Accrued expenses and other” on our consolidated balance sheets and have a weighted average effective interest rate, including issuance costs, of 0.20%. We use the net proceeds from the issuance of commercial paper for general corporate purposes.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April 2018, in connection with our Commercial Paper Program, we amended and restated our unsecured revolving credit facility (the “Credit Agreement”) with a syndicate of lenders to increase our borrowing capacity thereunder to $7.0 billion. In June 2020, we further amended and restated the Credit Agreement to extend the term to June 2023, and it may be extended for up to three additional one-year terms if approved by the lenders. The interest rate applicable to outstanding balances under the amended and restated Credit Agreement is LIBOR plus 0.50%, with a commitment fee of 0.04% on the </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undrawn portion of the credit facility. There were no borrowings outstanding under the Credit Agreement as of December 31, 2019 and June 30,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also utilize other short-term credit facilities for working capital purposes. These amounts are included in “Accrued expenses and other” on our consolidated balance sheets.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February 2016, the Board of Directors authorized a program to repurchase up to $5.0 billion of our common stock, with no fixed expiration. There were no repurchases of common stock during the six months ended June 30, 2019 or 2020.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Common shares outstanding plus shares underlying outstanding stock awards totaled 512 million and 517 million as of December 31, 2019 and June 30, 2020.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2863"/>
        <w:gridCol w:w="39"/>
        <w:gridCol w:w="135"/>
        <w:gridCol w:w="965"/>
        <w:gridCol w:w="85"/>
        <w:gridCol w:w="36"/>
        <w:gridCol w:w="36"/>
        <w:gridCol w:w="36"/>
        <w:gridCol w:w="135"/>
        <w:gridCol w:w="930"/>
        <w:gridCol w:w="85"/>
        <w:gridCol w:w="36"/>
        <w:gridCol w:w="36"/>
        <w:gridCol w:w="36"/>
        <w:gridCol w:w="135"/>
        <w:gridCol w:w="930"/>
        <w:gridCol w:w="85"/>
        <w:gridCol w:w="36"/>
        <w:gridCol w:w="36"/>
        <w:gridCol w:w="36"/>
        <w:gridCol w:w="135"/>
        <w:gridCol w:w="930"/>
        <w:gridCol w:w="85"/>
        <w:gridCol w:w="36"/>
        <w:gridCol w:w="36"/>
        <w:gridCol w:w="36"/>
        <w:gridCol w:w="36"/>
        <w:gridCol w:w="36"/>
        <w:gridCol w:w="36"/>
        <w:gridCol w:w="36"/>
        <w:gridCol w:w="37"/>
        <w:gridCol w:w="37"/>
        <w:gridCol w:w="37"/>
        <w:gridCol w:w="37"/>
        <w:gridCol w:w="37"/>
      </w:tblGrid>
      <w:tr>
        <w:trPr>
          <w:gridAfter w:val="12"/>
          <w:wAfter w:w="443" w:type="dxa"/>
        </w:trPr>
        <w:tc>
          <w:tcPr>
            <w:tcW w:w="50" w:type="pct"/>
            <w:shd w:val="clear" w:color="auto" w:fill="auto"/>
            <w:vAlign w:val="top"/>
          </w:tcPr>
          <w:p>
            <w:pPr>
              <w:rPr>
                <w:rFonts w:hint="eastAsia" w:ascii="宋体"/>
                <w:sz w:val="24"/>
                <w:szCs w:val="24"/>
              </w:rPr>
            </w:pPr>
          </w:p>
        </w:tc>
        <w:tc>
          <w:tcPr>
            <w:tcW w:w="1837"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594 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516 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787 </w:t>
            </w:r>
          </w:p>
        </w:tc>
        <w:tc>
          <w:tcPr>
            <w:tcW w:w="0" w:type="auto"/>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1,971 </w:t>
            </w:r>
          </w:p>
        </w:tc>
        <w:tc>
          <w:tcPr>
            <w:tcW w:w="0" w:type="auto"/>
            <w:tcBorders>
              <w:top w:val="single" w:color="000000" w:sz="8" w:space="0"/>
              <w:bottom w:val="double" w:color="000000" w:sz="6" w:space="0"/>
            </w:tcBorders>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2,601 </w:t>
            </w:r>
          </w:p>
        </w:tc>
        <w:tc>
          <w:tcPr>
            <w:tcW w:w="0" w:type="auto"/>
            <w:tcBorders>
              <w:top w:val="single" w:color="000000" w:sz="8" w:space="0"/>
              <w:bottom w:val="double" w:color="000000" w:sz="6" w:space="0"/>
            </w:tcBorders>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3,245 </w:t>
            </w:r>
          </w:p>
        </w:tc>
        <w:tc>
          <w:tcPr>
            <w:tcW w:w="0" w:type="auto"/>
            <w:tcBorders>
              <w:top w:val="single" w:color="000000" w:sz="8" w:space="0"/>
              <w:bottom w:val="double" w:color="000000" w:sz="6" w:space="0"/>
            </w:tcBorders>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4,358 </w:t>
            </w:r>
          </w:p>
        </w:tc>
        <w:tc>
          <w:tcPr>
            <w:tcW w:w="0" w:type="auto"/>
            <w:tcBorders>
              <w:top w:val="single" w:color="000000" w:sz="8" w:space="0"/>
              <w:bottom w:val="double" w:color="000000" w:sz="6" w:space="0"/>
            </w:tcBorders>
            <w:shd w:val="clear" w:color="auto" w:fill="auto"/>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The following table summarizes our restricted stock unit activity for the six months ended June 30, 2020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86"/>
        <w:gridCol w:w="36"/>
        <w:gridCol w:w="80"/>
        <w:gridCol w:w="1026"/>
        <w:gridCol w:w="85"/>
        <w:gridCol w:w="36"/>
        <w:gridCol w:w="36"/>
        <w:gridCol w:w="36"/>
        <w:gridCol w:w="135"/>
        <w:gridCol w:w="1141"/>
        <w:gridCol w:w="91"/>
      </w:tblGrid>
      <w:tr>
        <w:tc>
          <w:tcPr>
            <w:tcW w:w="50" w:type="pct"/>
            <w:shd w:val="clear" w:color="auto" w:fill="auto"/>
            <w:vAlign w:val="top"/>
          </w:tcPr>
          <w:p>
            <w:pPr>
              <w:rPr>
                <w:rFonts w:hint="eastAsia" w:ascii="宋体"/>
                <w:sz w:val="24"/>
                <w:szCs w:val="24"/>
              </w:rPr>
            </w:pPr>
          </w:p>
        </w:tc>
        <w:tc>
          <w:tcPr>
            <w:tcW w:w="33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2019</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June 30, 2020</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June 30, 2020,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522"/>
        <w:gridCol w:w="52"/>
        <w:gridCol w:w="62"/>
        <w:gridCol w:w="713"/>
        <w:gridCol w:w="85"/>
        <w:gridCol w:w="36"/>
        <w:gridCol w:w="36"/>
        <w:gridCol w:w="36"/>
        <w:gridCol w:w="47"/>
        <w:gridCol w:w="403"/>
        <w:gridCol w:w="85"/>
        <w:gridCol w:w="36"/>
        <w:gridCol w:w="36"/>
        <w:gridCol w:w="36"/>
        <w:gridCol w:w="47"/>
        <w:gridCol w:w="404"/>
        <w:gridCol w:w="85"/>
        <w:gridCol w:w="36"/>
        <w:gridCol w:w="36"/>
        <w:gridCol w:w="36"/>
        <w:gridCol w:w="47"/>
        <w:gridCol w:w="404"/>
        <w:gridCol w:w="85"/>
        <w:gridCol w:w="36"/>
        <w:gridCol w:w="36"/>
        <w:gridCol w:w="36"/>
        <w:gridCol w:w="47"/>
        <w:gridCol w:w="404"/>
        <w:gridCol w:w="85"/>
        <w:gridCol w:w="36"/>
        <w:gridCol w:w="36"/>
        <w:gridCol w:w="36"/>
        <w:gridCol w:w="90"/>
        <w:gridCol w:w="598"/>
        <w:gridCol w:w="90"/>
        <w:gridCol w:w="36"/>
        <w:gridCol w:w="36"/>
        <w:gridCol w:w="36"/>
        <w:gridCol w:w="55"/>
        <w:gridCol w:w="44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trPr>
          <w:gridAfter w:val="18"/>
          <w:wAfter w:w="648" w:type="dxa"/>
        </w:trPr>
        <w:tc>
          <w:tcPr>
            <w:tcW w:w="50" w:type="pct"/>
            <w:shd w:val="clear" w:color="auto" w:fill="auto"/>
            <w:vAlign w:val="top"/>
          </w:tcPr>
          <w:p>
            <w:pPr>
              <w:rPr>
                <w:rFonts w:hint="eastAsia" w:ascii="宋体"/>
                <w:sz w:val="24"/>
                <w:szCs w:val="24"/>
              </w:rPr>
            </w:pPr>
          </w:p>
        </w:tc>
        <w:tc>
          <w:tcPr>
            <w:tcW w:w="166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December 31,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tcBorders>
              <w:top w:val="single" w:color="000000" w:sz="8" w:space="0"/>
              <w:bottom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5.8 </w:t>
            </w:r>
          </w:p>
        </w:tc>
        <w:tc>
          <w:tcPr>
            <w:tcW w:w="0" w:type="auto"/>
            <w:tcBorders>
              <w:top w:val="single" w:color="000000" w:sz="8" w:space="0"/>
              <w:bottom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5.1 </w:t>
            </w:r>
          </w:p>
        </w:tc>
        <w:tc>
          <w:tcPr>
            <w:tcW w:w="0" w:type="auto"/>
            <w:tcBorders>
              <w:top w:val="single" w:color="000000" w:sz="8" w:space="0"/>
              <w:bottom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tcBorders>
              <w:top w:val="single" w:color="000000" w:sz="8" w:space="0"/>
              <w:bottom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0.5 </w:t>
            </w:r>
          </w:p>
        </w:tc>
        <w:tc>
          <w:tcPr>
            <w:tcW w:w="0" w:type="auto"/>
            <w:tcBorders>
              <w:top w:val="single" w:color="000000" w:sz="8" w:space="0"/>
              <w:bottom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 xml:space="preserve">As of June 30, 2020, there was $13.1 billion of net unrecognized compensation cost related to unvested stock-based compensation arrangements. This compensation is recognized on an accelerated basis with approximately half of the compensation expected to be expensed in the next twelve months, and has a weighted-average recognition period of 1.1 years. The estimated forfeiture rate as of December 31, 2019 and June 30, 2020 was 27%. Changes in our estimates and assumptions relating to forfeitures may cause us to realize material changes in stock-based compensation expense in the future.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following table shows the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62"/>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7"/>
        <w:gridCol w:w="37"/>
        <w:gridCol w:w="37"/>
        <w:gridCol w:w="37"/>
        <w:gridCol w:w="37"/>
        <w:gridCol w:w="37"/>
      </w:tblGrid>
      <w:tr>
        <w:trPr>
          <w:gridAfter w:val="12"/>
          <w:wAfter w:w="443" w:type="dxa"/>
        </w:trPr>
        <w:tc>
          <w:tcPr>
            <w:tcW w:w="50" w:type="pct"/>
            <w:shd w:val="clear" w:color="auto" w:fill="auto"/>
            <w:vAlign w:val="top"/>
          </w:tcPr>
          <w:p>
            <w:pPr>
              <w:rPr>
                <w:rFonts w:hint="eastAsia" w:ascii="宋体"/>
                <w:sz w:val="24"/>
                <w:szCs w:val="24"/>
              </w:rPr>
            </w:pPr>
          </w:p>
        </w:tc>
        <w:tc>
          <w:tcPr>
            <w:tcW w:w="2772"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0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0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0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0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48,410 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65,272 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43,549 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8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8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8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28,059 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35,412 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26,791 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30,035 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38,017 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30,035 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38,017 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8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(2,063)</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(1,035)</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(1,455)</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(1,455)</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8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23,193 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33,755 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19,625 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Cumulative effect of changes in accounting principles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6,186 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25,818 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38,998 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25,818 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38,998 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80" w:hRule="atLeast"/>
        </w:trPr>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53,061 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73,728 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53,061 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73,728 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(1)We recorded cumulative effect adjustments related to the new lease standard in Q1 2019 and the new measurement of credit losses standard in Q1 2020.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2020,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six months ended June 30, 2019 and 2020 were $1.1 billion and $1.7 billion, which included $706 million and $831 million of net discrete tax benefits primarily attributable to excess tax benefits from stock-based compensation. </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$283 million and $486 million in Q2 2019 and Q2 2020, and $451 million and $791 million for the six months ended June 30, 2019 and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2019 and June 30, 2020, tax contingencies were approximately $3.9 billion and $3.7 billion. Changes in tax laws, regulations, administrative practices, principles, and interpretations may impact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(“IRS”) for the calendar year 2007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 offerings for start-ups, enterprises, government agencies, and academic institutions.</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791"/>
        <w:gridCol w:w="36"/>
        <w:gridCol w:w="135"/>
        <w:gridCol w:w="704"/>
        <w:gridCol w:w="85"/>
        <w:gridCol w:w="36"/>
        <w:gridCol w:w="36"/>
        <w:gridCol w:w="36"/>
        <w:gridCol w:w="135"/>
        <w:gridCol w:w="677"/>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6"/>
        <w:gridCol w:w="36"/>
        <w:gridCol w:w="36"/>
        <w:gridCol w:w="36"/>
        <w:gridCol w:w="37"/>
      </w:tblGrid>
      <w:tr>
        <w:trPr>
          <w:gridAfter w:val="12"/>
          <w:wAfter w:w="435" w:type="dxa"/>
        </w:trPr>
        <w:tc>
          <w:tcPr>
            <w:tcW w:w="50" w:type="pct"/>
            <w:shd w:val="clear" w:color="auto" w:fill="auto"/>
            <w:vAlign w:val="top"/>
          </w:tcPr>
          <w:p>
            <w:pPr>
              <w:rPr>
                <w:rFonts w:hint="eastAsia" w:ascii="宋体"/>
                <w:sz w:val="24"/>
                <w:szCs w:val="24"/>
              </w:rPr>
            </w:pPr>
          </w:p>
        </w:tc>
        <w:tc>
          <w:tcPr>
            <w:tcW w:w="244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38,653 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74,465 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101,563 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37,089 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53,295 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70,614 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98,111 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1,564 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3,452 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40" w:hRule="atLeast"/>
        </w:trPr>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16,370 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22,668 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32,563 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41,774 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22,323 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33,253 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41,826 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(601)</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(690)</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4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8,381 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16,076 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21,027 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7,451 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11,733 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14,595 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2,121 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3,357 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4,343 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6,432 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240" w:hRule="atLeast"/>
        </w:trPr>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63,404 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123,104 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83,069 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154,532 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3,084 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9,832 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(984)</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(1,729)</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2,625 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5,243 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6,186 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7,778 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814"/>
        <w:gridCol w:w="36"/>
        <w:gridCol w:w="135"/>
        <w:gridCol w:w="703"/>
        <w:gridCol w:w="85"/>
        <w:gridCol w:w="36"/>
        <w:gridCol w:w="36"/>
        <w:gridCol w:w="36"/>
        <w:gridCol w:w="135"/>
        <w:gridCol w:w="676"/>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7"/>
        <w:gridCol w:w="37"/>
        <w:gridCol w:w="37"/>
        <w:gridCol w:w="37"/>
        <w:gridCol w:w="37"/>
      </w:tblGrid>
      <w:tr>
        <w:trPr>
          <w:gridAfter w:val="12"/>
          <w:wAfter w:w="444" w:type="dxa"/>
        </w:trPr>
        <w:tc>
          <w:tcPr>
            <w:tcW w:w="50" w:type="pct"/>
            <w:shd w:val="clear" w:color="auto" w:fill="auto"/>
            <w:vAlign w:val="top"/>
          </w:tcPr>
          <w:p>
            <w:pPr>
              <w:rPr>
                <w:rFonts w:hint="eastAsia" w:ascii="宋体"/>
                <w:sz w:val="24"/>
                <w:szCs w:val="24"/>
              </w:rPr>
            </w:pPr>
          </w:p>
        </w:tc>
        <w:tc>
          <w:tcPr>
            <w:tcW w:w="24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9"/>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9"/>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31,053 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45,896 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60,552 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82,549 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4,330 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8,636 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8,414 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11,962 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18,195 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23,104 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32,676 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11,574 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8,381 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16,076 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21,027 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8,124 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63,404 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123,104 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from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audiobook, digital video,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(5)Primarily includes sales of advertising services, as well as sales related to our other service offerings. </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II, “Risk Factors.”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2019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of our 2019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June 30, 2020, we would have recorded an additional cost of sales of approximately $220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Our effective tax rates could be affected by numerous factors, such as changes in our business operations, acquisitions, investments, entry into new businesses and geographies, intercompany </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1919"/>
        <w:gridCol w:w="39"/>
        <w:gridCol w:w="135"/>
        <w:gridCol w:w="5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63"/>
        <w:gridCol w:w="63"/>
        <w:gridCol w:w="63"/>
        <w:gridCol w:w="63"/>
        <w:gridCol w:w="63"/>
        <w:gridCol w:w="63"/>
        <w:gridCol w:w="63"/>
        <w:gridCol w:w="63"/>
        <w:gridCol w:w="61"/>
        <w:gridCol w:w="36"/>
        <w:gridCol w:w="36"/>
        <w:gridCol w:w="36"/>
        <w:gridCol w:w="36"/>
        <w:gridCol w:w="36"/>
        <w:gridCol w:w="36"/>
      </w:tblGrid>
      <w:tr>
        <w:trPr>
          <w:gridAfter w:val="18"/>
          <w:wAfter w:w="889" w:type="dxa"/>
        </w:trPr>
        <w:tc>
          <w:tcPr>
            <w:tcW w:w="50" w:type="pct"/>
            <w:shd w:val="clear" w:color="auto" w:fill="auto"/>
            <w:vAlign w:val="top"/>
          </w:tcPr>
          <w:p>
            <w:pPr>
              <w:rPr>
                <w:rFonts w:hint="eastAsia" w:ascii="宋体"/>
                <w:sz w:val="24"/>
                <w:szCs w:val="24"/>
              </w:rPr>
            </w:pPr>
          </w:p>
        </w:tc>
        <w:tc>
          <w:tcPr>
            <w:tcW w:w="159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1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2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4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9,118 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20,606 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10,963 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23,669 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36,029 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4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(7,549)</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(17,804)</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(15,672)</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(26,698)</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(24,816)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4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4,817 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(8,665)</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$55.0 billion and $71.4 billion as of December 31, 2019 and June 30, 2020. Amounts held in foreign currencies were $15.3 billion and $16.0 billion as of December 31, 2019 and June 30, 2020, and were primarily Euros, British Pounds,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operating activities was $9.1 billion and $20.6 billion for Q2 2019 and Q2 2020, and $11.0 billion and $23.7 billion for the six months ended June 30, 2019 and 2020.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June 30, 2020, compared to the comparable prior year period, was primarily due to the increase</w:t>
      </w:r>
      <w:r>
        <w:rPr>
          <w:rFonts w:hint="default" w:ascii="Times New Roman" w:hAnsi="Times New Roman" w:eastAsia="宋体" w:cs="Times New Roman"/>
          <w:color w:val="000000"/>
          <w:sz w:val="20"/>
          <w:szCs w:val="20"/>
          <w:shd w:val="clear" w:fill="FFFFFF"/>
        </w:rPr>
        <w:t xml:space="preserve"> in net income, excluding non-cash expenses, and changes in working capital.</w:t>
      </w:r>
      <w:r>
        <w:rPr>
          <w:rFonts w:hint="default" w:ascii="Times New Roman" w:hAnsi="Times New Roman" w:eastAsia="宋体" w:cs="Times New Roman"/>
          <w:color w:val="000000"/>
          <w:sz w:val="20"/>
          <w:szCs w:val="20"/>
        </w:rPr>
        <w:t xml:space="preserve"> Working capital at any specific point in time is subject to many variables, including seasonality,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$(7.5) billion and $(17.8) billion for Q2 2019 and Q2 2020, and $(15.7) billion and $(26.7) billion for the six months ended June 30, 2019 and 2020, with the variability caused primarily by our decision to purchase or lease property and equipment and purchases, maturities, and sales of marketable securities. Cash capital expenditures were $2.6 billion and $6.6 billion during Q2 2019 and Q2 2020, and $5.4 billion and $12.0 billion for the six months ended June 30, 2019 and 2020,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$117 million and $118 million during Q2 2019 and Q2 2020, and $1.3 billion and $210 million for the six months ended June 30, 2019 and 2020.</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Cash provided by (used in) financing activities was $(2.2) billion and $7.4 billion for Q2 2019 and Q2 2020, and $(4.5) billion and $4.8 billion for the six months ended June 30, 2019 and 2020. Cash inflows from financing activities resulted from proceeds of short-term debt, and other and long-term debt of $283 million and $12.4 billion for Q2 2019 and Q2 2020, and $473 million and $13.0 billion for the six months ended June 30, 2019 and 2020. Cash outflows from financing activities resulted from payments of short-term debt, and other, long-term debt, finance leases, and financing obligations of $2.4 billion and $4.9 billion in Q2 2019 and Q2 2020, and $5.0 billion and $8.2 billion for the six months ended June 30, 2019 and 2020. Property and equipment acquired under finance leases was $3.3 billion and $3.2 billion during Q2 2019 and Q2 2020, and $5.9 billion and $5.3 billion for the six months ended June 30, 2019 and 2020, reflecting investments in support of continued business growth primarily due to investments in technology infrastructure for AWS.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had no borrowings outstanding under the Credit Agreement, $730 million of borrowings outstanding under the Commercial Paper Program, and $573 million of borrowings outstanding under our Credit Facility as of June 30, 2020.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recorded net tax provisions of $257 million and $984 million in Q2 2019 and Q2 2020, and $1.1 billion and $1.7 billion for the six months ended June 30, 2019 and 2020.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Tax benefits relating to excess stock-based compensation deductions and accelerated depreciation deductions are reducing our U.S. taxable income. The U.S. Tax Act enhanced and extended accelerated depreciation deductions by allowing </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full expensing of qualified property, primarily equipment, through 2022. Cash taxes paid (net of refunds) were $283 million and $486 million for Q2 2019 and Q2 2020, and $451 million and $791 million for the six months ended June 30, 2019 and 2020. As of December 31, 2019, we had approximately $1.7 billion of federal tax credits potentially available to offset future tax liabilities. Our federal tax credits are primarily related to the U.S. federal research and development credit. As we utilize our federal tax credits we expect cash paid for taxes to increase.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2019 and June 30, 2020, restricted cash, cash equivalents, and marketable securities were $321 million and $378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$24.5 billion as of June 30, 2020.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caused significant market volatility. This disruption can contribute to defaults in our accounts receivable, affect asset valuations resulting in impairment charges, and affect the availability of lease and financing credit as well as other segments of the credit markets. We have utilized a range of financing methods to fund our operations and capital expenditures and expect to continue to maintain financing flexibility in the current market conditions. However, due to the rapidly evolving global situation, it is not possible to predict whether unanticipated consequences of the pandemic are reasonably likely to materially affect our liquidity and capital resources in the future.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Effects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affected our businesses, as well as those of our customers, suppliers, and third-party sellers. To serve our customers while also providing for the safety of our employees and service providers, we have adapted numerous aspects of our logistics, transportation, supply chain, purchasing, and third-party seller processes. Among other actions, beginning in Q1 2020, we lengthened delivery promises on certain products in order to prioritize stocking and delivering essential products and took actions to moderate orders of other products, including by reducing our marketing spend. We also hired 175,000 additional employees to increase our fulfillment network capacity. We made numerous process updates across our operations worldwide, and adapted our fulfillment network, to implement employee and customer safety measures, such as enhanced cleaning and social distancing, personal protective gear, disinfectant spraying, and temperature checks. In Q2 2020, we incurred more than $4 billion in COVID-19 related costs to help keep our employees and customers safe, provide additional compensation to our employees and certain service providers, and deliver products to customers. As the quarter progressed, we significantly increased our ability to meet customer demand. We continue to monitor the evolving situation and expect to continue to adapt our operations to address federal, state, and local standards as well as to implement standards or processes that we determine to be in the best interests of our employees, customers, and communities.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reflected in the discussion below, the impact of the pandemic and actions taken in response to it had varying effects on our Q2 2020 results of operations. Higher net sales in the North America and International segments reflect increased demand, particularly as people are staying at home, including for household staples and other essential and home products, partially offset by moderated orders of certain products and fulfillment network capacity and supply chain constraints. Other effects in the North America and International segments include increased cost of sales and fulfillment costs as a percentage of net sales, primarily due to increased employee hiring, pay, and benefits, the impact of lower productivity, and costs to maintain safe workplaces.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expect the fulfillment network capacity and supply chain constraints, effects of changes in demand among product categories, elevated collection risk in our accounts receivable, and increased cost of sales and fulfillment costs as a percentage of net sales to continue into all or portions of Q3 2020. However, it is not possible to determine the duration and scope of the pandemic, including any recurrence, the actions taken in response to the pandemic, the scale and rate of economic recovery from the pandemic, any ongoing effects on consumer demand and spending patterns, or other impacts of the pandemic, and whether these or other currently unanticipated consequences of the pandemic are reasonably likely to materially affect our results of operations.</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502"/>
        <w:gridCol w:w="36"/>
        <w:gridCol w:w="135"/>
        <w:gridCol w:w="615"/>
        <w:gridCol w:w="202"/>
        <w:gridCol w:w="36"/>
        <w:gridCol w:w="36"/>
        <w:gridCol w:w="36"/>
        <w:gridCol w:w="135"/>
        <w:gridCol w:w="615"/>
        <w:gridCol w:w="202"/>
        <w:gridCol w:w="36"/>
        <w:gridCol w:w="36"/>
        <w:gridCol w:w="36"/>
        <w:gridCol w:w="135"/>
        <w:gridCol w:w="715"/>
        <w:gridCol w:w="202"/>
        <w:gridCol w:w="36"/>
        <w:gridCol w:w="36"/>
        <w:gridCol w:w="36"/>
        <w:gridCol w:w="135"/>
        <w:gridCol w:w="715"/>
        <w:gridCol w:w="202"/>
        <w:gridCol w:w="36"/>
        <w:gridCol w:w="36"/>
        <w:gridCol w:w="36"/>
        <w:gridCol w:w="36"/>
        <w:gridCol w:w="36"/>
        <w:gridCol w:w="36"/>
        <w:gridCol w:w="36"/>
        <w:gridCol w:w="36"/>
        <w:gridCol w:w="36"/>
        <w:gridCol w:w="36"/>
        <w:gridCol w:w="36"/>
        <w:gridCol w:w="36"/>
      </w:tblGrid>
      <w:tr>
        <w:trPr>
          <w:gridAfter w:val="12"/>
          <w:wAfter w:w="444" w:type="dxa"/>
        </w:trPr>
        <w:tc>
          <w:tcPr>
            <w:tcW w:w="50" w:type="pct"/>
            <w:shd w:val="clear" w:color="auto" w:fill="auto"/>
            <w:vAlign w:val="top"/>
          </w:tcPr>
          <w:p>
            <w:pPr>
              <w:rPr>
                <w:rFonts w:hint="eastAsia" w:ascii="宋体"/>
                <w:sz w:val="24"/>
                <w:szCs w:val="24"/>
              </w:rPr>
            </w:pPr>
          </w:p>
        </w:tc>
        <w:tc>
          <w:tcPr>
            <w:tcW w:w="251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38,653 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74,465 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101,563 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16,370 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22,668 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32,563 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41,774 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8,381 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10,808 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16,076 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21,027 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88,912 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123,104 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164,364 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Sales increased 40% in Q2 2020 and 34% for the six months ended June 30, 2020 compared to the comparable prior year periods. Changes in foreign currency exchange rates impacted net sales by $(582) million for Q2 2020 and by $(969) million for the six months ended June 30, 2020. For a discussion of the effect on sales growth of foreign exchange rates, see “Effect of Foreign Exchange Rates” below.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North America sales increased 43% in Q2 2020, and 36% for the six months ended June 30, 2020 compared to the comparable prior year periods. The sales growth primarily reflects increased unit sales, including sales by third-party sellers. Increased unit sales were driven </w:t>
      </w:r>
      <w:r>
        <w:rPr>
          <w:rFonts w:hint="default" w:ascii="Times New Roman" w:hAnsi="Times New Roman" w:eastAsia="宋体" w:cs="Times New Roman"/>
          <w:color w:val="000000"/>
          <w:sz w:val="20"/>
          <w:szCs w:val="20"/>
          <w:shd w:val="clear" w:fill="FFFFFF"/>
        </w:rPr>
        <w:t>largely by our continued efforts to reduce prices for our customers, including from our shipping offers, and increased demand, including for household staples and other essential and home products, partially offset by moderated orders of certain products and fulfillment network capacity and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International sales increased 38% in Q2 2020 and 28% for the six months ended June 30, 2020 compared to the comparable prior year periods. The sales growth primarily reflects increased unit sales, including sales by third-party sellers. Increased unit sales were driven largely by our continued efforts to reduce prices for our customers, including from our shipping offers, and increased demand, including for household staples and other essential and home products, partially offset by moderated orders of certain products and fulfillment network capacity and supply chain constraints. Changes in foreign currency exchange rates impacted International net sales by $(446) million for Q2 2020, and by $(806) million for the six months ended June 30,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29% in Q2 2020 and 31% for the six months ended June 30, 2020 compared to the comparable prior year periods.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3935"/>
        <w:gridCol w:w="37"/>
        <w:gridCol w:w="135"/>
        <w:gridCol w:w="700"/>
        <w:gridCol w:w="85"/>
        <w:gridCol w:w="36"/>
        <w:gridCol w:w="36"/>
        <w:gridCol w:w="36"/>
        <w:gridCol w:w="135"/>
        <w:gridCol w:w="662"/>
        <w:gridCol w:w="85"/>
        <w:gridCol w:w="36"/>
        <w:gridCol w:w="36"/>
        <w:gridCol w:w="36"/>
        <w:gridCol w:w="135"/>
        <w:gridCol w:w="662"/>
        <w:gridCol w:w="85"/>
        <w:gridCol w:w="36"/>
        <w:gridCol w:w="36"/>
        <w:gridCol w:w="36"/>
        <w:gridCol w:w="135"/>
        <w:gridCol w:w="662"/>
        <w:gridCol w:w="85"/>
        <w:gridCol w:w="36"/>
        <w:gridCol w:w="36"/>
        <w:gridCol w:w="36"/>
        <w:gridCol w:w="36"/>
        <w:gridCol w:w="36"/>
        <w:gridCol w:w="36"/>
        <w:gridCol w:w="36"/>
        <w:gridCol w:w="37"/>
        <w:gridCol w:w="37"/>
        <w:gridCol w:w="37"/>
        <w:gridCol w:w="37"/>
        <w:gridCol w:w="37"/>
      </w:tblGrid>
      <w:tr>
        <w:trPr>
          <w:gridAfter w:val="12"/>
          <w:wAfter w:w="444" w:type="dxa"/>
        </w:trPr>
        <w:tc>
          <w:tcPr>
            <w:tcW w:w="50" w:type="pct"/>
            <w:shd w:val="clear" w:color="auto" w:fill="auto"/>
            <w:vAlign w:val="top"/>
          </w:tcPr>
          <w:p>
            <w:pPr>
              <w:rPr>
                <w:rFonts w:hint="eastAsia" w:ascii="宋体"/>
                <w:sz w:val="24"/>
                <w:szCs w:val="24"/>
              </w:rPr>
            </w:pPr>
          </w:p>
        </w:tc>
        <w:tc>
          <w:tcPr>
            <w:tcW w:w="251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3,851 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(690)</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3,357 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7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3,084 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5,843 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7,504 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9,832 </w:t>
            </w:r>
          </w:p>
        </w:tc>
        <w:tc>
          <w:tcPr>
            <w:tcW w:w="0" w:type="auto"/>
            <w:tcBorders>
              <w:top w:val="single" w:color="000000" w:sz="8"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increased from $3.1 billion in Q2 2019 to $5.8 billion in Q2 2020, and increased from $7.5 billion for the six months ended June 30, 2019, to $9.8 billion for the six months ended June 30, 2020. We believe that operating income (loss) is a more meaningful measure than gross profit and gross margin due to the diversity of our product catego</w:t>
      </w:r>
      <w:r>
        <w:rPr>
          <w:rFonts w:hint="default" w:ascii="Times New Roman" w:hAnsi="Times New Roman" w:eastAsia="宋体" w:cs="Times New Roman"/>
          <w:color w:val="000000"/>
          <w:sz w:val="20"/>
          <w:szCs w:val="20"/>
          <w:shd w:val="clear" w:fill="FFFFFF"/>
        </w:rPr>
        <w:t>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The increase in North America operating income in absolute dollars in Q2 2020, compared to the comparable prior year period, is primarily due to increased unit sales, including sales by third-party sellers, and advertising sales and slower growth in certain operating expenses, partially offset by increased shipping and fulfillment costs due in part to COVID-19. The decrease in North America operating income in absolute dollars for the six months ended June 30, 2020, compared to the comparable prior year period, is primarily due to increased shipping and fulfillment costs due in part to COVID-19, par</w:t>
      </w:r>
      <w:r>
        <w:rPr>
          <w:rFonts w:hint="default" w:ascii="Times New Roman" w:hAnsi="Times New Roman" w:eastAsia="宋体" w:cs="Times New Roman"/>
          <w:color w:val="000000"/>
          <w:sz w:val="20"/>
          <w:szCs w:val="20"/>
        </w:rPr>
        <w:t>tially offset by increased unit sales, including sales by third-party sellers, and advertising sales and slower growth in certain operating expenses. We expect North America operating income to continue to be negatively impacted through at least Q3 2020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International operating income in Q2 2020, as compared to the operating loss in the comparable prior year period, is primarily due to increased unit sales, including sales by third-party sellers, and advertising sales </w:t>
      </w:r>
      <w:r>
        <w:rPr>
          <w:rFonts w:hint="default" w:ascii="Times New Roman" w:hAnsi="Times New Roman" w:eastAsia="宋体" w:cs="Times New Roman"/>
          <w:color w:val="000000"/>
          <w:sz w:val="20"/>
          <w:szCs w:val="20"/>
          <w:shd w:val="clear" w:fill="FFFFFF"/>
        </w:rPr>
        <w:t>and slower growth in certain operating expenses,</w:t>
      </w:r>
      <w:r>
        <w:rPr>
          <w:rFonts w:hint="default" w:ascii="Times New Roman" w:hAnsi="Times New Roman" w:eastAsia="宋体" w:cs="Times New Roman"/>
          <w:color w:val="000000"/>
          <w:sz w:val="20"/>
          <w:szCs w:val="20"/>
        </w:rPr>
        <w:t xml:space="preserve"> partially offset by increased shipp</w:t>
      </w:r>
      <w:r>
        <w:rPr>
          <w:rFonts w:hint="default" w:ascii="Times New Roman" w:hAnsi="Times New Roman" w:eastAsia="宋体" w:cs="Times New Roman"/>
          <w:color w:val="000000"/>
          <w:sz w:val="20"/>
          <w:szCs w:val="20"/>
          <w:shd w:val="clear" w:fill="FFFFFF"/>
        </w:rPr>
        <w:t xml:space="preserve">ing and fulfillment costs due in part to COVID-19. The decrease in International operating loss in absolute dollars for the six months ended June 30, 2020, compared to the comparable prior year period, is primarily due to increased unit sales, including sales by third-party sellers, and advertising sales and slower growth in certain operating expenses, partially offset by increased shipping and fulfillment costs due in part to COVID-19. </w:t>
      </w:r>
      <w:r>
        <w:rPr>
          <w:rFonts w:hint="default" w:ascii="Times New Roman" w:hAnsi="Times New Roman" w:eastAsia="宋体" w:cs="Times New Roman"/>
          <w:color w:val="000000"/>
          <w:sz w:val="20"/>
          <w:szCs w:val="20"/>
        </w:rPr>
        <w:t>We expect International operating income to continue to be negatively impacted through at least Q3 2020 by COVID-19 related costs. Changes in foreign exchange rates impacted operating income (loss) by $32 million for Q2 2020, and by $28 million for the six months ended June 30,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Q2 2020 and for the six months ended June 30, 2020, compared to the comparable prior year periods, is primarily due to increased customer usage and cost structure productivity, including a reduction in depreciation and amortization expense from our change in the estimated useful life of our servers, partially offset by increased spending on technology infrastructure and payroll and related expenses, bo</w:t>
      </w:r>
      <w:r>
        <w:rPr>
          <w:rFonts w:hint="default" w:ascii="Times New Roman" w:hAnsi="Times New Roman" w:eastAsia="宋体" w:cs="Times New Roman"/>
          <w:color w:val="000000"/>
          <w:sz w:val="20"/>
          <w:szCs w:val="20"/>
          <w:shd w:val="clear" w:fill="FFFFFF"/>
        </w:rPr>
        <w:t>th of which were primarily driven by additional investments to support the business growth, and reduced prices for our customers</w:t>
      </w:r>
      <w:r>
        <w:rPr>
          <w:rFonts w:hint="default" w:ascii="Times New Roman" w:hAnsi="Times New Roman" w:eastAsia="宋体" w:cs="Times New Roman"/>
          <w:color w:val="000000"/>
          <w:sz w:val="20"/>
          <w:szCs w:val="20"/>
        </w:rPr>
        <w:t>. Changes in foreign exchange rates impacted operating income by $83 million for Q2 2020, and by $146 million for the six months ended June 30, 2020.</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502"/>
        <w:gridCol w:w="36"/>
        <w:gridCol w:w="135"/>
        <w:gridCol w:w="615"/>
        <w:gridCol w:w="202"/>
        <w:gridCol w:w="36"/>
        <w:gridCol w:w="36"/>
        <w:gridCol w:w="36"/>
        <w:gridCol w:w="135"/>
        <w:gridCol w:w="615"/>
        <w:gridCol w:w="202"/>
        <w:gridCol w:w="36"/>
        <w:gridCol w:w="36"/>
        <w:gridCol w:w="36"/>
        <w:gridCol w:w="135"/>
        <w:gridCol w:w="715"/>
        <w:gridCol w:w="202"/>
        <w:gridCol w:w="36"/>
        <w:gridCol w:w="36"/>
        <w:gridCol w:w="36"/>
        <w:gridCol w:w="135"/>
        <w:gridCol w:w="715"/>
        <w:gridCol w:w="202"/>
        <w:gridCol w:w="36"/>
        <w:gridCol w:w="36"/>
        <w:gridCol w:w="36"/>
        <w:gridCol w:w="36"/>
        <w:gridCol w:w="36"/>
        <w:gridCol w:w="36"/>
        <w:gridCol w:w="36"/>
        <w:gridCol w:w="36"/>
        <w:gridCol w:w="36"/>
        <w:gridCol w:w="36"/>
        <w:gridCol w:w="36"/>
        <w:gridCol w:w="36"/>
      </w:tblGrid>
      <w:tr>
        <w:trPr>
          <w:gridAfter w:val="12"/>
          <w:wAfter w:w="444" w:type="dxa"/>
        </w:trPr>
        <w:tc>
          <w:tcPr>
            <w:tcW w:w="50" w:type="pct"/>
            <w:shd w:val="clear" w:color="auto" w:fill="auto"/>
            <w:vAlign w:val="top"/>
          </w:tcPr>
          <w:p>
            <w:pPr>
              <w:rPr>
                <w:rFonts w:hint="eastAsia" w:ascii="宋体"/>
                <w:sz w:val="24"/>
                <w:szCs w:val="24"/>
              </w:rPr>
            </w:pPr>
          </w:p>
        </w:tc>
        <w:tc>
          <w:tcPr>
            <w:tcW w:w="251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36,337 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52,660 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70,257 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96,917 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13,806 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17,872 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25,337 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10,388 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16,991 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19,713 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4,291 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4,345 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7,955 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9,173 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1,580 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2,444 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36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60,320 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83,069 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115,600 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154,532 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1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Q2 2020 and for the six months ended June 30, 2020, compared to the comparable prior year periods, is primarily due to increased product and shipping costs resulting from increased sales. We expect cost of sales as a percentage of net sales to continue to be negatively impacted through at least Q3 2020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$8.1 billion and $13.7 billion in Q2 2019 and Q2 2020, and $15.5 billion and $24.6 billion for the six months ended June 30, 2019 and 2020. We expect our cost of shipping to continue to increase to the extent our customers accept and use our shipping offers at an increasing rate, we reduce shipping rates,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because payment processing costs associated with seller transactions are based on the gross purchase price of underlying transactions, and payment processing and related transaction costs are higher as a percentage of sales versus our retail sales, sales by our sellers have higher payment processing costs as a percent of 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Q2 2020 and for the six months ended June 30, 2020, compared to the comparable prior year periods, is primarily due to variable costs corresponding with increased product and service sales volume and inventory levels, costs from expanding our fulfillment network, increased employee hiring, pay, and benefits, the impact of lower productivity, and costs to maintain safe workplaces. We expect fulfillment costs as a percentage of net sales to continue to be negatively impacted through at least Q3 2020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Q2 2020 and for the six months ended June 30, 2020, compared to the comparable prior year periods, is primarily due to increased payroll and related costs associated with technical teams responsible for expanding our existing products and services and initiatives to introduce new products and service offerings and an increase in spending on technology infrastructure, offset by a reduction in depreciation and amortization expense from our change in the estimated useful life of our servers. See Item 7 of Part II, “Management’s Discussion and Analysis of Financial Condition and Results of Operations — Overview” of our 2019 Annual Report on Form 10-K for a discussion of how management views advances in technology and the importance of innovation. See Item 1 of Part I, “Financial Statements — Note 1 — Accounting Policies and Supplemental Disclosures — Use of Estimates” for additional information on our change in the estimated useful life of our servers.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marketing costs in absolute dollars in Q2 2020 and for the six months ended June 30, 2020, compared to the comparable prior year periods, is primarily due to increased payroll and related expenses for personnel engaged in marketing and selling activities, partially offset by lower spending on marketing channels as a result of COVID-19. We expect marketing costs as a percentage of net sales to continue to be favorably impacted through at least Q3 2020 by COVID-19.</w:t>
      </w:r>
    </w:p>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memberships and other shipping offers are not included in marketing expense, we view these offers as effective worldwide marketing tools, and intend to continue offering them indefinitely.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Q2 2020 and for the six months ended June 30, 2020, compared to the comparable prior year periods, is primarily due to increases in payroll and related expenses.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$86 million and $290 million for Q2 2019 and Q2 2020, and $81 million and $360 million for the six months ended June 30, 2019 and 2020, and was primarily related to a lease impairment in Q2 2020 and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$215 million and $135 million during Q2 2019 and Q2 2020, and $398 million and $337 million for the six months ended June 30, 2019 and 2020.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$383 million and $403 million during Q2 2019 and Q2 2020, and $749 million and $805 million for the six months ended June 30, 2019 and 2020,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$(27) million and $646 million during Q2 2019 and Q2 2020, and $138 million and $240 million for the six months ended June 30, 2019 and 2020. The primary components of other income (expense), net are related to warrant and equity securities valuations and foreign currency.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2020,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six months ended June 30, 2019 and 2020 were $1.1 billion and $1.7 billion, which included $706 million and $831 million of net discrete tax benefits primarily attributable to excess tax benefits from stock-based compensation.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June 30, 2019 and 2020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8"/>
        <w:gridCol w:w="5789"/>
        <w:gridCol w:w="49"/>
        <w:gridCol w:w="135"/>
        <w:gridCol w:w="737"/>
        <w:gridCol w:w="85"/>
        <w:gridCol w:w="36"/>
        <w:gridCol w:w="36"/>
        <w:gridCol w:w="36"/>
        <w:gridCol w:w="135"/>
        <w:gridCol w:w="712"/>
        <w:gridCol w:w="85"/>
        <w:gridCol w:w="36"/>
        <w:gridCol w:w="36"/>
        <w:gridCol w:w="36"/>
        <w:gridCol w:w="36"/>
        <w:gridCol w:w="36"/>
        <w:gridCol w:w="36"/>
      </w:tblGrid>
      <w:tr>
        <w:trPr>
          <w:gridAfter w:val="6"/>
          <w:wAfter w:w="216" w:type="dxa"/>
        </w:trPr>
        <w:tc>
          <w:tcPr>
            <w:tcW w:w="50" w:type="pct"/>
            <w:shd w:val="clear" w:color="auto" w:fill="auto"/>
            <w:vAlign w:val="top"/>
          </w:tcPr>
          <w:p>
            <w:pPr>
              <w:rPr>
                <w:rFonts w:hint="eastAsia" w:ascii="宋体"/>
                <w:sz w:val="24"/>
                <w:szCs w:val="24"/>
              </w:rPr>
            </w:pPr>
          </w:p>
        </w:tc>
        <w:tc>
          <w:tcPr>
            <w:tcW w:w="369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36,029 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25,018 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31,852 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30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(24,816)</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(8,665)</w:t>
            </w:r>
          </w:p>
        </w:tc>
        <w:tc>
          <w:tcPr>
            <w:tcW w:w="0" w:type="auto"/>
            <w:tcBorders>
              <w:top w:val="double" w:color="000000" w:sz="6"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tcBorders>
              <w:top w:val="double" w:color="000000" w:sz="6"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June 30, 2019 and 2020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8"/>
        <w:gridCol w:w="5789"/>
        <w:gridCol w:w="49"/>
        <w:gridCol w:w="135"/>
        <w:gridCol w:w="737"/>
        <w:gridCol w:w="85"/>
        <w:gridCol w:w="36"/>
        <w:gridCol w:w="36"/>
        <w:gridCol w:w="36"/>
        <w:gridCol w:w="135"/>
        <w:gridCol w:w="712"/>
        <w:gridCol w:w="85"/>
        <w:gridCol w:w="36"/>
        <w:gridCol w:w="36"/>
        <w:gridCol w:w="36"/>
        <w:gridCol w:w="36"/>
        <w:gridCol w:w="36"/>
        <w:gridCol w:w="36"/>
      </w:tblGrid>
      <w:tr>
        <w:trPr>
          <w:gridAfter w:val="6"/>
          <w:wAfter w:w="216" w:type="dxa"/>
        </w:trPr>
        <w:tc>
          <w:tcPr>
            <w:tcW w:w="50" w:type="pct"/>
            <w:shd w:val="clear" w:color="auto" w:fill="auto"/>
            <w:vAlign w:val="top"/>
          </w:tcPr>
          <w:p>
            <w:pPr>
              <w:rPr>
                <w:rFonts w:hint="eastAsia" w:ascii="宋体"/>
                <w:sz w:val="24"/>
                <w:szCs w:val="24"/>
              </w:rPr>
            </w:pPr>
          </w:p>
        </w:tc>
        <w:tc>
          <w:tcPr>
            <w:tcW w:w="369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36,029 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25,018 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31,852 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(8,693)</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(10,504)</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16,114 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21,292 </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300" w:hRule="atLeast"/>
        </w:trPr>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(24,816)</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tcBorders>
              <w:top w:val="single" w:color="000000" w:sz="8"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(8,665)</w:t>
            </w:r>
          </w:p>
        </w:tc>
        <w:tc>
          <w:tcPr>
            <w:tcW w:w="0" w:type="auto"/>
            <w:tcBorders>
              <w:top w:val="double" w:color="000000" w:sz="6"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tcBorders>
              <w:top w:val="double" w:color="000000" w:sz="6" w:space="0"/>
              <w:bottom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June 30, 2019 and 2020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010"/>
        <w:gridCol w:w="52"/>
        <w:gridCol w:w="135"/>
        <w:gridCol w:w="733"/>
        <w:gridCol w:w="85"/>
        <w:gridCol w:w="36"/>
        <w:gridCol w:w="36"/>
        <w:gridCol w:w="36"/>
        <w:gridCol w:w="135"/>
        <w:gridCol w:w="709"/>
        <w:gridCol w:w="85"/>
        <w:gridCol w:w="36"/>
        <w:gridCol w:w="36"/>
        <w:gridCol w:w="37"/>
        <w:gridCol w:w="37"/>
        <w:gridCol w:w="37"/>
        <w:gridCol w:w="37"/>
      </w:tblGrid>
      <w:tr>
        <w:trPr>
          <w:gridAfter w:val="6"/>
          <w:wAfter w:w="216" w:type="dxa"/>
        </w:trPr>
        <w:tc>
          <w:tcPr>
            <w:tcW w:w="50" w:type="pct"/>
            <w:shd w:val="clear" w:color="auto" w:fill="auto"/>
            <w:vAlign w:val="top"/>
          </w:tcPr>
          <w:p>
            <w:pPr>
              <w:rPr>
                <w:rFonts w:hint="eastAsia" w:ascii="宋体"/>
                <w:sz w:val="24"/>
                <w:szCs w:val="24"/>
              </w:rPr>
            </w:pPr>
          </w:p>
        </w:tc>
        <w:tc>
          <w:tcPr>
            <w:tcW w:w="3723"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2019</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36,029 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51,220 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(19,368)</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25,018 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31,852 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(11,656)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(11,952)</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(415)</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12,975 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19,429 </w:t>
            </w:r>
          </w:p>
        </w:tc>
        <w:tc>
          <w:tcPr>
            <w:tcW w:w="0" w:type="auto"/>
            <w:tcBorders>
              <w:top w:val="double" w:color="000000" w:sz="6"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trHeight w:val="300" w:hRule="atLeast"/>
        </w:trPr>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3"/>
            <w:tcBorders>
              <w:top w:val="double" w:color="000000" w:sz="6" w:space="0"/>
            </w:tcBorders>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(24,816)</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(35,308)</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(8,665)</w:t>
            </w:r>
          </w:p>
        </w:tc>
        <w:tc>
          <w:tcPr>
            <w:tcW w:w="0" w:type="auto"/>
            <w:tcBorders>
              <w:top w:val="double" w:color="000000" w:sz="6"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w:t>
            </w:r>
          </w:p>
        </w:tc>
        <w:tc>
          <w:tcPr>
            <w:tcW w:w="0" w:type="auto"/>
            <w:tcBorders>
              <w:top w:val="double" w:color="000000" w:sz="6" w:space="0"/>
              <w:bottom w:val="double" w:color="000000" w:sz="6" w:space="0"/>
            </w:tcBorders>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June 30, 2019 and 2020, this amount relates to equipment included in “Property and equipment acquired under finance leases” of $11,944 million and $13,110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June 30, 2019 and 2020, this amount relates to property included in “Principal repayments of finance leases” of $8,693 million and $10,504 million.</w:t>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
        <w:gridCol w:w="458"/>
        <w:gridCol w:w="58"/>
        <w:gridCol w:w="101"/>
        <w:gridCol w:w="414"/>
        <w:gridCol w:w="67"/>
        <w:gridCol w:w="35"/>
        <w:gridCol w:w="35"/>
        <w:gridCol w:w="35"/>
        <w:gridCol w:w="101"/>
        <w:gridCol w:w="420"/>
        <w:gridCol w:w="89"/>
        <w:gridCol w:w="36"/>
        <w:gridCol w:w="36"/>
        <w:gridCol w:w="36"/>
        <w:gridCol w:w="102"/>
        <w:gridCol w:w="415"/>
        <w:gridCol w:w="68"/>
        <w:gridCol w:w="36"/>
        <w:gridCol w:w="36"/>
        <w:gridCol w:w="36"/>
        <w:gridCol w:w="102"/>
        <w:gridCol w:w="415"/>
        <w:gridCol w:w="68"/>
        <w:gridCol w:w="36"/>
        <w:gridCol w:w="36"/>
        <w:gridCol w:w="36"/>
        <w:gridCol w:w="102"/>
        <w:gridCol w:w="421"/>
        <w:gridCol w:w="89"/>
        <w:gridCol w:w="36"/>
        <w:gridCol w:w="36"/>
        <w:gridCol w:w="36"/>
        <w:gridCol w:w="102"/>
        <w:gridCol w:w="415"/>
        <w:gridCol w:w="68"/>
        <w:gridCol w:w="36"/>
        <w:gridCol w:w="36"/>
        <w:gridCol w:w="36"/>
        <w:gridCol w:w="102"/>
        <w:gridCol w:w="482"/>
        <w:gridCol w:w="68"/>
        <w:gridCol w:w="36"/>
        <w:gridCol w:w="36"/>
        <w:gridCol w:w="36"/>
        <w:gridCol w:w="102"/>
        <w:gridCol w:w="421"/>
        <w:gridCol w:w="89"/>
        <w:gridCol w:w="36"/>
        <w:gridCol w:w="36"/>
        <w:gridCol w:w="36"/>
        <w:gridCol w:w="102"/>
        <w:gridCol w:w="482"/>
        <w:gridCol w:w="68"/>
        <w:gridCol w:w="36"/>
        <w:gridCol w:w="36"/>
        <w:gridCol w:w="36"/>
        <w:gridCol w:w="102"/>
        <w:gridCol w:w="482"/>
        <w:gridCol w:w="68"/>
        <w:gridCol w:w="36"/>
        <w:gridCol w:w="36"/>
        <w:gridCol w:w="595"/>
      </w:tblGrid>
      <w:tr>
        <w:tc>
          <w:tcPr>
            <w:tcW w:w="50" w:type="pct"/>
            <w:shd w:val="clear" w:color="auto" w:fill="auto"/>
            <w:vAlign w:val="top"/>
          </w:tcPr>
          <w:p>
            <w:pPr>
              <w:rPr>
                <w:rFonts w:hint="eastAsia" w:ascii="宋体"/>
                <w:sz w:val="24"/>
                <w:szCs w:val="24"/>
              </w:rPr>
            </w:pPr>
          </w:p>
        </w:tc>
        <w:tc>
          <w:tcPr>
            <w:tcW w:w="40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Three Months Ended June 30,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vAlign w:val="top"/>
          </w:tcPr>
          <w:p>
            <w:pPr>
              <w:rPr>
                <w:rFonts w:hint="eastAsia" w:ascii="宋体"/>
                <w:vanish/>
                <w:sz w:val="24"/>
                <w:szCs w:val="24"/>
              </w:rPr>
            </w:pPr>
          </w:p>
        </w:tc>
        <w:tc>
          <w:tcPr>
            <w:tcW w:w="0" w:type="auto"/>
            <w:shd w:val="clear" w:color="auto" w:fill="auto"/>
            <w:vAlign w:val="top"/>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Six Months Ended June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2019</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2020</w:t>
            </w: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2019</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2020</w:t>
            </w: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2"/>
            <w:tcBorders>
              <w:top w:val="single" w:color="000000" w:sz="8" w:space="0"/>
            </w:tcBorders>
            <w:shd w:val="clear" w:color="auto" w:fill="auto"/>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Net sales</w:t>
            </w: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63,404 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814 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64,218 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88,912 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582 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tcBorders>
              <w:top w:val="single" w:color="000000" w:sz="8" w:space="0"/>
            </w:tcBorders>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89,494 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123,104 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1,940 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125,044 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164,364 </w:t>
            </w:r>
          </w:p>
        </w:tc>
        <w:tc>
          <w:tcPr>
            <w:tcW w:w="0" w:type="auto"/>
            <w:tcBorders>
              <w:top w:val="single" w:color="000000" w:sz="8" w:space="0"/>
            </w:tcBorders>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2"/>
            <w:shd w:val="clear" w:color="auto" w:fill="CCEEFF"/>
            <w:tcMar>
              <w:left w:w="20" w:type="dxa"/>
              <w:right w:w="20" w:type="dxa"/>
            </w:tcMar>
            <w:vAlign w:val="bottom"/>
          </w:tcPr>
          <w:p>
            <w:pPr>
              <w:jc w:val="left"/>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969 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165,333 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60,320 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872 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61,192 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83,069 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693 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83,762 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115,600 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2,082 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117,682 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FFFFFF"/>
            <w:tcMar>
              <w:left w:w="20" w:type="dxa"/>
              <w:right w:w="20" w:type="dxa"/>
            </w:tcMar>
            <w:vAlign w:val="bottom"/>
          </w:tcPr>
          <w:p>
            <w:pPr>
              <w:jc w:val="left"/>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154,532 </w:t>
            </w:r>
          </w:p>
        </w:tc>
        <w:tc>
          <w:tcPr>
            <w:tcW w:w="0" w:type="auto"/>
            <w:shd w:val="clear" w:color="auto" w:fill="FFFF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2"/>
            <w:shd w:val="clear" w:color="auto" w:fill="FFFFFF"/>
            <w:tcMar>
              <w:left w:w="20" w:type="dxa"/>
              <w:right w:w="20" w:type="dxa"/>
            </w:tcMar>
            <w:vAlign w:val="bottom"/>
          </w:tcPr>
          <w:p>
            <w:pPr>
              <w:jc w:val="left"/>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1,144 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155,676 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3,084 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(58)</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3,026 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5,843 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(111)</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5,732 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7,504 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(142)</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7,362 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3"/>
            <w:shd w:val="clear" w:color="auto" w:fill="CCEEFF"/>
            <w:tcMar>
              <w:left w:w="20" w:type="dxa"/>
              <w:right w:w="20" w:type="dxa"/>
            </w:tcMar>
            <w:vAlign w:val="bottom"/>
          </w:tcPr>
          <w:p>
            <w:pPr>
              <w:jc w:val="left"/>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9,832 </w:t>
            </w:r>
          </w:p>
        </w:tc>
        <w:tc>
          <w:tcPr>
            <w:tcW w:w="0" w:type="auto"/>
            <w:shd w:val="clear" w:color="auto" w:fill="CCEEFF"/>
            <w:tcMar>
              <w:top w:w="4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c>
          <w:tcPr>
            <w:tcW w:w="0" w:type="auto"/>
            <w:gridSpan w:val="2"/>
            <w:shd w:val="clear" w:color="auto" w:fill="CCEEFF"/>
            <w:tcMar>
              <w:left w:w="20" w:type="dxa"/>
              <w:right w:w="20" w:type="dxa"/>
            </w:tcMar>
            <w:vAlign w:val="bottom"/>
          </w:tcPr>
          <w:p>
            <w:pPr>
              <w:jc w:val="left"/>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(175)</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9,657 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provided guidance on July 30, 2020, in our earnings release furnished on Form 8-K as set forth below. These forward-looking statements reflect Amazon.com’s expectations as of July 30, 2020,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w:t>
      </w:r>
      <w:r>
        <w:rPr>
          <w:rFonts w:hint="default" w:ascii="Times New Roman" w:hAnsi="Times New Roman" w:eastAsia="宋体" w:cs="Times New Roman"/>
          <w:color w:val="000000"/>
          <w:sz w:val="20"/>
          <w:szCs w:val="20"/>
          <w:shd w:val="clear" w:fill="FFFFFF"/>
        </w:rPr>
        <w:t xml:space="preserve">e outlined in Item 1A of Part II, “Risk Factors.” This guidance reflects our estimates as of </w:t>
      </w:r>
      <w:r>
        <w:rPr>
          <w:rFonts w:hint="default" w:ascii="Times New Roman" w:hAnsi="Times New Roman" w:eastAsia="宋体" w:cs="Times New Roman"/>
          <w:color w:val="000000"/>
          <w:sz w:val="20"/>
          <w:szCs w:val="20"/>
        </w:rPr>
        <w:t>July 30, 2020</w:t>
      </w:r>
      <w:r>
        <w:rPr>
          <w:rFonts w:hint="default" w:ascii="Times New Roman" w:hAnsi="Times New Roman" w:eastAsia="宋体" w:cs="Times New Roman"/>
          <w:color w:val="000000"/>
          <w:sz w:val="20"/>
          <w:szCs w:val="20"/>
          <w:shd w:val="clear" w:fill="FFFFFF"/>
        </w:rPr>
        <w:t xml:space="preserve"> </w:t>
      </w:r>
      <w:r>
        <w:rPr>
          <w:rFonts w:hint="default" w:ascii="Times New Roman" w:hAnsi="Times New Roman" w:eastAsia="宋体" w:cs="Times New Roman"/>
          <w:color w:val="000000"/>
          <w:sz w:val="20"/>
          <w:szCs w:val="20"/>
        </w:rPr>
        <w:t>regarding the impact of the COVID-19 pandemic on our operations, including those discussed above, and is highly dependent on numerous factors that we may not be able to predict or control, including: the duration and scope of the pandemic, including any recurrence; actions taken by governments, businesses, and individuals in response to the pandemic; the impact of the pandemic on global and regional economies and economic activity, workforce staffing and productivity, and our significant and continuing spending on employee safety measures; our ability to continue operations in affected areas; and consumer demand and spending patterns, as well as the effects on suppliers, creditors, and third-party sellers, all of which are uncertain. This guidance also assumes the impacts on consumer demand and spending patterns, including impacts due to concerns over the current economic outlook, will be in line with those experienced during the third quarter to date, and the additional assumptions set forth below. However, it is not possible to determine the ultimate impact on our operations for the third quarter, or whether other currently unanticipated direct or indirect consequences of the pandemic are reasonably likely to materially affect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Third Quarter 2020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•Net sales are expected to be between $87.0 billion and $93.0 billion, or to grow between 24% and 33% compared with third quarter 2019. This guidance anticipates an unfavorable impact of approximately 20 basis points from foreign exchange rates.</w:t>
      </w:r>
      <w:r>
        <w:rPr>
          <w:rFonts w:hint="default" w:ascii="Times New Roman" w:hAnsi="Times New Roman" w:eastAsia="宋体" w:cs="Times New Roman"/>
          <w:color w:val="000000"/>
          <w:sz w:val="20"/>
          <w:szCs w:val="20"/>
          <w:shd w:val="clear" w:fill="FFFFFF"/>
        </w:rPr>
        <w:t xml:space="preserve">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 xml:space="preserve">•Operating income is expected to be between $2.0 billion and $5.0 billion, compared with $3.2 billion in third quarter 2019. This guidance assumes more than $2.0 billion of costs related to COVID-19.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•This guidance assumes, among other things, that no additional business acquisitions, investments, restructurings, or legal settlements are concluded.</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Q2 2020, net sales from our International segment accounted for 26%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Q2 2020 decreased by $446 million in comparison with Q2 2019.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June 30, 2020, of $16.0 billion, an assumed 5%, 10%, and 20% adverse change to foreign exchange would result in fair value declines of $800 million, $1.6 billion, and $3.2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June 30, 2020, an assumed 5%, 10%, and 20% adverse change to foreign exchange rates would result in losses of $215 million, $430 million, and $860 million,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June 30, 2020, our recorded value in equity and equity warrant investments in public and private companies was $3.7 billion. Our equity and equity warrant investments in publicly traded companies represent $1.1 billion of our investments as of June 30, 2020,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16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revenue growth may not be sustainable, and our percentage growth rates may decrease. Our revenue and operating profit growth depends on the continued growth of demand for the products and services offered by us or our sellers, and our </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as well as increases in the prices of other energy products and commodities like paper and packing supplies and hardware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•disruptions from natural or man-made disasters, extreme weather,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consumer and data protection, privacy, network security, encryption,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The Seasonality of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e-commerce services agreements, other commercial agreements, and strategic alliances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regulatory action (including under privacy or data protection laws), and potential liability for us, deter customers or sellers from using our </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information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general business regulations and laws, as well as regulations and laws specifically governing the Internet, physical, e-commerce, and omnichannel retail, digital content, web services, electronic devices, artificial intelligence technologies and services, and other products and services that we offer or sell. These regulations and laws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data protection, and personal privacy apply to aspects of our operations such as the Internet, e-commerce, digital content, web services, electronic devices,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the European Commission announced that it has opened an investigation to assess whether aspects of our operations with marketplace sellers violate EU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property matters, taxes, labor and employment, competition and antitrust, privacy and data protection,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provide for termination by the government at any time, without cause.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increase our exposure to product liability claims, such as when these sellers do not have sufficient protection from such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jc w:val="left"/>
      </w:pPr>
      <w:r>
        <w:rPr>
          <w:rFonts w:hint="default" w:ascii="Times New Roman" w:hAnsi="Times New Roman" w:eastAsia="宋体" w:cs="Times New Roman"/>
          <w:i/>
          <w:iCs/>
          <w:color w:val="000000"/>
          <w:sz w:val="20"/>
          <w:szCs w:val="20"/>
        </w:rPr>
        <w:t>Disclosure Pursuant to Section 13(r) of the Exchange Act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determined that, between January 2012 and June 2020, we processed and delivered orders of consumer products for certain individuals and entities located outside Iran covered by the Iran Threat Reduction and Syria Human Rights Act (“ITRA”), in addition to those we have previously disclosed, as follows: consumer products valued at approximately $2,800 for individuals who may have been acting for ten Iranian embassies and diplomatic organizations located in countries other than Iran; consumer products valued at approximately $900 for individuals who may have been acting for two entities owned or controlled by the Iranian government; and consumer products valued at approximately $800 for individuals who may have been acting for two entities designated under Executive Order 13224 or Executive Order 13382, one of which is owned or controlled by the Iranian government. The consumer products included books, music, other media, apparel, home and kitchen, jewelry, health and beauty, office, and consumer electronics. We are unable to accurately calculate the net profit attributable to these transactions. We do not plan to continue selling to these accounts in the future. Our review is ongoing and we are enhancing our processes designed to identify transactions associated with individuals and entities covered by the ITRA.</w:t>
      </w:r>
    </w:p>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
        <w:gridCol w:w="747"/>
        <w:gridCol w:w="83"/>
        <w:gridCol w:w="83"/>
        <w:gridCol w:w="7244"/>
        <w:gridCol w:w="84"/>
      </w:tblGrid>
      <w:tr>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5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462"/>
        <w:gridCol w:w="76"/>
        <w:gridCol w:w="36"/>
        <w:gridCol w:w="36"/>
        <w:gridCol w:w="36"/>
        <w:gridCol w:w="66"/>
        <w:gridCol w:w="7061"/>
        <w:gridCol w:w="72"/>
      </w:tblGrid>
      <w:tr>
        <w:trPr>
          <w:jc w:val="center"/>
        </w:trPr>
        <w:tc>
          <w:tcPr>
            <w:tcW w:w="50" w:type="pct"/>
            <w:shd w:val="clear" w:color="auto" w:fill="auto"/>
            <w:vAlign w:val="top"/>
          </w:tcPr>
          <w:p>
            <w:pPr>
              <w:rPr>
                <w:rFonts w:hint="eastAsia" w:ascii="宋体"/>
                <w:sz w:val="24"/>
                <w:szCs w:val="24"/>
              </w:rPr>
            </w:pPr>
          </w:p>
        </w:tc>
        <w:tc>
          <w:tcPr>
            <w:tcW w:w="30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61"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Restated Certificate of Incorporation of the Company (incorporated by reference to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the Company’s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Current</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Report on Form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8-</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K,</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filed May 29, 2020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Amended and Restated Bylaws of the Company (incorporated by reference to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th</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Company’s Current Report on Form 8-K, filed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May</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2</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9</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20</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4.1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"http://www.sec.gov/Archives/edgar/data/1018724/000119312520159531/d933420dex41.htm"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June 3, 2020, containing Form of 0.400% Note due 2023, Form of 0.800% Note due 2025, Form of 1.200% Note due 2027, Form of 1.500% Note due 2030, Form of 2.500% Note due 2050, and Form of 2.700% Note due 2060 (incorporated by reference to the Company’s Current Report on Form 8-K, filed June 3,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"http://www.sec.gov/Archives/edgar/data/1018724/000119312520176528/d948849dex101.htm"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Credit Agreement, dated as of June 23, 2020, among Amazon.com, Inc., JPMorgan Chase Bank, N.A., as administrative agent, and the other lenders party thereto (incorporated by reference to the Company’s Current Report on Form 8-K, filed June 23,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"https://www.sec.gov/Archives/edgar/data/0001018724/000101872420000021/amzn-20200630xex311.htm"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"https://www.sec.gov/Archives/edgar/data/0001018724/000101872420000021/amzn-20200630xex312.htm"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"https://www.sec.gov/Archives/edgar/data/0001018724/000101872420000021/amzn-20200630xex321.htm"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"https://www.sec.gov/Archives/edgar/data/0001018724/000101872420000021/amzn-20200630xex322.htm"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June 30, 2020,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June 30, 2020,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46</w:t>
      </w:r>
    </w:p>
    <w:p>
      <w:pPr>
        <w:keepNext w:val="0"/>
        <w:keepLines w:val="0"/>
        <w:widowControl/>
        <w:suppressLineNumbers w:val="0"/>
      </w:pPr>
      <w:r>
        <w:pict>
          <v:rect id="_x0000_i110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"https://www.sec.gov/ix?doc=/Archives/edgar/data/0001018724/000101872420000021/amzn-20200630.htm" \l "i4e01ae04cb2e45ecb483b1d74e035358_7"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
        <w:gridCol w:w="4468"/>
        <w:gridCol w:w="82"/>
        <w:gridCol w:w="82"/>
        <w:gridCol w:w="207"/>
        <w:gridCol w:w="82"/>
        <w:gridCol w:w="82"/>
        <w:gridCol w:w="3048"/>
        <w:gridCol w:w="82"/>
        <w:gridCol w:w="36"/>
        <w:gridCol w:w="36"/>
        <w:gridCol w:w="37"/>
      </w:tblGrid>
      <w:tr>
        <w:trPr>
          <w:gridAfter w:val="3"/>
          <w:wAfter w:w="110" w:type="dxa"/>
        </w:trPr>
        <w:tc>
          <w:tcPr>
            <w:tcW w:w="50" w:type="pct"/>
            <w:shd w:val="clear" w:color="auto" w:fill="auto"/>
            <w:vAlign w:val="top"/>
          </w:tcPr>
          <w:p>
            <w:pPr>
              <w:rPr>
                <w:rFonts w:hint="eastAsia" w:ascii="宋体"/>
                <w:sz w:val="24"/>
                <w:szCs w:val="24"/>
              </w:rPr>
            </w:pPr>
          </w:p>
        </w:tc>
        <w:tc>
          <w:tcPr>
            <w:tcW w:w="2718"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26"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854"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A</w:t>
            </w:r>
            <w:r>
              <w:rPr>
                <w:rFonts w:hint="default" w:ascii="Times New Roman" w:hAnsi="Times New Roman" w:eastAsia="宋体" w:cs="Times New Roman"/>
                <w:color w:val="000000"/>
                <w:sz w:val="16"/>
                <w:szCs w:val="16"/>
              </w:rPr>
              <w:t>MAZON</w:t>
            </w:r>
            <w:r>
              <w:rPr>
                <w:rFonts w:hint="default" w:ascii="Times New Roman" w:hAnsi="Times New Roman" w:eastAsia="宋体" w:cs="Times New Roman"/>
                <w:color w:val="000000"/>
                <w:sz w:val="20"/>
                <w:szCs w:val="20"/>
              </w:rPr>
              <w:t>.</w:t>
            </w:r>
            <w:r>
              <w:rPr>
                <w:rFonts w:hint="default" w:ascii="Times New Roman" w:hAnsi="Times New Roman" w:eastAsia="宋体" w:cs="Times New Roman"/>
                <w:color w:val="000000"/>
                <w:sz w:val="16"/>
                <w:szCs w:val="16"/>
              </w:rPr>
              <w:t>COM</w:t>
            </w:r>
            <w:r>
              <w:rPr>
                <w:rFonts w:hint="default" w:ascii="Times New Roman" w:hAnsi="Times New Roman" w:eastAsia="宋体" w:cs="Times New Roman"/>
                <w:color w:val="000000"/>
                <w:sz w:val="20"/>
                <w:szCs w:val="20"/>
              </w:rPr>
              <w:t>, I</w:t>
            </w:r>
            <w:r>
              <w:rPr>
                <w:rFonts w:hint="default" w:ascii="Times New Roman" w:hAnsi="Times New Roman" w:eastAsia="宋体" w:cs="Times New Roman"/>
                <w:color w:val="000000"/>
                <w:sz w:val="16"/>
                <w:szCs w:val="16"/>
              </w:rPr>
              <w:t>NC</w:t>
            </w:r>
            <w:r>
              <w:rPr>
                <w:rFonts w:hint="default" w:ascii="Times New Roman" w:hAnsi="Times New Roman" w:eastAsia="宋体" w:cs="Times New Roman"/>
                <w:color w:val="000000"/>
                <w:sz w:val="20"/>
                <w:szCs w:val="20"/>
              </w:rPr>
              <w:t>. (R</w:t>
            </w:r>
            <w:r>
              <w:rPr>
                <w:rFonts w:hint="default" w:ascii="Times New Roman" w:hAnsi="Times New Roman" w:eastAsia="宋体" w:cs="Times New Roman"/>
                <w:color w:val="000000"/>
                <w:sz w:val="16"/>
                <w:szCs w:val="16"/>
              </w:rPr>
              <w:t>EGISTRANT</w:t>
            </w:r>
            <w:r>
              <w:rPr>
                <w:rFonts w:hint="default" w:ascii="Times New Roman" w:hAnsi="Times New Roman" w:eastAsia="宋体" w:cs="Times New Roman"/>
                <w:color w:val="000000"/>
                <w:sz w:val="20"/>
                <w:szCs w:val="20"/>
              </w:rPr>
              <w:t>)</w:t>
            </w:r>
          </w:p>
        </w:tc>
        <w:tc>
          <w:tcPr>
            <w:tcW w:w="0" w:type="auto"/>
            <w:gridSpan w:val="3"/>
            <w:shd w:val="clear" w:color="auto" w:fill="auto"/>
            <w:vAlign w:val="top"/>
          </w:tcPr>
          <w:p>
            <w:pPr>
              <w:rPr>
                <w:rFonts w:hint="eastAsia" w:ascii="宋体"/>
                <w:vanish/>
                <w:sz w:val="24"/>
                <w:szCs w:val="24"/>
              </w:rPr>
            </w:pPr>
          </w:p>
        </w:tc>
      </w:tr>
      <w:tr>
        <w:trPr>
          <w:trHeight w:val="300" w:hRule="atLeast"/>
        </w:trP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left w:w="20" w:type="dxa"/>
              <w:right w:w="20" w:type="dxa"/>
            </w:tcMar>
            <w:vAlign w:val="bottom"/>
          </w:tcPr>
          <w:p>
            <w:pPr>
              <w:jc w:val="left"/>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bl>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 xml:space="preserve">Dated: July 30, 2020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left w:val="none" w:color="auto" w:sz="0" w:space="0"/>
        </w:pBdr>
        <w:ind w:left="0" w:hanging="72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47</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BF02B"/>
    <w:rsid w:val="F7BBF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2023-02-11T00:27:00Z</dcterms:created>
  <dc:creator>徐馨润</dc:creator>
  <cp:lastModifiedBy>徐馨润</cp:lastModifiedBy>
  <dcterms:modified xsi:type="dcterms:W3CDTF">2023-02-11T00:28:09Z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577C1A1C9EEEE43B6F70E66344EA48AF</vt:lpwstr>
  </property>
</Properties>
</file>