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rPr>
          <w:jc w:val="center"/>
        </w:trPr>
        <w:tc>
          <w:tcPr>
            <w:tcW w:w="50" w:type="pct"/>
            <w:shd w:val="clear" w:color="auto" w:fill="auto"/>
            <w:vAlign w:val="top"/>
          </w:tcPr>
          <w:p>
            <w:pPr>
              <w:rPr>
                <w:rFonts w:hint="eastAsia" w:ascii="宋体"/>
                <w:sz w:val="24"/>
                <w:szCs w:val="24"/>
              </w:rPr>
            </w:pPr>
            <w:bookmarkStart w:id="0" w:name="_GoBack"/>
            <w:bookmarkEnd w:id="0"/>
          </w:p>
        </w:tc>
        <w:tc>
          <w:tcPr>
            <w:tcW w:w="494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trHeight w:val="60" w:hRule="atLeast"/>
          <w:jc w:val="center"/>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b/>
          <w:bCs/>
          <w:color w:val="000000"/>
          <w:sz w:val="36"/>
          <w:szCs w:val="36"/>
        </w:rPr>
        <w:t>UNITED STATES</w:t>
      </w:r>
    </w:p>
    <w:p>
      <w:pPr>
        <w:keepNext w:val="0"/>
        <w:keepLines w:val="0"/>
        <w:widowControl/>
        <w:suppressLineNumbers w:val="0"/>
        <w:jc w:val="center"/>
      </w:pPr>
      <w:r>
        <w:rPr>
          <w:rFonts w:hint="default" w:ascii="Times New Roman" w:hAnsi="Times New Roman" w:eastAsia="宋体" w:cs="Times New Roman"/>
          <w:b/>
          <w:bCs/>
          <w:color w:val="000000"/>
          <w:sz w:val="36"/>
          <w:szCs w:val="36"/>
        </w:rPr>
        <w:t>SECURITIES AND EXCHANGE COMMISSION</w:t>
      </w:r>
    </w:p>
    <w:p>
      <w:pPr>
        <w:keepNext w:val="0"/>
        <w:keepLines w:val="0"/>
        <w:widowControl/>
        <w:suppressLineNumbers w:val="0"/>
        <w:jc w:val="center"/>
      </w:pPr>
      <w:r>
        <w:rPr>
          <w:rFonts w:hint="default" w:ascii="Times New Roman" w:hAnsi="Times New Roman" w:eastAsia="宋体" w:cs="Times New Roman"/>
          <w:b/>
          <w:bCs/>
          <w:color w:val="000000"/>
          <w:sz w:val="24"/>
          <w:szCs w:val="24"/>
        </w:rPr>
        <w:t>Washington, D.C. 20549</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36"/>
          <w:szCs w:val="36"/>
        </w:rPr>
        <w:t xml:space="preserve">FORM 10-Q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 </w:t>
      </w:r>
    </w:p>
    <w:p>
      <w:pPr>
        <w:keepNext w:val="0"/>
        <w:keepLines w:val="0"/>
        <w:widowControl/>
        <w:suppressLineNumbers w:val="0"/>
        <w:jc w:val="left"/>
      </w:pPr>
      <w:r>
        <w:rPr>
          <w:rFonts w:hint="default" w:ascii="Times New Roman" w:hAnsi="Times New Roman" w:eastAsia="宋体" w:cs="Times New Roman"/>
          <w:b/>
          <w:bCs/>
          <w:color w:val="000000"/>
          <w:sz w:val="20"/>
          <w:szCs w:val="20"/>
        </w:rPr>
        <w:t>(Mark One)</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top"/>
          </w:tcPr>
          <w:p>
            <w:pPr>
              <w:rPr>
                <w:rFonts w:hint="eastAsia" w:ascii="宋体"/>
                <w:sz w:val="24"/>
                <w:szCs w:val="24"/>
              </w:rPr>
            </w:pPr>
          </w:p>
        </w:tc>
        <w:tc>
          <w:tcPr>
            <w:tcW w:w="2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5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QUARTERLY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March 31, 2021 </w:t>
      </w:r>
    </w:p>
    <w:p>
      <w:pPr>
        <w:keepNext w:val="0"/>
        <w:keepLines w:val="0"/>
        <w:widowControl/>
        <w:suppressLineNumbers w:val="0"/>
        <w:jc w:val="center"/>
      </w:pPr>
      <w:r>
        <w:rPr>
          <w:rFonts w:hint="default" w:ascii="Times New Roman" w:hAnsi="Times New Roman" w:eastAsia="宋体" w:cs="Times New Roman"/>
          <w:b/>
          <w:bCs/>
          <w:color w:val="000000"/>
          <w:sz w:val="20"/>
          <w:szCs w:val="20"/>
        </w:rPr>
        <w:t>or</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81"/>
        <w:gridCol w:w="36"/>
        <w:gridCol w:w="69"/>
        <w:gridCol w:w="7733"/>
        <w:gridCol w:w="36"/>
      </w:tblGrid>
      <w:tr>
        <w:tc>
          <w:tcPr>
            <w:tcW w:w="50" w:type="pct"/>
            <w:shd w:val="clear" w:color="auto" w:fill="auto"/>
            <w:vAlign w:val="top"/>
          </w:tcPr>
          <w:p>
            <w:pPr>
              <w:rPr>
                <w:rFonts w:hint="eastAsia" w:ascii="宋体"/>
                <w:sz w:val="24"/>
                <w:szCs w:val="24"/>
              </w:rPr>
            </w:pPr>
          </w:p>
        </w:tc>
        <w:tc>
          <w:tcPr>
            <w:tcW w:w="2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5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eastAsia" w:ascii="Arial Unicode MS" w:hAnsi="Arial Unicode MS" w:eastAsia="Arial Unicode MS" w:cs="Arial Unicode MS"/>
                <w:color w:val="000000"/>
                <w:sz w:val="24"/>
                <w:szCs w:val="24"/>
              </w:rPr>
              <w:t>☐</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4"/>
                <w:szCs w:val="24"/>
              </w:rPr>
              <w:t>TRANSITION REPORT PURSUANT TO SECTION 13 OR 15(d) OF THE SECURITIES EXCHANGE ACT OF 1934</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For the transition period from            to             .</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Commission File No. 000-22513 </w:t>
      </w:r>
    </w:p>
    <w:p>
      <w:pPr>
        <w:keepNext w:val="0"/>
        <w:keepLines w:val="0"/>
        <w:widowControl/>
        <w:suppressLineNumbers w:val="0"/>
        <w:jc w:val="center"/>
      </w:pPr>
      <w:r>
        <w:rPr>
          <w:rFonts w:hint="default" w:ascii="Times New Roman" w:hAnsi="Times New Roman" w:eastAsia="宋体" w:cs="Times New Roman"/>
          <w:color w:val="000000"/>
          <w:sz w:val="20"/>
          <w:szCs w:val="20"/>
        </w:rPr>
        <w:t>____________________________________</w:t>
      </w:r>
    </w:p>
    <w:p>
      <w:pPr>
        <w:keepNext w:val="0"/>
        <w:keepLines w:val="0"/>
        <w:widowControl/>
        <w:suppressLineNumbers w:val="0"/>
        <w:jc w:val="center"/>
      </w:pPr>
      <w:r>
        <w:rPr>
          <w:rFonts w:hint="default" w:ascii="Times New Roman" w:hAnsi="Times New Roman" w:eastAsia="宋体" w:cs="Times New Roman"/>
          <w:b/>
          <w:bCs/>
          <w:color w:val="000000"/>
          <w:sz w:val="48"/>
          <w:szCs w:val="48"/>
        </w:rPr>
        <w:t xml:space="preserve">AMAZON.COM, INC. </w:t>
      </w:r>
    </w:p>
    <w:p>
      <w:pPr>
        <w:keepNext w:val="0"/>
        <w:keepLines w:val="0"/>
        <w:widowControl/>
        <w:suppressLineNumbers w:val="0"/>
        <w:jc w:val="center"/>
      </w:pPr>
      <w:r>
        <w:rPr>
          <w:rFonts w:hint="default" w:ascii="Times New Roman" w:hAnsi="Times New Roman" w:eastAsia="宋体" w:cs="Times New Roman"/>
          <w:b/>
          <w:bCs/>
          <w:color w:val="000000"/>
          <w:sz w:val="20"/>
          <w:szCs w:val="20"/>
        </w:rPr>
        <w:t>(Exact name of registrant as specified in its charter)</w:t>
      </w:r>
    </w:p>
    <w:p>
      <w:pPr>
        <w:keepNext w:val="0"/>
        <w:keepLines w:val="0"/>
        <w:widowControl/>
        <w:suppressLineNumbers w:val="0"/>
        <w:jc w:val="center"/>
      </w:pPr>
      <w:r>
        <w:rPr>
          <w:rFonts w:hint="default" w:ascii="Times New Roman" w:hAnsi="Times New Roman" w:eastAsia="宋体" w:cs="Times New Roman"/>
          <w:color w:val="000000"/>
          <w:sz w:val="20"/>
          <w:szCs w:val="20"/>
        </w:rPr>
        <w:t> ____________________________________</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
        <w:gridCol w:w="3933"/>
        <w:gridCol w:w="36"/>
        <w:gridCol w:w="36"/>
        <w:gridCol w:w="193"/>
        <w:gridCol w:w="36"/>
        <w:gridCol w:w="61"/>
        <w:gridCol w:w="3933"/>
        <w:gridCol w:w="36"/>
      </w:tblGrid>
      <w:tr>
        <w:tc>
          <w:tcPr>
            <w:tcW w:w="50" w:type="pct"/>
            <w:shd w:val="clear" w:color="auto" w:fill="auto"/>
            <w:vAlign w:val="top"/>
          </w:tcPr>
          <w:p>
            <w:pPr>
              <w:rPr>
                <w:rFonts w:hint="eastAsia" w:ascii="宋体"/>
                <w:sz w:val="24"/>
                <w:szCs w:val="24"/>
              </w:rPr>
            </w:pPr>
          </w:p>
        </w:tc>
        <w:tc>
          <w:tcPr>
            <w:tcW w:w="237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37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Delaware</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91-1646860</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 or other jurisdiction of</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(I.R.S. Employer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Identification No.)</w:t>
            </w:r>
          </w:p>
        </w:tc>
      </w:tr>
    </w:tbl>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410 Terry Avenue North, Seattle, Washington 98109-5210 </w:t>
      </w:r>
    </w:p>
    <w:p>
      <w:pPr>
        <w:keepNext w:val="0"/>
        <w:keepLines w:val="0"/>
        <w:widowControl/>
        <w:suppressLineNumbers w:val="0"/>
        <w:jc w:val="center"/>
      </w:pPr>
      <w:r>
        <w:rPr>
          <w:rFonts w:hint="default" w:ascii="Times New Roman" w:hAnsi="Times New Roman" w:eastAsia="宋体" w:cs="Times New Roman"/>
          <w:b/>
          <w:bCs/>
          <w:color w:val="000000"/>
          <w:sz w:val="18"/>
          <w:szCs w:val="18"/>
        </w:rPr>
        <w:t xml:space="preserve">(206) 266-1000 </w:t>
      </w:r>
    </w:p>
    <w:p>
      <w:pPr>
        <w:keepNext w:val="0"/>
        <w:keepLines w:val="0"/>
        <w:widowControl/>
        <w:suppressLineNumbers w:val="0"/>
        <w:jc w:val="center"/>
      </w:pPr>
      <w:r>
        <w:rPr>
          <w:rFonts w:hint="default" w:ascii="Times New Roman" w:hAnsi="Times New Roman" w:eastAsia="宋体" w:cs="Times New Roman"/>
          <w:b/>
          <w:bCs/>
          <w:color w:val="000000"/>
          <w:sz w:val="16"/>
          <w:szCs w:val="16"/>
        </w:rPr>
        <w:t>(Address and telephone number, including area code, of registrant’s principal executive offices)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b/>
          <w:bCs/>
          <w:color w:val="000000"/>
          <w:sz w:val="16"/>
          <w:szCs w:val="16"/>
        </w:rPr>
        <w:t xml:space="preserve">Securities registered pursuant to Section 12(b) of the Act: </w:t>
      </w:r>
    </w:p>
    <w:tbl>
      <w:tblPr>
        <w:tblStyle w:val="5"/>
        <w:tblW w:w="4993"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3259"/>
        <w:gridCol w:w="36"/>
        <w:gridCol w:w="69"/>
        <w:gridCol w:w="1551"/>
        <w:gridCol w:w="36"/>
        <w:gridCol w:w="69"/>
        <w:gridCol w:w="3198"/>
        <w:gridCol w:w="37"/>
      </w:tblGrid>
      <w:tr>
        <w:trPr>
          <w:jc w:val="center"/>
        </w:trPr>
        <w:tc>
          <w:tcPr>
            <w:tcW w:w="50" w:type="pct"/>
            <w:shd w:val="clear" w:color="auto" w:fill="auto"/>
            <w:vAlign w:val="top"/>
          </w:tcPr>
          <w:p>
            <w:pPr>
              <w:rPr>
                <w:rFonts w:hint="eastAsia" w:ascii="宋体"/>
                <w:sz w:val="24"/>
                <w:szCs w:val="24"/>
              </w:rPr>
            </w:pPr>
          </w:p>
        </w:tc>
        <w:tc>
          <w:tcPr>
            <w:tcW w:w="196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94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9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Title of Each Class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Trading Symbol(s)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3"/>
                <w:szCs w:val="13"/>
              </w:rPr>
              <w:t>Name of Each Exchange on Which Registered</w:t>
            </w: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Common Stock, par value $.01 per share</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AMZN</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16"/>
                <w:szCs w:val="16"/>
              </w:rPr>
              <w:t>Nasdaq Global Select Market</w:t>
            </w:r>
          </w:p>
        </w:tc>
      </w:tr>
    </w:tbl>
    <w:p>
      <w:pPr>
        <w:keepNext w:val="0"/>
        <w:keepLines w:val="0"/>
        <w:widowControl/>
        <w:suppressLineNumbers w:val="0"/>
        <w:jc w:val="center"/>
      </w:pPr>
      <w:r>
        <w:rPr>
          <w:rFonts w:hint="default" w:ascii="Times New Roman" w:hAnsi="Times New Roman" w:eastAsia="宋体" w:cs="Times New Roman"/>
          <w:color w:val="000000"/>
          <w:sz w:val="18"/>
          <w:szCs w:val="18"/>
        </w:rPr>
        <w:t>____________________________________</w:t>
      </w: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hint="default" w:ascii="Wingdings" w:hAnsi="Wingdings" w:eastAsia="宋体" w:cs="Wingdings"/>
          <w:color w:val="000000"/>
          <w:sz w:val="18"/>
          <w:szCs w:val="18"/>
        </w:rPr>
        <w:t>☒</w:t>
      </w:r>
      <w:r>
        <w:rPr>
          <w:rFonts w:hint="default" w:ascii="Times New Roman" w:hAnsi="Times New Roman" w:eastAsia="宋体" w:cs="Times New Roman"/>
          <w:color w:val="000000"/>
          <w:sz w:val="18"/>
          <w:szCs w:val="18"/>
        </w:rPr>
        <w:t>    No  ☐</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hint="default" w:ascii="Wingdings" w:hAnsi="Wingdings" w:eastAsia="宋体" w:cs="Wingdings"/>
          <w:color w:val="000000"/>
          <w:sz w:val="18"/>
          <w:szCs w:val="18"/>
        </w:rPr>
        <w:t>☒</w:t>
      </w:r>
      <w:r>
        <w:rPr>
          <w:rFonts w:hint="default" w:ascii="Times New Roman" w:hAnsi="Times New Roman" w:eastAsia="宋体" w:cs="Times New Roman"/>
          <w:color w:val="000000"/>
          <w:sz w:val="18"/>
          <w:szCs w:val="18"/>
        </w:rPr>
        <w:t>    No  ☐</w:t>
      </w:r>
    </w:p>
    <w:p>
      <w:pPr>
        <w:keepNext w:val="0"/>
        <w:keepLines w:val="0"/>
        <w:widowControl/>
        <w:suppressLineNumbers w:val="0"/>
        <w:ind w:left="0" w:firstLine="495"/>
        <w:jc w:val="left"/>
      </w:pPr>
    </w:p>
    <w:p>
      <w:pPr>
        <w:keepNext w:val="0"/>
        <w:keepLines w:val="0"/>
        <w:widowControl/>
        <w:suppressLineNumbers w:val="0"/>
        <w:ind w:left="0" w:firstLine="495"/>
        <w:jc w:val="left"/>
      </w:pPr>
      <w:r>
        <w:rPr>
          <w:rFonts w:hint="default" w:ascii="Times New Roman" w:hAnsi="Times New Roman" w:eastAsia="宋体" w:cs="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Style w:val="5"/>
        <w:tblW w:w="47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
        <w:gridCol w:w="1494"/>
        <w:gridCol w:w="36"/>
        <w:gridCol w:w="36"/>
        <w:gridCol w:w="36"/>
        <w:gridCol w:w="36"/>
        <w:gridCol w:w="36"/>
        <w:gridCol w:w="3625"/>
        <w:gridCol w:w="36"/>
        <w:gridCol w:w="81"/>
        <w:gridCol w:w="1921"/>
        <w:gridCol w:w="36"/>
        <w:gridCol w:w="36"/>
        <w:gridCol w:w="36"/>
        <w:gridCol w:w="36"/>
        <w:gridCol w:w="37"/>
        <w:gridCol w:w="225"/>
        <w:gridCol w:w="37"/>
      </w:tblGrid>
      <w:tr>
        <w:tc>
          <w:tcPr>
            <w:tcW w:w="50" w:type="pct"/>
            <w:shd w:val="clear" w:color="auto" w:fill="auto"/>
            <w:vAlign w:val="top"/>
          </w:tcPr>
          <w:p>
            <w:pPr>
              <w:rPr>
                <w:rFonts w:hint="eastAsia" w:ascii="宋体"/>
                <w:sz w:val="24"/>
                <w:szCs w:val="24"/>
              </w:rPr>
            </w:pPr>
          </w:p>
        </w:tc>
        <w:tc>
          <w:tcPr>
            <w:tcW w:w="10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4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1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3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Large accelerated filer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Wingdings" w:hAnsi="Wingdings" w:eastAsia="宋体" w:cs="Wingdings"/>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Accelerated filer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Wingdings" w:hAnsi="Wingdings" w:eastAsia="宋体" w:cs="Wingding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Non-accelerated filer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Smaller reporting company</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r>
        <w:trPr>
          <w:trHeight w:val="6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8"/>
                <w:szCs w:val="18"/>
              </w:rPr>
              <w:t>Emerging growth company</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eastAsia" w:ascii="Arial Unicode MS" w:hAnsi="Arial Unicode MS" w:eastAsia="Arial Unicode MS" w:cs="Arial Unicode MS"/>
                <w:color w:val="000000"/>
                <w:sz w:val="20"/>
                <w:szCs w:val="20"/>
              </w:rPr>
              <w:t>☐</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Indicate by check mark whether the registrant is a shell company (as defined in Rule 12b-2 of the Exchange Act).    Yes  </w:t>
      </w:r>
      <w:r>
        <w:rPr>
          <w:rFonts w:hint="eastAsia" w:ascii="Arial Unicode MS" w:hAnsi="Arial Unicode MS" w:eastAsia="Arial Unicode MS" w:cs="Arial Unicode MS"/>
          <w:color w:val="000000"/>
          <w:sz w:val="18"/>
          <w:szCs w:val="18"/>
        </w:rPr>
        <w:t>☐</w:t>
      </w:r>
      <w:r>
        <w:rPr>
          <w:rFonts w:hint="default" w:ascii="Times New Roman" w:hAnsi="Times New Roman" w:eastAsia="宋体" w:cs="Times New Roman"/>
          <w:color w:val="000000"/>
          <w:sz w:val="18"/>
          <w:szCs w:val="18"/>
        </w:rPr>
        <w:t>    No  </w:t>
      </w:r>
      <w:r>
        <w:rPr>
          <w:rFonts w:hint="default" w:ascii="Wingdings" w:hAnsi="Wingdings" w:eastAsia="宋体" w:cs="Wingdings"/>
          <w:color w:val="000000"/>
          <w:sz w:val="18"/>
          <w:szCs w:val="18"/>
        </w:rPr>
        <w: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18"/>
          <w:szCs w:val="18"/>
        </w:rPr>
        <w:t xml:space="preserve">504,323,736 shares of common stock, par value $0.01 per share, outstanding as of April 21, 2021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230"/>
        <w:gridCol w:w="37"/>
      </w:tblGrid>
      <w:tr>
        <w:tc>
          <w:tcPr>
            <w:tcW w:w="50" w:type="pct"/>
            <w:shd w:val="clear" w:color="auto" w:fill="auto"/>
            <w:vAlign w:val="top"/>
          </w:tcPr>
          <w:p>
            <w:pPr>
              <w:rPr>
                <w:rFonts w:hint="eastAsia" w:ascii="宋体"/>
                <w:sz w:val="24"/>
                <w:szCs w:val="24"/>
              </w:rPr>
            </w:pPr>
          </w:p>
        </w:tc>
        <w:tc>
          <w:tcPr>
            <w:tcW w:w="494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trHeight w:val="60" w:hRule="atLeast"/>
        </w:trPr>
        <w:tc>
          <w:tcPr>
            <w:tcW w:w="0" w:type="auto"/>
            <w:gridSpan w:val="3"/>
            <w:tcBorders>
              <w:top w:val="single" w:color="000000" w:sz="8" w:space="0"/>
              <w:bottom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bl>
    <w:p>
      <w:pPr>
        <w:keepNext w:val="0"/>
        <w:keepLines w:val="0"/>
        <w:widowControl/>
        <w:suppressLineNumbers w:val="0"/>
        <w:jc w:val="left"/>
      </w:pPr>
    </w:p>
    <w:p>
      <w:pPr>
        <w:keepNext w:val="0"/>
        <w:keepLines w:val="0"/>
        <w:widowControl/>
        <w:suppressLineNumbers w:val="0"/>
      </w:pPr>
      <w:r>
        <w:pict>
          <v:rect id="_x0000_i105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FORM 10-Q</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For the Quarterly Period Ended March 31, 2021 </w:t>
      </w:r>
    </w:p>
    <w:p>
      <w:pPr>
        <w:keepNext w:val="0"/>
        <w:keepLines w:val="0"/>
        <w:widowControl/>
        <w:suppressLineNumbers w:val="0"/>
        <w:spacing w:before="100" w:beforeAutospacing="0"/>
        <w:jc w:val="center"/>
      </w:pPr>
      <w:r>
        <w:rPr>
          <w:rFonts w:hint="default" w:ascii="Times New Roman" w:hAnsi="Times New Roman" w:eastAsia="宋体" w:cs="Times New Roman"/>
          <w:b/>
          <w:bCs/>
          <w:color w:val="000000"/>
          <w:sz w:val="20"/>
          <w:szCs w:val="20"/>
        </w:rPr>
        <w:t>INDEX</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32"/>
        <w:gridCol w:w="36"/>
        <w:gridCol w:w="69"/>
        <w:gridCol w:w="6611"/>
        <w:gridCol w:w="36"/>
        <w:gridCol w:w="69"/>
        <w:gridCol w:w="565"/>
        <w:gridCol w:w="37"/>
      </w:tblGrid>
      <w:tr>
        <w:tc>
          <w:tcPr>
            <w:tcW w:w="50" w:type="pct"/>
            <w:shd w:val="clear" w:color="auto" w:fill="auto"/>
            <w:vAlign w:val="top"/>
          </w:tcPr>
          <w:p>
            <w:pPr>
              <w:rPr>
                <w:rFonts w:hint="eastAsia" w:ascii="宋体"/>
                <w:sz w:val="24"/>
                <w:szCs w:val="24"/>
              </w:rPr>
            </w:pPr>
          </w:p>
        </w:tc>
        <w:tc>
          <w:tcPr>
            <w:tcW w:w="50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9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4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Page</w:t>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 FINANCIAL INFORMATION</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"i5251b116296d4d7d9bf11a274027b439_13"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Cash Flows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"i5251b116296d4d7d9bf11a274027b439_16"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"i5251b116296d4d7d9bf11a274027b439_19"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Statements of Comprehensive Income</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"i5251b116296d4d7d9bf11a274027b439_22"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5</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"i5251b116296d4d7d9bf11a274027b439_25"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Consolidated Balance Sheets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"i5251b116296d4d7d9bf11a274027b439_25"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6</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Notes to Consolidated Financial Statements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"i5251b116296d4d7d9bf11a274027b439_28"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7</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"i5251b116296d4d7d9bf11a274027b439_58"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Management’s Discussion and Analysis of Financial Condition and Results of Operations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"i5251b116296d4d7d9bf11a274027b439_58"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19</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Quantitative and Qualitative Disclosures About Market Risk</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31</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Controls and Procedures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"i5251b116296d4d7d9bf11a274027b439_73"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32</w:t>
            </w:r>
            <w:r>
              <w:rPr>
                <w:rFonts w:hint="default" w:ascii="Times New Roman" w:hAnsi="Times New Roman" w:eastAsia="宋体" w:cs="Times New Roman"/>
                <w:color w:val="0000FF"/>
                <w:sz w:val="20"/>
                <w:szCs w:val="20"/>
                <w:u w:val="single"/>
              </w:rPr>
              <w:fldChar w:fldCharType="end"/>
            </w:r>
          </w:p>
        </w:tc>
      </w:tr>
      <w:tr>
        <w:trPr>
          <w:trHeight w:val="300" w:hRule="atLeast"/>
        </w:trPr>
        <w:tc>
          <w:tcPr>
            <w:tcW w:w="0" w:type="auto"/>
            <w:gridSpan w:val="6"/>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PART II. OTHER INFORMATION</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Legal Proceedings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"i5251b116296d4d7d9bf11a274027b439_79"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1A.</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"i5251b116296d4d7d9bf11a274027b439_82"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Risk Factors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"i5251b116296d4d7d9bf11a274027b439_82"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33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2.</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"i5251b116296d4d7d9bf11a274027b439_85"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Unregistered Sales of Equity Securities and Use of Proceeds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"i5251b116296d4d7d9bf11a274027b439_85"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3.</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"i5251b116296d4d7d9bf11a274027b439_88"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Defaults Upon Senior Securities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"i5251b116296d4d7d9bf11a274027b439_88"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4.</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"i5251b116296d4d7d9bf11a274027b439_91"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Mine Safety Disclosures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"i5251b116296d4d7d9bf11a274027b439_91"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5.</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"i5251b116296d4d7d9bf11a274027b439_94"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Other Information</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"i5251b116296d4d7d9bf11a274027b439_94"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43</w:t>
            </w:r>
            <w:r>
              <w:rPr>
                <w:rFonts w:hint="default" w:ascii="Times New Roman" w:hAnsi="Times New Roman" w:eastAsia="宋体" w:cs="Times New Roman"/>
                <w:color w:val="0000FF"/>
                <w:sz w:val="20"/>
                <w:szCs w:val="20"/>
                <w:u w:val="single"/>
              </w:rPr>
              <w:fldChar w:fldCharType="end"/>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Item 6.</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"i5251b116296d4d7d9bf11a274027b439_97"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Exhibits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"i5251b116296d4d7d9bf11a274027b439_97"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44</w:t>
            </w:r>
            <w:r>
              <w:rPr>
                <w:rFonts w:hint="default" w:ascii="Times New Roman" w:hAnsi="Times New Roman" w:eastAsia="宋体" w:cs="Times New Roman"/>
                <w:color w:val="0000FF"/>
                <w:sz w:val="20"/>
                <w:szCs w:val="20"/>
                <w:u w:val="single"/>
              </w:rPr>
              <w:fldChar w:fldCharType="end"/>
            </w:r>
          </w:p>
        </w:tc>
      </w:tr>
      <w:tr>
        <w:tc>
          <w:tcPr>
            <w:tcW w:w="0" w:type="auto"/>
            <w:gridSpan w:val="6"/>
            <w:shd w:val="clear" w:color="auto" w:fill="auto"/>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"i5251b116296d4d7d9bf11a274027b439_100"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Signatures</w:t>
            </w:r>
            <w:r>
              <w:rPr>
                <w:rFonts w:hint="default" w:ascii="Times New Roman" w:hAnsi="Times New Roman" w:eastAsia="宋体" w:cs="Times New Roman"/>
                <w:color w:val="0000FF"/>
                <w:sz w:val="20"/>
                <w:szCs w:val="20"/>
                <w:u w:val="single"/>
              </w:rPr>
              <w:fldChar w:fldCharType="end"/>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"i5251b116296d4d7d9bf11a274027b439_100"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45</w:t>
            </w:r>
            <w:r>
              <w:rPr>
                <w:rFonts w:hint="default" w:ascii="Times New Roman" w:hAnsi="Times New Roman" w:eastAsia="宋体" w:cs="Times New Roman"/>
                <w:color w:val="0000FF"/>
                <w:sz w:val="20"/>
                <w:szCs w:val="20"/>
                <w:u w:val="single"/>
              </w:rPr>
              <w:fldChar w:fldCharType="end"/>
            </w:r>
          </w:p>
        </w:tc>
      </w:tr>
    </w:tbl>
    <w:p>
      <w:pPr>
        <w:keepNext w:val="0"/>
        <w:keepLines w:val="0"/>
        <w:widowControl/>
        <w:suppressLineNumbers w:val="0"/>
        <w:jc w:val="center"/>
      </w:pPr>
      <w:r>
        <w:rPr>
          <w:rFonts w:hint="default" w:ascii="Times New Roman" w:hAnsi="Times New Roman" w:eastAsia="宋体" w:cs="Times New Roman"/>
          <w:color w:val="000000"/>
          <w:sz w:val="20"/>
          <w:szCs w:val="20"/>
        </w:rPr>
        <w:t>2</w:t>
      </w:r>
    </w:p>
    <w:p>
      <w:pPr>
        <w:keepNext w:val="0"/>
        <w:keepLines w:val="0"/>
        <w:widowControl/>
        <w:suppressLineNumbers w:val="0"/>
      </w:pPr>
      <w:r>
        <w:pict>
          <v:rect id="_x0000_i105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 FINANCIAL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Financial Statements</w:t>
            </w:r>
          </w:p>
        </w:tc>
      </w:tr>
    </w:tbl>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CASH FLOWS</w:t>
      </w:r>
    </w:p>
    <w:p>
      <w:pPr>
        <w:keepNext w:val="0"/>
        <w:keepLines w:val="0"/>
        <w:widowControl/>
        <w:suppressLineNumbers w:val="0"/>
        <w:jc w:val="center"/>
      </w:pPr>
      <w:r>
        <w:rPr>
          <w:rFonts w:hint="default" w:ascii="Times New Roman" w:hAnsi="Times New Roman" w:eastAsia="宋体" w:cs="Times New Roman"/>
          <w:b/>
          <w:bCs/>
          <w:color w:val="000000"/>
          <w:sz w:val="20"/>
          <w:szCs w:val="20"/>
        </w:rPr>
        <w:t xml:space="preserve">(in millions) </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330"/>
        <w:gridCol w:w="36"/>
        <w:gridCol w:w="100"/>
        <w:gridCol w:w="480"/>
        <w:gridCol w:w="36"/>
        <w:gridCol w:w="36"/>
        <w:gridCol w:w="36"/>
        <w:gridCol w:w="36"/>
        <w:gridCol w:w="100"/>
        <w:gridCol w:w="480"/>
        <w:gridCol w:w="36"/>
        <w:gridCol w:w="36"/>
        <w:gridCol w:w="36"/>
        <w:gridCol w:w="36"/>
        <w:gridCol w:w="36"/>
        <w:gridCol w:w="36"/>
        <w:gridCol w:w="36"/>
        <w:gridCol w:w="36"/>
        <w:gridCol w:w="100"/>
        <w:gridCol w:w="480"/>
        <w:gridCol w:w="36"/>
        <w:gridCol w:w="36"/>
        <w:gridCol w:w="36"/>
        <w:gridCol w:w="36"/>
        <w:gridCol w:w="100"/>
        <w:gridCol w:w="481"/>
        <w:gridCol w:w="37"/>
      </w:tblGrid>
      <w:tr>
        <w:trPr>
          <w:jc w:val="center"/>
        </w:trPr>
        <w:tc>
          <w:tcPr>
            <w:tcW w:w="50" w:type="pct"/>
            <w:shd w:val="clear" w:color="auto" w:fill="auto"/>
            <w:vAlign w:val="top"/>
          </w:tcPr>
          <w:p>
            <w:pPr>
              <w:rPr>
                <w:rFonts w:hint="eastAsia" w:ascii="宋体"/>
                <w:sz w:val="24"/>
                <w:szCs w:val="24"/>
              </w:rPr>
            </w:pPr>
          </w:p>
        </w:tc>
        <w:tc>
          <w:tcPr>
            <w:tcW w:w="350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7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7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50" w:type="pct"/>
            <w:shd w:val="clear" w:color="auto" w:fill="auto"/>
            <w:vAlign w:val="top"/>
          </w:tcPr>
          <w:p>
            <w:pPr>
              <w:rPr>
                <w:rFonts w:hint="eastAsia" w:ascii="宋体"/>
                <w:sz w:val="24"/>
                <w:szCs w:val="24"/>
              </w:rPr>
            </w:pPr>
          </w:p>
        </w:tc>
        <w:tc>
          <w:tcPr>
            <w:tcW w:w="27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28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BEGINNING OF PERIOD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42,377 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23,507 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27,505 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OPERATING ACTIVITIES: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8,107 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26,903 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Adjustments to reconcile net income to net cash from operating activities: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Depreciation and amortization of property and equipment and capitalized content costs, operating lease assets,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5,362 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7,508 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22,297 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27,397 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Stock-based compensation</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2,306 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7,347 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9,757 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Other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Deferred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1,392 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(2,605)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(4,545)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(2,255)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(6,018)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(11,686)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Accounts payable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(8,044)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17,258 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(2,761)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(4,060)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(1,213)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4,455 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operating activities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3,064 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4,213 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39,732 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67,213 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INVESTING ACTIVITIES: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property and equipment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(6,795)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(12,082)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(20,365)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(45,427)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property and equipment sales and incentives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4,970 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4,624 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Acquisitions, net of cash acquired,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(630)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(1,384)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(2,864)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Sales and maturities of marketable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11,626 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17,826 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31,664 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56,437 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Purchases of 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(15,001)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(14,675)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(39,938)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(72,153)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investing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(8,894)</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(8,666)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(25,053)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(59,383)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FINANCING ACTIVITIES: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rPr>
          <w:jc w:val="cente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short-term debt, and other</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8,105 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short-term debt,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(631)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(2,001)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(1,860)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(7,547)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Proceeds from long-term debt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76 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842 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10,560 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Repayments of 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finance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(2,600)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(3,406)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(10,013)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(11,448)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cash provided by (used in) financing activities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(2,591)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(3,476)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(10,280)</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(1,989)</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Foreign currency effect on cash, cash equivalents, and restricted cash</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(484)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(401)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Net increase (decrease) in cash, cash equivalents, and restricted cash</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(8,905)</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(8,222)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3,998 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6,650 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16"/>
                <w:szCs w:val="16"/>
              </w:rPr>
              <w:t>CASH, CASH EQUIVALENTS, AND RESTRICTED CASH, END OF PERIOD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27,505 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34,155 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27,505 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34,155 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r>
        <w:rPr>
          <w:rFonts w:hint="default" w:ascii="Times New Roman" w:hAnsi="Times New Roman" w:eastAsia="宋体" w:cs="Times New Roman"/>
          <w:color w:val="000000"/>
          <w:sz w:val="20"/>
          <w:szCs w:val="20"/>
        </w:rPr>
        <w:t>3</w:t>
      </w:r>
    </w:p>
    <w:p>
      <w:pPr>
        <w:keepNext w:val="0"/>
        <w:keepLines w:val="0"/>
        <w:widowControl/>
        <w:suppressLineNumbers w:val="0"/>
      </w:pPr>
      <w:r>
        <w:pict>
          <v:rect id="_x0000_i106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OPERATIONS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5976"/>
        <w:gridCol w:w="36"/>
        <w:gridCol w:w="120"/>
        <w:gridCol w:w="808"/>
        <w:gridCol w:w="36"/>
        <w:gridCol w:w="36"/>
        <w:gridCol w:w="36"/>
        <w:gridCol w:w="36"/>
        <w:gridCol w:w="120"/>
        <w:gridCol w:w="770"/>
        <w:gridCol w:w="36"/>
        <w:gridCol w:w="36"/>
        <w:gridCol w:w="36"/>
        <w:gridCol w:w="36"/>
        <w:gridCol w:w="36"/>
        <w:gridCol w:w="36"/>
        <w:gridCol w:w="36"/>
        <w:gridCol w:w="36"/>
        <w:gridCol w:w="37"/>
      </w:tblGrid>
      <w:tr>
        <w:tc>
          <w:tcPr>
            <w:tcW w:w="50" w:type="pct"/>
            <w:shd w:val="clear" w:color="auto" w:fill="auto"/>
            <w:vAlign w:val="top"/>
          </w:tcPr>
          <w:p>
            <w:pPr>
              <w:rPr>
                <w:rFonts w:hint="eastAsia" w:ascii="宋体"/>
                <w:sz w:val="24"/>
                <w:szCs w:val="24"/>
              </w:rPr>
            </w:pPr>
          </w:p>
        </w:tc>
        <w:tc>
          <w:tcPr>
            <w:tcW w:w="373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product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41,841 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57,491 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service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33,611 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51,027 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net sales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75,452 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108,518 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44,257 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99,653 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3,989 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8,865 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Income before income taxes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10,268 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2,535 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8,107 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 earnings per share</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5.09 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16.09 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 earnings per share</w:t>
            </w: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5.01 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15.79 </w:t>
            </w:r>
          </w:p>
        </w:tc>
        <w:tc>
          <w:tcPr>
            <w:tcW w:w="0" w:type="auto"/>
            <w:tcBorders>
              <w:top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shares used in computation of earnings per share:</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Diluted</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506 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4</w:t>
      </w:r>
    </w:p>
    <w:p>
      <w:pPr>
        <w:keepNext w:val="0"/>
        <w:keepLines w:val="0"/>
        <w:widowControl/>
        <w:suppressLineNumbers w:val="0"/>
      </w:pPr>
      <w:r>
        <w:pict>
          <v:rect id="_x0000_i106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STATEMENTS OF COMPREHENSIVE INCOME</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5976"/>
        <w:gridCol w:w="36"/>
        <w:gridCol w:w="120"/>
        <w:gridCol w:w="808"/>
        <w:gridCol w:w="36"/>
        <w:gridCol w:w="36"/>
        <w:gridCol w:w="36"/>
        <w:gridCol w:w="36"/>
        <w:gridCol w:w="120"/>
        <w:gridCol w:w="770"/>
        <w:gridCol w:w="36"/>
        <w:gridCol w:w="36"/>
        <w:gridCol w:w="36"/>
        <w:gridCol w:w="36"/>
        <w:gridCol w:w="36"/>
        <w:gridCol w:w="36"/>
        <w:gridCol w:w="36"/>
        <w:gridCol w:w="36"/>
        <w:gridCol w:w="37"/>
      </w:tblGrid>
      <w:tr>
        <w:tc>
          <w:tcPr>
            <w:tcW w:w="50" w:type="pct"/>
            <w:shd w:val="clear" w:color="auto" w:fill="auto"/>
            <w:vAlign w:val="top"/>
          </w:tcPr>
          <w:p>
            <w:pPr>
              <w:rPr>
                <w:rFonts w:hint="eastAsia" w:ascii="宋体"/>
                <w:sz w:val="24"/>
                <w:szCs w:val="24"/>
              </w:rPr>
            </w:pPr>
          </w:p>
        </w:tc>
        <w:tc>
          <w:tcPr>
            <w:tcW w:w="373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income</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8,107 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comprehensive income (loss):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Foreign currency translation adjustments, net of tax of $21 and $13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change in unrealized gains (losses) on available-for-sale debt securities: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Unrealized gains (losses), net of tax of $12 and $30</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Reclassification adjustment for losses (gains) included in “Other income (expense), net,” net of tax of $0 and $4</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235"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Net unrealized gains (losses) on available-for-sale debt securities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(112)</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1595"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comprehensive income (loss)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(1,077)</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(486)</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Comprehensive income</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1,458 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7,621 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5</w:t>
      </w:r>
    </w:p>
    <w:p>
      <w:pPr>
        <w:keepNext w:val="0"/>
        <w:keepLines w:val="0"/>
        <w:widowControl/>
        <w:suppressLineNumbers w:val="0"/>
      </w:pPr>
      <w:r>
        <w:pict>
          <v:rect id="_x0000_i106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CONSOLIDATED BALANCE SHEETS</w:t>
      </w:r>
    </w:p>
    <w:p>
      <w:pPr>
        <w:keepNext w:val="0"/>
        <w:keepLines w:val="0"/>
        <w:widowControl/>
        <w:suppressLineNumbers w:val="0"/>
        <w:jc w:val="center"/>
      </w:pPr>
      <w:r>
        <w:rPr>
          <w:rFonts w:hint="default" w:ascii="Times New Roman" w:hAnsi="Times New Roman" w:eastAsia="宋体" w:cs="Times New Roman"/>
          <w:b/>
          <w:bCs/>
          <w:color w:val="000000"/>
          <w:sz w:val="20"/>
          <w:szCs w:val="20"/>
        </w:rPr>
        <w:t>(in millions, except per share data)</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680"/>
        <w:gridCol w:w="36"/>
        <w:gridCol w:w="120"/>
        <w:gridCol w:w="1084"/>
        <w:gridCol w:w="36"/>
        <w:gridCol w:w="36"/>
        <w:gridCol w:w="36"/>
        <w:gridCol w:w="36"/>
        <w:gridCol w:w="121"/>
        <w:gridCol w:w="1049"/>
        <w:gridCol w:w="37"/>
      </w:tblGrid>
      <w:tr>
        <w:tc>
          <w:tcPr>
            <w:tcW w:w="50" w:type="pct"/>
            <w:shd w:val="clear" w:color="auto" w:fill="auto"/>
            <w:vAlign w:val="top"/>
          </w:tcPr>
          <w:p>
            <w:pPr>
              <w:rPr>
                <w:rFonts w:hint="eastAsia" w:ascii="宋体"/>
                <w:sz w:val="24"/>
                <w:szCs w:val="24"/>
              </w:rPr>
            </w:pPr>
          </w:p>
        </w:tc>
        <w:tc>
          <w:tcPr>
            <w:tcW w:w="344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(unaudited)</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ASSETS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42,274 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39,436 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23,795 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23,849 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24,542 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24,289 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assets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132,733 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121,408 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113,114 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121,461 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37,553 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39,328 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15,017 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15,220 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22,778 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25,660 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assets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321,195 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323,077 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u w:val="single"/>
              </w:rPr>
              <w:t>LIABILITIES AND STOCKHOLDERS’ EQUITY</w:t>
            </w: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Accounts payable</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72,539 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63,926 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Accrued expenses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44,138 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40,939 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Unearned revenue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10,539 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current liabilities</w:t>
            </w: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126,385 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115,404 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lease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52,573 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53,067 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31,816 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31,868 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17,017 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19,418 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Commitments and contingencies (Note 4)</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Preferred stock, $0.01 par value:</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Authorized shares — 500</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Issued and outstanding shares — none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Common stock, $0.01 par value:</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Authorized shares — 5,000</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Issued shares — 527 and 528</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Outstanding shares — 503 and 504</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Treasury stock, at cost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45,160 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52,551 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60,658 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stockholders’ equity</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103,320 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159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liabilities and stockholders’ equity</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321,195 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323,077 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jc w:val="center"/>
      </w:pPr>
      <w:r>
        <w:rPr>
          <w:rFonts w:hint="default" w:ascii="Times New Roman" w:hAnsi="Times New Roman" w:eastAsia="宋体" w:cs="Times New Roman"/>
          <w:color w:val="000000"/>
          <w:sz w:val="20"/>
          <w:szCs w:val="20"/>
        </w:rPr>
        <w:t>See accompanying notes to consolidated financial statements.</w:t>
      </w:r>
    </w:p>
    <w:p>
      <w:pPr>
        <w:keepNext w:val="0"/>
        <w:keepLines w:val="0"/>
        <w:widowControl/>
        <w:suppressLineNumbers w:val="0"/>
        <w:jc w:val="center"/>
      </w:pPr>
    </w:p>
    <w:p>
      <w:pPr>
        <w:keepNext w:val="0"/>
        <w:keepLines w:val="0"/>
        <w:widowControl/>
        <w:suppressLineNumbers w:val="0"/>
        <w:jc w:val="center"/>
      </w:pPr>
      <w:r>
        <w:rPr>
          <w:rFonts w:hint="default" w:ascii="Times New Roman" w:hAnsi="Times New Roman" w:eastAsia="宋体" w:cs="Times New Roman"/>
          <w:color w:val="000000"/>
          <w:sz w:val="20"/>
          <w:szCs w:val="20"/>
        </w:rPr>
        <w:t>6</w:t>
      </w:r>
    </w:p>
    <w:p>
      <w:pPr>
        <w:keepNext w:val="0"/>
        <w:keepLines w:val="0"/>
        <w:widowControl/>
        <w:suppressLineNumbers w:val="0"/>
      </w:pPr>
      <w:r>
        <w:pict>
          <v:rect id="_x0000_i106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AMAZON.COM, INC.</w:t>
      </w:r>
    </w:p>
    <w:p>
      <w:pPr>
        <w:keepNext w:val="0"/>
        <w:keepLines w:val="0"/>
        <w:widowControl/>
        <w:suppressLineNumbers w:val="0"/>
        <w:jc w:val="center"/>
      </w:pPr>
      <w:r>
        <w:rPr>
          <w:rFonts w:hint="default" w:ascii="Times New Roman" w:hAnsi="Times New Roman" w:eastAsia="宋体" w:cs="Times New Roman"/>
          <w:b/>
          <w:bCs/>
          <w:color w:val="000000"/>
          <w:sz w:val="20"/>
          <w:szCs w:val="20"/>
        </w:rPr>
        <w:t>NOTES TO CONSOLIDATED FINANCIAL STATEMENTS</w:t>
      </w:r>
    </w:p>
    <w:p>
      <w:pPr>
        <w:keepNext w:val="0"/>
        <w:keepLines w:val="0"/>
        <w:widowControl/>
        <w:suppressLineNumbers w:val="0"/>
        <w:jc w:val="center"/>
      </w:pPr>
      <w:r>
        <w:rPr>
          <w:rFonts w:hint="default" w:ascii="Times New Roman" w:hAnsi="Times New Roman" w:eastAsia="宋体" w:cs="Times New Roman"/>
          <w:b/>
          <w:bCs/>
          <w:color w:val="000000"/>
          <w:sz w:val="20"/>
          <w:szCs w:val="20"/>
        </w:rPr>
        <w:t>(unaudited)</w:t>
      </w:r>
    </w:p>
    <w:p>
      <w:pPr>
        <w:keepNext w:val="0"/>
        <w:keepLines w:val="0"/>
        <w:widowControl/>
        <w:suppressLineNumbers w:val="0"/>
        <w:jc w:val="center"/>
      </w:pPr>
    </w:p>
    <w:p>
      <w:pPr>
        <w:keepNext w:val="0"/>
        <w:keepLines w:val="0"/>
        <w:widowControl/>
        <w:suppressLineNumbers w:val="0"/>
        <w:spacing w:before="280" w:beforeAutospacing="0"/>
        <w:ind w:left="0" w:firstLine="720"/>
        <w:jc w:val="left"/>
      </w:pPr>
      <w:r>
        <w:rPr>
          <w:rFonts w:hint="default" w:ascii="Times New Roman" w:hAnsi="Times New Roman" w:eastAsia="宋体" w:cs="Times New Roman"/>
          <w:b/>
          <w:bCs/>
          <w:color w:val="000000"/>
          <w:sz w:val="20"/>
          <w:szCs w:val="20"/>
        </w:rPr>
        <w:t>Note 1 — ACCOUNTING POLICIES AND SUPPLEMENTAL DISCLOSURES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Unaudited Interim Financial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2021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2020 Annual Report on Form 10-K.</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Prior Period Reclassifications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Certain prior period amounts have been reclassified to conform to the current period presentation. “Proceeds from short-term debt, and other” were reclassified from “Proceeds from long-term debt and other” and “Repayments of short-term debt, and other” were reclassified from “Repayments of long-term debt and other” on our consolidated statements of cash flows.</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Principles of Consolidation</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consolidated financial statements include the accounts of Amazon.com, Inc. and its consolidated entities (collectively, the “Company”), consisting of its wholly-owned subsidiaries and those entities in which we have a variable interest and of which we are the primary beneficiary, including certain entities in India and certain entities that support our seller lending financing activities. Intercompany balances and transactions between consolidated entities are eliminated.</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Use of Estimates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useful lives of equipment, commitments and contingencies, valuation of acquired intangibles and goodwill, stock-based compensation forfeiture rates, vendor funding, inventory valuation, collectability of receivables, and valuation and impairment of investments. Given the global economic climate and additional or unforeseen effects from the COVID-19 pandemic, these estimates may become more challenging, and actual results could differ materially from these estimates.</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Supplemental Cash Flow Information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supplemental cash flow information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731"/>
        <w:gridCol w:w="36"/>
        <w:gridCol w:w="100"/>
        <w:gridCol w:w="549"/>
        <w:gridCol w:w="36"/>
        <w:gridCol w:w="36"/>
        <w:gridCol w:w="36"/>
        <w:gridCol w:w="36"/>
        <w:gridCol w:w="100"/>
        <w:gridCol w:w="509"/>
        <w:gridCol w:w="36"/>
        <w:gridCol w:w="36"/>
        <w:gridCol w:w="36"/>
        <w:gridCol w:w="36"/>
        <w:gridCol w:w="36"/>
        <w:gridCol w:w="36"/>
        <w:gridCol w:w="258"/>
        <w:gridCol w:w="258"/>
        <w:gridCol w:w="100"/>
        <w:gridCol w:w="509"/>
        <w:gridCol w:w="36"/>
        <w:gridCol w:w="36"/>
        <w:gridCol w:w="36"/>
        <w:gridCol w:w="36"/>
        <w:gridCol w:w="100"/>
        <w:gridCol w:w="510"/>
        <w:gridCol w:w="36"/>
      </w:tblGrid>
      <w:tr>
        <w:tc>
          <w:tcPr>
            <w:tcW w:w="50" w:type="pct"/>
            <w:shd w:val="clear" w:color="auto" w:fill="auto"/>
            <w:vAlign w:val="top"/>
          </w:tcPr>
          <w:p>
            <w:pPr>
              <w:rPr>
                <w:rFonts w:hint="eastAsia" w:ascii="宋体"/>
                <w:sz w:val="24"/>
                <w:szCs w:val="24"/>
              </w:rPr>
            </w:pPr>
          </w:p>
        </w:tc>
        <w:tc>
          <w:tcPr>
            <w:tcW w:w="308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SUPPLEMENTAL CASH FLOW INFORMATION:</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debt</w:t>
            </w: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290 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879 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w:t>
            </w:r>
          </w:p>
        </w:tc>
        <w:tc>
          <w:tcPr>
            <w:tcW w:w="0" w:type="auto"/>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902 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3,680 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5,086 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168 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157 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650 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601 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interest on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59 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Cash paid for income taxes, net of refunds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305 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801 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1,017 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2,209 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Assets acquired under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2,408 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3,536 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9,403 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17,345 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2,166 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2,067 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13,262 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11,489 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16"/>
                <w:szCs w:val="16"/>
              </w:rPr>
              <w:t>Property and equipment acquired under build-to-suit arrangements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379 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887 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1,304 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16"/>
                <w:szCs w:val="16"/>
              </w:rPr>
              <w:t>2,775 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7</w:t>
      </w:r>
    </w:p>
    <w:p>
      <w:pPr>
        <w:keepNext w:val="0"/>
        <w:keepLines w:val="0"/>
        <w:widowControl/>
        <w:suppressLineNumbers w:val="0"/>
      </w:pPr>
      <w:r>
        <w:pict>
          <v:rect id="_x0000_i106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Earnings Per Share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shows the calculation of diluted shares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
        <w:gridCol w:w="6211"/>
        <w:gridCol w:w="36"/>
        <w:gridCol w:w="61"/>
        <w:gridCol w:w="726"/>
        <w:gridCol w:w="36"/>
        <w:gridCol w:w="36"/>
        <w:gridCol w:w="36"/>
        <w:gridCol w:w="36"/>
        <w:gridCol w:w="47"/>
        <w:gridCol w:w="727"/>
        <w:gridCol w:w="36"/>
        <w:gridCol w:w="36"/>
        <w:gridCol w:w="36"/>
        <w:gridCol w:w="36"/>
        <w:gridCol w:w="36"/>
        <w:gridCol w:w="36"/>
        <w:gridCol w:w="36"/>
        <w:gridCol w:w="36"/>
        <w:gridCol w:w="36"/>
      </w:tblGrid>
      <w:tr>
        <w:tc>
          <w:tcPr>
            <w:tcW w:w="50" w:type="pct"/>
            <w:shd w:val="clear" w:color="auto" w:fill="auto"/>
            <w:vAlign w:val="top"/>
          </w:tcPr>
          <w:p>
            <w:pPr>
              <w:rPr>
                <w:rFonts w:hint="eastAsia" w:ascii="宋体"/>
                <w:sz w:val="24"/>
                <w:szCs w:val="24"/>
              </w:rPr>
            </w:pPr>
          </w:p>
        </w:tc>
        <w:tc>
          <w:tcPr>
            <w:tcW w:w="387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basic earnings per share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498 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dilutive effect of outstanding stock awards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Shares used in computation of diluted earnings per share</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506 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6210"/>
        <w:gridCol w:w="36"/>
        <w:gridCol w:w="120"/>
        <w:gridCol w:w="549"/>
        <w:gridCol w:w="36"/>
        <w:gridCol w:w="36"/>
        <w:gridCol w:w="36"/>
        <w:gridCol w:w="36"/>
        <w:gridCol w:w="120"/>
        <w:gridCol w:w="509"/>
        <w:gridCol w:w="36"/>
        <w:gridCol w:w="36"/>
        <w:gridCol w:w="36"/>
        <w:gridCol w:w="36"/>
        <w:gridCol w:w="36"/>
        <w:gridCol w:w="36"/>
        <w:gridCol w:w="36"/>
        <w:gridCol w:w="36"/>
        <w:gridCol w:w="36"/>
        <w:gridCol w:w="36"/>
        <w:gridCol w:w="36"/>
        <w:gridCol w:w="36"/>
        <w:gridCol w:w="36"/>
        <w:gridCol w:w="36"/>
        <w:gridCol w:w="36"/>
        <w:gridCol w:w="36"/>
        <w:gridCol w:w="36"/>
      </w:tblGrid>
      <w:tr>
        <w:tc>
          <w:tcPr>
            <w:tcW w:w="50" w:type="pct"/>
            <w:shd w:val="clear" w:color="auto" w:fill="auto"/>
            <w:vAlign w:val="top"/>
          </w:tcPr>
          <w:p>
            <w:pPr>
              <w:rPr>
                <w:rFonts w:hint="eastAsia" w:ascii="宋体"/>
                <w:sz w:val="24"/>
                <w:szCs w:val="24"/>
              </w:rPr>
            </w:pPr>
          </w:p>
        </w:tc>
        <w:tc>
          <w:tcPr>
            <w:tcW w:w="40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Marketable equity securities valuation gains (losses)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Equity warrant valuation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Upward adjustments relating to equity investments in private companies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Foreign currency gains (losses)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(222)</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center"/>
          </w:tcPr>
          <w:p>
            <w:pPr>
              <w:keepNext w:val="0"/>
              <w:keepLines w:val="0"/>
              <w:widowControl/>
              <w:suppressLineNumbers w:val="0"/>
              <w:jc w:val="left"/>
              <w:textAlignment w:val="center"/>
            </w:pPr>
            <w:r>
              <w:rPr>
                <w:rFonts w:hint="default" w:ascii="Times New Roman" w:hAnsi="Times New Roman" w:eastAsia="宋体" w:cs="Times New Roman"/>
                <w:color w:val="000000"/>
                <w:sz w:val="20"/>
                <w:szCs w:val="20"/>
              </w:rPr>
              <w:t>Total other income (expense), net</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(406)</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 inventory valuation allowance, representing a write-down of inventory, was $2.3 billion and $2.4 billion as of December 31, 2020 and March 31, 2021.</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Accounts Receivable, Net and Other</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Included in “Accounts receivable, net and other” on our consolidated balance sheets are amounts primarily related to customers, vendors, and sellers. As of December 31, 2020 and March 31, 2021, customer receivables, net, were $14.8 billion and $15.3 billion, vendor receivables, net, were $4.8 billion and $3.6 billion, and seller receivables, net, were $381 million and $502 million. Seller receivables are amounts due from sellers related to our seller lending program, which provides funding to sellers primarily to procure inventory.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estimate losses on receivables based on expected losses, including our historical experience of actual losses. The allowance for doubtful accounts was $1.1 billion and $920 million as of December 31, 2020 and March 31, 2021.</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Digital Video and Music Content</w:t>
      </w:r>
    </w:p>
    <w:p>
      <w:pPr>
        <w:keepNext w:val="0"/>
        <w:keepLines w:val="0"/>
        <w:widowControl/>
        <w:suppressLineNumbers w:val="0"/>
        <w:spacing w:before="132" w:beforeAutospacing="0"/>
        <w:ind w:left="0" w:firstLine="540"/>
        <w:jc w:val="left"/>
      </w:pPr>
      <w:r>
        <w:rPr>
          <w:rFonts w:hint="default" w:ascii="Times New Roman" w:hAnsi="Times New Roman" w:eastAsia="宋体" w:cs="Times New Roman"/>
          <w:color w:val="000000"/>
          <w:sz w:val="20"/>
          <w:szCs w:val="20"/>
        </w:rPr>
        <w:t xml:space="preserve">The total capitalized costs of video, which is primarily released content, and music as of December 31, 2020 and March 31, 2021 were $6.8 billion and $7.8 billion. Total video and music expense was $2.4 billion and $3.0 billion in Q1 2020 and Q1 2021. </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 xml:space="preserve">Unearned Revenue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2020 was $11.6 billion, of which $4.2 billion was recognized as revenue during the three months ended March 31, 2021. Included in “Other long-term liabilities” on our consolidated balance sheets was $1.9 billion of unearned revenue as of December 31, 2020 and March 31, 2021.</w:t>
      </w:r>
    </w:p>
    <w:p>
      <w:pPr>
        <w:keepNext w:val="0"/>
        <w:keepLines w:val="0"/>
        <w:widowControl/>
        <w:suppressLineNumbers w:val="0"/>
        <w:jc w:val="center"/>
      </w:pPr>
      <w:r>
        <w:rPr>
          <w:rFonts w:hint="default" w:ascii="Times New Roman" w:hAnsi="Times New Roman" w:eastAsia="宋体" w:cs="Times New Roman"/>
          <w:color w:val="000000"/>
          <w:sz w:val="20"/>
          <w:szCs w:val="20"/>
        </w:rPr>
        <w:t>8</w:t>
      </w:r>
    </w:p>
    <w:p>
      <w:pPr>
        <w:keepNext w:val="0"/>
        <w:keepLines w:val="0"/>
        <w:widowControl/>
        <w:suppressLineNumbers w:val="0"/>
      </w:pPr>
      <w:r>
        <w:pict>
          <v:rect id="_x0000_i106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Additionally, we have performance obligations, primarily related to AWS, associated with commitments in customer contracts for future services that have not yet been recognized in our consolidated financial statements. For contracts with original terms that exceed one year, those commitments not yet recognized were $52.9 billion as of March 31, 2021. The weighted-average remaining life of our long-term contracts is 3.3 years. However, the amount and timing of revenue recognition is largely driven by customer usage, which can extend beyond the original contractual term.</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2 — FINANCIAL INSTRUMENTS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Cash, Cash Equivalents, Restricted Cash, and Marketable Securities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December 31, 2020 and March 31, 2021, our cash, cash equivalents, restricted cash, and marketable securities primarily consisted of cash, AAA-rated money market funds, U.S. and foreign government and agency securities, and other investment grade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1</w:t>
      </w:r>
      <w:r>
        <w:rPr>
          <w:rFonts w:hint="default" w:ascii="Times New Roman" w:hAnsi="Times New Roman" w:eastAsia="宋体" w:cs="Times New Roman"/>
          <w:color w:val="000000"/>
          <w:sz w:val="20"/>
          <w:szCs w:val="20"/>
        </w:rPr>
        <w:t>—Valuations based on quoted prices for identical assets and liabilities in active markets.</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2</w:t>
      </w:r>
      <w:r>
        <w:rPr>
          <w:rFonts w:hint="default" w:ascii="Times New Roman" w:hAnsi="Times New Roman" w:eastAsia="宋体" w:cs="Times New Roman"/>
          <w:color w:val="000000"/>
          <w:sz w:val="20"/>
          <w:szCs w:val="20"/>
        </w:rPr>
        <w:t>—Valuations based on observable inputs other than quoted prices included in Level 1, such as quoted prices for similar assets and liabilities in active markets, quoted prices for identical or similar assets and liabilities in markets that are not active, or other inputs that are observable or can be corroborated by observable market data.</w:t>
      </w:r>
    </w:p>
    <w:p>
      <w:pPr>
        <w:keepNext w:val="0"/>
        <w:keepLines w:val="0"/>
        <w:widowControl/>
        <w:suppressLineNumbers w:val="0"/>
        <w:pBdr>
          <w:left w:val="none" w:color="auto" w:sz="0" w:space="0"/>
        </w:pBdr>
        <w:spacing w:before="100" w:beforeAutospacing="0"/>
        <w:jc w:val="left"/>
      </w:pPr>
      <w:r>
        <w:rPr>
          <w:rFonts w:hint="default" w:ascii="Times New Roman" w:hAnsi="Times New Roman" w:eastAsia="宋体" w:cs="Times New Roman"/>
          <w:b/>
          <w:bCs/>
          <w:color w:val="000000"/>
          <w:sz w:val="20"/>
          <w:szCs w:val="20"/>
        </w:rPr>
        <w:t>Level 3</w:t>
      </w:r>
      <w:r>
        <w:rPr>
          <w:rFonts w:hint="default" w:ascii="Times New Roman" w:hAnsi="Times New Roman" w:eastAsia="宋体" w:cs="Times New Roman"/>
          <w:color w:val="000000"/>
          <w:sz w:val="20"/>
          <w:szCs w:val="20"/>
        </w:rPr>
        <w:t>—Valuations based on unobservable inputs reflecting our own assumptions, consistent with reasonably available assumptions made by other market participants. These valuations require significant judgment.</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marketable securities categorized as Level 3 assets as of December 31, 2020 and March 31, 2021.</w:t>
      </w:r>
    </w:p>
    <w:p>
      <w:pPr>
        <w:keepNext w:val="0"/>
        <w:keepLines w:val="0"/>
        <w:widowControl/>
        <w:suppressLineNumbers w:val="0"/>
        <w:jc w:val="center"/>
      </w:pPr>
      <w:r>
        <w:rPr>
          <w:rFonts w:hint="default" w:ascii="Times New Roman" w:hAnsi="Times New Roman" w:eastAsia="宋体" w:cs="Times New Roman"/>
          <w:color w:val="000000"/>
          <w:sz w:val="20"/>
          <w:szCs w:val="20"/>
        </w:rPr>
        <w:t>9</w:t>
      </w:r>
    </w:p>
    <w:p>
      <w:pPr>
        <w:keepNext w:val="0"/>
        <w:keepLines w:val="0"/>
        <w:widowControl/>
        <w:suppressLineNumbers w:val="0"/>
      </w:pPr>
      <w:r>
        <w:pict>
          <v:rect id="_x0000_i106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
        <w:gridCol w:w="3057"/>
        <w:gridCol w:w="36"/>
        <w:gridCol w:w="120"/>
        <w:gridCol w:w="1014"/>
        <w:gridCol w:w="36"/>
        <w:gridCol w:w="36"/>
        <w:gridCol w:w="36"/>
        <w:gridCol w:w="36"/>
        <w:gridCol w:w="120"/>
        <w:gridCol w:w="738"/>
        <w:gridCol w:w="36"/>
        <w:gridCol w:w="36"/>
        <w:gridCol w:w="36"/>
        <w:gridCol w:w="36"/>
        <w:gridCol w:w="120"/>
        <w:gridCol w:w="738"/>
        <w:gridCol w:w="36"/>
        <w:gridCol w:w="36"/>
        <w:gridCol w:w="36"/>
        <w:gridCol w:w="36"/>
        <w:gridCol w:w="120"/>
        <w:gridCol w:w="738"/>
        <w:gridCol w:w="36"/>
        <w:gridCol w:w="36"/>
        <w:gridCol w:w="36"/>
        <w:gridCol w:w="36"/>
        <w:gridCol w:w="120"/>
        <w:gridCol w:w="739"/>
        <w:gridCol w:w="37"/>
      </w:tblGrid>
      <w:tr>
        <w:tc>
          <w:tcPr>
            <w:tcW w:w="50" w:type="pct"/>
            <w:shd w:val="clear" w:color="auto" w:fill="auto"/>
            <w:vAlign w:val="top"/>
          </w:tcPr>
          <w:p>
            <w:pPr>
              <w:rPr>
                <w:rFonts w:hint="eastAsia" w:ascii="宋体"/>
                <w:sz w:val="24"/>
                <w:szCs w:val="24"/>
              </w:rPr>
            </w:pPr>
          </w:p>
        </w:tc>
        <w:tc>
          <w:tcPr>
            <w:tcW w:w="187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4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Cost 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Gains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Gross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Unrealized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Losses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1 securities:</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27,430 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22,902 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22,902 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Level 2 securities: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Foreign government and agency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5,131 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2,355 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U.S. government and agency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7,439 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5,712 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29,988 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27,243 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27,430 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Asset-backed securities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3,235 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fixed income securities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946 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 securities (1)</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84,653 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72,684 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73,593 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Restricted cash, cash equivalents, and marketable securities (2)</w:t>
            </w: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(323)</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marketable securities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84,396 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73,270 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(1)The related unrealized gain (loss) recorded in “Other income (expense), net” was $(31) million and $3 million in Q1 2020 and Q1 2021.</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(2)We are required to pledge or otherwise restrict a portion of our cash, cash equivalents, and marketable securities primarily as collateral for real estate,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4 — Commitments and Contingencies.”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The following table summarizes the remaining contractual maturities of our cash equivalents and marketable fixed income securities as of March 31, 2021 (in millions):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168"/>
        <w:gridCol w:w="36"/>
        <w:gridCol w:w="120"/>
        <w:gridCol w:w="840"/>
        <w:gridCol w:w="36"/>
        <w:gridCol w:w="36"/>
        <w:gridCol w:w="36"/>
        <w:gridCol w:w="36"/>
        <w:gridCol w:w="121"/>
        <w:gridCol w:w="805"/>
        <w:gridCol w:w="37"/>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Amortized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Cost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Estimated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within one year</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41,195 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41,210 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one year through five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17,607 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17,791 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five years through ten years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Due after ten years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2,765 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62,614 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62,840 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Actual maturities may differ from the contractual maturities because borrowers may have certain prepayment conditions.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Equity Warrants and Non-Marketable Equity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hold equity warrants giving us the right to acquire stock of other companies. As of December 31, 2020 and March 31, 2021, these warrants had a fair value of $3.0 billion and $2.8 billion, and are recorded within “Other assets” on our consolidated balance sheets with gains and losses recognized in “Other income (expense), net” on our consolidated statements of operations. These warrants are primarily classified as Level 2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2020 and March 31, 2021, equity investments not accounted for under the equity-method and without readily determinable fair values, had a carrying value of $2.7 billion and $4.3 billion, and are recorded within “Other assets” on our consolidated balance sheets with adjustments recognized in “Other income (expense), net” on our consolidated statements of operations. </w:t>
      </w:r>
    </w:p>
    <w:p>
      <w:pPr>
        <w:keepNext w:val="0"/>
        <w:keepLines w:val="0"/>
        <w:widowControl/>
        <w:suppressLineNumbers w:val="0"/>
        <w:jc w:val="center"/>
      </w:pPr>
      <w:r>
        <w:rPr>
          <w:rFonts w:hint="default" w:ascii="Times New Roman" w:hAnsi="Times New Roman" w:eastAsia="宋体" w:cs="Times New Roman"/>
          <w:color w:val="000000"/>
          <w:sz w:val="20"/>
          <w:szCs w:val="20"/>
        </w:rPr>
        <w:t>10</w:t>
      </w:r>
    </w:p>
    <w:p>
      <w:pPr>
        <w:keepNext w:val="0"/>
        <w:keepLines w:val="0"/>
        <w:widowControl/>
        <w:suppressLineNumbers w:val="0"/>
      </w:pPr>
      <w:r>
        <w:pict>
          <v:rect id="_x0000_i106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Consolidated Statements of Cash Flows Reconciliation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5717"/>
        <w:gridCol w:w="36"/>
        <w:gridCol w:w="120"/>
        <w:gridCol w:w="1071"/>
        <w:gridCol w:w="36"/>
        <w:gridCol w:w="36"/>
        <w:gridCol w:w="37"/>
        <w:gridCol w:w="37"/>
        <w:gridCol w:w="121"/>
        <w:gridCol w:w="1036"/>
        <w:gridCol w:w="37"/>
      </w:tblGrid>
      <w:tr>
        <w:tc>
          <w:tcPr>
            <w:tcW w:w="50" w:type="pct"/>
            <w:shd w:val="clear" w:color="auto" w:fill="auto"/>
            <w:vAlign w:val="top"/>
          </w:tcPr>
          <w:p>
            <w:pPr>
              <w:rPr>
                <w:rFonts w:hint="eastAsia" w:ascii="宋体"/>
                <w:sz w:val="24"/>
                <w:szCs w:val="24"/>
              </w:rPr>
            </w:pPr>
          </w:p>
        </w:tc>
        <w:tc>
          <w:tcPr>
            <w:tcW w:w="345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6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6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and cash equivalents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42,122 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accounts receivable, net and other</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Restricted cash included in other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cash, cash equivalents, and restricted cash shown in the consolidated statements of cash flows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42,377 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34,155 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720"/>
        <w:jc w:val="left"/>
      </w:pPr>
      <w:r>
        <w:rPr>
          <w:rFonts w:hint="default" w:ascii="Times New Roman" w:hAnsi="Times New Roman" w:eastAsia="宋体" w:cs="Times New Roman"/>
          <w:b/>
          <w:bCs/>
          <w:color w:val="000000"/>
          <w:sz w:val="20"/>
          <w:szCs w:val="20"/>
        </w:rPr>
        <w:t>Note 3 — LEASES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Gross assets acquired under finance leases, inclusive of those where title transfers at the end of the lease, are recorded in “Property and equipment, net” and were $68.1 billion and $69.3 billion as of December 31, 2020 and March 31, 2021. Accumulated amortization associated with finance leases was $36.5 billion and $38.3 billion as of December 31, 2020 and March 31,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Lease cost recognized in our consolidated statements of operations is summarized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455"/>
        <w:gridCol w:w="36"/>
        <w:gridCol w:w="120"/>
        <w:gridCol w:w="1033"/>
        <w:gridCol w:w="36"/>
        <w:gridCol w:w="36"/>
        <w:gridCol w:w="36"/>
        <w:gridCol w:w="36"/>
        <w:gridCol w:w="120"/>
        <w:gridCol w:w="996"/>
        <w:gridCol w:w="36"/>
        <w:gridCol w:w="36"/>
        <w:gridCol w:w="36"/>
        <w:gridCol w:w="36"/>
        <w:gridCol w:w="36"/>
        <w:gridCol w:w="36"/>
        <w:gridCol w:w="36"/>
        <w:gridCol w:w="36"/>
        <w:gridCol w:w="36"/>
        <w:gridCol w:w="36"/>
        <w:gridCol w:w="36"/>
      </w:tblGrid>
      <w:tr>
        <w:tc>
          <w:tcPr>
            <w:tcW w:w="50" w:type="pct"/>
            <w:shd w:val="clear" w:color="auto" w:fill="auto"/>
            <w:vAlign w:val="top"/>
          </w:tcPr>
          <w:p>
            <w:pPr>
              <w:rPr>
                <w:rFonts w:hint="eastAsia" w:ascii="宋体"/>
                <w:sz w:val="24"/>
                <w:szCs w:val="24"/>
              </w:rPr>
            </w:pPr>
          </w:p>
        </w:tc>
        <w:tc>
          <w:tcPr>
            <w:tcW w:w="344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7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7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605"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cost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Amortization of lease assets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Interest on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cost</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2,058 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2,588 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Variable lease cost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348 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23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lease cost</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3,390 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4,492 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Other information about lease amounts recognized in our consolidated financial statements is as follows:</w:t>
      </w:r>
    </w:p>
    <w:tbl>
      <w:tblPr>
        <w:tblStyle w:val="5"/>
        <w:tblW w:w="49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644"/>
        <w:gridCol w:w="36"/>
        <w:gridCol w:w="50"/>
        <w:gridCol w:w="1034"/>
        <w:gridCol w:w="187"/>
        <w:gridCol w:w="36"/>
        <w:gridCol w:w="36"/>
        <w:gridCol w:w="36"/>
        <w:gridCol w:w="36"/>
        <w:gridCol w:w="992"/>
        <w:gridCol w:w="188"/>
      </w:tblGrid>
      <w:tr>
        <w:tc>
          <w:tcPr>
            <w:tcW w:w="50" w:type="pct"/>
            <w:shd w:val="clear" w:color="auto" w:fill="auto"/>
            <w:vAlign w:val="top"/>
          </w:tcPr>
          <w:p>
            <w:pPr>
              <w:rPr>
                <w:rFonts w:hint="eastAsia" w:ascii="宋体"/>
                <w:sz w:val="24"/>
                <w:szCs w:val="24"/>
              </w:rPr>
            </w:pPr>
          </w:p>
        </w:tc>
        <w:tc>
          <w:tcPr>
            <w:tcW w:w="344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operating leases</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years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 years</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remaining lease term – finance leases</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 years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 years</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operating leases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Weighted-average discount rate – finance leases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2.1 </w:t>
            </w:r>
          </w:p>
        </w:tc>
        <w:tc>
          <w:tcPr>
            <w:tcW w:w="0" w:type="auto"/>
            <w:shd w:val="clear" w:color="auto" w:fill="auto"/>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11</w:t>
      </w:r>
    </w:p>
    <w:p>
      <w:pPr>
        <w:keepNext w:val="0"/>
        <w:keepLines w:val="0"/>
        <w:widowControl/>
        <w:suppressLineNumbers w:val="0"/>
      </w:pPr>
      <w:r>
        <w:pict>
          <v:rect id="_x0000_i106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Our lease liabilities were as follows (in millions):</w:t>
      </w:r>
    </w:p>
    <w:tbl>
      <w:tblPr>
        <w:tblStyle w:val="5"/>
        <w:tblW w:w="497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24"/>
        <w:gridCol w:w="36"/>
        <w:gridCol w:w="120"/>
        <w:gridCol w:w="799"/>
        <w:gridCol w:w="36"/>
        <w:gridCol w:w="36"/>
        <w:gridCol w:w="36"/>
        <w:gridCol w:w="36"/>
        <w:gridCol w:w="120"/>
        <w:gridCol w:w="758"/>
        <w:gridCol w:w="36"/>
        <w:gridCol w:w="36"/>
        <w:gridCol w:w="36"/>
        <w:gridCol w:w="37"/>
        <w:gridCol w:w="121"/>
        <w:gridCol w:w="759"/>
        <w:gridCol w:w="37"/>
      </w:tblGrid>
      <w:tr>
        <w:tc>
          <w:tcPr>
            <w:tcW w:w="50" w:type="pct"/>
            <w:shd w:val="clear" w:color="auto" w:fill="auto"/>
            <w:vAlign w:val="top"/>
          </w:tcPr>
          <w:p>
            <w:pPr>
              <w:rPr>
                <w:rFonts w:hint="eastAsia" w:ascii="宋体"/>
                <w:sz w:val="24"/>
                <w:szCs w:val="24"/>
              </w:rPr>
            </w:pPr>
          </w:p>
        </w:tc>
        <w:tc>
          <w:tcPr>
            <w:tcW w:w="317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r>
      <w:t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44,833 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30,437 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75,270 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(5,734)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(2,003)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(7,737)</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39,099 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28,434 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67,533 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(4,586)</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(10,374)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(14,960)</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34,513 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18,060 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52,573 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rPr>
          <w:vanish/>
          <w:sz w:val="24"/>
          <w:szCs w:val="24"/>
        </w:rPr>
      </w:pPr>
    </w:p>
    <w:tbl>
      <w:tblPr>
        <w:tblStyle w:val="5"/>
        <w:tblW w:w="498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212"/>
        <w:gridCol w:w="36"/>
        <w:gridCol w:w="120"/>
        <w:gridCol w:w="799"/>
        <w:gridCol w:w="36"/>
        <w:gridCol w:w="36"/>
        <w:gridCol w:w="36"/>
        <w:gridCol w:w="36"/>
        <w:gridCol w:w="120"/>
        <w:gridCol w:w="758"/>
        <w:gridCol w:w="36"/>
        <w:gridCol w:w="36"/>
        <w:gridCol w:w="36"/>
        <w:gridCol w:w="36"/>
        <w:gridCol w:w="121"/>
        <w:gridCol w:w="784"/>
        <w:gridCol w:w="37"/>
      </w:tblGrid>
      <w:tr>
        <w:trPr>
          <w:jc w:val="center"/>
        </w:trPr>
        <w:tc>
          <w:tcPr>
            <w:tcW w:w="50" w:type="pct"/>
            <w:shd w:val="clear" w:color="auto" w:fill="auto"/>
            <w:vAlign w:val="top"/>
          </w:tcPr>
          <w:p>
            <w:pPr>
              <w:rPr>
                <w:rFonts w:hint="eastAsia" w:ascii="宋体"/>
                <w:sz w:val="24"/>
                <w:szCs w:val="24"/>
              </w:rPr>
            </w:pPr>
          </w:p>
        </w:tc>
        <w:tc>
          <w:tcPr>
            <w:tcW w:w="31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0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2021</w:t>
            </w:r>
          </w:p>
        </w:tc>
      </w:tr>
      <w:tr>
        <w:trPr>
          <w:jc w:val="center"/>
        </w:trPr>
        <w:tc>
          <w:tcPr>
            <w:tcW w:w="0" w:type="auto"/>
            <w:gridSpan w:val="3"/>
            <w:shd w:val="clear" w:color="auto" w:fill="auto"/>
            <w:tcMar>
              <w:top w:w="40" w:type="dxa"/>
              <w:left w:w="605"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Operating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Finance Leases</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rPr>
          <w:jc w:val="center"/>
        </w:trP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Gross lease liabilities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46,762 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28,687 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75,449 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imputed interest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(5,784)</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(1,895)</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(7,679)</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Present value of lease liabilities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40,978 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26,792 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67,770 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(4,841)</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(9,862)</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(14,703)</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r>
      <w:tr>
        <w:trPr>
          <w:jc w:val="center"/>
        </w:trP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long-term lease liabilities</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36,137 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16,930 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53,067 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4 — COMMITMENTS AND CONTINGENCIES</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Commitments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have entered into non-cancellable operating and finance leases and financing obligations for equipment and office, fulfillment, sortation, delivery, data center, physical store, and renewable energy facilities.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following summarizes our principal contractual commitments, excluding open orders for purchases that support normal operations and are generally cancellable, as of March 31, 2021 (in millions):</w:t>
      </w:r>
      <w:r>
        <w:rPr>
          <w:rFonts w:hint="default" w:ascii="Times New Roman" w:hAnsi="Times New Roman" w:eastAsia="宋体" w:cs="Times New Roman"/>
          <w:color w:val="000000"/>
          <w:sz w:val="18"/>
          <w:szCs w:val="18"/>
        </w:rPr>
        <w:t> </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
        <w:gridCol w:w="2063"/>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7"/>
        <w:gridCol w:w="121"/>
        <w:gridCol w:w="701"/>
        <w:gridCol w:w="37"/>
        <w:gridCol w:w="37"/>
        <w:gridCol w:w="37"/>
        <w:gridCol w:w="37"/>
        <w:gridCol w:w="121"/>
        <w:gridCol w:w="701"/>
        <w:gridCol w:w="37"/>
      </w:tblGrid>
      <w:tr>
        <w:tc>
          <w:tcPr>
            <w:tcW w:w="50" w:type="pct"/>
            <w:shd w:val="clear" w:color="auto" w:fill="auto"/>
            <w:vAlign w:val="top"/>
          </w:tcPr>
          <w:p>
            <w:pPr>
              <w:rPr>
                <w:rFonts w:hint="eastAsia" w:ascii="宋体"/>
                <w:sz w:val="24"/>
                <w:szCs w:val="24"/>
              </w:rPr>
            </w:pPr>
          </w:p>
        </w:tc>
        <w:tc>
          <w:tcPr>
            <w:tcW w:w="18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8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2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2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20"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0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 December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 principal and interest</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1,876 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2,606 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3,331 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4,272 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3,058 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35,680 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50,823 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lease liabilities</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4,284 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5,507 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5,043 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4,620 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4,202 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23,106 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46,762 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Finance lease liabilities, including interest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7,700 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1,555 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6,894 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28,687 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obligations, including interest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4,067 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5,241 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Leases not yet commenced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27,980 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Unconditional purchase obligations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4,359 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13,576 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32,935 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commitments (2)(3)</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807 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9,881 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18,708 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commitments</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20,471 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24,719 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20,676 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18,476 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16,037 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121,184 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221,563 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(2)Includes the estimated timing and amounts of payments for rent and tenant improvements associated with build-to-suit lease arrangements that are under construction, asset retirement obligations, and liabilities associated with digital media content agreements with initial terms greater than one year.</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(3)Excludes approximately $3.0 billion of accrued tax contingencies for which we cannot make a reasonably reliable estimate of the amount and period of payment, if any.</w:t>
      </w:r>
    </w:p>
    <w:p>
      <w:pPr>
        <w:keepNext w:val="0"/>
        <w:keepLines w:val="0"/>
        <w:widowControl/>
        <w:suppressLineNumbers w:val="0"/>
        <w:jc w:val="center"/>
      </w:pPr>
      <w:r>
        <w:rPr>
          <w:rFonts w:hint="default" w:ascii="Times New Roman" w:hAnsi="Times New Roman" w:eastAsia="宋体" w:cs="Times New Roman"/>
          <w:color w:val="000000"/>
          <w:sz w:val="20"/>
          <w:szCs w:val="20"/>
        </w:rPr>
        <w:t>12</w:t>
      </w:r>
    </w:p>
    <w:p>
      <w:pPr>
        <w:keepNext w:val="0"/>
        <w:keepLines w:val="0"/>
        <w:widowControl/>
        <w:suppressLineNumbers w:val="0"/>
      </w:pPr>
      <w:r>
        <w:pict>
          <v:rect id="_x0000_i106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Pledged Assets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2020 and March 31, 2021, we have pledged or otherwise restricted $875 million and $932 million of our cash, cash equivalents, and marketable securities, and certain property and equipment primarily as collateral for real estate, amounts due to third-party sellers in certain jurisdictions, debt, and standby and trade letters of credit. Additionally, we have pledged our cash and seller receivables for debt related to our Credit Facility. See “Note 5 — Debt.” </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b/>
          <w:bCs/>
          <w:i/>
          <w:iCs/>
          <w:color w:val="000000"/>
          <w:sz w:val="20"/>
          <w:szCs w:val="20"/>
        </w:rPr>
        <w:t>Other Contingencies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are subject to claims and denials of refunds and credits related to various indirect taxes (such as sales, value added, consumption, service, and similar taxes), including in jurisdictions in which we already collect and remit such taxes. If the relevant taxing authorities were successfully to pursue these claims or denials, we could be subject to significant additional tax costs. For example, in June 2017, the State of South Carolina issued an assessment for uncollected sales and use taxes for the period from January 2016 to March 2016, including interest and penalties. South Carolina is alleging that we should have collected sales and use taxes on transactions by our third-party sellers. In September 2019, the South Carolina Administrative Law Court ruled in favor of the Department of Revenue and we have appealed the decision to the state Court of Appeals. We believe the assessment is without merit and intend to defend ourselves vigorously in this matter. If other tax authorities were successfully to seek additional adjustments of a similar nature, we could be subject to significant additional tax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Legal Proceedings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The Company is involved from time to time in claims, proceedings, and litigation, including the matters described in Item 8 of Part II, “Financial Statements and Supplementary Data — Note 7 — Commitments and Contingencies — Legal Proceedings” of our 2020 Annual Report on Form 10-K.</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In addition, we are regularly subject to claims, litigation, and other proceedings, including potential regulatory proceedings, involving patent and other intellectual property matters, taxes, labor and employment, competition and antitrust, privacy and data protection, consumer protection, commercial disputes, goods and services offered by us and by third parties, and other matters.</w:t>
      </w:r>
    </w:p>
    <w:p>
      <w:pPr>
        <w:keepNext w:val="0"/>
        <w:keepLines w:val="0"/>
        <w:widowControl/>
        <w:suppressLineNumbers w:val="0"/>
        <w:spacing w:before="100" w:beforeAutospacing="0" w:after="100" w:afterAutospacing="0"/>
        <w:ind w:left="0" w:firstLine="450"/>
        <w:jc w:val="left"/>
      </w:pPr>
      <w:r>
        <w:rPr>
          <w:rFonts w:hint="default" w:ascii="Times New Roman" w:hAnsi="Times New Roman" w:eastAsia="宋体" w:cs="Times New Roman"/>
          <w:color w:val="000000"/>
          <w:sz w:val="20"/>
          <w:szCs w:val="20"/>
        </w:rPr>
        <w:t>The outcomes of our legal proceedings and other contingencies are inherently unpredictable, subject to significant uncertainties, and could be material to our operating results and cash flows for a particular period. We evaluate, on a regular basis, developments in our legal proceedings and other contingencies that could affect the amount of liability, including amounts in excess of any previous accruals and reasonably possible losses disclosed, and make adjustments and changes to our accruals and disclosures as appropriate.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 Until the final resolution of such matters, if any of our estimates and assumptions change or prove to have been incorrect, we may experience losses in excess of the amounts recorded, which could have a material effect on our business, consolidated financial position, results of operations, or cash flows.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See also “Note 7 — Income Taxes.”</w:t>
      </w:r>
    </w:p>
    <w:p>
      <w:pPr>
        <w:keepNext w:val="0"/>
        <w:keepLines w:val="0"/>
        <w:widowControl/>
        <w:suppressLineNumbers w:val="0"/>
        <w:jc w:val="center"/>
      </w:pPr>
      <w:r>
        <w:rPr>
          <w:rFonts w:hint="default" w:ascii="Times New Roman" w:hAnsi="Times New Roman" w:eastAsia="宋体" w:cs="Times New Roman"/>
          <w:color w:val="000000"/>
          <w:sz w:val="20"/>
          <w:szCs w:val="20"/>
        </w:rPr>
        <w:t>13</w:t>
      </w:r>
    </w:p>
    <w:p>
      <w:pPr>
        <w:keepNext w:val="0"/>
        <w:keepLines w:val="0"/>
        <w:widowControl/>
        <w:suppressLineNumbers w:val="0"/>
      </w:pPr>
      <w:r>
        <w:pict>
          <v:rect id="_x0000_i107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5 — DEBT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March 31, 2021, we had $32.2 billion of unsecured senior notes outstanding (the “Notes”). We also had other long-term debt and borrowings under our credit facility of $924 million and $977 million as of December 31, 2020 and March 31, 2021. Our total long-term debt obligations are as follows (in millions):</w:t>
      </w:r>
    </w:p>
    <w:p>
      <w:pPr>
        <w:keepNext w:val="0"/>
        <w:keepLines w:val="0"/>
        <w:widowControl/>
        <w:suppressLineNumbers w:val="0"/>
        <w:spacing w:before="100" w:beforeAutospacing="0"/>
        <w:ind w:left="0" w:firstLine="495"/>
        <w:jc w:val="left"/>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2597"/>
        <w:gridCol w:w="36"/>
        <w:gridCol w:w="72"/>
        <w:gridCol w:w="711"/>
        <w:gridCol w:w="36"/>
        <w:gridCol w:w="36"/>
        <w:gridCol w:w="36"/>
        <w:gridCol w:w="36"/>
        <w:gridCol w:w="42"/>
        <w:gridCol w:w="996"/>
        <w:gridCol w:w="36"/>
        <w:gridCol w:w="36"/>
        <w:gridCol w:w="36"/>
        <w:gridCol w:w="36"/>
        <w:gridCol w:w="50"/>
        <w:gridCol w:w="940"/>
        <w:gridCol w:w="36"/>
        <w:gridCol w:w="36"/>
        <w:gridCol w:w="36"/>
        <w:gridCol w:w="36"/>
        <w:gridCol w:w="120"/>
        <w:gridCol w:w="987"/>
        <w:gridCol w:w="36"/>
        <w:gridCol w:w="36"/>
        <w:gridCol w:w="36"/>
        <w:gridCol w:w="36"/>
        <w:gridCol w:w="120"/>
        <w:gridCol w:w="1012"/>
        <w:gridCol w:w="37"/>
      </w:tblGrid>
      <w:tr>
        <w:tc>
          <w:tcPr>
            <w:tcW w:w="50" w:type="pct"/>
            <w:shd w:val="clear" w:color="auto" w:fill="auto"/>
            <w:vAlign w:val="top"/>
          </w:tcPr>
          <w:p>
            <w:pPr>
              <w:rPr>
                <w:rFonts w:hint="eastAsia" w:ascii="宋体"/>
                <w:sz w:val="24"/>
                <w:szCs w:val="24"/>
              </w:rPr>
            </w:pPr>
          </w:p>
        </w:tc>
        <w:tc>
          <w:tcPr>
            <w:tcW w:w="158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7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2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9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1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3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Maturities (1)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Stated Interest Rates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Effective Interest Rates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December 31, 2020</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March 31, 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2012 Notes issuance of $3.0 billion</w:t>
            </w: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2022</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2.50%</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2.66%</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2014 Notes issuance of $6.0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2021 - 2044</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3.30% - 4.95%</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3.43% - 5.11%</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2017 Notes issuance of $17.0 billion</w:t>
            </w: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2023 - 2057</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2.40% - 5.20%</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2.56% - 4.33%</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16,000 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pPr>
            <w:r>
              <w:rPr>
                <w:rFonts w:hint="default" w:ascii="Times New Roman" w:hAnsi="Times New Roman" w:eastAsia="宋体" w:cs="Times New Roman"/>
                <w:color w:val="000000"/>
                <w:sz w:val="20"/>
                <w:szCs w:val="20"/>
              </w:rPr>
              <w:t>2020 Notes issuance of $10.0 billion</w:t>
            </w: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color w:val="000000"/>
                <w:sz w:val="20"/>
                <w:szCs w:val="20"/>
              </w:rPr>
              <w:t>2023 - 2060</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0.40% - 2.70%</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pPr>
            <w:r>
              <w:rPr>
                <w:rFonts w:hint="default" w:ascii="Times New Roman" w:hAnsi="Times New Roman" w:eastAsia="宋体" w:cs="Times New Roman"/>
                <w:color w:val="000000"/>
                <w:sz w:val="20"/>
                <w:szCs w:val="20"/>
              </w:rPr>
              <w:t>0.56% - 2.77%</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10,000 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Credit Facility</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long-term debt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548 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face value of long-term debt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33,174 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33,227 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Unamortized discount and issuance costs, net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31,816 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31,868 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 The weighted-average remaining lives of the 2012, 2014, 2017, and 2020 Notes were 1.7, 11.6, 16.0, and 18.5 years as of March 31, 2021. The combined weighted-average remaining life of the Notes was 15.5 years as of March 31, 2021.</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Interest on the Notes is payable semi-annually in arrears. We may redeem the Notes at any time in whole, or from time to time, in part at specified redemption prices. We are not subject to any financial covenants under the Notes. The estimated fair value of the Notes was approximately $37.7 billion and $34.8 billion as of December 31, 2020 and March 31, 2021, which is based on quoted prices for our debt as of those dates.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have a $740 million secured revolving credit facility with a lender that is secured by certain seller receivables, which we may from time to time increase in the future subject to lender approval (the “Credit Facility”). The Credit Facility is available until October 2022, bears interest at the London interbank offered rate (“LIBOR”) plus 1.40%, and has a commitment fee of 0.50% on the undrawn portion. There were $338 million and $429 million of borrowings outstanding under the Credit Facility as of December 31, 2020 and March 31, 2021, which both had a weighted-average interest rate of 3.0%, respectively. As of December 31, 2020 and March 31, 2021, we have pledged $398 million and $497 million of our cash and seller receivables as collateral for debt related to our Credit Facility. The estimated fair value of the Credit Facility, which is based on Level 2 inputs, approximated its carrying value as of December 31, 2020 and March 31, 2021.</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Other long-term debt, including the current portion, had a weighted-average interest rate of 2.9% as of December 31, 2020 and March 31, 2021. We used the net proceeds from the issuance of this debt primarily to fund certain business operations. The estimated fair value of other long-term debt, which is based on Level 2 inputs, approximated its carrying value as of December 31, 2020 and March 31, 2021.</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have a commercial paper program (the “Commercial Paper Program”) under which we may from time to time issue unsecured commercial paper up to a total of $10.0 billion at any time, with individual maturities that may vary but will not exceed 397 days from the date of issue. There were $725 million of borrowings outstanding under the Commercial Paper Program as of December 31, 2020 and March 31, 2021, which were included in “Accrued expenses and other” on our consolidated balance sheets and had a weighted-average effective interest rate, including issuance costs, of 0.11% and 0.09%, respectively. We use the net proceeds from the issuance of commercial paper for general corporate purposes.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We also have a $7.0 billion unsecured revolving credit facility with a syndicate of lenders with a term that extends to June 2023 (the “Credit Agreement”). It may be extended for up to three additional one-year terms if approved by the lenders. The interest rate applicable to outstanding balances under the amended and restated Credit Agreement is LIBOR plus 0.50%, with a commitment fee of 0.04% on the undrawn portion of the credit facility. There were no borrowings outstanding under the Credit Agreement as of December 31, 2020 and March 31, 2021.</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also utilize other short-term credit facilities for working capital purposes. These amounts are included in “Accrued expenses and other” on our consolidated balance sheets. In addition, we had $4.3 billion of unused letters of credit as of March 31, 2021. </w:t>
      </w:r>
    </w:p>
    <w:p>
      <w:pPr>
        <w:keepNext w:val="0"/>
        <w:keepLines w:val="0"/>
        <w:widowControl/>
        <w:suppressLineNumbers w:val="0"/>
        <w:jc w:val="center"/>
      </w:pPr>
      <w:r>
        <w:rPr>
          <w:rFonts w:hint="default" w:ascii="Times New Roman" w:hAnsi="Times New Roman" w:eastAsia="宋体" w:cs="Times New Roman"/>
          <w:color w:val="000000"/>
          <w:sz w:val="20"/>
          <w:szCs w:val="20"/>
        </w:rPr>
        <w:t>14</w:t>
      </w:r>
    </w:p>
    <w:p>
      <w:pPr>
        <w:keepNext w:val="0"/>
        <w:keepLines w:val="0"/>
        <w:widowControl/>
        <w:suppressLineNumbers w:val="0"/>
      </w:pPr>
      <w:r>
        <w:pict>
          <v:rect id="_x0000_i107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6 — STOCKHOLDERS’ EQUITY</w:t>
      </w:r>
    </w:p>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Stock Repurchase Activity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In February 2016, the Board of Directors authorized a program to repurchase up to $5.0 billion of our common stock, with no fixed expiration. There were no repurchases of common stock during the three months ended March 31, 2020 or 2021. </w:t>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Stock Award Activity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Common shares outstanding plus shares underlying outstanding stock awards totaled 518 million and 519 million as of December 31, 2020 and March 31, 2021. These totals include all vested and unvested stock awards outstanding, including those awards we estimate will be forfeited. Stock-based compensation expense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5481"/>
        <w:gridCol w:w="36"/>
        <w:gridCol w:w="120"/>
        <w:gridCol w:w="1056"/>
        <w:gridCol w:w="36"/>
        <w:gridCol w:w="36"/>
        <w:gridCol w:w="36"/>
        <w:gridCol w:w="36"/>
        <w:gridCol w:w="120"/>
        <w:gridCol w:w="1018"/>
        <w:gridCol w:w="36"/>
        <w:gridCol w:w="36"/>
        <w:gridCol w:w="36"/>
        <w:gridCol w:w="36"/>
        <w:gridCol w:w="36"/>
        <w:gridCol w:w="36"/>
        <w:gridCol w:w="36"/>
        <w:gridCol w:w="36"/>
        <w:gridCol w:w="36"/>
      </w:tblGrid>
      <w:tr>
        <w:tc>
          <w:tcPr>
            <w:tcW w:w="50" w:type="pct"/>
            <w:shd w:val="clear" w:color="auto" w:fill="auto"/>
            <w:vAlign w:val="top"/>
          </w:tcPr>
          <w:p>
            <w:pPr>
              <w:rPr>
                <w:rFonts w:hint="eastAsia" w:ascii="宋体"/>
                <w:sz w:val="24"/>
                <w:szCs w:val="24"/>
              </w:rPr>
            </w:pPr>
          </w:p>
        </w:tc>
        <w:tc>
          <w:tcPr>
            <w:tcW w:w="34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260 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961 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Marketing</w:t>
            </w: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332 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auto"/>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456 </w:t>
            </w:r>
          </w:p>
        </w:tc>
        <w:tc>
          <w:tcPr>
            <w:tcW w:w="0" w:type="auto"/>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stock-based compensation expense</w:t>
            </w: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1,757 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auto"/>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auto"/>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2,306 </w:t>
            </w:r>
          </w:p>
        </w:tc>
        <w:tc>
          <w:tcPr>
            <w:tcW w:w="0" w:type="auto"/>
            <w:tcBorders>
              <w:top w:val="single" w:color="000000" w:sz="8" w:space="0"/>
              <w:bottom w:val="double" w:color="000000" w:sz="6" w:space="0"/>
            </w:tcBorders>
            <w:shd w:val="clear" w:color="auto" w:fill="auto"/>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The following table summarizes our restricted stock unit activity for the three months ended March 31, 2021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548"/>
        <w:gridCol w:w="36"/>
        <w:gridCol w:w="80"/>
        <w:gridCol w:w="1099"/>
        <w:gridCol w:w="36"/>
        <w:gridCol w:w="36"/>
        <w:gridCol w:w="36"/>
        <w:gridCol w:w="36"/>
        <w:gridCol w:w="121"/>
        <w:gridCol w:w="1223"/>
        <w:gridCol w:w="37"/>
      </w:tblGrid>
      <w:tr>
        <w:tc>
          <w:tcPr>
            <w:tcW w:w="50" w:type="pct"/>
            <w:shd w:val="clear" w:color="auto" w:fill="auto"/>
            <w:vAlign w:val="top"/>
          </w:tcPr>
          <w:p>
            <w:pPr>
              <w:rPr>
                <w:rFonts w:hint="eastAsia" w:ascii="宋体"/>
                <w:sz w:val="24"/>
                <w:szCs w:val="24"/>
              </w:rPr>
            </w:pPr>
          </w:p>
        </w:tc>
        <w:tc>
          <w:tcPr>
            <w:tcW w:w="34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68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Number of Units</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Weighted-Average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Grant-Date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Fair Value</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December 31, 2020</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granted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3,147 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vested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1,270 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Units forfeited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Outstanding as of March 31, 2021</w:t>
            </w: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2,096 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Scheduled vesting for outstanding restricted stock units as of March 31, 2021, is as follows (in millions):</w:t>
      </w:r>
    </w:p>
    <w:tbl>
      <w:tblPr>
        <w:tblStyle w:val="5"/>
        <w:tblW w:w="497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
        <w:gridCol w:w="2807"/>
        <w:gridCol w:w="36"/>
        <w:gridCol w:w="62"/>
        <w:gridCol w:w="844"/>
        <w:gridCol w:w="36"/>
        <w:gridCol w:w="36"/>
        <w:gridCol w:w="36"/>
        <w:gridCol w:w="36"/>
        <w:gridCol w:w="46"/>
        <w:gridCol w:w="506"/>
        <w:gridCol w:w="36"/>
        <w:gridCol w:w="36"/>
        <w:gridCol w:w="36"/>
        <w:gridCol w:w="36"/>
        <w:gridCol w:w="46"/>
        <w:gridCol w:w="506"/>
        <w:gridCol w:w="36"/>
        <w:gridCol w:w="36"/>
        <w:gridCol w:w="36"/>
        <w:gridCol w:w="36"/>
        <w:gridCol w:w="46"/>
        <w:gridCol w:w="506"/>
        <w:gridCol w:w="36"/>
        <w:gridCol w:w="36"/>
        <w:gridCol w:w="36"/>
        <w:gridCol w:w="36"/>
        <w:gridCol w:w="46"/>
        <w:gridCol w:w="506"/>
        <w:gridCol w:w="36"/>
        <w:gridCol w:w="36"/>
        <w:gridCol w:w="36"/>
        <w:gridCol w:w="36"/>
        <w:gridCol w:w="90"/>
        <w:gridCol w:w="680"/>
        <w:gridCol w:w="37"/>
        <w:gridCol w:w="37"/>
        <w:gridCol w:w="37"/>
        <w:gridCol w:w="37"/>
        <w:gridCol w:w="50"/>
        <w:gridCol w:w="554"/>
        <w:gridCol w:w="37"/>
      </w:tblGrid>
      <w:tr>
        <w:tc>
          <w:tcPr>
            <w:tcW w:w="50" w:type="pct"/>
            <w:shd w:val="clear" w:color="auto" w:fill="auto"/>
            <w:vAlign w:val="top"/>
          </w:tcPr>
          <w:p>
            <w:pPr>
              <w:rPr>
                <w:rFonts w:hint="eastAsia" w:ascii="宋体"/>
                <w:sz w:val="24"/>
                <w:szCs w:val="24"/>
              </w:rPr>
            </w:pPr>
          </w:p>
        </w:tc>
        <w:tc>
          <w:tcPr>
            <w:tcW w:w="170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3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7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7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Nine Months Ended December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21"/>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Year Ended December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2022</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2023</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2024</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2025</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Thereafter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Total</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Scheduled vesting — restricted stock units</w:t>
            </w: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5.3 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0.1 </w:t>
            </w:r>
          </w:p>
        </w:tc>
        <w:tc>
          <w:tcPr>
            <w:tcW w:w="0" w:type="auto"/>
            <w:tcBorders>
              <w:top w:val="single" w:color="000000" w:sz="8" w:space="0"/>
              <w:bottom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 xml:space="preserve">As of March 31, 2021, there was $12.4 billion of net unrecognized compensation cost related to unvested stock-based compensation arrangements. This compensation is recognized on an accelerated basis with approximately half of the compensation expected to be expensed in the next twelve months, and has a remaining weighted-average recognition period of 1.1 years. The estimated forfeiture rate as of December 31, 2020 and March 31, 2021 was 27%. Changes in our estimates and assumptions relating to forfeitures may cause us to realize material changes in stock-based compensation expense in the future. </w:t>
      </w:r>
    </w:p>
    <w:p>
      <w:pPr>
        <w:keepNext w:val="0"/>
        <w:keepLines w:val="0"/>
        <w:widowControl/>
        <w:suppressLineNumbers w:val="0"/>
        <w:jc w:val="center"/>
      </w:pPr>
      <w:r>
        <w:rPr>
          <w:rFonts w:hint="default" w:ascii="Times New Roman" w:hAnsi="Times New Roman" w:eastAsia="宋体" w:cs="Times New Roman"/>
          <w:color w:val="000000"/>
          <w:sz w:val="20"/>
          <w:szCs w:val="20"/>
        </w:rPr>
        <w:t>15</w:t>
      </w:r>
    </w:p>
    <w:p>
      <w:pPr>
        <w:keepNext w:val="0"/>
        <w:keepLines w:val="0"/>
        <w:widowControl/>
        <w:suppressLineNumbers w:val="0"/>
      </w:pPr>
      <w:r>
        <w:pict>
          <v:rect id="_x0000_i107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270"/>
        <w:jc w:val="left"/>
      </w:pPr>
      <w:r>
        <w:rPr>
          <w:rFonts w:hint="default" w:ascii="Times New Roman" w:hAnsi="Times New Roman" w:eastAsia="宋体" w:cs="Times New Roman"/>
          <w:b/>
          <w:bCs/>
          <w:i/>
          <w:iCs/>
          <w:color w:val="000000"/>
          <w:sz w:val="20"/>
          <w:szCs w:val="20"/>
        </w:rPr>
        <w:t>Changes in Stockholders’ Equity</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The following table shows the changes in stockholders’ equity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6195"/>
        <w:gridCol w:w="36"/>
        <w:gridCol w:w="120"/>
        <w:gridCol w:w="659"/>
        <w:gridCol w:w="36"/>
        <w:gridCol w:w="36"/>
        <w:gridCol w:w="36"/>
        <w:gridCol w:w="36"/>
        <w:gridCol w:w="120"/>
        <w:gridCol w:w="700"/>
        <w:gridCol w:w="36"/>
        <w:gridCol w:w="36"/>
        <w:gridCol w:w="36"/>
        <w:gridCol w:w="36"/>
        <w:gridCol w:w="36"/>
        <w:gridCol w:w="36"/>
        <w:gridCol w:w="36"/>
        <w:gridCol w:w="37"/>
        <w:gridCol w:w="37"/>
      </w:tblGrid>
      <w:tr>
        <w:tc>
          <w:tcPr>
            <w:tcW w:w="50" w:type="pct"/>
            <w:shd w:val="clear" w:color="auto" w:fill="auto"/>
            <w:vAlign w:val="top"/>
          </w:tcPr>
          <w:p>
            <w:pPr>
              <w:rPr>
                <w:rFonts w:hint="eastAsia" w:ascii="宋体"/>
                <w:sz w:val="24"/>
                <w:szCs w:val="24"/>
              </w:rPr>
            </w:pPr>
          </w:p>
        </w:tc>
        <w:tc>
          <w:tcPr>
            <w:tcW w:w="389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4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Total beginning stockholders’ equity</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93,404 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and ending common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and ending treasury stock</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(1,837)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additional paid-in capital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33,658 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42,865 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Stock-based compensation and issuance of employee benefit plan stock</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1,754 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2,295 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additional paid-in capital</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35,412 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45,160 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accumulated other comprehensive income (loss)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(986)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(180)</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comprehensive income (loss)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(1,077)</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accumulated other comprehensive income (loss)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(2,063)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(666)</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Beginning retained earnings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31,220 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52,551 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hidden/>
        </w:trPr>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Ending retained earnings</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33,755 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60,658 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trHeight w:val="28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ending stockholders’ equity</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65,272 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103,320 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Note 7 —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developments in tax controversies,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Our effective tax rate can be more or less volatile based on the amount of pre-tax income or loss. For example, the impact of discrete items and non-deductible expenses on our effective tax rate is greater when our pre-tax income is lower. In addition, we record valuation allowances against deferred tax assets when there is uncertainty about our ability to generate future income in relevant jurisdictions, and the effects of the COVID-19 pandemic on our business make estimates of future income more challenging. Since Q2 2017, we have recorded a valuation allowance against our net deferred tax assets in Luxembourg. There is still significant uncertainty whether our income in Luxembourg is sustainable in the future and we will maintain the valuation allowance until sufficient positive evidence exists to support a release of the valuation allowance.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For 2021, we estimate that our effective tax rate will be favorably affected by the impact of excess tax benefits from stock-based compensation and the U.S. federal research and development credit and adversely affected by state 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provisions for the three months ended March 31, 2020 and 2021 were $744 million and $2.2 billion, which included $273 million and $349 million of net discrete tax benefits primarily attributable to excess tax benefits from stock-based compensation.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paid for income taxes, net of refunds was $305 million and $801 million in Q1 2020 and Q1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2020 and March 31, 2021, tax contingencies were approximately $2.8 billion and $3.0 billion. Changes in tax laws, regulations, administrative practices, principles, and interpretations may impact our tax </w:t>
      </w:r>
    </w:p>
    <w:p>
      <w:pPr>
        <w:keepNext w:val="0"/>
        <w:keepLines w:val="0"/>
        <w:widowControl/>
        <w:suppressLineNumbers w:val="0"/>
        <w:jc w:val="center"/>
      </w:pPr>
      <w:r>
        <w:rPr>
          <w:rFonts w:hint="default" w:ascii="Times New Roman" w:hAnsi="Times New Roman" w:eastAsia="宋体" w:cs="Times New Roman"/>
          <w:color w:val="000000"/>
          <w:sz w:val="20"/>
          <w:szCs w:val="20"/>
        </w:rPr>
        <w:t>16</w:t>
      </w:r>
    </w:p>
    <w:p>
      <w:pPr>
        <w:keepNext w:val="0"/>
        <w:keepLines w:val="0"/>
        <w:widowControl/>
        <w:suppressLineNumbers w:val="0"/>
      </w:pPr>
      <w:r>
        <w:pict>
          <v:rect id="_x0000_i107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contingencies. The timing of the resolution of income tax controversies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controversies in one or more jurisdictions. These assessments or settlements could result in changes to our contingencies related to positions on prior years’ tax filings.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under examination, or may be subject to examination, by the Internal Revenue Service for the calendar year 2013 and thereafter. These examinations may lead to ordinary course adjustments or proposed adjustments to our taxes or our net operating losses with respect to years under examination as well as subsequent periods.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which we deposited into escrow in March 2018, subject to adjustment pending conclusion of all appeals. In December 2017, Luxembourg appealed the European Commission’s decision. In May 2018, we appealed. We believe the European Commission’s decision to be without merit and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2009 and thereafter.</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 xml:space="preserve">Note 8 — SEGMENT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We allocate to segment results the operating expenses “Fulfillment,” “Technology and content,” “Marketing,”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North America</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International</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International segment primarily consists of amounts earned from retail sales of consumer products (including from sellers) and subscriptions through internationally-focused online stores. This segment includes export sales from these internationally-focused online stores (including export sales from these online stores to customers in the U.S., Mexico, and Canada), but excludes export sales from our North America-focused online stores.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AWS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AWS segment consists of amounts earned from global sales of compute, storage, database, and other services for start-ups, enterprises, government agencies, and academic institutions.</w:t>
      </w:r>
    </w:p>
    <w:p>
      <w:pPr>
        <w:keepNext w:val="0"/>
        <w:keepLines w:val="0"/>
        <w:widowControl/>
        <w:suppressLineNumbers w:val="0"/>
        <w:jc w:val="center"/>
      </w:pPr>
      <w:r>
        <w:rPr>
          <w:rFonts w:hint="default" w:ascii="Times New Roman" w:hAnsi="Times New Roman" w:eastAsia="宋体" w:cs="Times New Roman"/>
          <w:color w:val="000000"/>
          <w:sz w:val="20"/>
          <w:szCs w:val="20"/>
        </w:rPr>
        <w:t>17</w:t>
      </w:r>
    </w:p>
    <w:p>
      <w:pPr>
        <w:keepNext w:val="0"/>
        <w:keepLines w:val="0"/>
        <w:widowControl/>
        <w:suppressLineNumbers w:val="0"/>
      </w:pPr>
      <w:r>
        <w:pict>
          <v:rect id="_x0000_i107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on reportable segments and reconciliation to consolidated net income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5976"/>
        <w:gridCol w:w="36"/>
        <w:gridCol w:w="120"/>
        <w:gridCol w:w="808"/>
        <w:gridCol w:w="36"/>
        <w:gridCol w:w="36"/>
        <w:gridCol w:w="36"/>
        <w:gridCol w:w="36"/>
        <w:gridCol w:w="120"/>
        <w:gridCol w:w="770"/>
        <w:gridCol w:w="36"/>
        <w:gridCol w:w="36"/>
        <w:gridCol w:w="36"/>
        <w:gridCol w:w="36"/>
        <w:gridCol w:w="36"/>
        <w:gridCol w:w="36"/>
        <w:gridCol w:w="36"/>
        <w:gridCol w:w="36"/>
        <w:gridCol w:w="37"/>
      </w:tblGrid>
      <w:tr>
        <w:tc>
          <w:tcPr>
            <w:tcW w:w="50" w:type="pct"/>
            <w:shd w:val="clear" w:color="auto" w:fill="auto"/>
            <w:vAlign w:val="top"/>
          </w:tcPr>
          <w:p>
            <w:pPr>
              <w:rPr>
                <w:rFonts w:hint="eastAsia" w:ascii="宋体"/>
                <w:sz w:val="24"/>
                <w:szCs w:val="24"/>
              </w:rPr>
            </w:pPr>
          </w:p>
        </w:tc>
        <w:tc>
          <w:tcPr>
            <w:tcW w:w="373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North America</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46,127 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64,366 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44,815 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60,916 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1,312 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3,450 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International</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30,649 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19,504 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29,397 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(398)</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trHeight w:val="24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AWS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3,075 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4,163 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rPr>
          <w:trHeight w:val="240" w:hRule="atLeast"/>
        </w:trPr>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Consolidated</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75,452 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108,518 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99,653 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3,989 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8,865 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non-operating income (expense)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(744)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(2,156)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Equity-method investment activity, net of tax</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(104)</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income</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2,535 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8,107 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ind w:left="0" w:firstLine="450"/>
        <w:jc w:val="left"/>
      </w:pPr>
      <w:r>
        <w:rPr>
          <w:rFonts w:hint="default" w:ascii="Times New Roman" w:hAnsi="Times New Roman" w:eastAsia="宋体" w:cs="Times New Roman"/>
          <w:color w:val="000000"/>
          <w:sz w:val="20"/>
          <w:szCs w:val="20"/>
        </w:rPr>
        <w:t>Net sales by groups of similar products and services, which also have similar economic characteristics, is as follows (in millions):    </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5976"/>
        <w:gridCol w:w="36"/>
        <w:gridCol w:w="120"/>
        <w:gridCol w:w="808"/>
        <w:gridCol w:w="36"/>
        <w:gridCol w:w="36"/>
        <w:gridCol w:w="36"/>
        <w:gridCol w:w="36"/>
        <w:gridCol w:w="120"/>
        <w:gridCol w:w="770"/>
        <w:gridCol w:w="36"/>
        <w:gridCol w:w="36"/>
        <w:gridCol w:w="36"/>
        <w:gridCol w:w="36"/>
        <w:gridCol w:w="36"/>
        <w:gridCol w:w="36"/>
        <w:gridCol w:w="36"/>
        <w:gridCol w:w="36"/>
        <w:gridCol w:w="37"/>
      </w:tblGrid>
      <w:tr>
        <w:tc>
          <w:tcPr>
            <w:tcW w:w="50" w:type="pct"/>
            <w:shd w:val="clear" w:color="auto" w:fill="auto"/>
            <w:vAlign w:val="top"/>
          </w:tcPr>
          <w:p>
            <w:pPr>
              <w:rPr>
                <w:rFonts w:hint="eastAsia" w:ascii="宋体"/>
                <w:sz w:val="24"/>
                <w:szCs w:val="24"/>
              </w:rPr>
            </w:pPr>
          </w:p>
        </w:tc>
        <w:tc>
          <w:tcPr>
            <w:tcW w:w="373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9"/>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Online stores (1)</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36,652 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52,901 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Physical stores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4,640 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Third-party seller services (3)</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14,479 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23,709 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Subscription services (4)</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5,556 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7,580 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(5)</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6,905 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75,452 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108,518 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(1)Includes product sales and digital media content where we record revenue gross. We leverage our retail infrastructure to offer a wide selection of consumable and durable goods that includes media products available in both a physical and digital format, such as books, videos, games, music, and software. These product sales include digital products sold on a transactional basis. Digital product subscriptions that provide unlimited viewing or usage rights are included in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(2)Includes product sales where our customers physically select items in a store. Sales to customers who order goods online for delivery or pickup at our physical stores are included in “Online stores.”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(3)Includes commissions and any related fulfillment and shipping fees, and other third-party seller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(4)Includes annual and monthly fees associated with Amazon Prime memberships, as well as digital video, audiobook, digital music, e-book, and other non-AWS subscription services.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 xml:space="preserve">(5)Primarily includes sales of advertising services, as well as sales related to our other service offerings. </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18</w:t>
      </w:r>
    </w:p>
    <w:p>
      <w:pPr>
        <w:keepNext w:val="0"/>
        <w:keepLines w:val="0"/>
        <w:widowControl/>
        <w:suppressLineNumbers w:val="0"/>
      </w:pPr>
      <w:r>
        <w:pict>
          <v:rect id="_x0000_i107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Management’s Discussion and Analysis of Financial Condition and Results of Operations</w:t>
            </w:r>
          </w:p>
        </w:tc>
      </w:tr>
    </w:tbl>
    <w:p>
      <w:pPr>
        <w:keepNext w:val="0"/>
        <w:keepLines w:val="0"/>
        <w:widowControl/>
        <w:suppressLineNumbers w:val="0"/>
        <w:spacing w:before="100" w:beforeAutospacing="0"/>
        <w:ind w:left="0" w:firstLine="225"/>
        <w:jc w:val="left"/>
      </w:pPr>
      <w:r>
        <w:rPr>
          <w:rFonts w:hint="default" w:ascii="Times New Roman" w:hAnsi="Times New Roman" w:eastAsia="宋体" w:cs="Times New Roman"/>
          <w:b/>
          <w:bCs/>
          <w:i/>
          <w:iCs/>
          <w:color w:val="000000"/>
          <w:sz w:val="20"/>
          <w:szCs w:val="20"/>
        </w:rPr>
        <w:t>Forward-Looking Statements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i/>
          <w:iCs/>
          <w:color w:val="000000"/>
          <w:sz w:val="20"/>
          <w:szCs w:val="20"/>
        </w:rPr>
        <w:t>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claims, litigation, government investigations, and other proceedings, fulfillment, sortation, delivery, and data center optimization, risks of inventory management, variability in demand, the degree to which we enter into, maintain, and develop commercial agreements, proposed and completed acquisitions and strategic transactions, payments risks, and risks of fulfillment throughput and productivity. In addition, the global economic climate and additional or unforeseen effects from the COVID-19 pandemic amplify many of these risks. These risks and uncertainties, as well as other risks and uncertainties that could cause our actual results to differ significantly from management’s expectations, are described in greater detail in Item 1A of Part II, “Risk Factors.”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For additional information, see Item 7 of Part II, “Management’s Discussion and Analysis of Financial Condition and Results of Operations — Overview” of our 2020 Annual Report on Form 10-K.</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Critical Accounting Judgments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Accounting Policies, and Supplemental Disclosures” of our 2020 Annual Report on Form 10-K and Item 1 of Part I, “Financial Statements — Note 1 — Accounting Policies and Supplemental Disclosures,” of this Form 10-Q. Although we believe that our estimates, assumptions, and judgments are reasonable, they are based upon information presently available. Actual results may differ significantly from these estimates under different assumptions, judgments, or conditions.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Inventories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assumptions about future disposition of inventory are inherently uncertain and changes in our estimates and assumptions may cause us to realize material write-downs in the future. As a measure of sensitivity, for every 1% of additional inventory valuation allowance as of March 31, 2021, we would have recorded an additional cost of sales of approximately $275 million.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we enter into supplier commitments for certain electronic device components and certain products. These commitments are based on forecasted customer demand. If we reduce these commitments, we may incur additional costs.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In addition, our actual and forecasted earnings are subject to </w:t>
      </w:r>
    </w:p>
    <w:p>
      <w:pPr>
        <w:keepNext w:val="0"/>
        <w:keepLines w:val="0"/>
        <w:widowControl/>
        <w:suppressLineNumbers w:val="0"/>
        <w:jc w:val="center"/>
      </w:pPr>
      <w:r>
        <w:rPr>
          <w:rFonts w:hint="default" w:ascii="Times New Roman" w:hAnsi="Times New Roman" w:eastAsia="宋体" w:cs="Times New Roman"/>
          <w:color w:val="000000"/>
          <w:sz w:val="20"/>
          <w:szCs w:val="20"/>
        </w:rPr>
        <w:t>19</w:t>
      </w:r>
    </w:p>
    <w:p>
      <w:pPr>
        <w:keepNext w:val="0"/>
        <w:keepLines w:val="0"/>
        <w:widowControl/>
        <w:suppressLineNumbers w:val="0"/>
      </w:pPr>
      <w:r>
        <w:pict>
          <v:rect id="_x0000_i107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 xml:space="preserve">change due to economic, political, and other conditions, such as the COVID-19 pandemic, and significant judgment is required in determining our ability to use our deferred tax assets.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 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to our forecasts of income and loss and the mix of jurisdictions to which they relate,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have enacted or are actively pursuing changes to their tax laws applicable to corporate multinationals.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pPr>
        <w:keepNext w:val="0"/>
        <w:keepLines w:val="0"/>
        <w:widowControl/>
        <w:suppressLineNumbers w:val="0"/>
        <w:spacing w:before="100" w:beforeAutospacing="0"/>
        <w:ind w:left="0" w:firstLine="495"/>
        <w:jc w:val="left"/>
      </w:pPr>
    </w:p>
    <w:p>
      <w:pPr>
        <w:keepNext w:val="0"/>
        <w:keepLines w:val="0"/>
        <w:widowControl/>
        <w:suppressLineNumbers w:val="0"/>
        <w:spacing w:before="100" w:beforeAutospacing="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20</w:t>
      </w:r>
    </w:p>
    <w:p>
      <w:pPr>
        <w:keepNext w:val="0"/>
        <w:keepLines w:val="0"/>
        <w:widowControl/>
        <w:suppressLineNumbers w:val="0"/>
      </w:pPr>
      <w:r>
        <w:pict>
          <v:rect id="_x0000_i107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ind w:left="0" w:firstLine="225"/>
        <w:jc w:val="left"/>
      </w:pPr>
      <w:r>
        <w:rPr>
          <w:rFonts w:hint="default" w:ascii="Times New Roman" w:hAnsi="Times New Roman" w:eastAsia="宋体" w:cs="Times New Roman"/>
          <w:b/>
          <w:bCs/>
          <w:i/>
          <w:iCs/>
          <w:color w:val="000000"/>
          <w:sz w:val="20"/>
          <w:szCs w:val="20"/>
        </w:rPr>
        <w:t>Liquidity and Capital Resources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Cash flow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4457"/>
        <w:gridCol w:w="36"/>
        <w:gridCol w:w="120"/>
        <w:gridCol w:w="708"/>
        <w:gridCol w:w="36"/>
        <w:gridCol w:w="36"/>
        <w:gridCol w:w="36"/>
        <w:gridCol w:w="36"/>
        <w:gridCol w:w="120"/>
        <w:gridCol w:w="664"/>
        <w:gridCol w:w="36"/>
        <w:gridCol w:w="36"/>
        <w:gridCol w:w="36"/>
        <w:gridCol w:w="36"/>
        <w:gridCol w:w="36"/>
        <w:gridCol w:w="36"/>
        <w:gridCol w:w="36"/>
        <w:gridCol w:w="36"/>
        <w:gridCol w:w="120"/>
        <w:gridCol w:w="664"/>
        <w:gridCol w:w="36"/>
        <w:gridCol w:w="36"/>
        <w:gridCol w:w="36"/>
        <w:gridCol w:w="36"/>
        <w:gridCol w:w="120"/>
        <w:gridCol w:w="678"/>
        <w:gridCol w:w="37"/>
      </w:tblGrid>
      <w:tr>
        <w:tc>
          <w:tcPr>
            <w:tcW w:w="50" w:type="pct"/>
            <w:shd w:val="clear" w:color="auto" w:fill="auto"/>
            <w:vAlign w:val="top"/>
          </w:tcPr>
          <w:p>
            <w:pPr>
              <w:rPr>
                <w:rFonts w:hint="eastAsia" w:ascii="宋体"/>
                <w:sz w:val="24"/>
                <w:szCs w:val="24"/>
              </w:rPr>
            </w:pPr>
          </w:p>
        </w:tc>
        <w:tc>
          <w:tcPr>
            <w:tcW w:w="275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50" w:type="pct"/>
            <w:shd w:val="clear" w:color="auto" w:fill="auto"/>
            <w:vAlign w:val="top"/>
          </w:tcPr>
          <w:p>
            <w:pPr>
              <w:rPr>
                <w:rFonts w:hint="eastAsia" w:ascii="宋体"/>
                <w:sz w:val="24"/>
                <w:szCs w:val="24"/>
              </w:rPr>
            </w:pPr>
          </w:p>
        </w:tc>
        <w:tc>
          <w:tcPr>
            <w:tcW w:w="4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7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5"/>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Cash provided by (used in):</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3,064 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4,213 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67,213 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(8,894)</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(8,666)</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(25,053)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(59,383)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51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(2,591)</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(3,476)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(10,280)</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principal sources of liquidity are cash flows generated from operations and our cash, cash equivalents, and marketable securities balances, which, at fair value, were $84.4 billion and $73.3 billion as of December 31, 2020 and March 31, 2021. Amounts held in foreign currencies were $23.5 billion and $19.8 billion as of December 31, 2020 and March 31, 2021, and were primarily Euros, British Pounds, and Japanese Yen.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operating activities was $3.1 billion and $4.2 billion for Q1 2020 and Q1 2021.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increase in operating cash flow for the trailing twelve months ended March 31, 2021, compared to the comparable prior year period, was primarily due to the increase</w:t>
      </w:r>
      <w:r>
        <w:rPr>
          <w:rFonts w:hint="default" w:ascii="Times New Roman" w:hAnsi="Times New Roman" w:eastAsia="宋体" w:cs="Times New Roman"/>
          <w:color w:val="000000"/>
          <w:sz w:val="20"/>
          <w:szCs w:val="20"/>
          <w:shd w:val="clear" w:fill="FFFFFF"/>
        </w:rPr>
        <w:t xml:space="preserve"> in net income, excluding non-cash expenses, and changes in working capital.</w:t>
      </w:r>
      <w:r>
        <w:rPr>
          <w:rFonts w:hint="default" w:ascii="Times New Roman" w:hAnsi="Times New Roman" w:eastAsia="宋体" w:cs="Times New Roman"/>
          <w:color w:val="000000"/>
          <w:sz w:val="20"/>
          <w:szCs w:val="20"/>
        </w:rPr>
        <w:t xml:space="preserve"> Working capital at any specific point in time is subject to many variables, including variability in demand, inventory management and category expansion, the timing of cash receipts and payments, vendor payment terms, and fluctuations in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Cash provided by (used in) investing activities corresponds with cash capital expenditures, including leasehold improvements, incentives received from property and equipment vendors, proceeds from asset sales, cash outlays for acquisitions, investments in other companies and intellectual property rights, and purchases, sales, and maturities of marketable securities. Cash provided by (used in) investing activities was $(8.9) billion and $(8.7) billion for Q1 2020 and Q1 2021, with the variability caused primarily by our decision to purchase or lease property and equipment and purchases, sales, and maturities of marketable securities. Cash capital expenditures were $5.4 billion and $11.2 billion during Q1 2020 and Q1 2021, which primarily reflect investments in additional capacity to support our fulfillment operations and in support of continued business growth in technology infrastructure (the majority of which is to support AWS), which investments we expect to continue over time. We made cash payments, net of acquired cash, related to acquisition and other investment activity of $91 million and $630 million during Q1 2020 and Q1 2021.</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Cash provided by (used in) financing activities was $(2.6) billion and $(3.5) billion for Q1 2020 and Q1 2021. Cash inflows from financing activities resulted from proceeds from short-term debt, and other and long-term debt of $693 million and $2.0 billion for Q1 2020 and Q1 2021. Cash outflows from financing activities resulted from payments of short-term debt, and other, long-term debt, finance leases, and financing obligations of $3.3 billion and $5.5 billion in Q1 2020 and Q1 2021. Property and equipment acquired under finance leases was $2.2 billion and $2.1 billion during Q1 2020 and Q1 2021, reflecting investments in support of continued business growth primarily due to investments in technology infrastructure for AWS. </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had no borrowings outstanding under the Credit Agreement, $725 million of borrowings outstanding under the Commercial Paper Program, and $429 million of borrowings outstanding under our Credit Facility as of March 31, 2021. See Item 1 of Part I, “Financial Statements — Note 5 — Debt” for additional information.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Certain foreign subsidiary earnings and losses are subject to current U.S. taxation and the subsequent repatriation of those earnings is not subject to tax in the U.S. We intend to invest substantially all of our foreign subsidiary earnings, as well as our capital in our foreign subsidiaries, indefinitely outside of the U.S. in those jurisdictions in which we would incur significant, additional costs upon repatriation of such amounts.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Tax benefits relating to excess stock-based compensation deductions and accelerated depreciation deductions are reducing our U.S. taxable income. U.S. tax rules provide for enhanced accelerated depreciation deductions by allowing the election of full expensing of qualified property, primarily equipment, through 2022. Cash taxes paid (net of refunds) were $305 million and $801 million for Q1 2020 and Q1 2021. We endeavor to manage our global taxes on a cash basis, rather than on a financial reporting basis. In connection with the European Commission’s October 2017 decision against us on state aid, Luxembourg tax authorities computed an initial recovery amount, consistent with the European Commission’s decision, of approximately €250 million, that we deposited into escrow in March 2018, subject to adjustment pending conclusion of all appeals.</w:t>
      </w:r>
    </w:p>
    <w:p>
      <w:pPr>
        <w:keepNext w:val="0"/>
        <w:keepLines w:val="0"/>
        <w:widowControl/>
        <w:suppressLineNumbers w:val="0"/>
        <w:jc w:val="center"/>
      </w:pPr>
      <w:r>
        <w:rPr>
          <w:rFonts w:hint="default" w:ascii="Times New Roman" w:hAnsi="Times New Roman" w:eastAsia="宋体" w:cs="Times New Roman"/>
          <w:color w:val="000000"/>
          <w:sz w:val="20"/>
          <w:szCs w:val="20"/>
        </w:rPr>
        <w:t>21</w:t>
      </w:r>
    </w:p>
    <w:p>
      <w:pPr>
        <w:keepNext w:val="0"/>
        <w:keepLines w:val="0"/>
        <w:widowControl/>
        <w:suppressLineNumbers w:val="0"/>
      </w:pPr>
      <w:r>
        <w:pict>
          <v:rect id="_x0000_i107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of December 31, 2020 and March 31, 2021, restricted cash, cash equivalents, and marketable securities were $257 million and $323 million. See Item 1 of Part I, “Financial Statements — Note 4 — Commitments and Contingencies” and “Financial Statements — Note 5 — Debt” for additional discussion of our principal contractual commitments, as well as our pledged assets. Additionally, purchase obligations and open purchase orders, consisting of inventory and significant non-inventory commitments, were $32.6 billion as of March 31, 2021. These purchase obligations and open purchase orders are generally cancellable in full or in part through the contractual provisions.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COVID-19 pandemic and resulting global disruptions have caused significant market volatility. These disruptions can contribute to defaults in our accounts receivable, affect asset valuations resulting in impairment charges, and affect the availability of lease and financing credit as well as other segments of the credit markets. We have utilized a range of financing methods to fund our operations and capital expenditures and expect to continue to maintain financing flexibility in the current market conditions. However, due to the rapidly evolving global situation, it is not possible to predict whether unanticipated consequences of the pandemic are reasonably likely to materially affect our liquidity and capital resources in the future.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sale of additional equity or convertible debt securities would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additional equity or debt securities. There can be no assurance that additional credit lines or financing instruments will be available in amounts or on terms acceptable to us, if at all.</w:t>
      </w:r>
    </w:p>
    <w:p>
      <w:pPr>
        <w:keepNext w:val="0"/>
        <w:keepLines w:val="0"/>
        <w:widowControl/>
        <w:suppressLineNumbers w:val="0"/>
        <w:jc w:val="center"/>
      </w:pPr>
      <w:r>
        <w:rPr>
          <w:rFonts w:hint="default" w:ascii="Times New Roman" w:hAnsi="Times New Roman" w:eastAsia="宋体" w:cs="Times New Roman"/>
          <w:color w:val="000000"/>
          <w:sz w:val="20"/>
          <w:szCs w:val="20"/>
        </w:rPr>
        <w:t>22</w:t>
      </w:r>
    </w:p>
    <w:p>
      <w:pPr>
        <w:keepNext w:val="0"/>
        <w:keepLines w:val="0"/>
        <w:widowControl/>
        <w:suppressLineNumbers w:val="0"/>
      </w:pPr>
      <w:r>
        <w:pict>
          <v:rect id="_x0000_i107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organized our operations into three segments: North America, International, and AWS. These segments reflect the way the Company evaluates its business performance and manages its operations. See Item 1 of Part I, “Financial Statements — Note 8 — Segment Information.”</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Effects of COVID-19</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reflected in the discussion below, the impact of the COVID-19 pandemic and actions taken in response to it had varying effects on our Q1 2021 results of operations. Higher net sales in the North America and International segments reflect increased demand, particularly as people are staying at home, including for household staples and other essential and home products, partially offset by fulfillment network capacity and supply chain constraints. Other effects in the North America and International segments include increased fulfillment costs and cost of sales as a percentage of net sales, primarily due to the impact of lower productivity and costs to maintain safe workplaces. We incurred approximately $2.0 billion in COVID-19 related costs in Q1 2021. We will continue to prioritize employee and customer safety and comply with evolving federal, state, and local standards as well as to implement standards or processes that we determine to be in the best interests of our employees, customers, and communities.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expect the effects of fulfillment network capacity and supply chain constraints, elevated collection risk in our accounts receivable, and the negative impact on fulfillment costs and cost of sales as a percentage of net sales to continue into all or portions of Q2 2021. However, it is not possible to determine the duration and scope of the pandemic, including any recurrence, the actions taken in response to the pandemic, the scale and rate of economic recovery from the pandemic, any ongoing effects on consumer demand and spending patterns, or other impacts of the pandemic, and whether these or other currently unanticipated consequences of the pandemic are reasonably likely to materially affect our results of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Net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advertising services, Amazon Prime membership fees, and certain digital content subscriptions. Net sales information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925"/>
        <w:gridCol w:w="36"/>
        <w:gridCol w:w="120"/>
        <w:gridCol w:w="629"/>
        <w:gridCol w:w="187"/>
        <w:gridCol w:w="36"/>
        <w:gridCol w:w="36"/>
        <w:gridCol w:w="36"/>
        <w:gridCol w:w="120"/>
        <w:gridCol w:w="700"/>
        <w:gridCol w:w="187"/>
        <w:gridCol w:w="36"/>
        <w:gridCol w:w="36"/>
        <w:gridCol w:w="36"/>
        <w:gridCol w:w="36"/>
        <w:gridCol w:w="36"/>
        <w:gridCol w:w="36"/>
        <w:gridCol w:w="36"/>
        <w:gridCol w:w="36"/>
      </w:tblGrid>
      <w:tr>
        <w:tc>
          <w:tcPr>
            <w:tcW w:w="50" w:type="pct"/>
            <w:shd w:val="clear" w:color="auto" w:fill="auto"/>
            <w:vAlign w:val="top"/>
          </w:tcPr>
          <w:p>
            <w:pPr>
              <w:rPr>
                <w:rFonts w:hint="eastAsia" w:ascii="宋体"/>
                <w:sz w:val="24"/>
                <w:szCs w:val="24"/>
              </w:rPr>
            </w:pPr>
          </w:p>
        </w:tc>
        <w:tc>
          <w:tcPr>
            <w:tcW w:w="380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7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 </w:t>
            </w: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46,127 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64,366 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19,106 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30,649 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13,503 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75,452 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108,518 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 excluding the effect of foreign exchange rates: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50 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 mix:</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100 </w:t>
            </w:r>
          </w:p>
        </w:tc>
        <w:tc>
          <w:tcPr>
            <w:tcW w:w="0" w:type="auto"/>
            <w:tcBorders>
              <w:top w:val="single" w:color="000000" w:sz="8" w:space="0"/>
              <w:bottom w:val="double" w:color="000000" w:sz="6" w:space="0"/>
            </w:tcBorders>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23</w:t>
      </w:r>
    </w:p>
    <w:p>
      <w:pPr>
        <w:keepNext w:val="0"/>
        <w:keepLines w:val="0"/>
        <w:widowControl/>
        <w:suppressLineNumbers w:val="0"/>
      </w:pPr>
      <w:r>
        <w:pict>
          <v:rect id="_x0000_i108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Sales increased 44% in Q1 2021 compared to the comparable prior year period. Changes in foreign currency exchange rates impacted net sales by $2.1 billion for Q1 2021. For a discussion of the effect of foreign exchange rates on sales growth, see “Effect of Foreign Exchange Rates” below.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North America sales increased 40% in Q1 2021, compared to the comparable prior year period. The sales growth primarily reflects increased unit sales, including sales by third-party sellers. Increased unit sales were driven </w:t>
      </w:r>
      <w:r>
        <w:rPr>
          <w:rFonts w:hint="default" w:ascii="Times New Roman" w:hAnsi="Times New Roman" w:eastAsia="宋体" w:cs="Times New Roman"/>
          <w:color w:val="000000"/>
          <w:sz w:val="20"/>
          <w:szCs w:val="20"/>
          <w:shd w:val="clear" w:fill="FFFFFF"/>
        </w:rPr>
        <w:t>largely by our continued efforts to reduce prices for our customers, including from our shipping offers, and increased demand, including for household staples and other essential and home products, partially offset by fulfillment network capacity and supply chain constraints.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International sales increased 60% in Q1 2021, compared to the comparable prior year period. The sales growth primarily reflects increased unit sales, including sales by third-party sellers. Increased unit sales were driven largely by our continued efforts to reduce prices for our customers, including from our shipping offers, and increased demand, including for household staples and other essential and home products, partially offset by fulfillment network capacity and supply chain constraints. Changes in foreign currency exchange rates impacted International net sales by $1.9 billion for Q1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AWS sales increased 32% in Q1 2021, compared to the comparable prior year period. The sales growth primarily reflects increased customer usage, partially offset by pricing changes. Pricing changes were driven largely by our continued efforts to reduce prices for our customers.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Income (Loss)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Operating income (loss) by segment is as follows (in millions):</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26"/>
        <w:gridCol w:w="36"/>
        <w:gridCol w:w="120"/>
        <w:gridCol w:w="784"/>
        <w:gridCol w:w="36"/>
        <w:gridCol w:w="36"/>
        <w:gridCol w:w="36"/>
        <w:gridCol w:w="36"/>
        <w:gridCol w:w="120"/>
        <w:gridCol w:w="744"/>
        <w:gridCol w:w="36"/>
        <w:gridCol w:w="36"/>
        <w:gridCol w:w="36"/>
        <w:gridCol w:w="36"/>
        <w:gridCol w:w="36"/>
        <w:gridCol w:w="36"/>
        <w:gridCol w:w="36"/>
        <w:gridCol w:w="36"/>
        <w:gridCol w:w="37"/>
      </w:tblGrid>
      <w:tr>
        <w:tc>
          <w:tcPr>
            <w:tcW w:w="50" w:type="pct"/>
            <w:shd w:val="clear" w:color="auto" w:fill="auto"/>
            <w:vAlign w:val="top"/>
          </w:tcPr>
          <w:p>
            <w:pPr>
              <w:rPr>
                <w:rFonts w:hint="eastAsia" w:ascii="宋体"/>
                <w:sz w:val="24"/>
                <w:szCs w:val="24"/>
              </w:rPr>
            </w:pPr>
          </w:p>
        </w:tc>
        <w:tc>
          <w:tcPr>
            <w:tcW w:w="376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 (Loss):</w:t>
            </w: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North America</w:t>
            </w: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1,312 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 xml:space="preserve">International </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(398)</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AWS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3,075 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74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Consolidated</w:t>
            </w: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3,989 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8,865 </w:t>
            </w:r>
          </w:p>
        </w:tc>
        <w:tc>
          <w:tcPr>
            <w:tcW w:w="0" w:type="auto"/>
            <w:tcBorders>
              <w:top w:val="single" w:color="000000" w:sz="8"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280" w:beforeAutospacing="0"/>
        <w:ind w:left="0" w:firstLine="495"/>
        <w:jc w:val="left"/>
      </w:pPr>
      <w:r>
        <w:rPr>
          <w:rFonts w:hint="default" w:ascii="Times New Roman" w:hAnsi="Times New Roman" w:eastAsia="宋体" w:cs="Times New Roman"/>
          <w:color w:val="000000"/>
          <w:sz w:val="20"/>
          <w:szCs w:val="20"/>
        </w:rPr>
        <w:t>Operating income increased from $4.0 billion in Q1 2020 to $8.9 billion in Q1 2021. We believe that operating income (loss) is a more meaningful measure than gross profit and gross margin due to the diversity of our product catego</w:t>
      </w:r>
      <w:r>
        <w:rPr>
          <w:rFonts w:hint="default" w:ascii="Times New Roman" w:hAnsi="Times New Roman" w:eastAsia="宋体" w:cs="Times New Roman"/>
          <w:color w:val="000000"/>
          <w:sz w:val="20"/>
          <w:szCs w:val="20"/>
          <w:shd w:val="clear" w:fill="FFFFFF"/>
        </w:rPr>
        <w:t>ries and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shd w:val="clear" w:fill="FFFFFF"/>
        </w:rPr>
        <w:t xml:space="preserve">The increase in North America operating income in absolute dollars in Q1 2021 compared to the comparable prior year period, is primarily due to increased unit sales, including sales by third-party sellers, and advertising sales and slower growth in certain operating expenses, partially offset by increased shipping and fulfillment costs due in part to COVID-19. </w:t>
      </w:r>
      <w:r>
        <w:rPr>
          <w:rFonts w:hint="default" w:ascii="Times New Roman" w:hAnsi="Times New Roman" w:eastAsia="宋体" w:cs="Times New Roman"/>
          <w:color w:val="000000"/>
          <w:sz w:val="20"/>
          <w:szCs w:val="20"/>
        </w:rPr>
        <w:t>We expect North America operating income to continue to be negatively impacted through at least Q2 2021 by COVID-19 related costs. Changes in foreign exchange rates impacted operating income by $8 million for Q1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International operating income in Q1 2021 as compared to the operating loss in the comparable prior year period, is primarily due to increased unit sales, including sales by third-party sellers, and advertising sales, </w:t>
      </w:r>
      <w:r>
        <w:rPr>
          <w:rFonts w:hint="default" w:ascii="Times New Roman" w:hAnsi="Times New Roman" w:eastAsia="宋体" w:cs="Times New Roman"/>
          <w:color w:val="000000"/>
          <w:sz w:val="20"/>
          <w:szCs w:val="20"/>
          <w:shd w:val="clear" w:fill="FFFFFF"/>
        </w:rPr>
        <w:t>and slower growth in certain operating expenses,</w:t>
      </w:r>
      <w:r>
        <w:rPr>
          <w:rFonts w:hint="default" w:ascii="Times New Roman" w:hAnsi="Times New Roman" w:eastAsia="宋体" w:cs="Times New Roman"/>
          <w:color w:val="000000"/>
          <w:sz w:val="20"/>
          <w:szCs w:val="20"/>
        </w:rPr>
        <w:t xml:space="preserve"> partially offset by increased shipp</w:t>
      </w:r>
      <w:r>
        <w:rPr>
          <w:rFonts w:hint="default" w:ascii="Times New Roman" w:hAnsi="Times New Roman" w:eastAsia="宋体" w:cs="Times New Roman"/>
          <w:color w:val="000000"/>
          <w:sz w:val="20"/>
          <w:szCs w:val="20"/>
          <w:shd w:val="clear" w:fill="FFFFFF"/>
        </w:rPr>
        <w:t xml:space="preserve">ing and fulfillment costs due in part to COVID-19. </w:t>
      </w:r>
      <w:r>
        <w:rPr>
          <w:rFonts w:hint="default" w:ascii="Times New Roman" w:hAnsi="Times New Roman" w:eastAsia="宋体" w:cs="Times New Roman"/>
          <w:color w:val="000000"/>
          <w:sz w:val="20"/>
          <w:szCs w:val="20"/>
        </w:rPr>
        <w:t>We expect International operating income to continue to be negatively impacted through at least Q2 2021 by COVID-19 related costs. Changes in foreign exchange rates impacted operating income by $270 million for Q1 2021.</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AWS operating income in absolute dollars in Q1 2021 compared to the comparable prior year period is primarily due to increased customer usage and cost structure productivity, partially offset by increased spending on technology infrastructure, payroll and related expenses, and software licensing expenses, all of which were primarily driven by additional investments to support the business growth, and reduced prices for our customers. Changes in foreign exchange rates impacted operating income by $(171) million for Q1 2021.</w:t>
      </w:r>
    </w:p>
    <w:p>
      <w:pPr>
        <w:keepNext w:val="0"/>
        <w:keepLines w:val="0"/>
        <w:widowControl/>
        <w:suppressLineNumbers w:val="0"/>
        <w:jc w:val="center"/>
      </w:pPr>
      <w:r>
        <w:rPr>
          <w:rFonts w:hint="default" w:ascii="Times New Roman" w:hAnsi="Times New Roman" w:eastAsia="宋体" w:cs="Times New Roman"/>
          <w:color w:val="000000"/>
          <w:sz w:val="20"/>
          <w:szCs w:val="20"/>
        </w:rPr>
        <w:t>24</w:t>
      </w:r>
    </w:p>
    <w:p>
      <w:pPr>
        <w:keepNext w:val="0"/>
        <w:keepLines w:val="0"/>
        <w:widowControl/>
        <w:suppressLineNumbers w:val="0"/>
      </w:pPr>
      <w:r>
        <w:pict>
          <v:rect id="_x0000_i108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Operating Expenses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about operating expenses is as follows (in millions):</w:t>
      </w:r>
    </w:p>
    <w:tbl>
      <w:tblPr>
        <w:tblStyle w:val="5"/>
        <w:tblW w:w="487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5760"/>
        <w:gridCol w:w="36"/>
        <w:gridCol w:w="120"/>
        <w:gridCol w:w="667"/>
        <w:gridCol w:w="187"/>
        <w:gridCol w:w="36"/>
        <w:gridCol w:w="36"/>
        <w:gridCol w:w="36"/>
        <w:gridCol w:w="120"/>
        <w:gridCol w:w="625"/>
        <w:gridCol w:w="187"/>
        <w:gridCol w:w="36"/>
        <w:gridCol w:w="36"/>
        <w:gridCol w:w="36"/>
        <w:gridCol w:w="36"/>
        <w:gridCol w:w="36"/>
        <w:gridCol w:w="36"/>
        <w:gridCol w:w="36"/>
        <w:gridCol w:w="36"/>
      </w:tblGrid>
      <w:tr>
        <w:tc>
          <w:tcPr>
            <w:tcW w:w="50" w:type="pct"/>
            <w:shd w:val="clear" w:color="auto" w:fill="auto"/>
            <w:vAlign w:val="top"/>
          </w:tcPr>
          <w:p>
            <w:pPr>
              <w:rPr>
                <w:rFonts w:hint="eastAsia" w:ascii="宋体"/>
                <w:sz w:val="24"/>
                <w:szCs w:val="24"/>
              </w:rPr>
            </w:pPr>
          </w:p>
        </w:tc>
        <w:tc>
          <w:tcPr>
            <w:tcW w:w="377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92"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2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44,257 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62,403 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16,530 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9,325 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12,488 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4,828 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6,207 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38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Total operating expenses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71,463 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99,653 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Year-over-year Percentage Growth:</w:t>
            </w: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30 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41 </w:t>
            </w:r>
          </w:p>
        </w:tc>
        <w:tc>
          <w:tcPr>
            <w:tcW w:w="0" w:type="auto"/>
            <w:shd w:val="clear" w:color="auto" w:fill="CCEE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32 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1,531 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Percent of Net Sales:</w:t>
            </w: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58.7 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57.5 </w:t>
            </w:r>
          </w:p>
        </w:tc>
        <w:tc>
          <w:tcPr>
            <w:tcW w:w="0" w:type="auto"/>
            <w:shd w:val="clear" w:color="auto" w:fill="FFFFFF"/>
            <w:tcMar>
              <w:top w:w="40" w:type="dxa"/>
              <w:left w:w="0" w:type="dxa"/>
              <w:bottom w:w="40" w:type="dxa"/>
              <w:right w:w="2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Fulfillment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15.2 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Technology and content</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12.4 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11.5 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Marketing</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6.4 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5.7 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1.8 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155"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Other operating expense (income), net</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Cost of Sales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Cost of sales primarily consists of the purchase price of consumer products, inbound and outbound shipping costs, including costs related to sortation and delivery centers and where we are the transportation service provider, and digital media content costs where we record revenue gross, including video and music.</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cost of sales in absolute dollars in Q1 2021 compared to the comparable prior year period, is primarily due to increased product and shipping costs resulting from increased sales. We expect cost of sales as a percentage of net sales to continue to be negatively impacted through at least Q2 2021 by COVID-19 related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Shipping costs to receive products from our suppliers are included in our inventory and recognized as cost of sales upon sale of products to our customers. Shipping costs, which include sortation and delivery centers and transportation costs, were $10.9 billion and $17.2 billion in Q1 2020 and Q1 2021. We expect our cost of shipping to continue to increase to the extent our customers accept and use our shipping offers at an increasing rate, we use more expensive shipping methods, including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Costs to operate our AWS segment are primarily classified as “Technology and content” as we leverage a shared infrastructure that supports both our internal technology requirements and external sales to AWS customers. </w:t>
      </w:r>
    </w:p>
    <w:p>
      <w:pPr>
        <w:keepNext w:val="0"/>
        <w:keepLines w:val="0"/>
        <w:widowControl/>
        <w:suppressLineNumbers w:val="0"/>
        <w:jc w:val="center"/>
      </w:pPr>
      <w:r>
        <w:rPr>
          <w:rFonts w:hint="default" w:ascii="Times New Roman" w:hAnsi="Times New Roman" w:eastAsia="宋体" w:cs="Times New Roman"/>
          <w:color w:val="000000"/>
          <w:sz w:val="20"/>
          <w:szCs w:val="20"/>
        </w:rPr>
        <w:t>25</w:t>
      </w:r>
    </w:p>
    <w:p>
      <w:pPr>
        <w:keepNext w:val="0"/>
        <w:keepLines w:val="0"/>
        <w:widowControl/>
        <w:suppressLineNumbers w:val="0"/>
      </w:pPr>
      <w:r>
        <w:pict>
          <v:rect id="_x0000_i108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Fulfillment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Fulfillment costs primarily consist of those costs incurred in operating and staffing our North America and International fulfillment centers, physical stores, and customer service centers and payment processing costs. While AWS payment processing and related transaction costs are included in “Fulfillment,” AWS costs are primarily classified as “Technology and content.” Fulfillment costs as a percentage of net sales may vary due to several factors, such as payment processing and related transaction costs, our level of productivity and accuracy, changes in volume, size, and weight of units received and fulfilled, the extent to which third party sellers utilize Fulfillment by Amazon services,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sales by our sellers have higher payment processing and related transaction costs as a percentage of net sales compared to our retail sales because payment processing costs are based on the gross purchase price of underlying transactions.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fulfillment costs in absolute dollars in Q1 2021, compared to the comparable prior year period, is primarily due to variable costs corresponding with increased product and service sales volume and inventory levels, costs from expanding our fulfillment network, and the COVID-19 related impact of lower productivity and costs to maintain safe workplaces. We expect fulfillment costs as a percentage of net sales to continue to be negatively impacted through at least Q2 2021 by COVID-19 related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Technology and Content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and amortization, rent, utilities, and other expenses necessary to support AWS and other Amazon businesses. Collectively, these costs reflect the investments we make in order to offer a wide variety of products and services to our customers.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Q1 2021, compared to the comparable prior year period, is primarily due to an increase in spending on technology infrastructure and increased payroll and related costs associated with technical teams responsible for expanding our existing products and services and initiatives to introduce new products and service offerings. See Item 7 of Part II, “Management’s Discussion and Analysis of Financial Condition and Results of Operations — Overview” of our 2020 Annual Report on Form 10-K for a discussion of how management views advances in technology and the importance of innovation.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Marketing costs include advertising and payroll and related expenses for personnel engaged in marketing and selling activities, including sales commissions related to AWS. We direct customers to our stores primarily through a number of marketing channels, such as our sponsored search, social and online advertising, third party customer referrals,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marketing costs in absolute dollars in Q1 2021, compared to the comparable prior year period, is primarily due to increased payroll and related expenses for personnel engaged in marketing and selling activities and higher spending on marketing channels.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While costs associated with Amazon Prime membership benefits and other shipping offers are not included in marketing expense, we view these offers as effective worldwide marketing tools, and intend to continue offering them indefinitely.</w:t>
      </w:r>
    </w:p>
    <w:p>
      <w:pPr>
        <w:keepNext w:val="0"/>
        <w:keepLines w:val="0"/>
        <w:widowControl/>
        <w:suppressLineNumbers w:val="0"/>
        <w:jc w:val="center"/>
      </w:pPr>
      <w:r>
        <w:rPr>
          <w:rFonts w:hint="default" w:ascii="Times New Roman" w:hAnsi="Times New Roman" w:eastAsia="宋体" w:cs="Times New Roman"/>
          <w:color w:val="000000"/>
          <w:sz w:val="20"/>
          <w:szCs w:val="20"/>
        </w:rPr>
        <w:t>26</w:t>
      </w:r>
    </w:p>
    <w:p>
      <w:pPr>
        <w:keepNext w:val="0"/>
        <w:keepLines w:val="0"/>
        <w:widowControl/>
        <w:suppressLineNumbers w:val="0"/>
      </w:pPr>
      <w:r>
        <w:pict>
          <v:rect id="_x0000_i108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General and Administrative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increase in general and administrative costs in absolute dollars in Q1 2021, compared to the comparable prior year period, is primarily due to increases in payroll and related expenses and professional service fees.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Operating Expense (Income),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operating expense (income), net was $70 million and $38 million for Q1 2020 and Q1 2021, and was primarily related to the amortization of intangible assets.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Interest Income and Expense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interest income was $202 million and $105 million during Q1 2020 and Q1 2021.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Interest expense was $402 million and $399 million during Q1 2020 and Q1 2021, and was primarily related to debt and finance leases.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Other income (expense), net was $(406) million and $1.7 billion during Q1 2020 and Q1 2021. The primary components of other income (expense), net are related to equity securities valuations and adjustments, equity warrant valuations, and foreign currency.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Income Taxes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income tax provisions for the three months ended March 31, 2020 and 2021 were $744 million and $2.2 billion, which included $273 million and $349 million of net discrete tax benefits primarily attributable to excess tax benefits from stock-based compensation. See Item 1 of Part I, “Financial Statements — Note 7 — Income Taxes” for additional information.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Non-GAAP Financial Measures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provide multiple measures of free cash flows because we believe these measures provide additional perspective on the impact of acquiring property and equipment with cash and through finance leases and financing obligations.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is cash flow from operations reduced by “Purchases of property and equipment, net of proceeds from sales and incentives.” The following is a reconciliation of free cash flow to the most comparable GAAP cash flow measure, “Net cash provided by (used in) operating activities,” for the trailing twelve months ended March 31, 2020 and 2021 (in millions):</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67,213 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(15,395)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(40,803)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24,337 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(25,053)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(59,383)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(10,280)</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(1,989)</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center"/>
      </w:pPr>
      <w:r>
        <w:rPr>
          <w:rFonts w:hint="default" w:ascii="Times New Roman" w:hAnsi="Times New Roman" w:eastAsia="宋体" w:cs="Times New Roman"/>
          <w:color w:val="000000"/>
          <w:sz w:val="20"/>
          <w:szCs w:val="20"/>
        </w:rPr>
        <w:t>27</w:t>
      </w:r>
    </w:p>
    <w:p>
      <w:pPr>
        <w:keepNext w:val="0"/>
        <w:keepLines w:val="0"/>
        <w:widowControl/>
        <w:suppressLineNumbers w:val="0"/>
      </w:pPr>
      <w:r>
        <w:pict>
          <v:rect id="_x0000_i108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Free Cash Flow Less Principal Repayments of Finance Leases and Financing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March 31, 2020 and 2021 (in millions):</w:t>
      </w:r>
    </w:p>
    <w:tbl>
      <w:tblPr>
        <w:tblStyle w:val="5"/>
        <w:tblW w:w="485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
        <w:gridCol w:w="6008"/>
        <w:gridCol w:w="36"/>
        <w:gridCol w:w="120"/>
        <w:gridCol w:w="816"/>
        <w:gridCol w:w="36"/>
        <w:gridCol w:w="36"/>
        <w:gridCol w:w="36"/>
        <w:gridCol w:w="37"/>
        <w:gridCol w:w="121"/>
        <w:gridCol w:w="779"/>
        <w:gridCol w:w="37"/>
      </w:tblGrid>
      <w:tr>
        <w:tc>
          <w:tcPr>
            <w:tcW w:w="50" w:type="pct"/>
            <w:shd w:val="clear" w:color="auto" w:fill="auto"/>
            <w:vAlign w:val="top"/>
          </w:tcPr>
          <w:p>
            <w:pPr>
              <w:rPr>
                <w:rFonts w:hint="eastAsia" w:ascii="宋体"/>
                <w:sz w:val="24"/>
                <w:szCs w:val="24"/>
              </w:rPr>
            </w:pPr>
          </w:p>
        </w:tc>
        <w:tc>
          <w:tcPr>
            <w:tcW w:w="373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3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67,213 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(15,395)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(40,803)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24,337 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finance leases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(10,013)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(11,448)</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principal repayments of finance leases and financing obligations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14,281 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14,859 </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CCEE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(25,053)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(59,383)</w:t>
            </w:r>
          </w:p>
        </w:tc>
        <w:tc>
          <w:tcPr>
            <w:tcW w:w="0" w:type="auto"/>
            <w:tcBorders>
              <w:top w:val="single" w:color="000000" w:sz="8"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(10,280)</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bottom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(1,989)</w:t>
            </w:r>
          </w:p>
        </w:tc>
        <w:tc>
          <w:tcPr>
            <w:tcW w:w="0" w:type="auto"/>
            <w:tcBorders>
              <w:top w:val="double" w:color="000000" w:sz="6" w:space="0"/>
              <w:bottom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spacing w:before="280" w:beforeAutospacing="0"/>
        <w:ind w:left="0" w:firstLine="225"/>
        <w:jc w:val="left"/>
      </w:pPr>
      <w:r>
        <w:rPr>
          <w:rFonts w:hint="default" w:ascii="Times New Roman" w:hAnsi="Times New Roman" w:eastAsia="宋体" w:cs="Times New Roman"/>
          <w:i/>
          <w:iCs/>
          <w:color w:val="000000"/>
          <w:sz w:val="20"/>
          <w:szCs w:val="20"/>
        </w:rPr>
        <w:t xml:space="preserve">Free Cash Flow Less Equipment Finance Leases and Principal Repayments of All Other Finance Leases and Financing Obligations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March 31, 2020 and 2021 (in millions):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
        <w:gridCol w:w="6232"/>
        <w:gridCol w:w="36"/>
        <w:gridCol w:w="120"/>
        <w:gridCol w:w="815"/>
        <w:gridCol w:w="36"/>
        <w:gridCol w:w="36"/>
        <w:gridCol w:w="36"/>
        <w:gridCol w:w="36"/>
        <w:gridCol w:w="121"/>
        <w:gridCol w:w="779"/>
        <w:gridCol w:w="37"/>
      </w:tblGrid>
      <w:tr>
        <w:tc>
          <w:tcPr>
            <w:tcW w:w="50" w:type="pct"/>
            <w:shd w:val="clear" w:color="auto" w:fill="auto"/>
            <w:vAlign w:val="top"/>
          </w:tcPr>
          <w:p>
            <w:pPr>
              <w:rPr>
                <w:rFonts w:hint="eastAsia" w:ascii="宋体"/>
                <w:sz w:val="24"/>
                <w:szCs w:val="24"/>
              </w:rPr>
            </w:pPr>
          </w:p>
        </w:tc>
        <w:tc>
          <w:tcPr>
            <w:tcW w:w="37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51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Twelve Months Ended</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March 31,</w:t>
            </w: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6"/>
                <w:szCs w:val="16"/>
              </w:rPr>
              <w:t> </w:t>
            </w: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operating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39,732 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67,213 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Purchases of property and equipment, net of proceeds from sales and incentives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(15,395)</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(40,803)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w:t>
            </w: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24,337 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26,410 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Equipment acquired under finance leases (1)</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(12,209)</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(8,936)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Principal repayments of all other finance leases (2)</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(407)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(525)</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Principal repayments of financing obligations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(103)</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Free cash flow less equipment finance leases and principal repayments of all other finance leases and financing obligations</w:t>
            </w: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11,678 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16,846 </w:t>
            </w:r>
          </w:p>
        </w:tc>
        <w:tc>
          <w:tcPr>
            <w:tcW w:w="0" w:type="auto"/>
            <w:tcBorders>
              <w:top w:val="double" w:color="000000" w:sz="6"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rPr>
          <w:trHeight w:val="300" w:hRule="atLeast"/>
        </w:trPr>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3"/>
            <w:tcBorders>
              <w:top w:val="double" w:color="000000" w:sz="6" w:space="0"/>
            </w:tcBorders>
            <w:shd w:val="clear" w:color="auto" w:fill="FFFFFF"/>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investing activities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(25,053)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(59,383)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cash provided by (used in) financing activities</w:t>
            </w: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(10,280)</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tcBorders>
              <w:top w:val="double" w:color="000000" w:sz="6" w:space="0"/>
              <w:bottom w:val="double" w:color="000000" w:sz="6" w:space="0"/>
            </w:tcBorders>
            <w:shd w:val="clear" w:color="auto" w:fill="FFFF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double" w:color="000000" w:sz="6" w:space="0"/>
              <w:bottom w:val="double" w:color="000000" w:sz="6" w:space="0"/>
            </w:tcBorders>
            <w:shd w:val="clear" w:color="auto" w:fill="FFFF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(1,989)</w:t>
            </w:r>
          </w:p>
        </w:tc>
        <w:tc>
          <w:tcPr>
            <w:tcW w:w="0" w:type="auto"/>
            <w:tcBorders>
              <w:top w:val="double" w:color="000000" w:sz="6" w:space="0"/>
              <w:bottom w:val="double" w:color="000000" w:sz="6" w:space="0"/>
            </w:tcBorders>
            <w:shd w:val="clear" w:color="auto" w:fill="FFFFFF"/>
            <w:tcMar>
              <w:top w:w="40" w:type="dxa"/>
              <w:left w:w="0" w:type="dxa"/>
              <w:bottom w:w="40" w:type="dxa"/>
              <w:right w:w="20" w:type="dxa"/>
            </w:tcMar>
            <w:vAlign w:val="bottom"/>
          </w:tcPr>
          <w:p>
            <w:pPr>
              <w:jc w:val="right"/>
              <w:rPr>
                <w:rFonts w:hint="eastAsia" w:ascii="宋体"/>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(1)For the twelve months ended March 31, 2020 and 2021, this amount relates to equipment included in “Property and equipment acquired under finance leases” of $13,262 million and $11,489 million.</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(2)For the twelve months ended March 31, 2020 and 2021, this amount relates to property included in “Principal repayments of finance leases” of $10,013 million and $11,448 million.</w:t>
      </w:r>
    </w:p>
    <w:p>
      <w:pPr>
        <w:keepNext w:val="0"/>
        <w:keepLines w:val="0"/>
        <w:widowControl/>
        <w:suppressLineNumbers w:val="0"/>
        <w:spacing w:before="180" w:beforeAutospacing="0"/>
        <w:ind w:left="0" w:firstLine="450"/>
        <w:jc w:val="left"/>
      </w:pPr>
      <w:r>
        <w:rPr>
          <w:rFonts w:hint="default" w:ascii="Times New Roman" w:hAnsi="Times New Roman" w:eastAsia="宋体" w:cs="Times New Roman"/>
          <w:color w:val="000000"/>
          <w:sz w:val="20"/>
          <w:szCs w:val="20"/>
        </w:rPr>
        <w:t xml:space="preserve">All of these free cash flows measures have limitations as they omit certain components of the overall cash flow statement and do not represent the residual cash flow available for discretionary expenditures. For example, these measures of free cash flows do </w:t>
      </w:r>
    </w:p>
    <w:p>
      <w:pPr>
        <w:keepNext w:val="0"/>
        <w:keepLines w:val="0"/>
        <w:widowControl/>
        <w:suppressLineNumbers w:val="0"/>
        <w:jc w:val="center"/>
      </w:pPr>
      <w:r>
        <w:rPr>
          <w:rFonts w:hint="default" w:ascii="Times New Roman" w:hAnsi="Times New Roman" w:eastAsia="宋体" w:cs="Times New Roman"/>
          <w:color w:val="000000"/>
          <w:sz w:val="20"/>
          <w:szCs w:val="20"/>
        </w:rPr>
        <w:t>28</w:t>
      </w:r>
    </w:p>
    <w:p>
      <w:pPr>
        <w:keepNext w:val="0"/>
        <w:keepLines w:val="0"/>
        <w:widowControl/>
        <w:suppressLineNumbers w:val="0"/>
      </w:pPr>
      <w:r>
        <w:pict>
          <v:rect id="_x0000_i108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80" w:beforeAutospacing="0"/>
        <w:jc w:val="left"/>
      </w:pPr>
      <w:r>
        <w:rPr>
          <w:rFonts w:hint="default" w:ascii="Times New Roman" w:hAnsi="Times New Roman" w:eastAsia="宋体" w:cs="Times New Roman"/>
          <w:color w:val="000000"/>
          <w:sz w:val="20"/>
          <w:szCs w:val="20"/>
        </w:rPr>
        <w:t>not incorporate 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pPr>
        <w:keepNext w:val="0"/>
        <w:keepLines w:val="0"/>
        <w:widowControl/>
        <w:suppressLineNumbers w:val="0"/>
        <w:spacing w:before="280" w:beforeAutospacing="0"/>
        <w:ind w:left="0" w:firstLine="270"/>
        <w:jc w:val="left"/>
      </w:pPr>
      <w:r>
        <w:rPr>
          <w:rFonts w:hint="default" w:ascii="Times New Roman" w:hAnsi="Times New Roman" w:eastAsia="宋体" w:cs="Times New Roman"/>
          <w:i/>
          <w:iCs/>
          <w:color w:val="000000"/>
          <w:sz w:val="20"/>
          <w:szCs w:val="20"/>
        </w:rPr>
        <w:t xml:space="preserve">Effect of Foreign Exchange Rates </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 The effect on our net sales, operating expenses, and operating income from changes in our foreign exchange rates versus the U.S. Dollar is as follows (in millions):</w:t>
      </w:r>
    </w:p>
    <w:tbl>
      <w:tblPr>
        <w:tblStyle w:val="5"/>
        <w:tblW w:w="4964"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
        <w:gridCol w:w="2094"/>
        <w:gridCol w:w="36"/>
        <w:gridCol w:w="120"/>
        <w:gridCol w:w="600"/>
        <w:gridCol w:w="36"/>
        <w:gridCol w:w="36"/>
        <w:gridCol w:w="36"/>
        <w:gridCol w:w="36"/>
        <w:gridCol w:w="120"/>
        <w:gridCol w:w="615"/>
        <w:gridCol w:w="36"/>
        <w:gridCol w:w="36"/>
        <w:gridCol w:w="36"/>
        <w:gridCol w:w="36"/>
        <w:gridCol w:w="120"/>
        <w:gridCol w:w="600"/>
        <w:gridCol w:w="36"/>
        <w:gridCol w:w="36"/>
        <w:gridCol w:w="36"/>
        <w:gridCol w:w="36"/>
        <w:gridCol w:w="120"/>
        <w:gridCol w:w="700"/>
        <w:gridCol w:w="36"/>
        <w:gridCol w:w="36"/>
        <w:gridCol w:w="36"/>
        <w:gridCol w:w="36"/>
        <w:gridCol w:w="120"/>
        <w:gridCol w:w="584"/>
        <w:gridCol w:w="36"/>
        <w:gridCol w:w="36"/>
        <w:gridCol w:w="36"/>
        <w:gridCol w:w="36"/>
        <w:gridCol w:w="120"/>
        <w:gridCol w:w="700"/>
        <w:gridCol w:w="36"/>
        <w:gridCol w:w="36"/>
        <w:gridCol w:w="36"/>
        <w:gridCol w:w="36"/>
        <w:gridCol w:w="36"/>
        <w:gridCol w:w="36"/>
        <w:gridCol w:w="36"/>
        <w:gridCol w:w="36"/>
        <w:gridCol w:w="36"/>
        <w:gridCol w:w="36"/>
        <w:gridCol w:w="36"/>
        <w:gridCol w:w="36"/>
        <w:gridCol w:w="36"/>
        <w:gridCol w:w="36"/>
        <w:gridCol w:w="36"/>
        <w:gridCol w:w="36"/>
        <w:gridCol w:w="36"/>
        <w:gridCol w:w="37"/>
        <w:gridCol w:w="37"/>
        <w:gridCol w:w="37"/>
        <w:gridCol w:w="37"/>
        <w:gridCol w:w="37"/>
        <w:gridCol w:w="37"/>
        <w:gridCol w:w="37"/>
      </w:tblGrid>
      <w:tr>
        <w:tc>
          <w:tcPr>
            <w:tcW w:w="50" w:type="pct"/>
            <w:shd w:val="clear" w:color="auto" w:fill="auto"/>
            <w:vAlign w:val="top"/>
          </w:tcPr>
          <w:p>
            <w:pPr>
              <w:rPr>
                <w:rFonts w:hint="eastAsia" w:ascii="宋体"/>
                <w:sz w:val="24"/>
                <w:szCs w:val="24"/>
              </w:rPr>
            </w:pPr>
          </w:p>
        </w:tc>
        <w:tc>
          <w:tcPr>
            <w:tcW w:w="2247"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4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36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2"/>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14"/>
                <w:szCs w:val="14"/>
              </w:rPr>
              <w:t> </w:t>
            </w:r>
          </w:p>
        </w:tc>
        <w:tc>
          <w:tcPr>
            <w:tcW w:w="0" w:type="auto"/>
            <w:gridSpan w:val="33"/>
            <w:tcBorders>
              <w:bottom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Three Months Ended March 31,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2020</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15"/>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2021</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c>
          <w:tcPr>
            <w:tcW w:w="0" w:type="auto"/>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As</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Reported</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Exchange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At Prior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Year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Rates (2)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As Reported</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Exchange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Effect (1)</w:t>
            </w:r>
          </w:p>
        </w:tc>
        <w:tc>
          <w:tcPr>
            <w:tcW w:w="0" w:type="auto"/>
            <w:gridSpan w:val="3"/>
            <w:tcBorders>
              <w:top w:val="single" w:color="000000" w:sz="8" w:space="0"/>
            </w:tcBorders>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rPr>
              <w:t>At Prior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Year</w:t>
            </w:r>
            <w:r>
              <w:rPr>
                <w:rFonts w:hint="default" w:ascii="Times New Roman" w:hAnsi="Times New Roman" w:eastAsia="宋体" w:cs="Times New Roman"/>
                <w:b/>
                <w:bCs/>
                <w:color w:val="000000"/>
                <w:sz w:val="16"/>
                <w:szCs w:val="16"/>
              </w:rPr>
              <w:br w:type="textWrapping"/>
            </w:r>
            <w:r>
              <w:rPr>
                <w:rFonts w:hint="default" w:ascii="Times New Roman" w:hAnsi="Times New Roman" w:eastAsia="宋体" w:cs="Times New Roman"/>
                <w:b/>
                <w:bCs/>
                <w:color w:val="000000"/>
                <w:sz w:val="16"/>
                <w:szCs w:val="16"/>
              </w:rPr>
              <w:t>Rates (2)</w:t>
            </w: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2"/>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Net sales</w:t>
            </w: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75,452 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387 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75,839 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108,518 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(2,073)</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tcBorders>
              <w:top w:val="single" w:color="000000" w:sz="8" w:space="0"/>
            </w:tcBorders>
            <w:shd w:val="clear" w:color="auto" w:fill="CCEEFF"/>
            <w:tcMar>
              <w:top w:w="0" w:type="dxa"/>
              <w:left w:w="20" w:type="dxa"/>
              <w:bottom w:w="0" w:type="dxa"/>
              <w:right w:w="20" w:type="dxa"/>
            </w:tcMar>
            <w:vAlign w:val="top"/>
          </w:tcPr>
          <w:p>
            <w:pPr>
              <w:rPr>
                <w:rFonts w:hint="eastAsia" w:ascii="宋体"/>
                <w:sz w:val="24"/>
                <w:szCs w:val="24"/>
              </w:rPr>
            </w:pPr>
          </w:p>
        </w:tc>
        <w:tc>
          <w:tcPr>
            <w:tcW w:w="0" w:type="auto"/>
            <w:tcBorders>
              <w:top w:val="single" w:color="000000" w:sz="8" w:space="0"/>
            </w:tcBorders>
            <w:shd w:val="clear" w:color="auto" w:fill="CCEEFF"/>
            <w:tcMar>
              <w:top w:w="40" w:type="dxa"/>
              <w:left w:w="20" w:type="dxa"/>
              <w:bottom w:w="40" w:type="dxa"/>
              <w:right w:w="0" w:type="dxa"/>
            </w:tcMar>
            <w:vAlign w:val="bottom"/>
          </w:tcPr>
          <w:p>
            <w:pPr>
              <w:keepNext w:val="0"/>
              <w:keepLines w:val="0"/>
              <w:widowControl/>
              <w:suppressLineNumbers w:val="0"/>
              <w:jc w:val="left"/>
              <w:textAlignment w:val="bottom"/>
            </w:pPr>
            <w:r>
              <w:rPr>
                <w:rFonts w:hint="default" w:ascii="Times New Roman" w:hAnsi="Times New Roman" w:eastAsia="宋体" w:cs="Times New Roman"/>
                <w:color w:val="000000"/>
                <w:sz w:val="20"/>
                <w:szCs w:val="20"/>
              </w:rPr>
              <w:t>$</w:t>
            </w:r>
          </w:p>
        </w:tc>
        <w:tc>
          <w:tcPr>
            <w:tcW w:w="0" w:type="auto"/>
            <w:tcBorders>
              <w:top w:val="single" w:color="000000" w:sz="8" w:space="0"/>
            </w:tcBorders>
            <w:shd w:val="clear" w:color="auto" w:fill="CCEEFF"/>
            <w:tcMar>
              <w:top w:w="40" w:type="dxa"/>
              <w:left w:w="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106,445 </w:t>
            </w:r>
          </w:p>
        </w:tc>
        <w:tc>
          <w:tcPr>
            <w:tcW w:w="0" w:type="auto"/>
            <w:tcBorders>
              <w:top w:val="single" w:color="000000" w:sz="8" w:space="0"/>
            </w:tcBorders>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2"/>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FFFF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expenses</w:t>
            </w: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71,463 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450 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71,913 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99,653 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(1,966)</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FFFF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FFFF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97,687 </w:t>
            </w:r>
          </w:p>
        </w:tc>
        <w:tc>
          <w:tcPr>
            <w:tcW w:w="0" w:type="auto"/>
            <w:shd w:val="clear" w:color="auto" w:fill="FFFF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2"/>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r>
        <w:tc>
          <w:tcPr>
            <w:tcW w:w="0" w:type="auto"/>
            <w:gridSpan w:val="3"/>
            <w:shd w:val="clear" w:color="auto" w:fill="CCEEFF"/>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Operating income</w:t>
            </w: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3,989 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(63)</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3,926 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8,865 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(107)</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gridSpan w:val="3"/>
            <w:shd w:val="clear" w:color="auto" w:fill="CCEEFF"/>
            <w:tcMar>
              <w:top w:w="0" w:type="dxa"/>
              <w:left w:w="20" w:type="dxa"/>
              <w:bottom w:w="0" w:type="dxa"/>
              <w:right w:w="20" w:type="dxa"/>
            </w:tcMar>
            <w:vAlign w:val="top"/>
          </w:tcPr>
          <w:p>
            <w:pPr>
              <w:rPr>
                <w:rFonts w:hint="eastAsia" w:ascii="宋体"/>
                <w:sz w:val="24"/>
                <w:szCs w:val="24"/>
              </w:rPr>
            </w:pPr>
          </w:p>
        </w:tc>
        <w:tc>
          <w:tcPr>
            <w:tcW w:w="0" w:type="auto"/>
            <w:gridSpan w:val="2"/>
            <w:shd w:val="clear" w:color="auto" w:fill="CCEEFF"/>
            <w:tcMar>
              <w:top w:w="40" w:type="dxa"/>
              <w:left w:w="20" w:type="dxa"/>
              <w:bottom w:w="40" w:type="dxa"/>
              <w:right w:w="0" w:type="dxa"/>
            </w:tcMar>
            <w:vAlign w:val="bottom"/>
          </w:tcPr>
          <w:p>
            <w:pPr>
              <w:keepNext w:val="0"/>
              <w:keepLines w:val="0"/>
              <w:widowControl/>
              <w:suppressLineNumbers w:val="0"/>
              <w:jc w:val="right"/>
              <w:textAlignment w:val="bottom"/>
            </w:pPr>
            <w:r>
              <w:rPr>
                <w:rFonts w:hint="default" w:ascii="Times New Roman" w:hAnsi="Times New Roman" w:eastAsia="宋体" w:cs="Times New Roman"/>
                <w:color w:val="000000"/>
                <w:sz w:val="20"/>
                <w:szCs w:val="20"/>
              </w:rPr>
              <w:t>8,758 </w:t>
            </w:r>
          </w:p>
        </w:tc>
        <w:tc>
          <w:tcPr>
            <w:tcW w:w="0" w:type="auto"/>
            <w:shd w:val="clear" w:color="auto" w:fill="CCEEFF"/>
            <w:tcMar>
              <w:top w:w="40" w:type="dxa"/>
              <w:left w:w="0" w:type="dxa"/>
              <w:bottom w:w="40" w:type="dxa"/>
              <w:right w:w="20" w:type="dxa"/>
            </w:tcMar>
            <w:vAlign w:val="bottom"/>
          </w:tcPr>
          <w:p>
            <w:pPr>
              <w:jc w:val="right"/>
              <w:rPr>
                <w:rFonts w:hint="eastAsia" w:ascii="宋体"/>
                <w:sz w:val="24"/>
                <w:szCs w:val="24"/>
              </w:rPr>
            </w:pPr>
          </w:p>
        </w:tc>
        <w:tc>
          <w:tcPr>
            <w:tcW w:w="0" w:type="auto"/>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3"/>
            <w:shd w:val="clear" w:color="auto" w:fill="auto"/>
            <w:vAlign w:val="top"/>
          </w:tcPr>
          <w:p>
            <w:pPr>
              <w:rPr>
                <w:rFonts w:hint="eastAsia" w:ascii="宋体"/>
                <w:vanish/>
                <w:sz w:val="24"/>
                <w:szCs w:val="24"/>
              </w:rPr>
            </w:pPr>
          </w:p>
        </w:tc>
        <w:tc>
          <w:tcPr>
            <w:tcW w:w="0" w:type="auto"/>
            <w:gridSpan w:val="2"/>
            <w:shd w:val="clear" w:color="auto" w:fill="auto"/>
            <w:vAlign w:val="top"/>
          </w:tcPr>
          <w:p>
            <w:pPr>
              <w:rPr>
                <w:rFonts w:hint="eastAsia" w:ascii="宋体"/>
                <w:vanish/>
                <w:sz w:val="24"/>
                <w:szCs w:val="24"/>
              </w:rPr>
            </w:pPr>
          </w:p>
        </w:tc>
        <w:tc>
          <w:tcPr>
            <w:tcW w:w="0" w:type="auto"/>
            <w:shd w:val="clear" w:color="auto" w:fill="auto"/>
            <w:vAlign w:val="top"/>
          </w:tcPr>
          <w:p>
            <w:pPr>
              <w:rPr>
                <w:rFonts w:hint="eastAsia" w:ascii="宋体"/>
                <w:vanish/>
                <w:sz w:val="24"/>
                <w:szCs w:val="24"/>
              </w:rPr>
            </w:pPr>
          </w:p>
        </w:tc>
      </w:tr>
    </w:tbl>
    <w:p>
      <w:pPr>
        <w:keepNext w:val="0"/>
        <w:keepLines w:val="0"/>
        <w:widowControl/>
        <w:suppressLineNumbers w:val="0"/>
        <w:jc w:val="left"/>
      </w:pPr>
      <w:r>
        <w:rPr>
          <w:rFonts w:hint="default" w:ascii="Times New Roman" w:hAnsi="Times New Roman" w:eastAsia="宋体" w:cs="Times New Roman"/>
          <w:color w:val="000000"/>
          <w:sz w:val="20"/>
          <w:szCs w:val="20"/>
        </w:rPr>
        <w:t>___________________</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(1)Represents the change in reported amounts resulting from changes in foreign exchange rates from those in effect in the comparable prior year period for operating results.</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(2)Represents the outcome that would have resulted had foreign exchange rates in the reported period been the same as those in effect in the comparable prior year period for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29</w:t>
      </w:r>
    </w:p>
    <w:p>
      <w:pPr>
        <w:keepNext w:val="0"/>
        <w:keepLines w:val="0"/>
        <w:widowControl/>
        <w:suppressLineNumbers w:val="0"/>
      </w:pPr>
      <w:r>
        <w:pict>
          <v:rect id="_x0000_i108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Guidance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provided guidance on April 29, 2021, in our earnings release furnished on Form 8-K as set forth below. These forward-looking statements reflect Amazon.com’s expectations as of April 29, 2021, and are subject to substantial uncertainty. Our results are inherently unpredictable and may be materially affected by many factors, such as fluctuations in foreign exchange rates, changes in global economic conditions and customer spending, world events, the rate of growth of the Internet, online commerce, and cloud services, as well as thos</w:t>
      </w:r>
      <w:r>
        <w:rPr>
          <w:rFonts w:hint="default" w:ascii="Times New Roman" w:hAnsi="Times New Roman" w:eastAsia="宋体" w:cs="Times New Roman"/>
          <w:color w:val="000000"/>
          <w:sz w:val="20"/>
          <w:szCs w:val="20"/>
          <w:shd w:val="clear" w:fill="FFFFFF"/>
        </w:rPr>
        <w:t xml:space="preserve">e outlined in Item 1A of Part II, “Risk Factors.” This guidance reflects our estimates as of </w:t>
      </w:r>
      <w:r>
        <w:rPr>
          <w:rFonts w:hint="default" w:ascii="Times New Roman" w:hAnsi="Times New Roman" w:eastAsia="宋体" w:cs="Times New Roman"/>
          <w:color w:val="000000"/>
          <w:sz w:val="20"/>
          <w:szCs w:val="20"/>
        </w:rPr>
        <w:t>April 29, 2021</w:t>
      </w:r>
      <w:r>
        <w:rPr>
          <w:rFonts w:hint="default" w:ascii="Times New Roman" w:hAnsi="Times New Roman" w:eastAsia="宋体" w:cs="Times New Roman"/>
          <w:color w:val="000000"/>
          <w:sz w:val="20"/>
          <w:szCs w:val="20"/>
          <w:shd w:val="clear" w:fill="FFFFFF"/>
        </w:rPr>
        <w:t xml:space="preserve"> </w:t>
      </w:r>
      <w:r>
        <w:rPr>
          <w:rFonts w:hint="default" w:ascii="Times New Roman" w:hAnsi="Times New Roman" w:eastAsia="宋体" w:cs="Times New Roman"/>
          <w:color w:val="000000"/>
          <w:sz w:val="20"/>
          <w:szCs w:val="20"/>
        </w:rPr>
        <w:t>regarding the impact of the COVID-19 pandemic on our operations, including those discussed above, and is highly dependent on numerous factors that we may not be able to predict or control, including: the duration and scope of the pandemic, including any recurrence; actions taken by governments, businesses, and individuals in response to the pandemic; the impact of the pandemic on global and regional economies and economic activity, workforce staffing and productivity, and our significant and continuing spending on employee safety measures; our ability to continue operations in affected areas; and consumer demand and spending patterns, as well as the effects on suppliers, creditors, and third-party sellers, all of which are uncertain. This guidance also assumes the impacts on consumer demand and spending patterns, including impacts due to concerns over the current economic outlook, will be in line with those experienced during the second quarter of 2021 to date, and the additional assumptions set forth below. However, it is not possible to determine the ultimate impact on our operations for the second quarter of 2021, or whether other currently unanticipated direct or indirect consequences of the pandemic are reasonably likely to materially affect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Second Quarter 2021 Guidance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•Net sales are expected to be between $110.0 billion and $116.0 billion, or to grow between 24% and 30% compared with second quarter 2020. This guidance anticipates a favorable impact of approximately 200 basis points from foreign exchange rates.</w:t>
      </w:r>
      <w:r>
        <w:rPr>
          <w:rFonts w:hint="default" w:ascii="Times New Roman" w:hAnsi="Times New Roman" w:eastAsia="宋体" w:cs="Times New Roman"/>
          <w:color w:val="000000"/>
          <w:sz w:val="20"/>
          <w:szCs w:val="20"/>
          <w:shd w:val="clear" w:fill="FFFFFF"/>
        </w:rPr>
        <w:t xml:space="preserve">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shd w:val="clear" w:fill="FFFFFF"/>
        </w:rPr>
        <w:t xml:space="preserve">•Operating income is expected to be between $4.5 billion and $8.0 billion, compared with $5.8 billion in second quarter 2020. This guidance assumes approximately $1.5 billion of costs related to COVID-19. </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shd w:val="clear" w:fill="FFFFFF"/>
        </w:rPr>
        <w:t>•</w:t>
      </w:r>
      <w:r>
        <w:rPr>
          <w:rFonts w:hint="default" w:ascii="Times New Roman" w:hAnsi="Times New Roman" w:eastAsia="宋体" w:cs="Times New Roman"/>
          <w:color w:val="000000"/>
          <w:sz w:val="20"/>
          <w:szCs w:val="20"/>
        </w:rPr>
        <w:t>This guidance assumes that Prime Day occurs in second quarter 2021.</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shd w:val="clear" w:fill="FFFFFF"/>
        </w:rPr>
        <w:t>•</w:t>
      </w:r>
      <w:r>
        <w:rPr>
          <w:rFonts w:hint="default" w:ascii="Times New Roman" w:hAnsi="Times New Roman" w:eastAsia="宋体" w:cs="Times New Roman"/>
          <w:color w:val="000000"/>
          <w:sz w:val="20"/>
          <w:szCs w:val="20"/>
        </w:rPr>
        <w:t>This guidance assumes, among other things, that no additional business acquisitions, investments, restructurings, or legal settlements are concluded.</w:t>
      </w:r>
    </w:p>
    <w:p>
      <w:pPr>
        <w:keepNext w:val="0"/>
        <w:keepLines w:val="0"/>
        <w:widowControl/>
        <w:suppressLineNumbers w:val="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30</w:t>
      </w:r>
    </w:p>
    <w:p>
      <w:pPr>
        <w:keepNext w:val="0"/>
        <w:keepLines w:val="0"/>
        <w:widowControl/>
        <w:suppressLineNumbers w:val="0"/>
      </w:pPr>
      <w:r>
        <w:pict>
          <v:rect id="_x0000_i108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Quantitative and Qualitative Disclosures About Market Risk</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Interest Rate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Q1 2021, net sales from our International segment accounted for 28%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Q1 2021 increased by $1.9 billion in comparison with Q1 2020.</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foreign-denominated cash, cash equivalents, and marketable securities (“foreign funds”). Based on the balance of foreign funds as of March 31, 2021, of $19.8 billion, an assumed 5%, 10%, and 20% adverse change to foreign exchange would result in fair value declines of $990 million, $2.0 billion, and $4.0 billion. Fluctuations in fair value are recorded in “Accumulated other comprehensive income (loss),” a separate component of stockholders’ equity. Equity securities with readily determinable fair values are included in “Marketable securities” on our consolidated balance sheets and are measured at fair value with changes recognized in net income.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foreign exchange risk related to our intercompany balances denominated in various foreign currencies. Based on the intercompany balances as of March 31, 2021, an assumed 5%, 10%, and 20% adverse change to foreign exchange rates would result in losses of $230 million, $460 million, and $920 million, recorded to “Other income (expense), net.”</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Equity Investment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of March 31, 2021, our recorded value in equity and equity warrant investments in public and private companies was $8.4 billion. Our equity and equity warrant investments in publicly traded companies represent $2.9 billion of our investments as of March 31, 2021, and are recorded at fair value, which is subject to market price volatility. We assess our equity investments in private companies for impairment. Valuations of private companies are inherently more complex due to the lack of readily available market data. The current global economic climate provides additional uncertainty. As such, we believe that market sensitivities are not practicable.</w:t>
      </w:r>
    </w:p>
    <w:p>
      <w:pPr>
        <w:keepNext w:val="0"/>
        <w:keepLines w:val="0"/>
        <w:widowControl/>
        <w:suppressLineNumbers w:val="0"/>
        <w:jc w:val="center"/>
      </w:pPr>
      <w:r>
        <w:rPr>
          <w:rFonts w:hint="default" w:ascii="Times New Roman" w:hAnsi="Times New Roman" w:eastAsia="宋体" w:cs="Times New Roman"/>
          <w:color w:val="000000"/>
          <w:sz w:val="20"/>
          <w:szCs w:val="20"/>
        </w:rPr>
        <w:t>31</w:t>
      </w:r>
    </w:p>
    <w:p>
      <w:pPr>
        <w:keepNext w:val="0"/>
        <w:keepLines w:val="0"/>
        <w:widowControl/>
        <w:suppressLineNumbers w:val="0"/>
      </w:pPr>
      <w:r>
        <w:pict>
          <v:rect id="_x0000_i108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Controls and Procedures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During the most recent fiscal quarter, there has not occurred any change in our internal control over financial reporting that has materially affected, or is reasonably likely to materially affect, our internal control over financial reporting.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pPr>
        <w:keepNext w:val="0"/>
        <w:keepLines w:val="0"/>
        <w:widowControl/>
        <w:suppressLineNumbers w:val="0"/>
        <w:ind w:left="0" w:firstLine="495"/>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32</w:t>
      </w:r>
    </w:p>
    <w:p>
      <w:pPr>
        <w:keepNext w:val="0"/>
        <w:keepLines w:val="0"/>
        <w:widowControl/>
        <w:suppressLineNumbers w:val="0"/>
      </w:pPr>
      <w:r>
        <w:pict>
          <v:rect id="_x0000_i108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PART II. OTHER INFORMATION</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Legal Proceedings</w:t>
            </w:r>
          </w:p>
        </w:tc>
      </w:tr>
    </w:tbl>
    <w:p>
      <w:pPr>
        <w:keepNext w:val="0"/>
        <w:keepLines w:val="0"/>
        <w:widowControl/>
        <w:suppressLineNumbers w:val="0"/>
        <w:spacing w:before="160" w:beforeAutospacing="0"/>
        <w:ind w:left="0" w:firstLine="495"/>
        <w:jc w:val="left"/>
      </w:pPr>
      <w:r>
        <w:rPr>
          <w:rFonts w:hint="default" w:ascii="Times New Roman" w:hAnsi="Times New Roman" w:eastAsia="宋体" w:cs="Times New Roman"/>
          <w:color w:val="000000"/>
          <w:sz w:val="20"/>
          <w:szCs w:val="20"/>
        </w:rPr>
        <w:t>See Item 1 of Part I, “Financial Statements — Note 4 — Commitments and Contingencies — Legal Proceedings.”</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1"/>
        <w:gridCol w:w="806"/>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1A.</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Risk Factors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Please carefully consider the following discussion of significant factors, events, and uncertainties that make an investment in our securities risky. The events and consequences discussed in these risk factors could, in circumstances we may or may not be able to accurately predict, recognize, or control, have a material adverse effect on our business, growth, reputation, prospects, financial condition, operating results (including components of our financial results), cash flows, liquidity, and stock price. These risk factors do not identify all risks that we face; our operations could also be affected by factors, events, or uncertainties that are not presently known to us or that we currently do not consider to present significant risks to our operations. In addition to the effects of the COVID-19 pandemic and resulting global disruptions on our business and operations discussed in Item 2 of Part I, “Management’s Discussion and Analysis of Financial Condition and Results of Operations,” and in the risk factors below, additional or unforeseen effects from the COVID-19 pandemic and the global economic climate may give rise to or amplify many of the risks discussed below.</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Business and Industry Risks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Intense Competition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businesses are rapidly evolving and intensely competitive, and we have many competitors across geographies, including cross-border competition, and in different industries, including physical, e-commerce, and omnichannel retail, e-commerce services, web and infrastructure computing services, electronic devices, digital content, advertising, grocery, and transportation and logistics services.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Competition continues to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continue to increase our competition. The Internet facilitates competitive entry and comparison shopping, which enhances the ability of new, smaller, or lesser known businesses to compete against us. As a result of competition, our product and service offerings may not be successful, we may fail to gain or may lose business, and we may be required to increase our spending or lower prices, any of which could materially reduce our sales and profits.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into New Products, Services, Technologies, and Geographic Regions Subjects Us to Additional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may have limited or no experience in our newer market segments, and our customers may not adopt our product or service offerings. These offerings, which can present new and difficult technology challenges, may subject us to claims if customers of these offerings experience service disruptions or failures or other quality issues. In addition, profitability, if any, in our newer activities may not meet our expectations, and we may not be successful enough in these newer activities to recoup our investments in them. Failure to realize the benefits of amounts we invest in new technologies, products, or services could result in the value of those investments being written down or written off.</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International Operations Expose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promote our brand internationally. Our international operations may not become profitable on a sustained basis.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section, our international sales and operations are subject to a number of risks, including: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•local economic and political conditions;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p>
      <w:pPr>
        <w:keepNext w:val="0"/>
        <w:keepLines w:val="0"/>
        <w:widowControl/>
        <w:suppressLineNumbers w:val="0"/>
        <w:jc w:val="center"/>
      </w:pPr>
      <w:r>
        <w:rPr>
          <w:rFonts w:hint="default" w:ascii="Times New Roman" w:hAnsi="Times New Roman" w:eastAsia="宋体" w:cs="Times New Roman"/>
          <w:color w:val="000000"/>
          <w:sz w:val="20"/>
          <w:szCs w:val="20"/>
        </w:rPr>
        <w:t>33</w:t>
      </w:r>
    </w:p>
    <w:p>
      <w:pPr>
        <w:keepNext w:val="0"/>
        <w:keepLines w:val="0"/>
        <w:widowControl/>
        <w:suppressLineNumbers w:val="0"/>
      </w:pPr>
      <w:r>
        <w:pict>
          <v:rect id="_x0000_i109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•business licensing or certification requirements, such as for imports, exports, web services, and electronic devices;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•limitations on the repatriation and investment of funds and foreign currency exchange restrictions;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•limited fulfillment and technology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•shorter payable and longer receivable cycles and the resultant negative impact on cash flow;</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regulations regarding privacy, data protection, data security, network security, consumer protection, payments, advertising, and restrictions on pricing or discounts;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use of the Internet;</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consumer spending and fewer opportunities for growth compared to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•lower levels of credit card usage and increased payment risk;</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 staffing, developing, and managing foreign operations as a result of distance, language, and cultural differences;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•different employee/employer relationships and the existence of works councils and labor unions;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•compliance with the U.S. Foreign Corrupt Practices Act and other applicable U.S. and foreign laws prohibiting corrupt payments to government officials and other third parties;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•laws and policies of the U.S. and other jurisdictions affecting trade, foreign investment, loans, and taxes;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•geopolitical events, including war and terrorism.</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The inability to hire, train, retain, and manage sufficient required personnel may limit our international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we or our affiliates have in place. Violation of any existing or future PRC, Indian, or other laws or regulations or changes in the interpretations of those laws and regulations could result in our businesses in those countries being subject to fines and other financial penalties, having licenses revoked, or being forced to restructure our operations or shut down entirely. </w:t>
      </w:r>
    </w:p>
    <w:p>
      <w:pPr>
        <w:keepNext w:val="0"/>
        <w:keepLines w:val="0"/>
        <w:widowControl/>
        <w:suppressLineNumbers w:val="0"/>
        <w:jc w:val="center"/>
      </w:pPr>
      <w:r>
        <w:rPr>
          <w:rFonts w:hint="default" w:ascii="Times New Roman" w:hAnsi="Times New Roman" w:eastAsia="宋体" w:cs="Times New Roman"/>
          <w:color w:val="000000"/>
          <w:sz w:val="20"/>
          <w:szCs w:val="20"/>
        </w:rPr>
        <w:t>34</w:t>
      </w:r>
    </w:p>
    <w:p>
      <w:pPr>
        <w:keepNext w:val="0"/>
        <w:keepLines w:val="0"/>
        <w:widowControl/>
        <w:suppressLineNumbers w:val="0"/>
      </w:pPr>
      <w:r>
        <w:pict>
          <v:rect id="_x0000_i109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Variability in Our Retail Business Places Increased Strain on Our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Demand for our products and services can fluctuate significantly for many reasons, including as a result of seasonality, promotions, product launches, or unforeseeable events, such as in response to natural or man-made disasters, extreme weather, or geopolitical events. For example, we expect a disproportionate amount of our retail sales to occur during our fourth quarter. Our failure to stock or restock popular products in sufficient amounts such that we fail to meet customer demand could significantly affect our revenue and our future growth. When we overstock products, we may be required to take significant inventory markdowns or write-offs and incur commitment costs, which could materially reduce profitability. We regularly experience increases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offer or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Risks described elsewhere in this Item 1A relating to fulfillment network optimization and inventory are magnified during periods of high demand.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Impacted by Fraudulent or Unlawful Activities of Sellers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The law relating to the liability of online service providers is currently unsettled. In addition, governmental agencies have in the past and could in the future require changes in the way this business is conducted. Under our seller programs, we maintain policies and processes designed to prevent sellers from collecting payments, fraudulently or otherwise, when buyers never receive the products they ordered or when the products received are materially different from the sellers’ descriptions, and to prevent sellers in our stores or through other stores from selling unlawful, counterfeit, pirated, or stolen goods, selling goods in an unlawful or unethical manner, violating the proprietary rights of others, or otherwise violating our policies. When these policies and processes are circumvented or fail to operate sufficiently, it can harm our business or damage our reputation and we could face civil or criminal liability for unlawful activities by our sellers. Under our A2Z Guarantee, we reimburse buyers for payments up to certain limits in these situations, and as our third-party seller sales grow, the cost of this program will increase and could negatively affect our operating results.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Adequately Protecting Our Intellectual Property Rights and Being Accused of Infringing Intellectual Property Rights of Third Parties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is not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discover or determine the extent of any unauthorized use of our proprietary rights. Actions taken by third parties that license our proprietary rights may materially diminish the value of our proprietary rights or reputation. The protection of our intellectual property requires the expenditure of significant financial and managerial resources. Moreover, the steps we take to protect our intellectual property do not always adequately protect our rights or prevent third parties from infringing or misappropriating our proprietary rights. We also cannot be certain that others will not independently develop or otherwise acquire equivalent or superior technology or other intellectual property rights.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been subject to, and expect to continue to be subject to, claims and legal proceedings regarding alleged infringement by us of the intellectual property rights of third parties. Such claims, whether or not meritorious, have in the past, and may in the future, result in the expenditure of significant financial and managerial resources, injunctions against us, or significant payments for damages, including to satisfy indemnification obligations or to obtain licenses from third parties who allege that we have infringed their rights. Such licenses may not be available on terms acceptable to us or at all. These risks have been amplified by the increase in third parties whose sole or primary business is to assert such claims.</w:t>
      </w:r>
    </w:p>
    <w:p>
      <w:pPr>
        <w:keepNext w:val="0"/>
        <w:keepLines w:val="0"/>
        <w:widowControl/>
        <w:suppressLineNumbers w:val="0"/>
        <w:jc w:val="center"/>
      </w:pPr>
      <w:r>
        <w:rPr>
          <w:rFonts w:hint="default" w:ascii="Times New Roman" w:hAnsi="Times New Roman" w:eastAsia="宋体" w:cs="Times New Roman"/>
          <w:color w:val="000000"/>
          <w:sz w:val="20"/>
          <w:szCs w:val="20"/>
        </w:rPr>
        <w:t>35</w:t>
      </w:r>
    </w:p>
    <w:p>
      <w:pPr>
        <w:keepNext w:val="0"/>
        <w:keepLines w:val="0"/>
        <w:widowControl/>
        <w:suppressLineNumbers w:val="0"/>
      </w:pPr>
      <w:r>
        <w:pict>
          <v:rect id="_x0000_i1092"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digital content offerings depend in part on effective digital rights management technology to control access to digital content. Breach or malfunctioning of the digital rights management technology that we use could subject us to claims, and content providers may be unwilling to include their content in our service.</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Foreign Exchange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The results of operations of, and certain of our intercompany balances associated with, our international stores and product and service offerings are exposed to foreign exchange rate fluctuations. Due to these fluctuations,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Euros, British Pounds, and Japanese Yen. When the U.S. Dollar strengthens compared to these currencies, cash equivalents, and marketable securities balances, when translated, may be materially less than expected and vice versa.</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Operating Risks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Expansion Places a Significant Strain on our Management, Operational, Financial, and Other Resources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continuing to rapidly and significantly expand our global operations, including increasing our product and service offerings and scaling our infrastructure to support our retail and services businesses. The complexity of the current scale of our business can place significant strain on our management, personnel, operations, systems, technical performance, financial resources, and internal financial control and reporting functions, and our expansion increases these factors. Failure to manage growth effectively could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Experience Significant Fluctuations in Our Operating Results and Growth Rate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not always able to accurately forecast our growth rate. We base our expense levels and investment plans on sales estimates. A significant portion of our expenses and investments is fixed, and we are not always able to adjust our spending quickly enough if our sales are less than expected.</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sales and operating results will also fluctuate for many other reasons, including due to factors described elsewhere in this section and the following:</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increase sales to existing customers, attract new customers, and satisfy our customers’ demands;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retain and expand our network of sellers;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offer products on favorable terms, manage inventory, and fulfill orders;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introduction of competitive stores, websites, products, services, price decreases, or improvements;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usage or adoption rates of the Internet, e-commerce, electronic devices, and web services, including outside the U.S.;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•timing, effectiveness, and costs of expansion and upgrades of our systems and infrastructure;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success of our geographic, service, and product line expansions;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finance, and the terms of any such financing for, our current operations and future growth;</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outcomes of legal proceedings and claims, which may include significant monetary damages or injunctive relief and could have a material adverse impact on our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the mix of products and services we sell;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•variations in our level of merchandise and vendor returns;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offer fast and free delivery, continue to reduce prices worldwide, and provide additional benefits to our customers;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•factors affecting our reputation or brand image;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we invest in technology and content, fulfillment, and other expense categories;</w:t>
      </w:r>
    </w:p>
    <w:p>
      <w:pPr>
        <w:keepNext w:val="0"/>
        <w:keepLines w:val="0"/>
        <w:widowControl/>
        <w:suppressLineNumbers w:val="0"/>
        <w:jc w:val="center"/>
      </w:pPr>
      <w:r>
        <w:rPr>
          <w:rFonts w:hint="default" w:ascii="Times New Roman" w:hAnsi="Times New Roman" w:eastAsia="宋体" w:cs="Times New Roman"/>
          <w:color w:val="000000"/>
          <w:sz w:val="20"/>
          <w:szCs w:val="20"/>
        </w:rPr>
        <w:t>36</w:t>
      </w:r>
    </w:p>
    <w:p>
      <w:pPr>
        <w:keepNext w:val="0"/>
        <w:keepLines w:val="0"/>
        <w:widowControl/>
        <w:suppressLineNumbers w:val="0"/>
      </w:pPr>
      <w:r>
        <w:pict>
          <v:rect id="_x0000_i1093"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•increases in the prices of fuel and gasoline, as well as increases in the prices of other energy products and commodities like paper and packing supplies and hardware products;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operators of the networks between our customers and our stores successfully charge fees to grant our customers unimpaired and unconstrained access to our online services;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•our ability to collect amounts owed to us when they become due;</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•the extent to which new and existing technologies, or industry trends, restrict online advertising or affect our ability to customize advertising or otherwise tailor our product and service offerings;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extent to which use of our services is affected by spyware, viruses, phishing and other spam emails, denial of service attacks, data theft, computer intrusions, outages, and similar events; and</w:t>
      </w:r>
    </w:p>
    <w:p>
      <w:pPr>
        <w:keepNext w:val="0"/>
        <w:keepLines w:val="0"/>
        <w:widowControl/>
        <w:suppressLineNumbers w:val="0"/>
        <w:pBdr>
          <w:left w:val="none" w:color="auto" w:sz="0" w:space="0"/>
        </w:pBdr>
        <w:ind w:left="0" w:hanging="360"/>
        <w:jc w:val="left"/>
      </w:pPr>
      <w:r>
        <w:rPr>
          <w:rFonts w:hint="default" w:ascii="Times New Roman" w:hAnsi="Times New Roman" w:eastAsia="宋体" w:cs="Times New Roman"/>
          <w:color w:val="000000"/>
          <w:sz w:val="20"/>
          <w:szCs w:val="20"/>
        </w:rPr>
        <w:t>•disruptions from natural or man-made disasters, extreme weather, geopolitical events and security issues (including terrorist attacks and armed hostilities),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Successfully Optimizing and Operating Our Fulfillment Network and Data Centers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Failures to adequately predict customer demand or otherwise optimize and operate our fulfillment network and data centers successfully from time to time result in excess or insufficient fulfillment or data center capacity, increased costs, and impairment charges, any of which could materially harm our business. As we continue to add fulfillment and data center capability or add new businesses with different requirements, our fulfillment and data center networks become increasingly complex and operating them becomes more challenging. There can be no assurance that we will be able to operate our networks effectively.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failure to optimize inventory in our fulfillment network increases our net shipping cost by requiring long-zone or partial shipments. We and our co-sourcers may be unable to adequately staff our fulfillment network and customer service centers. Under some of our commercial agreements, we maintain the inventory of other companies, thereby increasing the complexity of tracking inventory and operating our fulfillment network. Our failure to properly handle such inventory or the inability of the other businesses on whose behalf we perform inventory fulfillment services to accurately forecast product demand may result in us being unable to secure sufficient storage space or to optimize our fulfillment network or cause other unexpected costs and other harm to our business and reputation.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rely on a limited number of shipping companies to deliver inventory to us and completed orders to our customers. The inability to negotiate acceptable terms with these companies or performance problems or other difficulties experienced by these companies or by our own transportation systems could negatively impact our operating results and customer experience. In addition, our ability to receive inbound inventory efficiently and ship completed orders to customers also may be negatively affected by natural or man-made disasters, extreme weather, geopolitical events and security issues, labor or trade disputes, and similar events.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Could Be Harmed by Data Loss or Other Security Breaches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Because we collect, process, store, and transmit large amounts of data, including confidential, sensitive, proprietary, and business and personal information, failure to prevent or mitigate data loss, theft, misuse, or other security breaches or vulnerabilities affecting our or our vendors’ or customers’ technology, products, and systems, could: expose us or our customers to a risk of loss, disclosure, or misuse of such information; adversely affect our operating results; result in litigation, liability, or regulatory action (including under laws related to privacy, data protection, data security, network security, and consumer protection); deter customers or sellers from using our stores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of a similar result in the future. Although we have developed systems and processes that are designed to protect customer data and prevent such incidents, including systems and processes designed to reduce the impact of a security breach at a third-party vendor or customer, such measures cannot provide absolute security and may fail to operate as intended or be circumvented.</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Risks Related to System Interruption and Lack of Redundancy</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experience occasional system interruptions and delays that make our websites and services unavailable or slow to respond and prevent us from efficiently accepting or fulfilling orders or providing services to third parties, which may reduce our net sales and the attractiveness of our products and services. Steps we take to add software and hardware, upgrade our systems and network infrastructure, and improve the stability and efficiency of our systems may not be sufficient to avoid system interruptions or delays that could adversely affect our operating results.</w:t>
      </w:r>
    </w:p>
    <w:p>
      <w:pPr>
        <w:keepNext w:val="0"/>
        <w:keepLines w:val="0"/>
        <w:widowControl/>
        <w:suppressLineNumbers w:val="0"/>
        <w:jc w:val="center"/>
      </w:pPr>
      <w:r>
        <w:rPr>
          <w:rFonts w:hint="default" w:ascii="Times New Roman" w:hAnsi="Times New Roman" w:eastAsia="宋体" w:cs="Times New Roman"/>
          <w:color w:val="000000"/>
          <w:sz w:val="20"/>
          <w:szCs w:val="20"/>
        </w:rPr>
        <w:t>37</w:t>
      </w:r>
    </w:p>
    <w:p>
      <w:pPr>
        <w:keepNext w:val="0"/>
        <w:keepLines w:val="0"/>
        <w:widowControl/>
        <w:suppressLineNumbers w:val="0"/>
      </w:pPr>
      <w:r>
        <w:pict>
          <v:rect id="_x0000_i1094"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computer and communications systems and operations in the past have been, or in the future could be, damaged or interrupted due to events such as natural or man-made disasters, extreme weather, geopolitical events and security issues (including terrorist attacks and armed hostilities),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our insurance may not provide sufficient coverage to compensate for related losses. Any of these events could damage our reputation and be expensive to remedy.</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The Loss of Key Senior Management Personnel or the Failure to Hire and Retain Highly Skilled and Other Key Personnel Could Negatively Affect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depend on our senior management and other key personnel, including Jeffrey P. Bezos, our founder, President, CEO, and Chairman. We do not have “key person” life insurance policies. We also rely on other highly skilled personnel. Competition for qualified personnel in the technology industry has historically been intense, particularly for software engineers, computer scientists, and other technical staff, as well as senior management. The loss of any of our executive officers or other key employees, the failure to successfully transition key roles, or the inability to hire, train, retain, and manage qualified personnel, could harm our business.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Supplier Relationships Subject Us to a Number of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significant suppliers, including content and technology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Decisions by our current suppliers to limit or stop selling or licensing merchandise, content, components, or services to us on acceptable terms, or delay delivery, including as a result of one or more supplier bankruptcies due to poor economic conditions, as a result of natural disasters, or for other reasons, may result in our being unable to procure alternatives from other suppliers in a timely and efficient manner and on acceptable terms, or at all. In addition, violations by our suppliers or other vendors of applicable laws, regulations, contractual terms, intellectual property rights of others, or our Supply Chain Standards, as well as products or practices regarded as unethical, unsafe, or hazardous, could expose us to claims, damage our reputation, limit our growth, and negatively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Commercial Agreements, Strategic Alliances, and Other Business Relationships Expose Us to Risks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when the other company’s offerings are not successful, the compensation we receive may be lower than expected or the agreement may be terminated. Moreover, we may not be able to enter into additional or alternative commercial relationships and strategic alliances on favorable terms. We also may be subject to claims from businesses to which we provide these services if we are unsuccessful in implementing, maintaining, or developing these services.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present and future e-commerce services agreements, other commercial agreements, and strategic alliances create additional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•impairment of other relationships;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•variability in revenue and income from entering into, amending, or terminating such agreements or relationships;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•difficulty integrating under the commercial agreements.</w:t>
      </w:r>
    </w:p>
    <w:p>
      <w:pPr>
        <w:keepNext w:val="0"/>
        <w:keepLines w:val="0"/>
        <w:widowControl/>
        <w:suppressLineNumbers w:val="0"/>
        <w:jc w:val="center"/>
      </w:pPr>
      <w:r>
        <w:rPr>
          <w:rFonts w:hint="default" w:ascii="Times New Roman" w:hAnsi="Times New Roman" w:eastAsia="宋体" w:cs="Times New Roman"/>
          <w:color w:val="000000"/>
          <w:sz w:val="20"/>
          <w:szCs w:val="20"/>
        </w:rPr>
        <w:t>38</w:t>
      </w:r>
    </w:p>
    <w:p>
      <w:pPr>
        <w:keepNext w:val="0"/>
        <w:keepLines w:val="0"/>
        <w:widowControl/>
        <w:suppressLineNumbers w:val="0"/>
      </w:pPr>
      <w:r>
        <w:pict>
          <v:rect id="_x0000_i109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Our Business Suffers When We Are Unsuccessful in Making, Integrating, and Maintaining Acquisitions and Investments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acquired and invested in a number of companies, and we may in the future acquire or invest in or enter into joint ventures with additional companies. These transactions create risks such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•disruption of our ongoing business, including loss of management focus on existing businesses;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•problems retaining key personnel;</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•additional operating losses and expenses of the businesses we acquired or in which we invested;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tangible and intangible assets and goodwill, including as a result of acquisitions;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potential impairment of customer and other relationships of the company we acquired or in which we invested or our own customers as a result of any integration of operations;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•the difficulty of completing such transactions and achieving anticipated benefits within expected timeframes, or at all;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incorporating acquired operations, technology, and rights into our offerings, and unanticipated expenses related to such integration;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integrating a new company’s accounting, financial reporting, management, information and data security, human resource, and other administrative systems to permit effective management, and the lack of control if such integration is delayed or not successfully implemented;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•losses we may incur as a result of declines in the value of an investment or as a result of incorporating an investee’s financial performance into our financial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investments in which an investee’s financial performance is incorporated into our financial results, either in full or in part, the dependence on the investee’s accounting, financial reporting, and similar systems, controls, and processes;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difficulty of implementing at companies we acquire the controls, procedures, and policies appropriate for a larger public company;</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•the risks associated with businesses we acquire or invest in, which may differ from or be more significant than the risks our other businesses face;</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•potential unknown liabilities associated with a company we acquire or in which we invest;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•for foreign transactions, additional risks related to the integration of operations across different cultures and languages, and the economic, political, and regulatory risks associated with specific countries.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strategic investments could change rapidly. We could determine that such valuations have experienced impairments or other-than-temporary declines in fair value which could adversely impact our financial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Significant Inventory Risk</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requires significant lead-time and prepayment and they may not be returnable. We carry a broad selection and significant inventory levels of certain products, such as consumer electronics, and at times we are unable to sell products in sufficient quantities or to meet demand during the relevant selling seasons. Any one of the inventory risk factors set forth above may adversely affect our operating results.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Payments-Related Risks</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 xml:space="preserve">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currently are subject to, and may become subject to additional, regulations and compliance requirements (including obligations to implement enhanced authentication </w:t>
      </w:r>
    </w:p>
    <w:p>
      <w:pPr>
        <w:keepNext w:val="0"/>
        <w:keepLines w:val="0"/>
        <w:widowControl/>
        <w:suppressLineNumbers w:val="0"/>
        <w:jc w:val="center"/>
      </w:pPr>
      <w:r>
        <w:rPr>
          <w:rFonts w:hint="default" w:ascii="Times New Roman" w:hAnsi="Times New Roman" w:eastAsia="宋体" w:cs="Times New Roman"/>
          <w:color w:val="000000"/>
          <w:sz w:val="20"/>
          <w:szCs w:val="20"/>
        </w:rPr>
        <w:t>39</w:t>
      </w:r>
    </w:p>
    <w:p>
      <w:pPr>
        <w:keepNext w:val="0"/>
        <w:keepLines w:val="0"/>
        <w:widowControl/>
        <w:suppressLineNumbers w:val="0"/>
      </w:pPr>
      <w:r>
        <w:pict>
          <v:rect id="_x0000_i1096"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renewed on less favorable terms or terminated. We are also subject to payment card association operating rules, including data security rules, certification requirements, and rules governing electronic funds transfers, which could change or be reinterpreted to make it difficult or impossible for us to comply. Failure to comply with these rules or requirements, as well as any breach, compromise, or failure to otherwise detect or prevent fraudulent activity involving our data security systems, could result in our being liable for card issuing banks’ costs, subject to fines and higher transaction fees, and loss of our ability to accept credit and debit card payments from our customers, process electronic funds transfers, or facilitate other types of online payments, and our business and operating results could be adversely affected.</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Jurisdictions subject us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data protection, data security, network security, consumer protection, and electronic fund transfers. If we were found to be in violation of applicable laws or regulations, we could be subject to additional requirements and civil and criminal penalties, or forced to cease providing certain services.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Have a Rapidly Evolving Business Model and Our Stock Price Is Highly Volatile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have a rapidly evolving business model. The trading price of our common stock fluctuates significantly in response to, among other risks, the risks described elsewhere in this Item 1A, as well as: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interest rates;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•conditions or trends in the Internet and the industry segments we operate in;</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•quarterly variations in operating results;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•fluctuations in the stock market in general and market prices for Internet-related companies in particular;</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 xml:space="preserve">•changes in financial estimates by us or decisions to increase or decrease future spending or investment levels; </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financial estimates and recommendations by securities analysts;</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our capital structure, including issuance of additional debt or equity to the public;</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•changes in the valuation methodology of, or performance by, other e-commerce or technology companies; and</w:t>
      </w:r>
    </w:p>
    <w:p>
      <w:pPr>
        <w:keepNext w:val="0"/>
        <w:keepLines w:val="0"/>
        <w:widowControl/>
        <w:suppressLineNumbers w:val="0"/>
        <w:pBdr>
          <w:left w:val="none" w:color="auto" w:sz="0" w:space="0"/>
        </w:pBdr>
        <w:spacing w:before="100" w:beforeAutospacing="0"/>
        <w:ind w:left="0" w:hanging="360"/>
        <w:jc w:val="left"/>
      </w:pPr>
      <w:r>
        <w:rPr>
          <w:rFonts w:hint="default" w:ascii="Times New Roman" w:hAnsi="Times New Roman" w:eastAsia="宋体" w:cs="Times New Roman"/>
          <w:color w:val="000000"/>
          <w:sz w:val="20"/>
          <w:szCs w:val="20"/>
        </w:rPr>
        <w:t>•transactions in our common stock by major investors and certain analyst reports, news, and speculation.</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pPr>
        <w:keepNext w:val="0"/>
        <w:keepLines w:val="0"/>
        <w:widowControl/>
        <w:suppressLineNumbers w:val="0"/>
        <w:spacing w:before="280" w:beforeAutospacing="0"/>
        <w:jc w:val="left"/>
      </w:pPr>
      <w:r>
        <w:rPr>
          <w:rFonts w:hint="default" w:ascii="Times New Roman" w:hAnsi="Times New Roman" w:eastAsia="宋体" w:cs="Times New Roman"/>
          <w:b/>
          <w:bCs/>
          <w:color w:val="000000"/>
          <w:sz w:val="20"/>
          <w:szCs w:val="20"/>
        </w:rPr>
        <w:t>Legal and Regulatory Risks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Government Regulation Is Evolving and Unfavorable Changes Could Harm Our Business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We are subject to general business regulations and laws, as well as regulations and laws specifically governing the Internet, physical, e-commerce, and omnichannel retail, digital content, web services, electronic devices, advertising, artificial intelligence technologies and services, and other products and services that we offer or sell. These regulations and laws cover taxation, privacy, data protection, data security, network security, consumer protection, pricing, content, copyrights, distribution, transportation, mobile communications, electronic device certification, electronic waste, energy consumption, environmental regulation, electronic contracts and other communications, competition, employment, trade and protectionist measures, web services, the provision of online payment services, registration, licensing, and information reporting requirements, unencumbered Internet access to our services or access to our facilities, the design and operation of websites, health, safety, and sanitation standards, the characteristics, legality, and quality of products and services, product labeling, the commercial operation of unmanned aircraft systems, and other matters. It is not clear how existing laws governing issues such as property ownership, libel, privacy, data protection, data security, network security, and consumer protection apply to aspects of our operations such as the Internet, e-commerce, digital content, web services, electronic devices, advertising, and artificial </w:t>
      </w:r>
    </w:p>
    <w:p>
      <w:pPr>
        <w:keepNext w:val="0"/>
        <w:keepLines w:val="0"/>
        <w:widowControl/>
        <w:suppressLineNumbers w:val="0"/>
        <w:jc w:val="center"/>
      </w:pPr>
      <w:r>
        <w:rPr>
          <w:rFonts w:hint="default" w:ascii="Times New Roman" w:hAnsi="Times New Roman" w:eastAsia="宋体" w:cs="Times New Roman"/>
          <w:color w:val="000000"/>
          <w:sz w:val="20"/>
          <w:szCs w:val="20"/>
        </w:rPr>
        <w:t>40</w:t>
      </w:r>
    </w:p>
    <w:p>
      <w:pPr>
        <w:keepNext w:val="0"/>
        <w:keepLines w:val="0"/>
        <w:widowControl/>
        <w:suppressLineNumbers w:val="0"/>
      </w:pPr>
      <w:r>
        <w:pict>
          <v:rect id="_x0000_i109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100" w:beforeAutospacing="0"/>
        <w:jc w:val="left"/>
      </w:pPr>
      <w:r>
        <w:rPr>
          <w:rFonts w:hint="default" w:ascii="Times New Roman" w:hAnsi="Times New Roman" w:eastAsia="宋体" w:cs="Times New Roman"/>
          <w:color w:val="000000"/>
          <w:sz w:val="20"/>
          <w:szCs w:val="20"/>
        </w:rPr>
        <w:t>intelligence technologies and services. A large number of jurisdictions regulate our operations, and the extent, nature, and scope of such regulations is evolving and expanding as the scope of our businesses expand. We are regularly subject to formal and informal reviews and investigations by governments and regulatory authorities under existing laws, regulations, or interpretations or pursuing new and novel approaches to regulate our operations. For example, a number of regulators have opened investigations to assess whether aspects of our operations violate competition rules. Unfavorable regulations, laws, decisions, or interpretations by government or regulatory authorities applying those laws and regulations, or inquiries, investigations, or enforcement actions threatened or initiated by them, could cause us to incur substantial costs, expose us to unanticipated civil and criminal liability or penalties (including substantial monetary fines), diminish the demand for, or availability of, our products and services, increase our cost of doing business, require us to change our business practices in a manner materially adverse to our business, damage our reputation, impede our growth, or otherwise have a material effect on our operations.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Claims, Litigation, Government Investigations, and Other Proceedings May Adversely Affect Our Business and Results of Operations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As an innovative company offering a wide range of consumer and business products and services around the world, we are regularly subject to actual and threatened claims, litigation, reviews, investigations, and other proceedings, including proceedings by governments and regulatory authorities, involving a wide range of issues, including patent and other intellectual property matters, taxes, labor and employment, competition and antitrust, privacy, data protection, data security, network security, consumer protection, commercial disputes, goods and services offered by us and by third parties, and other matters. The number and scale of these proceedings have increased over time as our businesses have expanded in scope and geographic reach and our products, services, and operations have become more complex and available to, and used by, more people. Any of these types of proceedings can have an adverse effect on us because of legal costs, disruption of our operations, diversion of management resources, negative publicity, and other factors. The outcomes of these matters are inherently unpredictable and subject to significant uncertainties. Determining legal reserves or possible losses from such matters involves judgment and may not reflect the full range of uncertainties and unpredictable outcomes. Until the final resolution of such matters, we may be exposed to losses in excess of the amount recorded, and such amounts could be material. Should any of our estimates and assumptions change or prove to have been incorrect, it could have a material effect on our business, consolidated financial position, results of operations, or cash flows. In addition, it is possible that a resolution of one or more such proceedings, including as a result of a settlement, could involve licenses, sanctions, consent decrees, or orders requiring us to make substantial future payments, preventing us from offering certain products or services, requiring us to change our business practices in a manner materially adverse to our business, requiring development of non-infringing or otherwise altered products or technologies, damaging our reputation, or otherwise having a material effect on our operations. </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Product Liability Claims When People or Property Are Harmed by the Products We Sell or Manufacture</w:t>
      </w:r>
    </w:p>
    <w:p>
      <w:pPr>
        <w:keepNext w:val="0"/>
        <w:keepLines w:val="0"/>
        <w:widowControl/>
        <w:suppressLineNumbers w:val="0"/>
        <w:spacing w:before="100" w:beforeAutospacing="0"/>
        <w:ind w:left="0" w:firstLine="450"/>
        <w:jc w:val="left"/>
      </w:pPr>
      <w:r>
        <w:rPr>
          <w:rFonts w:hint="default" w:ascii="Times New Roman" w:hAnsi="Times New Roman" w:eastAsia="宋体" w:cs="Times New Roman"/>
          <w:color w:val="000000"/>
          <w:sz w:val="20"/>
          <w:szCs w:val="20"/>
        </w:rPr>
        <w:t>Some of the products we sell or manufacture expose us to product liability or food safety claims relating to personal injury or illness, death, or environmental or property damage, and can require product recalls or other actions. Third parties who sell products using our services and stores also expose us to product liability claims. Although we maintain liability insurance, we cannot be certain that our coverage will be adequate for liabilities actually incurred or that insurance will continue to be available to us on economically reasonable terms, or at all. Although we impose contractual terms on sellers that are intended to prohibit sales of certain type of products, we may not be able to detect, enforce, or collect sufficient damages for breaches of such agreements. In addition, some of our agreements with our vendors and sellers do not indemnify us from product liability.</w:t>
      </w:r>
    </w:p>
    <w:p>
      <w:pPr>
        <w:keepNext w:val="0"/>
        <w:keepLines w:val="0"/>
        <w:widowControl/>
        <w:suppressLineNumbers w:val="0"/>
        <w:jc w:val="center"/>
      </w:pPr>
      <w:r>
        <w:rPr>
          <w:rFonts w:hint="default" w:ascii="Times New Roman" w:hAnsi="Times New Roman" w:eastAsia="宋体" w:cs="Times New Roman"/>
          <w:color w:val="000000"/>
          <w:sz w:val="20"/>
          <w:szCs w:val="20"/>
        </w:rPr>
        <w:t>41</w:t>
      </w:r>
    </w:p>
    <w:p>
      <w:pPr>
        <w:keepNext w:val="0"/>
        <w:keepLines w:val="0"/>
        <w:widowControl/>
        <w:suppressLineNumbers w:val="0"/>
      </w:pPr>
      <w:r>
        <w:pict>
          <v:rect id="_x0000_i1098"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Face Additional Tax Liabilities and Collection Obligations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prospectively or retroactively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with new reporting or collection obligations by the effective date.</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tax expense and liabilities are also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or extraterritorial tax regimes, changes in foreign currency exchange rates, changes in our stock price, changes to our forecasts of income and loss and the mix of jurisdictions to which they relate, and changes in our tax assets and liabilities and their valuation. In the ordinary course of our business, there are many transactions and calculations for which the ultimate tax determination is uncertain. Significant judgment is required in evaluating and estimating our tax expense, assets, and liabilities.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We are also subject to tax controversies in various jurisdictions that can result in tax assessments against us. Developments in an audit, investigation, or other tax controversy can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pPr>
        <w:keepNext w:val="0"/>
        <w:keepLines w:val="0"/>
        <w:widowControl/>
        <w:suppressLineNumbers w:val="0"/>
        <w:spacing w:before="280" w:beforeAutospacing="0"/>
        <w:ind w:left="0" w:firstLine="225"/>
        <w:jc w:val="left"/>
      </w:pPr>
      <w:r>
        <w:rPr>
          <w:rFonts w:hint="default" w:ascii="Times New Roman" w:hAnsi="Times New Roman" w:eastAsia="宋体" w:cs="Times New Roman"/>
          <w:b/>
          <w:bCs/>
          <w:i/>
          <w:iCs/>
          <w:color w:val="000000"/>
          <w:sz w:val="20"/>
          <w:szCs w:val="20"/>
        </w:rPr>
        <w:t>We Are Subject to Risks Related to Government Contracts and Related Procurement Regulations</w:t>
      </w:r>
    </w:p>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Our contracts with U.S., as well as state, local, and foreign, government entities are subject to various procurement regulations and other requirements relating to their formation, administration, and performance. We are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some of these contracts are subject to periodic funding approval and/or provide for termination by the government at any time, without cause.</w:t>
      </w:r>
    </w:p>
    <w:p>
      <w:pPr>
        <w:keepNext w:val="0"/>
        <w:keepLines w:val="0"/>
        <w:widowControl/>
        <w:suppressLineNumbers w:val="0"/>
        <w:jc w:val="center"/>
      </w:pPr>
      <w:r>
        <w:rPr>
          <w:rFonts w:hint="default" w:ascii="Times New Roman" w:hAnsi="Times New Roman" w:eastAsia="宋体" w:cs="Times New Roman"/>
          <w:color w:val="000000"/>
          <w:sz w:val="20"/>
          <w:szCs w:val="20"/>
        </w:rPr>
        <w:t>42</w:t>
      </w:r>
    </w:p>
    <w:p>
      <w:pPr>
        <w:keepNext w:val="0"/>
        <w:keepLines w:val="0"/>
        <w:widowControl/>
        <w:suppressLineNumbers w:val="0"/>
      </w:pPr>
      <w:r>
        <w:pict>
          <v:rect id="_x0000_i109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2.</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Unregistered Sales of Equity Securities and Use of Proceeds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3.</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Defaults Upon Senior Securities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None.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4.</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Mine Safety Disclosures</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Not applicable.</w:t>
      </w:r>
    </w:p>
    <w:p>
      <w:pPr>
        <w:keepNext w:val="0"/>
        <w:keepLines w:val="0"/>
        <w:widowControl/>
        <w:suppressLineNumbers w:val="0"/>
        <w:spacing w:before="100" w:beforeAutospacing="0"/>
        <w:ind w:left="0" w:firstLine="495"/>
        <w:jc w:val="left"/>
      </w:pP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5.</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Other Information</w:t>
            </w:r>
          </w:p>
        </w:tc>
      </w:tr>
    </w:tbl>
    <w:p>
      <w:pPr>
        <w:keepNext w:val="0"/>
        <w:keepLines w:val="0"/>
        <w:widowControl/>
        <w:suppressLineNumbers w:val="0"/>
        <w:spacing w:before="100" w:beforeAutospacing="0"/>
        <w:ind w:left="0" w:firstLine="495"/>
        <w:jc w:val="left"/>
      </w:pPr>
      <w:r>
        <w:rPr>
          <w:rFonts w:hint="default" w:ascii="Times New Roman" w:hAnsi="Times New Roman" w:eastAsia="宋体" w:cs="Times New Roman"/>
          <w:color w:val="000000"/>
          <w:sz w:val="20"/>
          <w:szCs w:val="20"/>
        </w:rPr>
        <w:t xml:space="preserve">Not applicable. </w:t>
      </w:r>
    </w:p>
    <w:p>
      <w:pPr>
        <w:keepNext w:val="0"/>
        <w:keepLines w:val="0"/>
        <w:widowControl/>
        <w:suppressLineNumbers w:val="0"/>
        <w:jc w:val="center"/>
      </w:pPr>
      <w:r>
        <w:rPr>
          <w:rFonts w:hint="default" w:ascii="Times New Roman" w:hAnsi="Times New Roman" w:eastAsia="宋体" w:cs="Times New Roman"/>
          <w:color w:val="000000"/>
          <w:sz w:val="20"/>
          <w:szCs w:val="20"/>
        </w:rPr>
        <w:t>43</w:t>
      </w:r>
    </w:p>
    <w:p>
      <w:pPr>
        <w:keepNext w:val="0"/>
        <w:keepLines w:val="0"/>
        <w:widowControl/>
        <w:suppressLineNumbers w:val="0"/>
      </w:pPr>
      <w:r>
        <w:pict>
          <v:rect id="_x0000_i1100"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808"/>
        <w:gridCol w:w="36"/>
        <w:gridCol w:w="69"/>
        <w:gridCol w:w="7305"/>
        <w:gridCol w:w="37"/>
      </w:tblGrid>
      <w:tr>
        <w:tc>
          <w:tcPr>
            <w:tcW w:w="50" w:type="pct"/>
            <w:shd w:val="clear" w:color="auto" w:fill="auto"/>
            <w:vAlign w:val="top"/>
          </w:tcPr>
          <w:p>
            <w:pPr>
              <w:rPr>
                <w:rFonts w:hint="eastAsia" w:ascii="宋体"/>
                <w:sz w:val="24"/>
                <w:szCs w:val="24"/>
              </w:rPr>
            </w:pPr>
          </w:p>
        </w:tc>
        <w:tc>
          <w:tcPr>
            <w:tcW w:w="494"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39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Item 6.</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b/>
                <w:bCs/>
                <w:color w:val="000000"/>
                <w:sz w:val="20"/>
                <w:szCs w:val="20"/>
              </w:rPr>
              <w:t>Exhibits</w:t>
            </w:r>
          </w:p>
        </w:tc>
      </w:tr>
    </w:tbl>
    <w:p>
      <w:pPr>
        <w:rPr>
          <w:vanish/>
          <w:sz w:val="24"/>
          <w:szCs w:val="24"/>
        </w:rPr>
      </w:pPr>
    </w:p>
    <w:tbl>
      <w:tblPr>
        <w:tblStyle w:val="5"/>
        <w:tblW w:w="4751"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6"/>
        <w:gridCol w:w="525"/>
        <w:gridCol w:w="36"/>
        <w:gridCol w:w="36"/>
        <w:gridCol w:w="36"/>
        <w:gridCol w:w="36"/>
        <w:gridCol w:w="36"/>
        <w:gridCol w:w="7105"/>
        <w:gridCol w:w="36"/>
      </w:tblGrid>
      <w:tr>
        <w:trPr>
          <w:jc w:val="center"/>
        </w:trPr>
        <w:tc>
          <w:tcPr>
            <w:tcW w:w="50" w:type="pct"/>
            <w:shd w:val="clear" w:color="auto" w:fill="auto"/>
            <w:vAlign w:val="top"/>
          </w:tcPr>
          <w:p>
            <w:pPr>
              <w:rPr>
                <w:rFonts w:hint="eastAsia" w:ascii="宋体"/>
                <w:sz w:val="24"/>
                <w:szCs w:val="24"/>
              </w:rPr>
            </w:pPr>
          </w:p>
        </w:tc>
        <w:tc>
          <w:tcPr>
            <w:tcW w:w="34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28"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4506"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left"/>
              <w:textAlignment w:val="bottom"/>
            </w:pPr>
            <w:r>
              <w:rPr>
                <w:rFonts w:hint="default" w:ascii="Times New Roman" w:hAnsi="Times New Roman" w:eastAsia="宋体" w:cs="Times New Roman"/>
                <w:b/>
                <w:bCs/>
                <w:color w:val="000000"/>
                <w:sz w:val="16"/>
                <w:szCs w:val="16"/>
                <w:u w:val="single"/>
              </w:rPr>
              <w:t>Exhibit</w:t>
            </w:r>
            <w:r>
              <w:rPr>
                <w:rFonts w:hint="default" w:ascii="Times New Roman" w:hAnsi="Times New Roman" w:eastAsia="宋体" w:cs="Times New Roman"/>
                <w:b/>
                <w:bCs/>
                <w:color w:val="000000"/>
                <w:sz w:val="16"/>
                <w:szCs w:val="16"/>
                <w:u w:val="single"/>
              </w:rPr>
              <w:br w:type="textWrapping"/>
            </w:r>
            <w:r>
              <w:rPr>
                <w:rFonts w:hint="default" w:ascii="Times New Roman" w:hAnsi="Times New Roman" w:eastAsia="宋体" w:cs="Times New Roman"/>
                <w:b/>
                <w:bCs/>
                <w:color w:val="000000"/>
                <w:sz w:val="16"/>
                <w:szCs w:val="16"/>
                <w:u w:val="single"/>
              </w:rPr>
              <w:t>Number</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16"/>
                <w:szCs w:val="16"/>
                <w:u w:val="single"/>
              </w:rPr>
              <w:t>Description</w:t>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Restated Certificate of Incorporation of the Company (incorporated by reference to the Company’s Current Report on Form 8-K, filed May 29,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"http://www.sec.gov/Archives/edgar/data/1018724/000101872420000015/amzn-20200529xex32.htm"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Amended and Restated Bylaws of the Company (incorporated by reference to the Company’s Current Report on Form 8-K, filed May 29, 2020).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"https://www.sec.gov/Archives/edgar/data/0001018724/000101872421000010/amzn-20210331xex311.htm"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31.2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"https://www.sec.gov/Archives/edgar/data/0001018724/000101872421000010/amzn-20210331xex312.htm"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Rule 13a-14(a) under the Securities Exchange Act of 1934.</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"https://www.sec.gov/Archives/edgar/data/0001018724/000101872421000010/amzn-20210331xex321.htm"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Jeffrey P. Bezos, Chairman and Chief Executive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32.2</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"https://www.sec.gov/Archives/edgar/data/0001018724/000101872421000010/amzn-20210331xex322.htm"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Certification of Brian T. Olsavsky, Senior Vice President and Chief Financial Officer of Amazon.com, Inc., pursuant to 18 U.S.C. Section 1350.</w:t>
            </w:r>
            <w:r>
              <w:rPr>
                <w:rFonts w:hint="default" w:ascii="Times New Roman" w:hAnsi="Times New Roman" w:eastAsia="宋体" w:cs="Times New Roman"/>
                <w:color w:val="0000FF"/>
                <w:sz w:val="20"/>
                <w:szCs w:val="20"/>
                <w:u w:val="single"/>
              </w:rPr>
              <w:fldChar w:fldCharType="end"/>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101</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The following financial statements from the Company’s Quarterly Report on Form 10-Q for the quarter ended March 31, 2021, formatted in Inline XBRL: (i) Consolidated Statements of Cash Flows, (ii) Consolidated Statements of Operations, (iii) Consolidated Statements of Comprehensive Income, (iv) Consolidated Balance Sheets, and (v) Notes to Consolidated Financial Statements, tagged as blocks of text and including detailed tags.</w:t>
            </w:r>
          </w:p>
        </w:tc>
      </w:tr>
      <w:tr>
        <w:trPr>
          <w:trHeight w:val="60" w:hRule="atLeast"/>
          <w:jc w:val="center"/>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rPr>
          <w:jc w:val="center"/>
        </w:trPr>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104</w:t>
            </w: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center"/>
            </w:pPr>
            <w:r>
              <w:rPr>
                <w:rFonts w:hint="default" w:ascii="Times New Roman" w:hAnsi="Times New Roman" w:eastAsia="宋体" w:cs="Times New Roman"/>
                <w:color w:val="000000"/>
                <w:sz w:val="20"/>
                <w:szCs w:val="20"/>
              </w:rPr>
              <w:t>The cover page from the Company’s Quarterly Report on Form 10-Q for the quarter ended March 31, 2021, formatted in Inline XBRL (included as Exhibit 101).</w:t>
            </w:r>
          </w:p>
        </w:tc>
      </w:tr>
    </w:tbl>
    <w:p>
      <w:pPr>
        <w:keepNext w:val="0"/>
        <w:keepLines w:val="0"/>
        <w:widowControl/>
        <w:suppressLineNumbers w:val="0"/>
        <w:jc w:val="center"/>
      </w:pPr>
      <w:r>
        <w:rPr>
          <w:rFonts w:hint="default" w:ascii="Times New Roman" w:hAnsi="Times New Roman" w:eastAsia="宋体" w:cs="Times New Roman"/>
          <w:color w:val="000000"/>
          <w:sz w:val="20"/>
          <w:szCs w:val="20"/>
        </w:rPr>
        <w:t>44</w:t>
      </w:r>
    </w:p>
    <w:p>
      <w:pPr>
        <w:keepNext w:val="0"/>
        <w:keepLines w:val="0"/>
        <w:widowControl/>
        <w:suppressLineNumbers w:val="0"/>
      </w:pPr>
      <w:r>
        <w:pict>
          <v:rect id="_x0000_i110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hint="default" w:ascii="Times New Roman" w:hAnsi="Times New Roman" w:eastAsia="宋体" w:cs="Times New Roman"/>
          <w:color w:val="0000FF"/>
          <w:sz w:val="20"/>
          <w:szCs w:val="20"/>
          <w:u w:val="single"/>
        </w:rPr>
        <w:fldChar w:fldCharType="begin"/>
      </w:r>
      <w:r>
        <w:rPr>
          <w:rFonts w:hint="default" w:ascii="Times New Roman" w:hAnsi="Times New Roman" w:eastAsia="宋体" w:cs="Times New Roman"/>
          <w:color w:val="0000FF"/>
          <w:sz w:val="20"/>
          <w:szCs w:val="20"/>
          <w:u w:val="single"/>
        </w:rPr>
        <w:instrText xml:space="preserve"> HYPERLINK "https://www.sec.gov/ix?doc=/Archives/edgar/data/0001018724/000101872421000010/amzn-20210331.htm" \l "i5251b116296d4d7d9bf11a274027b439_7" </w:instrText>
      </w:r>
      <w:r>
        <w:rPr>
          <w:rFonts w:hint="default" w:ascii="Times New Roman" w:hAnsi="Times New Roman" w:eastAsia="宋体" w:cs="Times New Roman"/>
          <w:color w:val="0000FF"/>
          <w:sz w:val="20"/>
          <w:szCs w:val="20"/>
          <w:u w:val="single"/>
        </w:rPr>
        <w:fldChar w:fldCharType="separate"/>
      </w:r>
      <w:r>
        <w:rPr>
          <w:rStyle w:val="8"/>
          <w:rFonts w:hint="default" w:ascii="Times New Roman" w:hAnsi="Times New Roman" w:eastAsia="宋体" w:cs="Times New Roman"/>
          <w:color w:val="0000FF"/>
          <w:sz w:val="20"/>
          <w:szCs w:val="20"/>
          <w:u w:val="single"/>
        </w:rPr>
        <w:t>Table of Contents</w:t>
      </w:r>
      <w:r>
        <w:rPr>
          <w:rFonts w:hint="default" w:ascii="Times New Roman" w:hAnsi="Times New Roman" w:eastAsia="宋体" w:cs="Times New Roman"/>
          <w:color w:val="0000FF"/>
          <w:sz w:val="20"/>
          <w:szCs w:val="20"/>
          <w:u w:val="single"/>
        </w:rPr>
        <w:fldChar w:fldCharType="end"/>
      </w:r>
    </w:p>
    <w:p>
      <w:pPr>
        <w:keepNext w:val="0"/>
        <w:keepLines w:val="0"/>
        <w:widowControl/>
        <w:suppressLineNumbers w:val="0"/>
        <w:jc w:val="center"/>
      </w:pPr>
      <w:r>
        <w:rPr>
          <w:rFonts w:hint="default" w:ascii="Times New Roman" w:hAnsi="Times New Roman" w:eastAsia="宋体" w:cs="Times New Roman"/>
          <w:b/>
          <w:bCs/>
          <w:color w:val="000000"/>
          <w:sz w:val="20"/>
          <w:szCs w:val="20"/>
        </w:rPr>
        <w:t>SIGNATURES</w:t>
      </w:r>
    </w:p>
    <w:p>
      <w:pPr>
        <w:keepNext w:val="0"/>
        <w:keepLines w:val="0"/>
        <w:widowControl/>
        <w:suppressLineNumbers w:val="0"/>
        <w:spacing w:before="180" w:beforeAutospacing="0"/>
        <w:ind w:left="0" w:firstLine="495"/>
        <w:jc w:val="left"/>
      </w:pPr>
      <w:r>
        <w:rPr>
          <w:rFonts w:hint="default" w:ascii="Times New Roman" w:hAnsi="Times New Roman" w:eastAsia="宋体" w:cs="Times New Roman"/>
          <w:color w:val="000000"/>
          <w:sz w:val="20"/>
          <w:szCs w:val="20"/>
        </w:rPr>
        <w:t>Pursuant to the requirements of the Securities Exchange Act of 1934, the Registrant has duly caused this report to be signed on its behalf by the undersigned, thereunto duly authorized.</w:t>
      </w:r>
    </w:p>
    <w:p>
      <w:pPr>
        <w:keepNext w:val="0"/>
        <w:keepLines w:val="0"/>
        <w:widowControl/>
        <w:suppressLineNumbers w:val="0"/>
        <w:jc w:val="left"/>
      </w:pPr>
      <w:r>
        <w:rPr>
          <w:rFonts w:hint="default" w:ascii="Times New Roman" w:hAnsi="Times New Roman" w:eastAsia="宋体" w:cs="Times New Roman"/>
          <w:color w:val="000000"/>
          <w:sz w:val="18"/>
          <w:szCs w:val="18"/>
        </w:rPr>
        <w:t> </w:t>
      </w:r>
    </w:p>
    <w:tbl>
      <w:tblPr>
        <w:tblStyle w:val="5"/>
        <w:tblW w:w="499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
        <w:gridCol w:w="4588"/>
        <w:gridCol w:w="36"/>
        <w:gridCol w:w="73"/>
        <w:gridCol w:w="267"/>
        <w:gridCol w:w="36"/>
        <w:gridCol w:w="69"/>
        <w:gridCol w:w="3149"/>
        <w:gridCol w:w="37"/>
      </w:tblGrid>
      <w:tr>
        <w:tc>
          <w:tcPr>
            <w:tcW w:w="50" w:type="pct"/>
            <w:shd w:val="clear" w:color="auto" w:fill="auto"/>
            <w:vAlign w:val="top"/>
          </w:tcPr>
          <w:p>
            <w:pPr>
              <w:rPr>
                <w:rFonts w:hint="eastAsia" w:ascii="宋体"/>
                <w:sz w:val="24"/>
                <w:szCs w:val="24"/>
              </w:rPr>
            </w:pPr>
          </w:p>
        </w:tc>
        <w:tc>
          <w:tcPr>
            <w:tcW w:w="2763"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71"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c>
          <w:tcPr>
            <w:tcW w:w="50" w:type="pct"/>
            <w:shd w:val="clear" w:color="auto" w:fill="auto"/>
            <w:vAlign w:val="top"/>
          </w:tcPr>
          <w:p>
            <w:pPr>
              <w:rPr>
                <w:rFonts w:hint="eastAsia" w:ascii="宋体"/>
                <w:sz w:val="24"/>
                <w:szCs w:val="24"/>
              </w:rPr>
            </w:pPr>
          </w:p>
        </w:tc>
        <w:tc>
          <w:tcPr>
            <w:tcW w:w="1899" w:type="pct"/>
            <w:shd w:val="clear" w:color="auto" w:fill="auto"/>
            <w:vAlign w:val="top"/>
          </w:tcPr>
          <w:p>
            <w:pPr>
              <w:rPr>
                <w:rFonts w:hint="eastAsia" w:ascii="宋体"/>
                <w:sz w:val="24"/>
                <w:szCs w:val="24"/>
              </w:rPr>
            </w:pPr>
          </w:p>
        </w:tc>
        <w:tc>
          <w:tcPr>
            <w:tcW w:w="5" w:type="pct"/>
            <w:shd w:val="clear" w:color="auto" w:fill="auto"/>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6"/>
            <w:shd w:val="clear" w:color="auto" w:fill="auto"/>
            <w:tcMar>
              <w:top w:w="40" w:type="dxa"/>
              <w:left w:w="20" w:type="dxa"/>
              <w:bottom w:w="40" w:type="dxa"/>
              <w:right w:w="2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pPr>
            <w:r>
              <w:rPr>
                <w:rFonts w:hint="default" w:ascii="Times New Roman" w:hAnsi="Times New Roman" w:eastAsia="宋体" w:cs="Times New Roman"/>
                <w:color w:val="000000"/>
                <w:sz w:val="20"/>
                <w:szCs w:val="20"/>
              </w:rPr>
              <w:t>A</w:t>
            </w:r>
            <w:r>
              <w:rPr>
                <w:rFonts w:hint="default" w:ascii="Times New Roman" w:hAnsi="Times New Roman" w:eastAsia="宋体" w:cs="Times New Roman"/>
                <w:color w:val="000000"/>
                <w:sz w:val="16"/>
                <w:szCs w:val="16"/>
              </w:rPr>
              <w:t>MAZON</w:t>
            </w:r>
            <w:r>
              <w:rPr>
                <w:rFonts w:hint="default" w:ascii="Times New Roman" w:hAnsi="Times New Roman" w:eastAsia="宋体" w:cs="Times New Roman"/>
                <w:color w:val="000000"/>
                <w:sz w:val="20"/>
                <w:szCs w:val="20"/>
              </w:rPr>
              <w:t>.</w:t>
            </w:r>
            <w:r>
              <w:rPr>
                <w:rFonts w:hint="default" w:ascii="Times New Roman" w:hAnsi="Times New Roman" w:eastAsia="宋体" w:cs="Times New Roman"/>
                <w:color w:val="000000"/>
                <w:sz w:val="16"/>
                <w:szCs w:val="16"/>
              </w:rPr>
              <w:t>COM</w:t>
            </w:r>
            <w:r>
              <w:rPr>
                <w:rFonts w:hint="default" w:ascii="Times New Roman" w:hAnsi="Times New Roman" w:eastAsia="宋体" w:cs="Times New Roman"/>
                <w:color w:val="000000"/>
                <w:sz w:val="20"/>
                <w:szCs w:val="20"/>
              </w:rPr>
              <w:t>, I</w:t>
            </w:r>
            <w:r>
              <w:rPr>
                <w:rFonts w:hint="default" w:ascii="Times New Roman" w:hAnsi="Times New Roman" w:eastAsia="宋体" w:cs="Times New Roman"/>
                <w:color w:val="000000"/>
                <w:sz w:val="16"/>
                <w:szCs w:val="16"/>
              </w:rPr>
              <w:t>NC</w:t>
            </w:r>
            <w:r>
              <w:rPr>
                <w:rFonts w:hint="default" w:ascii="Times New Roman" w:hAnsi="Times New Roman" w:eastAsia="宋体" w:cs="Times New Roman"/>
                <w:color w:val="000000"/>
                <w:sz w:val="20"/>
                <w:szCs w:val="20"/>
              </w:rPr>
              <w:t>. (R</w:t>
            </w:r>
            <w:r>
              <w:rPr>
                <w:rFonts w:hint="default" w:ascii="Times New Roman" w:hAnsi="Times New Roman" w:eastAsia="宋体" w:cs="Times New Roman"/>
                <w:color w:val="000000"/>
                <w:sz w:val="16"/>
                <w:szCs w:val="16"/>
              </w:rPr>
              <w:t>EGISTRANT</w:t>
            </w:r>
            <w:r>
              <w:rPr>
                <w:rFonts w:hint="default" w:ascii="Times New Roman" w:hAnsi="Times New Roman" w:eastAsia="宋体" w:cs="Times New Roman"/>
                <w:color w:val="000000"/>
                <w:sz w:val="20"/>
                <w:szCs w:val="20"/>
              </w:rPr>
              <w:t>)</w:t>
            </w:r>
          </w:p>
        </w:tc>
      </w:tr>
      <w:tr>
        <w:trPr>
          <w:trHeight w:val="300" w:hRule="atLeast"/>
        </w:trP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left"/>
              <w:textAlignment w:val="top"/>
            </w:pPr>
            <w:r>
              <w:rPr>
                <w:rFonts w:hint="default" w:ascii="Times New Roman" w:hAnsi="Times New Roman" w:eastAsia="宋体" w:cs="Times New Roman"/>
                <w:color w:val="000000"/>
                <w:sz w:val="20"/>
                <w:szCs w:val="20"/>
              </w:rPr>
              <w:t>By:</w:t>
            </w:r>
          </w:p>
        </w:tc>
        <w:tc>
          <w:tcPr>
            <w:tcW w:w="0" w:type="auto"/>
            <w:gridSpan w:val="3"/>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color w:val="000000"/>
                <w:sz w:val="20"/>
                <w:szCs w:val="20"/>
              </w:rPr>
              <w:t>/s/ Shelley L. Reynolds</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tcBorders>
              <w:top w:val="single" w:color="000000" w:sz="8" w:space="0"/>
            </w:tcBorders>
            <w:shd w:val="clear" w:color="auto" w:fill="auto"/>
            <w:tcMar>
              <w:top w:w="40" w:type="dxa"/>
              <w:left w:w="20" w:type="dxa"/>
              <w:bottom w:w="40" w:type="dxa"/>
              <w:right w:w="20" w:type="dxa"/>
            </w:tcMar>
            <w:vAlign w:val="top"/>
          </w:tcPr>
          <w:p>
            <w:pPr>
              <w:keepNext w:val="0"/>
              <w:keepLines w:val="0"/>
              <w:widowControl/>
              <w:suppressLineNumbers w:val="0"/>
              <w:jc w:val="center"/>
              <w:textAlignment w:val="top"/>
            </w:pPr>
            <w:r>
              <w:rPr>
                <w:rFonts w:hint="default" w:ascii="Times New Roman" w:hAnsi="Times New Roman" w:eastAsia="宋体" w:cs="Times New Roman"/>
                <w:b/>
                <w:bCs/>
                <w:color w:val="000000"/>
                <w:sz w:val="20"/>
                <w:szCs w:val="20"/>
              </w:rPr>
              <w:t>Shelley L. Reynolds</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Vice President, Worldwide Controller</w:t>
            </w:r>
          </w:p>
        </w:tc>
      </w:tr>
      <w:tr>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0" w:type="dxa"/>
              <w:left w:w="20" w:type="dxa"/>
              <w:bottom w:w="0" w:type="dxa"/>
              <w:right w:w="20" w:type="dxa"/>
            </w:tcMar>
            <w:vAlign w:val="top"/>
          </w:tcPr>
          <w:p>
            <w:pPr>
              <w:rPr>
                <w:rFonts w:hint="eastAsia" w:ascii="宋体"/>
                <w:sz w:val="24"/>
                <w:szCs w:val="24"/>
              </w:rPr>
            </w:pPr>
          </w:p>
        </w:tc>
        <w:tc>
          <w:tcPr>
            <w:tcW w:w="0" w:type="auto"/>
            <w:gridSpan w:val="3"/>
            <w:shd w:val="clear" w:color="auto" w:fill="auto"/>
            <w:tcMar>
              <w:top w:w="40" w:type="dxa"/>
              <w:left w:w="20" w:type="dxa"/>
              <w:bottom w:w="40" w:type="dxa"/>
              <w:right w:w="20" w:type="dxa"/>
            </w:tcMar>
            <w:vAlign w:val="bottom"/>
          </w:tcPr>
          <w:p>
            <w:pPr>
              <w:keepNext w:val="0"/>
              <w:keepLines w:val="0"/>
              <w:widowControl/>
              <w:suppressLineNumbers w:val="0"/>
              <w:jc w:val="center"/>
              <w:textAlignment w:val="bottom"/>
            </w:pPr>
            <w:r>
              <w:rPr>
                <w:rFonts w:hint="default" w:ascii="Times New Roman" w:hAnsi="Times New Roman" w:eastAsia="宋体" w:cs="Times New Roman"/>
                <w:b/>
                <w:bCs/>
                <w:color w:val="000000"/>
                <w:sz w:val="20"/>
                <w:szCs w:val="20"/>
              </w:rPr>
              <w:t>(Principal Accounting Officer)</w:t>
            </w:r>
          </w:p>
        </w:tc>
      </w:tr>
    </w:tbl>
    <w:p>
      <w:pPr>
        <w:keepNext w:val="0"/>
        <w:keepLines w:val="0"/>
        <w:widowControl/>
        <w:suppressLineNumbers w:val="0"/>
        <w:spacing w:before="180" w:beforeAutospacing="0"/>
        <w:jc w:val="left"/>
      </w:pPr>
      <w:r>
        <w:rPr>
          <w:rFonts w:hint="default" w:ascii="Times New Roman" w:hAnsi="Times New Roman" w:eastAsia="宋体" w:cs="Times New Roman"/>
          <w:color w:val="000000"/>
          <w:sz w:val="20"/>
          <w:szCs w:val="20"/>
        </w:rPr>
        <w:t>Dated: April 29, 2021</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pBdr>
          <w:left w:val="none" w:color="auto" w:sz="0" w:space="0"/>
        </w:pBdr>
        <w:ind w:left="0" w:hanging="720"/>
        <w:jc w:val="left"/>
      </w:pPr>
    </w:p>
    <w:p>
      <w:pPr>
        <w:keepNext w:val="0"/>
        <w:keepLines w:val="0"/>
        <w:widowControl/>
        <w:suppressLineNumbers w:val="0"/>
        <w:jc w:val="center"/>
      </w:pPr>
      <w:r>
        <w:rPr>
          <w:rFonts w:hint="default" w:ascii="Times New Roman" w:hAnsi="Times New Roman" w:eastAsia="宋体" w:cs="Times New Roman"/>
          <w:color w:val="000000"/>
          <w:sz w:val="20"/>
          <w:szCs w:val="20"/>
        </w:rPr>
        <w:t>45</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Settings</w:t>
      </w:r>
    </w:p>
    <w:p>
      <w:pPr>
        <w:pStyle w:val="9"/>
      </w:pPr>
      <w:r>
        <w:t>窗体顶端</w:t>
      </w:r>
    </w:p>
    <w:p>
      <w:pPr>
        <w:keepNext w:val="0"/>
        <w:keepLines w:val="0"/>
        <w:widowControl/>
        <w:suppressLineNumbers w:val="0"/>
        <w:jc w:val="left"/>
      </w:pPr>
      <w:r>
        <w:rPr>
          <w:rFonts w:ascii="宋体" w:hAnsi="宋体" w:eastAsia="宋体" w:cs="宋体"/>
          <w:sz w:val="24"/>
          <w:szCs w:val="24"/>
        </w:rPr>
        <w:t xml:space="preserve">Hover over Fact for quick information. </w:t>
      </w:r>
      <w:r>
        <w:rPr>
          <w:rFonts w:ascii="宋体" w:hAnsi="宋体" w:eastAsia="宋体" w:cs="宋体"/>
          <w:sz w:val="24"/>
          <w:szCs w:val="24"/>
        </w:rPr>
        <mc:AlternateContent>
          <mc:Choice Requires="wps">
            <w:drawing>
              <wp:inline distT="0" distB="0" distL="114300" distR="11430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w:t>
      </w:r>
    </w:p>
    <w:p>
      <w:pPr>
        <w:keepNext w:val="0"/>
        <w:keepLines w:val="0"/>
        <w:widowControl/>
        <w:suppressLineNumbers w:val="0"/>
        <w:jc w:val="left"/>
      </w:pPr>
      <w:r>
        <w:rPr>
          <w:rFonts w:ascii="宋体" w:hAnsi="宋体" w:eastAsia="宋体" w:cs="宋体"/>
          <w:sz w:val="24"/>
          <w:szCs w:val="24"/>
        </w:rPr>
        <w:t xml:space="preserve">Auto Scrolling Position </w:t>
      </w:r>
      <w:r>
        <w:rPr>
          <w:rFonts w:ascii="宋体" w:hAnsi="宋体" w:eastAsia="宋体" w:cs="宋体"/>
          <w:sz w:val="24"/>
          <w:szCs w:val="24"/>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r>
        <w:rPr>
          <w:rFonts w:ascii="宋体" w:hAnsi="宋体" w:eastAsia="宋体" w:cs="宋体"/>
          <w:sz w:val="24"/>
          <w:szCs w:val="24"/>
        </w:rPr>
        <w:t xml:space="preserve"> Selecting a fact from the Sections Menu or the Fact Menu will automatically scroll that element to the (Top, or Middle) of the viewer window. This setting will have no use on IE 10, or Safari. </w:t>
      </w:r>
    </w:p>
    <w:p>
      <w:pPr>
        <w:keepNext w:val="0"/>
        <w:keepLines w:val="0"/>
        <w:widowControl/>
        <w:suppressLineNumbers w:val="0"/>
      </w:pPr>
      <w:r>
        <w:pict>
          <v:rect id="_x0000_i1105"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Tagged Data </w:t>
      </w:r>
    </w:p>
    <w:p>
      <w:pPr>
        <w:keepNext w:val="0"/>
        <w:keepLines w:val="0"/>
        <w:widowControl/>
        <w:suppressLineNumbers w:val="0"/>
        <w:jc w:val="left"/>
      </w:pPr>
      <w:r>
        <w:rPr>
          <w:rFonts w:ascii="monospace" w:hAnsi="monospace" w:eastAsia="monospace" w:cs="monospace"/>
          <w:sz w:val="24"/>
          <w:szCs w:val="24"/>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07"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Search Results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09"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Selected Fact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keepNext w:val="0"/>
        <w:keepLines w:val="0"/>
        <w:widowControl/>
        <w:suppressLineNumbers w:val="0"/>
      </w:pPr>
      <w:r>
        <w:pict>
          <v:rect id="_x0000_i1111" o:spt="1" style="height:1.5pt;width:415.3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sz w:val="24"/>
          <w:szCs w:val="24"/>
        </w:rPr>
        <w:t xml:space="preserve">Tag Shading (hover) </w:t>
      </w:r>
    </w:p>
    <w:p>
      <w:pPr>
        <w:keepNext w:val="0"/>
        <w:keepLines w:val="0"/>
        <w:widowControl/>
        <w:suppressLineNumbers w:val="0"/>
        <w:jc w:val="left"/>
      </w:pPr>
      <w:r>
        <w:rPr>
          <w:rFonts w:hint="default" w:ascii="monospace" w:hAnsi="monospace" w:eastAsia="monospace" w:cs="monospace"/>
          <w:sz w:val="24"/>
          <w:szCs w:val="24"/>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p>
    <w:p>
      <w:pPr>
        <w:keepNext w:val="0"/>
        <w:keepLines w:val="0"/>
        <w:widowControl/>
        <w:suppressLineNumbers w:val="0"/>
        <w:jc w:val="left"/>
      </w:pPr>
      <w:r>
        <w:rPr>
          <w:rFonts w:ascii="宋体" w:hAnsi="宋体" w:eastAsia="宋体" w:cs="宋体"/>
          <w:sz w:val="24"/>
          <w:szCs w:val="24"/>
        </w:rPr>
        <w:t>Save</w:t>
      </w:r>
    </w:p>
    <w:p>
      <w:pPr>
        <w:keepNext w:val="0"/>
        <w:keepLines w:val="0"/>
        <w:widowControl/>
        <w:suppressLineNumbers w:val="0"/>
        <w:jc w:val="left"/>
      </w:pPr>
      <w:r>
        <w:rPr>
          <w:rFonts w:ascii="宋体" w:hAnsi="宋体" w:eastAsia="宋体" w:cs="宋体"/>
          <w:sz w:val="24"/>
          <w:szCs w:val="24"/>
        </w:rPr>
        <w:t>Reset</w:t>
      </w:r>
    </w:p>
    <w:p>
      <w:pPr>
        <w:pStyle w:val="10"/>
      </w:pPr>
      <w:r>
        <w:t>窗体底端</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pPr>
        <w:pStyle w:val="4"/>
        <w:keepNext w:val="0"/>
        <w:keepLines w:val="0"/>
        <w:widowControl/>
        <w:suppressLineNumbers w:val="0"/>
        <w:spacing w:before="0" w:beforeAutospacing="1" w:after="0" w:afterAutospacing="1"/>
        <w:ind w:left="0" w:right="0"/>
      </w:pPr>
      <w:r>
        <w:t xml:space="preserve">Nested Facts / </w:t>
      </w:r>
    </w:p>
    <w:p>
      <w:pPr>
        <w:keepNext w:val="0"/>
        <w:keepLines w:val="0"/>
        <w:widowControl/>
        <w:suppressLineNumbers w:val="0"/>
        <w:jc w:val="left"/>
      </w:pPr>
      <w:r>
        <w:rPr>
          <w:rFonts w:ascii="宋体" w:hAnsi="宋体" w:eastAsia="宋体" w:cs="宋体"/>
          <w:sz w:val="24"/>
          <w:szCs w:val="24"/>
        </w:rPr>
        <w:t xml:space="preserve">Previous Next </w:t>
      </w:r>
    </w:p>
    <w:p>
      <w:pPr>
        <w:keepNext w:val="0"/>
        <w:keepLines w:val="0"/>
        <w:widowControl/>
        <w:suppressLineNumbers w:val="0"/>
        <w:jc w:val="left"/>
      </w:pPr>
      <w:r>
        <w:rPr>
          <w:rFonts w:ascii="宋体" w:hAnsi="宋体" w:eastAsia="宋体" w:cs="宋体"/>
          <w:sz w:val="24"/>
          <w:szCs w:val="24"/>
        </w:rPr>
        <w:t xml:space="preserve">Copy and Paste Below Content. </w:t>
      </w:r>
      <w:r>
        <w:rPr>
          <w:rFonts w:ascii="宋体" w:hAnsi="宋体" w:eastAsia="宋体" w:cs="宋体"/>
          <w:sz w:val="24"/>
          <w:szCs w:val="24"/>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rPr>
          <w:vanish/>
          <w:sz w:val="24"/>
          <w:szCs w:val="24"/>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rPr>
          <w:tblCellSpacing w:w="15" w:type="dxa"/>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sz w:val="24"/>
          <w:szCs w:val="24"/>
        </w:rPr>
        <w:t xml:space="preserve">Previous Next </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monospac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DDE59"/>
    <w:rsid w:val="FFDDD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customStyle="1" w:styleId="9">
    <w:name w:val="_Style 4"/>
    <w:basedOn w:val="1"/>
    <w:next w:val="1"/>
    <w:uiPriority w:val="0"/>
    <w:pPr>
      <w:pBdr>
        <w:bottom w:val="single" w:color="auto" w:sz="6" w:space="1"/>
      </w:pBdr>
      <w:jc w:val="center"/>
    </w:pPr>
    <w:rPr>
      <w:rFonts w:ascii="Arial" w:eastAsia="宋体"/>
      <w:vanish/>
      <w:sz w:val="16"/>
    </w:rPr>
  </w:style>
  <w:style w:type="paragraph" w:customStyle="1" w:styleId="10">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2023-02-11T00:18:00Z</dcterms:created>
  <dc:creator>徐馨润</dc:creator>
  <cp:lastModifiedBy>徐馨润</cp:lastModifiedBy>
  <dcterms:modified xsi:type="dcterms:W3CDTF">2023-02-11T00:19:07Z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D0E6E410DF95D9994B6EE663B4A903B7</vt:lpwstr>
  </property>
</Properties>
</file>