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bookmarkStart w:id="0" w:name="_GoBack"/>
            <w:bookmarkEnd w:id="0"/>
          </w:p>
        </w:tc>
        <w:tc>
          <w:tcPr>
            <w:tcW w:w="494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6"/>
          <w:szCs w:val="36"/>
        </w:rPr>
        <w:t>UNITED STATES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6"/>
          <w:szCs w:val="36"/>
        </w:rPr>
        <w:t>SECURITIES AND EXCHANGE COMMISSION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4"/>
          <w:szCs w:val="24"/>
        </w:rPr>
        <w:t>Washington, D.C. 20549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36"/>
          <w:szCs w:val="36"/>
        </w:rPr>
        <w:t xml:space="preserve">FORM 10-Q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____________________________________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(Mark One)</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5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4"/>
                <w:szCs w:val="24"/>
              </w:rPr>
              <w:t>QUARTERLY REPORT PURSUANT TO SECTION 13 OR 15(d) OF THE SECURITIES EXCHANGE ACT OF 1934</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For the quarterly period ended September 30, 2021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or</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5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4"/>
                <w:szCs w:val="24"/>
              </w:rPr>
              <w:t>TRANSITION REPORT PURSUANT TO SECTION 13 OR 15(d) OF THE SECURITIES EXCHANGE ACT OF 1934</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For the transition period from            to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Commission File No. 000-22513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48"/>
          <w:szCs w:val="48"/>
        </w:rPr>
        <w:t xml:space="preserve">AMAZON.COM, INC.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(Exact name of registrant as specified in its charter)</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____________________________________</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3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(State or other jurisdiction of</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(I.R.S. Employer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Identification No.)</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8"/>
          <w:szCs w:val="18"/>
        </w:rPr>
        <w:t xml:space="preserve">410 Terry Avenue North, Seattle, Washington 98109-5210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8"/>
          <w:szCs w:val="18"/>
        </w:rPr>
        <w:t xml:space="preserve">(206) 266-1000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(Address and telephone number, including area code, of registrant’s principal executive offices)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6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94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Nasdaq Global Select Market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____________________________________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8"/>
          <w:szCs w:val="18"/>
        </w:rPr>
        <w:t>☒</w:t>
      </w:r>
      <w:r>
        <w:rPr>
          <w:rFonts w:hint="default" w:ascii="Times New Roman" w:hAnsi="Times New Roman" w:eastAsia="initial ! important"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8"/>
          <w:szCs w:val="18"/>
        </w:rPr>
        <w:t>☒</w:t>
      </w:r>
      <w:r>
        <w:rPr>
          <w:rFonts w:hint="default" w:ascii="Times New Roman" w:hAnsi="Times New Roman" w:eastAsia="initial ! important" w:cs="Times New Roman"/>
          <w:color w:val="000000"/>
          <w:sz w:val="18"/>
          <w:szCs w:val="18"/>
        </w:rPr>
        <w:t>    No </w:t>
      </w:r>
      <w:r>
        <w:rPr>
          <w:rFonts w:hint="eastAsia" w:ascii="Arial Unicode MS" w:hAnsi="Arial Unicode MS" w:eastAsia="Arial Unicode MS" w:cs="Arial Unicode MS"/>
          <w:color w:val="000000"/>
          <w:sz w:val="18"/>
          <w:szCs w:val="18"/>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515"/>
        <w:gridCol w:w="36"/>
        <w:gridCol w:w="36"/>
        <w:gridCol w:w="36"/>
        <w:gridCol w:w="36"/>
        <w:gridCol w:w="36"/>
        <w:gridCol w:w="3657"/>
        <w:gridCol w:w="36"/>
        <w:gridCol w:w="81"/>
        <w:gridCol w:w="1921"/>
        <w:gridCol w:w="36"/>
        <w:gridCol w:w="36"/>
        <w:gridCol w:w="36"/>
        <w:gridCol w:w="36"/>
        <w:gridCol w:w="36"/>
        <w:gridCol w:w="174"/>
        <w:gridCol w:w="36"/>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0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1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3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initial ! important"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xml:space="preserve">507,147,620 shares of common stock, par value $0.01 per share, outstanding as of October 20, 2021 </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FORM 10-Q</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For the Quarterly Period Ended September 30,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INDEX</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9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"i938dbbcfcf0645268507d22b13fb8f8e_13"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Financial Statements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"i938dbbcfcf0645268507d22b13fb8f8e_13"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Consolidated Statements of Cash Flows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"i938dbbcfcf0645268507d22b13fb8f8e_19"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Consolidated Statements of Operations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"i938dbbcfcf0645268507d22b13fb8f8e_19"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"i938dbbcfcf0645268507d22b13fb8f8e_22"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Consolidated Statements of Comprehensive Income</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"i938dbbcfcf0645268507d22b13fb8f8e_22"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5</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"i938dbbcfcf0645268507d22b13fb8f8e_28"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Consolidated Balance Sheets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"i938dbbcfcf0645268507d22b13fb8f8e_28"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6</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"i938dbbcfcf0645268507d22b13fb8f8e_31"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Notes to Consolidated Financial Statements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"i938dbbcfcf0645268507d22b13fb8f8e_31"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7</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"i938dbbcfcf0645268507d22b13fb8f8e_76"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Management’s Discussion and Analysis of Financial Condition and Results of Operations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"i938dbbcfcf0645268507d22b13fb8f8e_76"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19</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"i938dbbcfcf0645268507d22b13fb8f8e_94"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Quantitative and Qualitative Disclosures About Market Risk</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"i938dbbcfcf0645268507d22b13fb8f8e_94"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31</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"i938dbbcfcf0645268507d22b13fb8f8e_97"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Controls and Procedures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"i938dbbcfcf0645268507d22b13fb8f8e_97"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32</w:t>
            </w:r>
            <w:r>
              <w:rPr>
                <w:rFonts w:hint="default" w:ascii="Times New Roman" w:hAnsi="Times New Roman" w:eastAsia="Helvetica Neue"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"i938dbbcfcf0645268507d22b13fb8f8e_103"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Legal Proceedings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"i938dbbcfcf0645268507d22b13fb8f8e_103"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Risk Factors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"i938dbbcfcf0645268507d22b13fb8f8e_106"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33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"i938dbbcfcf0645268507d22b13fb8f8e_109"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Unregistered Sales of Equity Securities and Use of Proceeds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"i938dbbcfcf0645268507d22b13fb8f8e_109"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"i938dbbcfcf0645268507d22b13fb8f8e_112"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Defaults Upon Senior Securities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"i938dbbcfcf0645268507d22b13fb8f8e_112"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"i938dbbcfcf0645268507d22b13fb8f8e_115"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Mine Safety Disclosures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"i938dbbcfcf0645268507d22b13fb8f8e_115"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"i938dbbcfcf0645268507d22b13fb8f8e_118"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Other Information</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"i938dbbcfcf0645268507d22b13fb8f8e_118"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43</w:t>
            </w:r>
            <w:r>
              <w:rPr>
                <w:rFonts w:hint="default" w:ascii="Times New Roman" w:hAnsi="Times New Roman" w:eastAsia="Helvetica Neue"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"i938dbbcfcf0645268507d22b13fb8f8e_121"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Exhibits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"i938dbbcfcf0645268507d22b13fb8f8e_121"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44</w:t>
            </w:r>
            <w:r>
              <w:rPr>
                <w:rFonts w:hint="default" w:ascii="Times New Roman" w:hAnsi="Times New Roman" w:eastAsia="Helvetica Neue"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"i938dbbcfcf0645268507d22b13fb8f8e_124"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Signatures</w:t>
            </w:r>
            <w:r>
              <w:rPr>
                <w:rFonts w:hint="default" w:ascii="Times New Roman" w:hAnsi="Times New Roman" w:eastAsia="Helvetica Neue"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"https://www.sec.gov/ix?doc=/Archives/edgar/data/0001018724/000101872421000028/amzn-20210930.htm" \l "i938dbbcfcf0645268507d22b13fb8f8e_124"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45</w:t>
            </w:r>
            <w:r>
              <w:rPr>
                <w:rFonts w:hint="default" w:ascii="Times New Roman" w:hAnsi="Times New Roman" w:eastAsia="Helvetica Neue" w:cs="Times New Roman"/>
                <w:color w:val="0000FF"/>
                <w:sz w:val="20"/>
                <w:szCs w:val="20"/>
                <w:u w:val="single"/>
              </w:rPr>
              <w:fldChar w:fldCharType="end"/>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PART I. FINANCIAL INFORMATION</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Financial Statements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(in millions)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17"/>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7"/>
        <w:gridCol w:w="37"/>
        <w:gridCol w:w="101"/>
        <w:gridCol w:w="481"/>
        <w:gridCol w:w="37"/>
        <w:gridCol w:w="37"/>
        <w:gridCol w:w="37"/>
        <w:gridCol w:w="37"/>
        <w:gridCol w:w="101"/>
        <w:gridCol w:w="481"/>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5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37,842 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40,667 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23,554 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30,202 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6,331 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3,156 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14,109 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19,041 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17,377 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26,263 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6,523 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8,948 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17,633 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24,494 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23,803 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32,112 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2,288 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3,180 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6,646 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9,077 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8,486 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11,639 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(415)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(1,051)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340 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(2,374)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(1,749)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(3,701)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1,082 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3,313 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1,677 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(3,899)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(7,059)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(3,178)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(7,572)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(4,694)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(7,242)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(2,016)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(4,890)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(3,608)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(11,607)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(7,515)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(16,168)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3,658 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3,832 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4,231 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(4,387)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14,914 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8,863 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(310)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(1,465)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(1,375)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(7,210)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1,520 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11,964 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7,313 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35,633 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24,241 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55,292 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54,671 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(11,063)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(15,748)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(25,317)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(42,118)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(30,629)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(56,941)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997 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3,467 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3,192 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4,838 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4,822 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(1,735)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(654)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(1,945)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(1,604)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(2,722)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(1,985)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13,135 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15,808 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32,899 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46,847 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40,525 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64,185 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(17,468)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(15,231)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(51,678)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(51,891)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(58,122)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(72,692)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(15,876)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(14,828)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(42,574)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(45,574)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1,311 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2,187 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4,361 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5,289 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7,724 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(1,349)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(1,917)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(3,886)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(5,094)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(4,701)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(7,385)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9,994 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18,803 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10,412 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19,334 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(1,198)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(1,439)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(589)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(2,490)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(703)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(2,857)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(2,693)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(8,274)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(8,903)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(11,054)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(11,271)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(4,105)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(2,776)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9,391 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(2,859)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7,575 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377 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(258)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325 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340 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(7,640)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(10,490)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(6,208)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(12,200)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6,648 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30,177 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30,177 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30,202 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30,177 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 except per share data)</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(unaudited)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52,774 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54,876 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144,859 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170,371 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43,371 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55,936 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115,650 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162,039 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57,106 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154,023 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189,509 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14,705 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18,498 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40,043 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52,666 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10,976 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14,380 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30,691 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40,739 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5,434 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21,741 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1,668 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89,951 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105,960 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244,483 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310,991 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6,194 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21,419 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1,798 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16,413 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23,217 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(2,298)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(4,179)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3,156 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28.24 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37.69 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12.37 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27.72 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37.02 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512 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515 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509 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514 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STATEMENTS OF COMPREHENSIVE INCOME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(unaudited)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4091"/>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3,156 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currency translation adjustments, net of tax of $(15), $39, $(2) and $35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Unrealized gains (losses), net of tax of $(10), $3, $(73) and $31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Reclassification adjustment for losses (gains) included in “Other income (expense), net,” net of tax of $5, $5, $7 and $13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35"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95"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Comprehensive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6,757 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14,066 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18,146 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CONSOLIDATED BALANCE SHEETS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(in millions, except per share data)</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4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29,944 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42,274 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49,044 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23,795 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30,933 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28,610 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132,733 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138,531 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113,114 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147,152 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37,553 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52,151 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15,017 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15,345 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29,227 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321,195 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382,406 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72,539 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71,474 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44,138 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41,546 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10,974 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126,385 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123,994 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63,848 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31,816 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50,055 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17,017 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23,945 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Issued shares — 527 and 530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shares — 503 and 507</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42,865 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51,879 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52,551 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71,592 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120,564 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321,195 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382,406 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accompanying 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AMAZON.COM, INC.</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NOTES TO CONSOLIDATED FINANCIAL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(unaudited)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1 — ACCOUNTING POLICIES AND SUPPLEMENTAL DISCLOSURES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Unaudited Interim Financial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2021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2020 Annual Report on Form 10-K.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Principles of Consolidation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Use of Estimates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Actual results could differ materially from these estimates.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Supplemental Cash Flow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shows supplemental cash flow information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511"/>
        <w:gridCol w:w="36"/>
        <w:gridCol w:w="100"/>
        <w:gridCol w:w="595"/>
        <w:gridCol w:w="36"/>
        <w:gridCol w:w="36"/>
        <w:gridCol w:w="36"/>
        <w:gridCol w:w="36"/>
        <w:gridCol w:w="100"/>
        <w:gridCol w:w="558"/>
        <w:gridCol w:w="36"/>
        <w:gridCol w:w="36"/>
        <w:gridCol w:w="36"/>
        <w:gridCol w:w="36"/>
        <w:gridCol w:w="100"/>
        <w:gridCol w:w="558"/>
        <w:gridCol w:w="36"/>
        <w:gridCol w:w="36"/>
        <w:gridCol w:w="36"/>
        <w:gridCol w:w="36"/>
        <w:gridCol w:w="100"/>
        <w:gridCol w:w="558"/>
        <w:gridCol w:w="36"/>
        <w:gridCol w:w="36"/>
        <w:gridCol w:w="36"/>
        <w:gridCol w:w="36"/>
        <w:gridCol w:w="100"/>
        <w:gridCol w:w="558"/>
        <w:gridCol w:w="37"/>
        <w:gridCol w:w="37"/>
        <w:gridCol w:w="37"/>
        <w:gridCol w:w="37"/>
        <w:gridCol w:w="101"/>
        <w:gridCol w:w="56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13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285 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276 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715 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731 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869 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933 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1,159 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1,812 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3,275 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5,029 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4,215 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6,230 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155 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484 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407 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650 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535 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90 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502 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750 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1,293 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3,354 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1,481 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3,774 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6,115 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10,447 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11,870 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19,561 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14,346 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23,908 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Property and equipment acquired under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3,571 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1,744 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8,892 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5,453 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13,075 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8,149 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Property and equipment acquired under build-to-suit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1,721 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1,228 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3,702 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1,480 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4,742 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270"/>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Earnings Per Share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shows the calculation of diluted shares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4568"/>
        <w:gridCol w:w="36"/>
        <w:gridCol w:w="59"/>
        <w:gridCol w:w="749"/>
        <w:gridCol w:w="36"/>
        <w:gridCol w:w="36"/>
        <w:gridCol w:w="36"/>
        <w:gridCol w:w="36"/>
        <w:gridCol w:w="42"/>
        <w:gridCol w:w="749"/>
        <w:gridCol w:w="36"/>
        <w:gridCol w:w="36"/>
        <w:gridCol w:w="36"/>
        <w:gridCol w:w="37"/>
        <w:gridCol w:w="43"/>
        <w:gridCol w:w="763"/>
        <w:gridCol w:w="37"/>
        <w:gridCol w:w="37"/>
        <w:gridCol w:w="37"/>
        <w:gridCol w:w="37"/>
        <w:gridCol w:w="43"/>
        <w:gridCol w:w="75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5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income (expense), net,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085"/>
        <w:gridCol w:w="36"/>
        <w:gridCol w:w="120"/>
        <w:gridCol w:w="588"/>
        <w:gridCol w:w="36"/>
        <w:gridCol w:w="36"/>
        <w:gridCol w:w="36"/>
        <w:gridCol w:w="36"/>
        <w:gridCol w:w="120"/>
        <w:gridCol w:w="544"/>
        <w:gridCol w:w="36"/>
        <w:gridCol w:w="36"/>
        <w:gridCol w:w="37"/>
        <w:gridCol w:w="37"/>
        <w:gridCol w:w="121"/>
        <w:gridCol w:w="545"/>
        <w:gridCol w:w="37"/>
        <w:gridCol w:w="37"/>
        <w:gridCol w:w="37"/>
        <w:gridCol w:w="37"/>
        <w:gridCol w:w="121"/>
        <w:gridCol w:w="54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08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925 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(163)</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Inventories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$2.3 billion and $2.4 billion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Accounts Receivable, Net and Other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Included in “Accounts receivable, net and other” on our consolidated balance sheets are amounts primarily related to customers, vendors, and sellers. As of December 31, 2020 and September 30, 2021, customer receivables, net, were $14.8 billion and $17.7 billion, vendor receivables, net, were $4.8 billion and $4.0 billion, and seller receivables, net, were $381 million and $858 million. Seller receivables are amounts due from sellers related to our seller lending program, which provides funding to sellers primarily to procure inventory.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estimate losses on receivables based on expected losses, including our historical experience of actual losses. The allowance for doubtful accounts was $1.1 billion and $951 million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Digital Video and Music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line="20" w:lineRule="atLeast"/>
        <w:ind w:left="0" w:firstLine="54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total capitalized costs of video, which is primarily released content, and music as of December 31, 2020 and September 30, 2021 were $6.8 billion and $10.1 billion. Total video and music expense was $2.8 billion and $3.3 billion in Q3 2020 and Q3 2021, and $8.0 billion and $9.4 billion for the nine months ended September 30,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 xml:space="preserve">Unearned Revenue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2020 was $11.6 billion, of which $8.4 billion was recognized as revenue during the nine months ended September 30, 2021. Included in “Other long-term liabilities” on our consolidated balance sheets was $1.9 billion and $2.0 billion of unearned revenue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$66.3 billion as of September 30, 2021. The weighted-average remaining life of our long-term contracts is 3.7 years. However, the amount and timing of revenue recognition is largely driven by customer usage, which can extend beyond the original contractual term.</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2 — FINANCIAL INSTRUMENTS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Cash, Cash Equivalents, Restricted Cash, and Marketable Securities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December 31, 2020 and September 30, 2021,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Level 1</w:t>
      </w:r>
      <w:r>
        <w:rPr>
          <w:rFonts w:hint="default" w:ascii="Times New Roman" w:hAnsi="Times New Roman" w:eastAsia="initial ! important" w:cs="Times New Roman"/>
          <w:color w:val="000000"/>
          <w:sz w:val="20"/>
          <w:szCs w:val="20"/>
        </w:rPr>
        <w:t>—Valuations based on quoted prices for identical assets and liabilities in active markets.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Level 2</w:t>
      </w:r>
      <w:r>
        <w:rPr>
          <w:rFonts w:hint="default" w:ascii="Times New Roman" w:hAnsi="Times New Roman" w:eastAsia="initial ! important"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Level 3</w:t>
      </w:r>
      <w:r>
        <w:rPr>
          <w:rFonts w:hint="default" w:ascii="Times New Roman" w:hAnsi="Times New Roman" w:eastAsia="initial ! important"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87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4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Cost or</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Amortized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Gross</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Unrealized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5,131 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5,385 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5,393 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29,988 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36,775 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36,910 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5,936 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 securities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84,653 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77,071 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79,224 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(236)</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84,396 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78,988 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(1)The related unrealized gain (loss) recorded in “Other income (expense), net” was $150 million and $(116) million in Q3 2020 and Q3 2021, and $351 million and $6 million for the nine months ended September 30,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(2)We are required to pledge or otherwise restrict a portion of our cash, cash equivalents, and marketable securities primarily as collateral for real estate,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the remaining contractual maturities of our cash equivalents and marketable fixed income securities as of September 30, 2021 (in millions):</w:t>
      </w:r>
    </w:p>
    <w:tbl>
      <w:tblPr>
        <w:tblStyle w:val="5"/>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Amortized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Estimated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38,628 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22,603 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22,735 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3,958 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3,970 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66,988 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67,147 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Actual maturities may differ from the contractual maturities because borrowers may have certain prepayment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Equity Warrants and Non-Marketable Equity Investments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hold equity warrants giving us the right to acquire stock of other companies. As of December 31, 2020 and September 30, 2021, these warrants had a fair value of $3.0 billion and $3.4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of December 31, 2020 and September 30, 2021, equity investments not accounted for under the equity-method and without readily determinable fair values, including preferred stock of Rivian Automotive, Inc. representing an approximately 20% ownership interest, had a carrying value of $2.7 billion and $3.8 billion, and are recorded within “Other assets” on our consolidated balance sheets with adjustments recognized in “Other income (expense), net” on our consolidated statements of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Consolidated Statements of Cash Flows Reconciliation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5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6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29,944 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30,177 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3 — 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$68.1 billion and $71.3 billion as of December 31, 2020 and September 30, 2021. Accumulated amortization associated with finance leases was $36.5 billion and $41.7 billion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Lease cost recognized in our consolidated statements of operations is summarized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
        <w:gridCol w:w="3125"/>
        <w:gridCol w:w="36"/>
        <w:gridCol w:w="120"/>
        <w:gridCol w:w="1068"/>
        <w:gridCol w:w="36"/>
        <w:gridCol w:w="36"/>
        <w:gridCol w:w="36"/>
        <w:gridCol w:w="36"/>
        <w:gridCol w:w="120"/>
        <w:gridCol w:w="1017"/>
        <w:gridCol w:w="36"/>
        <w:gridCol w:w="37"/>
        <w:gridCol w:w="37"/>
        <w:gridCol w:w="37"/>
        <w:gridCol w:w="121"/>
        <w:gridCol w:w="1069"/>
        <w:gridCol w:w="37"/>
        <w:gridCol w:w="37"/>
        <w:gridCol w:w="37"/>
        <w:gridCol w:w="37"/>
        <w:gridCol w:w="121"/>
        <w:gridCol w:w="102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1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 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2,497 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6,123 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372 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866 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1,135 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3,996 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4,894 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14,071 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information about lease amounts recognized in our consolidated financial statements is as follows:</w:t>
      </w:r>
    </w:p>
    <w:tbl>
      <w:tblPr>
        <w:tblStyle w:val="5"/>
        <w:tblW w:w="4985"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53"/>
        <w:gridCol w:w="975"/>
        <w:gridCol w:w="188"/>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4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 years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11.3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years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lease liabilities were as follows (in millions):</w:t>
      </w:r>
    </w:p>
    <w:tbl>
      <w:tblPr>
        <w:tblStyle w:val="5"/>
        <w:tblW w:w="497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7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44,833 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30,437 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75,270 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(5,734)</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(2,003)</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(7,737)</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39,099 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67,533 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(4,586)</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(10,374)</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(14,960)</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18,060 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1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61,591 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88,209 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(7,637)</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(2,099)</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(9,736)</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53,954 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24,519 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78,473 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(5,913)</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(8,712)</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(14,625)</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48,041 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15,807 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63,848 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4 — COMMITMENTS AND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Commitments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summarizes our principal contractual commitments, excluding open orders for purchases that support normal operations and are generally cancellable, as of September 30, 2021 (in millions):</w:t>
      </w:r>
      <w:r>
        <w:rPr>
          <w:rFonts w:hint="default" w:ascii="Times New Roman" w:hAnsi="Times New Roman" w:eastAsia="initial ! important" w:cs="Times New Roman"/>
          <w:color w:val="000000"/>
          <w:sz w:val="18"/>
          <w:szCs w:val="18"/>
        </w:rPr>
        <w:t> </w:t>
      </w:r>
    </w:p>
    <w:tbl>
      <w:tblPr>
        <w:tblStyle w:val="5"/>
        <w:tblW w:w="4971"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05"/>
        <w:gridCol w:w="36"/>
        <w:gridCol w:w="120"/>
        <w:gridCol w:w="658"/>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8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8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2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2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2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0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6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56,612 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75,952 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1,761 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7,026 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6,608 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6,074 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5,576 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34,546 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61,591 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2,087 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8,331 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2,105 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26,618 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23,973 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31,755 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5,819 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5,525 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4,188 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13,626 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34,590 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1,785 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11,629 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7,838 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29,124 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25,190 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23,857 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17,806 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155,086 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258,901 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(1)Includes non-cancellable financing obligations for fulfillment, sortation, and data center facilities. Excluding interest, current financing obligations of $111 million and $185 million are recorded within “Accrued expenses and other” and $3.4 billion and $5.8 billion are recorded within “Other long-term liabilities” as of December 31, 2020 and September 30, 2021. The weighted-average remaining term of the financing obligations was 19.0 and 19.1 years and the weighted-average imputed interest rate was 3.8% and 3.4%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(4)Excludes approximately $2.9 billion of accrued tax contingencies for which we cannot make a reasonably reliable estimate of the amount and period of payment, if 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in May 2021, we entered into an agreement to acquire MGM Holdings Inc. (“MGM”) for approximately $8.5 billion, including MGM’s debt, subject to customary closing conditions. We expect to fund this acquisition with cash on hand.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Other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disputing claims and denials of refunds or credits related to various indirect taxes (such as sales, value added, consumption, service, and similar taxes), including in jurisdictions in which we already collect and remit these taxes. If the relevant taxing authorities were to prevail, we could be subject to significant additional tax costs.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Legal Proceedings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2020 Annual Report on Form 10-K and in Item 1 of Part I, “Financial Statements — Note 4 — Commitments and Contingencies — Legal Proceedings” of our Quarterly Report on Form 10-Q for the period ended June 30, 2021, as supplemented by the following:</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Following an investigation that included an initial Statement of Objections, in September 2021 the Italian Competition Authority issued a subsequent Statement of Objections against Amazon Services Europe S.à r.l., Amazon Europe Core S.à r.l., Amazon EU S.à r.l., Amazon Italia Services S.r.l., and Amazon Italia Logistica S.r.l. alleging that certain of our marketplace and logistics practices in Italy infringe EU competition rules. The subsequent Statement of Objections seeks to impose unspecified fines and remedial actions that could materially impact our operations in Italy. We disagree with the allegations and intend to defend ourselves vigorously in this matter.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also “Note 7 — 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Note 5 — DEBT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September 30, 2021, we had $50.7 billion of unsecured senior notes outstanding (the “Notes”). We issued $18.5 billion of Notes in May 2021, of which $1.0 billion was issued for green or social projects, such as projects related to clean transportation, renewable energy, sustainable buildings, affordable housing, or socioeconomic advancement and empowerment, and the remainder for general corporate purposes. We also had other long-term debt and borrowings under our credit facility of $924 million and $626 million as of December 31, 2020 and September 30, 2021. Our total long-term debt obligations are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5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2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9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3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1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3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September 30,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2021 - 2044</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3.30% - 4.95%</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3.43% - 5.11%</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Credit Facility</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long-term debt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face value of long-term debt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33,174 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51,376 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Unamortized discount and issuance costs, net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31,816 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50,055 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 The weighted-average remaining lives of the 2012, 2014, 2017, 2020, and 2021 Notes were 1.2, 11.1, 15.5, 18.0, and 14.6 years as of September 30, 2021. The combined weighted-average remaining life of the Notes was 14.8 years as of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$37.7 billion and $54.3 billion as of December 31, 2020 and September 30, 2021, which is based on quoted prices for our debt as of those dates.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 $740 million secured revolving credit facility with a lender that is secured by certain seller receivables, which we may from time to time increase in the future subject to lender approval (the “Credit Facility”). The Credit Facility is available until October 2022, bears interest at the London interbank offered rate (“LIBOR”) plus 1.40%, and has a commitment fee of 0.50% on the undrawn portion. There were $338 million and $626 million of borrowings outstanding under the Credit Facility as of December 31, 2020 and September 30, 2021, which had a weighted-average interest rate of 3.0% and 2.8%, respectively. As of December 31, 2020 and September 30, 2021, we have pledged $398 million and $719 million of our cash and seller receivables as collateral for debt related to our Credit Facility. The estimated fair value of the Credit Facility, which is based on Level 2 inputs, approximated its carrying value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U.S. Dollar and Euro commercial paper programs (the “Commercial Paper Programs”) under which we may from time to time issue unsecured commercial paper up to a total of $10.0 billion (including up to €3.0 billion) at the date of issue, with individual maturities that may vary but will not exceed 397 days from the date of issue. There were $725 million of borrowings outstanding under the Commercial Paper Programs as of December 31, 2020 and September 30, 2021, which were included in “Accrued expenses and other” on our consolidated balance sheets and had a weighted-average effective interest rate, including issuance costs, of 0.11% and 0.07%, respectively. We use the net proceeds from the issuance of commercial paper for general corporate purposes.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also have a $7.0 billion unsecured revolving credit facility with a syndicate of lenders with a term that extends to June 2023 (the “Credit Agreement”).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2020 and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also utilize other short-term credit facilities for working capital purposes. These amounts are included in “Accrued expenses and other” on our consolidated balance sheets. In addition, we had $6.9 billion of unused letters of credit as of September 30,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6 — STOCKHOLDERS’ EQUITY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 Repurchase Activity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In February 2016, the Board of Directors authorized a program to repurchase up to $5.0 billion of our common stock, with no fixed expiration. There were no repurchases of common stock during the nine months ended September 30, 2020 or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Stock Award Activity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Common shares outstanding plus shares underlying outstanding stock awards totaled 518 million and 523 million as of December 31, 2020 and September 30, 2021. These totals include all vested and unvested stock awards outstanding, including those awards we estimate will be forfeited. Stock-based compensation expense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082"/>
        <w:gridCol w:w="36"/>
        <w:gridCol w:w="120"/>
        <w:gridCol w:w="1088"/>
        <w:gridCol w:w="36"/>
        <w:gridCol w:w="36"/>
        <w:gridCol w:w="36"/>
        <w:gridCol w:w="36"/>
        <w:gridCol w:w="120"/>
        <w:gridCol w:w="1044"/>
        <w:gridCol w:w="36"/>
        <w:gridCol w:w="36"/>
        <w:gridCol w:w="37"/>
        <w:gridCol w:w="37"/>
        <w:gridCol w:w="121"/>
        <w:gridCol w:w="1045"/>
        <w:gridCol w:w="37"/>
        <w:gridCol w:w="37"/>
        <w:gridCol w:w="37"/>
        <w:gridCol w:w="37"/>
        <w:gridCol w:w="121"/>
        <w:gridCol w:w="104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882"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993 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1,381 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3,649 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4,742 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446 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657 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1,233 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1,804 </w:t>
            </w:r>
          </w:p>
        </w:tc>
        <w:tc>
          <w:tcPr>
            <w:tcW w:w="0" w:type="auto"/>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789 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2,288 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3,180 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6,646 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9,077 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summarizes our restricted stock unit activity for the nine months ended September 30, 2021 (in millions):</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48"/>
        <w:gridCol w:w="36"/>
        <w:gridCol w:w="80"/>
        <w:gridCol w:w="1099"/>
        <w:gridCol w:w="36"/>
        <w:gridCol w:w="36"/>
        <w:gridCol w:w="36"/>
        <w:gridCol w:w="36"/>
        <w:gridCol w:w="121"/>
        <w:gridCol w:w="1223"/>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68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Weighted-Average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Grant-Date</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3,334 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2,232 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Outstanding as of September 30, 2021</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Scheduled vesting for outstanding restricted stock units as of September 30, 2021, is as follows (in millions):</w:t>
      </w:r>
    </w:p>
    <w:tbl>
      <w:tblPr>
        <w:tblStyle w:val="5"/>
        <w:tblW w:w="4971"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90"/>
        <w:gridCol w:w="680"/>
        <w:gridCol w:w="37"/>
        <w:gridCol w:w="37"/>
        <w:gridCol w:w="37"/>
        <w:gridCol w:w="37"/>
        <w:gridCol w:w="50"/>
        <w:gridCol w:w="554"/>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70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3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0.3 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of September 30, 2021, there was $18.2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1.1 years. The estimated forfeiture rate as of December 31, 2020 and September 30, 2021 was 27%. Changes in our estimates and assumptions relating to forfeitures may cause us to realize material changes in stock-based compensation expense in the future.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Changes in Stockholders’ Equity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following table shows changes in stockholders’ equity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626"/>
        <w:gridCol w:w="36"/>
        <w:gridCol w:w="120"/>
        <w:gridCol w:w="679"/>
        <w:gridCol w:w="36"/>
        <w:gridCol w:w="36"/>
        <w:gridCol w:w="36"/>
        <w:gridCol w:w="36"/>
        <w:gridCol w:w="120"/>
        <w:gridCol w:w="700"/>
        <w:gridCol w:w="36"/>
        <w:gridCol w:w="36"/>
        <w:gridCol w:w="37"/>
        <w:gridCol w:w="37"/>
        <w:gridCol w:w="121"/>
        <w:gridCol w:w="601"/>
        <w:gridCol w:w="37"/>
        <w:gridCol w:w="37"/>
        <w:gridCol w:w="37"/>
        <w:gridCol w:w="37"/>
        <w:gridCol w:w="121"/>
        <w:gridCol w:w="701"/>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17"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4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73,728 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114,803 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Beginning and ending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Beginning and ending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38,017 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48,724 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33,658 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42,865 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2,290 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3,155 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40,307 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51,879 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40,307 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51,879 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(1,455)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(550)</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(1,075)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38,998 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68,436 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31,220 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hidden/>
        </w:trPr>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c>
          <w:tcPr>
            <w:tcW w:w="0" w:type="auto"/>
            <w:gridSpan w:val="3"/>
            <w:shd w:val="clear" w:color="auto" w:fill="auto"/>
            <w:vAlign w:val="bottom"/>
          </w:tcPr>
          <w:p>
            <w:pPr>
              <w:jc w:val="left"/>
              <w:rPr>
                <w:rFonts w:hint="default" w:ascii="Helvetica Neue" w:hAnsi="Helvetica Neue" w:eastAsia="Helvetica Neue" w:cs="Helvetica Neue"/>
                <w:vanish/>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6,331 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3,156 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14,109 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19,041 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Ending retained earnings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71,592 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45,329 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71,592 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82,775 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120,564 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82,775 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120,564 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Note 7 — 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and the effects of the COVID-19 pandemic on our business make estimates of future income more challenging. Since Q2 2017, we have recorded a valuation allowance against our net deferred tax assets in Luxembourg. There is still significant uncertainty whether our income in Luxembourg is sustainable in the future and we will maintain the valuation allowance until sufficient positive evidence exists to support a release of the valuation allowance.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2021, we estimate that our effective tax rate will be favorably affected by the impact of excess tax benefits from stock-based compensation and the U.S. federal research and development credit and adversely affected by state 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income tax provisions for the nine months ended September 30, 2020 and 2021 were $2.3 billion and $4.2 billion, which included $1.5 billion and $1.7 billion of net discrete tax benefits primarily attributable to excess tax benefits from stock-based compensation and audit-related developments.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paid for income taxes, net of refunds was $502 million and $750 million in Q3 2020 and Q3 2021, and $1.3 billion and $3.4 billion for the nine months ended September 30,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of December 31, 2020 and September 30, 2021, tax contingencies were approximately $2.8 billion and $2.9 billion. Changes in tax laws, regulations, administrative practices, principles, and interpretations may impact our tax contingencies.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under examination, or may be subject to examination, by the Internal Revenue Service for the calendar year 2013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 xml:space="preserve">Note 8 — SEGMENT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North America</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International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AWS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on reportable segments and reconciliation to consolidated net income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59,373 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65,557 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160,936 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197,473 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57,121 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64,677 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155,232 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189,996 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5,704 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25,171 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29,145 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66,945 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90,515 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24,764 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30,056 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66,590 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89,812 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16,110 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8,066 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11,227 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22,661 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31,183 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4,883 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9,967 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13,239 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96,145 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110,812 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260,509 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332,410 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89,951 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105,960 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244,483 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310,991 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6,194 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(537)</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(1,155)</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(2,298)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(4,179)</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6,331 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3,156 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14,109 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19,041 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by groups of similar products and services, which also have similar economic characteristics, is as follows (in millions):    </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4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2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48,350 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49,942 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130,899 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156,000 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3,788 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4,269 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12,201 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12,387 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20,436 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24,252 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53,121 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73,046 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8,148 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18,146 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23,645 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16,110 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5,398 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13,514 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22,910 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96,145 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110,812 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260,509 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332,410 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Management’s Discussion and Analysis of Financial Condition and Results of Operations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Forward-Looking Statements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additional information, see Item 7 of Part II, “Management’s Discussion and Analysis of Financial Condition and Results of Operations — Overview” of our 2020 Annual Report on Form 10-K.</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Critical Accounting Judgments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2020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Inventories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September 30, 2021, we would have recorded an additional cost of sales of approximately $350 million.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change due to economic, political, and other conditions, such as the COVID-19 pandemic, and significant judgment is required in determining our ability to use our deferred tax assets.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Liquidity and Capital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flow information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678"/>
        <w:gridCol w:w="36"/>
        <w:gridCol w:w="120"/>
        <w:gridCol w:w="720"/>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1"/>
        <w:gridCol w:w="68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64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11,964 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7,313 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35,633 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24,241 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55,292 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54,671 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(15,876)</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(14,828)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(42,574)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(45,574)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(46,110)</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(62,611)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(4,105)</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(2,776)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9,391 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(2,859)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7,575 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principal sources of liquidity are cash flows generated from operations and our cash, cash equivalents, and marketable securities balances, which, at fair value, were $84.4 billion and $79.0 billion as of December 31, 2020 and September 30, 2021. Amounts held in foreign currencies were $23.5 billion and $14.3 billion as of December 31, 2020 and September 30, 2021, and were primarily British Pounds, Japanese Yen, Canadian Dollars, and Euros.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provided by (used in) operating activities was $12.0 billion and $7.3 billion for Q3 2020 and Q3 2021, and $35.6 billion and $24.2 billion for the nine months ended September 30, 2020 and 2021.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decrease in operating cash flow for the trailing twelve months ended September 30, 2021, compared to the comparable prior year period, was primarily due to changes in working capital, partially offset by the increase</w:t>
      </w:r>
      <w:r>
        <w:rPr>
          <w:rFonts w:hint="default" w:ascii="Times New Roman" w:hAnsi="Times New Roman" w:eastAsia="initial ! important" w:cs="Times New Roman"/>
          <w:color w:val="000000"/>
          <w:sz w:val="20"/>
          <w:szCs w:val="20"/>
          <w:shd w:val="clear" w:fill="FFFFFF"/>
        </w:rPr>
        <w:t xml:space="preserve"> in net income, excluding non-cash expenses.</w:t>
      </w:r>
      <w:r>
        <w:rPr>
          <w:rFonts w:hint="default" w:ascii="Times New Roman" w:hAnsi="Times New Roman" w:eastAsia="initial ! important" w:cs="Times New Roman"/>
          <w:color w:val="000000"/>
          <w:sz w:val="20"/>
          <w:szCs w:val="20"/>
        </w:rPr>
        <w:t xml:space="preserve">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$(15.9) billion and $(14.8) billion for Q3 2020 and Q3 2021, and $(42.6) billion and $(45.6) billion for the nine months ended September 30, 2020 and 2021, with the variability caused primarily by our decision to purchase or lease property and equipment and purchases, sales, and maturities of marketable securities. Cash capital expenditures were $9.8 billion and $14.8 billion during Q3 2020 and Q3 2021, and $21.9 billion and $38.9 billion for the nine months ended September 30, 2020 and 2021,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$1.7 billion and $654 million during Q3 2020 and Q3 2021, and $1.9 billion and $1.6 billion for the nine months ended September 30, 2020 and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Cash provided by (used in) financing activities was $(4.1) billion and $(2.8) billion for Q3 2020 and Q3 2021, and $712 million and $9.4 billion for the nine months ended September 30, 2020 and 2021. Cash inflows from financing activities resulted from proceeds from short-term debt, and other and long-term debt of $1.3 billion and $2.4 billion for Q3 2020 and Q3 2021, and $14.4 billion and $24.1 billion for the nine months ended September 30, 2020 and 2021. Cash outflows from financing activities resulted from payments of short-term debt, and other, long-term debt, finance leases, and financing obligations of $5.4 billion and $5.1 billion in Q3 2020 and Q3 2021, and $13.6 billion and $14.7 billion for the nine months ended September 30, 2020 and 2021. Property and equipment acquired under finance leases was $3.6 billion and $1.7 billion during Q3 2020 and Q3 2021, and $8.9 billion and $5.5 billion for the nine months ended September 30, 2020 and 2021, reflecting investments in support of continued business growth primarily due to investments in technology infrastructure for AWS.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had no borrowings outstanding under the Credit Agreement, $725 million of borrowings outstanding under the Commercial Paper Programs, and $626 million of borrowings outstanding under our Credit Facility as of September 30, 2021. See Item 1 of Part I, “Financial Statements — Note 5 — Debt” for additional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Tax benefits relating to excess stock-based compensation deductions and accelerated depreciation deductions are reducing our U.S. taxable income. U.S. tax rules provide for enhanced accelerated depreciation deductions by allowing the election of full expensing of qualified property, primarily equipment, through 2022. Cash taxes paid (net of refunds) were $502 million and $750 million for Q3 2020 and Q3 2021, and $1.3 billion and $3.4 billion for the nine months ended September 30, 2020 and 2021.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which we deposited into escrow in March 2018, subject to adjustment pending conclusion of all appeals.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of December 31, 2020 and September 30, 2021, restricted cash, cash equivalents, and marketable securities were $257 million and $236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$43.3 billion as of September 30, 2021. These purchase obligations and open purchase orders are generally cancellable in full or in part through the contractual provisions.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We expect to fund the acquisition of MGM Holdings Inc. with cash on hand.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Overview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reflected in the discussion below, ongoing direct and indirect impacts of the COVID-19 pandemic and actions taken in response to them had varying effects on our Q3 2021 results of operations, although some effects, including customer demand, are mitigating or becoming more difficult to isolate or quantify. Moreover, it is not possible to determine the duration and scope of the pandemic, the scale and rate of economic recovery from the pandemic, any ongoing effects on consumer demand and spending patterns, supply chain disruptions, and labor availability and costs, or the impact of other indirect factors that may be attributable to the pandemic, and the extent to which these or other currently unanticipated consequences of the pandemic are reasonably likely to materially affect our results of operations. However, we expect our net sales growth rate to decelerate in Q4 2021 compared to the increases we experienced in 2020. In addition, these direct and indirect factors have made it difficult to isolate and quantify the portion of our costs that are a direct result of the pandemic and costs arising from factors that may have been influenced by the pandemic, including increased wage rates and incentives and fulfillment network inefficiencies resulting from constrained labor markets and global supply chain constraints. We expect these factors and their effects on our operations to continue into Q4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Net Sales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05"/>
        <w:gridCol w:w="36"/>
        <w:gridCol w:w="120"/>
        <w:gridCol w:w="6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59,373 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65,557 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160,936 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197,473 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25,171 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29,145 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66,945 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90,515 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11,601 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16,110 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32,628 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44,422 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Sales increased 15% in Q3 2021 and 28% for the nine months ended September 30, 2021 compared to the comparable prior year periods. Changes in foreign currency exchange rates impacted net sales by $513 million for Q3 2021 and by $5.1 billion for the nine months ended September 30, 2021. For a discussion of the effect of foreign exchange rates on sales growth, see “Effect of Foreign Exchange Rates” below.</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North America sales increased 10% in Q3 2021 and 23% for the nine months ended September 30, 2021 compared to the comparable prior year periods. The sales growth primarily reflects increased unit sales, including sales by third-party sellers, and advertising sales. Increased unit sales were driven </w:t>
      </w:r>
      <w:r>
        <w:rPr>
          <w:rFonts w:hint="default" w:ascii="Times New Roman" w:hAnsi="Times New Roman" w:eastAsia="initial ! important" w:cs="Times New Roman"/>
          <w:color w:val="000000"/>
          <w:sz w:val="20"/>
          <w:szCs w:val="20"/>
          <w:shd w:val="clear" w:fill="FFFFFF"/>
        </w:rPr>
        <w:t>largely by our continued efforts to reduce prices for our customers, including from our shipping offers, and increased demand, partially offset by fulfillment network inefficiencies and supply chain constraints. W</w:t>
      </w:r>
      <w:r>
        <w:rPr>
          <w:rFonts w:hint="default" w:ascii="Times New Roman" w:hAnsi="Times New Roman" w:eastAsia="initial ! important" w:cs="Times New Roman"/>
          <w:color w:val="000000"/>
          <w:sz w:val="20"/>
          <w:szCs w:val="20"/>
        </w:rPr>
        <w:t xml:space="preserve">e expect our North America sales growth rate to decelerate in Q4 2021 compared to the increases we experienced in 2020.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shd w:val="clear" w:fill="FFFFFF"/>
        </w:rPr>
        <w:t>International sales increased 16% in Q3 2021 and 35% for the nine months ended September 30, 2021 compared to the comparable prior year periods. The sales growth primarily reflects increased unit sales, including sales by third-party sellers, and advertising sales. Increased unit sales were driven largely by our continued efforts to reduce prices for our customers, including from our shipping offers, and increased demand, partially offset by fulfillment network inefficiencies and supply chain constraints. W</w:t>
      </w:r>
      <w:r>
        <w:rPr>
          <w:rFonts w:hint="default" w:ascii="Times New Roman" w:hAnsi="Times New Roman" w:eastAsia="initial ! important" w:cs="Times New Roman"/>
          <w:color w:val="000000"/>
          <w:sz w:val="20"/>
          <w:szCs w:val="20"/>
        </w:rPr>
        <w:t xml:space="preserve">e expect our International sales growth rate to decelerate in Q4 2021 compared to the increases we experienced in 2020. </w:t>
      </w:r>
      <w:r>
        <w:rPr>
          <w:rFonts w:hint="default" w:ascii="Times New Roman" w:hAnsi="Times New Roman" w:eastAsia="initial ! important" w:cs="Times New Roman"/>
          <w:color w:val="000000"/>
          <w:sz w:val="20"/>
          <w:szCs w:val="20"/>
          <w:shd w:val="clear" w:fill="FFFFFF"/>
        </w:rPr>
        <w:t>Changes in foreign currency exchange rates impacted International net sales by $323 million for Q3 2021, and by $4.3 billion for the nine months ended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AWS sales increased 39% in Q3 2021 and 36% for the nine months ended September 30, 2021 compared to the comparable prior year periods.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Operating Income (Loss)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Operating income (loss) by segment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215"/>
        <w:gridCol w:w="36"/>
        <w:gridCol w:w="120"/>
        <w:gridCol w:w="807"/>
        <w:gridCol w:w="36"/>
        <w:gridCol w:w="36"/>
        <w:gridCol w:w="36"/>
        <w:gridCol w:w="36"/>
        <w:gridCol w:w="120"/>
        <w:gridCol w:w="762"/>
        <w:gridCol w:w="36"/>
        <w:gridCol w:w="36"/>
        <w:gridCol w:w="36"/>
        <w:gridCol w:w="36"/>
        <w:gridCol w:w="120"/>
        <w:gridCol w:w="763"/>
        <w:gridCol w:w="37"/>
        <w:gridCol w:w="37"/>
        <w:gridCol w:w="37"/>
        <w:gridCol w:w="37"/>
        <w:gridCol w:w="121"/>
        <w:gridCol w:w="763"/>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5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2,252 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5,704 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7,477 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(911)</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703 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3,535 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4,883 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9,967 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13,239 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6,194 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4,852 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16,026 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21,419 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Operating income decreased from $6.2 billion in Q3 2020 to $4.9 billion in Q3 2021, and increased from $16.0 billion for the nine months ended September 30, 2020, to $21.4 billion for the nine months ended September 30, 2021. We believe that operating income (loss) is a more meaningful measure than gross profit and gross margin due to the diversity of our product catego</w:t>
      </w:r>
      <w:r>
        <w:rPr>
          <w:rFonts w:hint="default" w:ascii="Times New Roman" w:hAnsi="Times New Roman" w:eastAsia="initial ! important" w:cs="Times New Roman"/>
          <w:color w:val="000000"/>
          <w:sz w:val="20"/>
          <w:szCs w:val="20"/>
          <w:shd w:val="clear" w:fill="FFFFFF"/>
        </w:rPr>
        <w:t>ries and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shd w:val="clear" w:fill="FFFFFF"/>
        </w:rPr>
        <w:t xml:space="preserve">The decrease in North America operating income in absolute dollars in Q3 2021, compared to the comparable prior year period, is primarily due to increased shipping and fulfillment costs, due in part to increased investments in our fulfillment network, increased wage rates and incentives, and fulfillment network inefficiencies, and growth in certain operating expenses, including marketing, partially offset by increased unit sales, including sales by third-party sellers, and advertising sales. The increase in North America operating income in absolute dollars for the nine months ended September 30, 2021, compared to the comparable prior year period, is primarily due to increased unit sales, including sales by third-party sellers, and advertising sales, partially offset by increased shipping and fulfillment costs, due in part to increased investments in our fulfillment network, increased wage rates and incentives, and fulfillment network inefficiencies, and growth in certain operating expenses, including marketing. </w:t>
      </w:r>
      <w:r>
        <w:rPr>
          <w:rFonts w:hint="default" w:ascii="Times New Roman" w:hAnsi="Times New Roman" w:eastAsia="initial ! important" w:cs="Times New Roman"/>
          <w:color w:val="000000"/>
          <w:sz w:val="20"/>
          <w:szCs w:val="20"/>
        </w:rPr>
        <w:t>Changes in foreign exchange rates impacted operating income by $14 million for Q3 2021, and by $56 million for the nine months ended September 30, 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International operating loss in Q3 2021, as </w:t>
      </w:r>
      <w:r>
        <w:rPr>
          <w:rFonts w:hint="default" w:ascii="Times New Roman" w:hAnsi="Times New Roman" w:eastAsia="initial ! important" w:cs="Times New Roman"/>
          <w:color w:val="000000"/>
          <w:sz w:val="20"/>
          <w:szCs w:val="20"/>
          <w:shd w:val="clear" w:fill="FFFFFF"/>
        </w:rPr>
        <w:t>compared to the operating income in the comparable prior year period,</w:t>
      </w:r>
      <w:r>
        <w:rPr>
          <w:rFonts w:hint="default" w:ascii="Times New Roman" w:hAnsi="Times New Roman" w:eastAsia="initial ! important" w:cs="Times New Roman"/>
          <w:color w:val="000000"/>
          <w:sz w:val="20"/>
          <w:szCs w:val="20"/>
        </w:rPr>
        <w:t xml:space="preserve"> is primarily due to increased shipp</w:t>
      </w:r>
      <w:r>
        <w:rPr>
          <w:rFonts w:hint="default" w:ascii="Times New Roman" w:hAnsi="Times New Roman" w:eastAsia="initial ! important" w:cs="Times New Roman"/>
          <w:color w:val="000000"/>
          <w:sz w:val="20"/>
          <w:szCs w:val="20"/>
          <w:shd w:val="clear" w:fill="FFFFFF"/>
        </w:rPr>
        <w:t>ing and fulfillment costs, due in part to increased investments in our fulfillment network, and growth in certain operating expenses, including marketing,</w:t>
      </w:r>
      <w:r>
        <w:rPr>
          <w:rFonts w:hint="default" w:ascii="Times New Roman" w:hAnsi="Times New Roman" w:eastAsia="initial ! important" w:cs="Times New Roman"/>
          <w:color w:val="000000"/>
          <w:sz w:val="20"/>
          <w:szCs w:val="20"/>
        </w:rPr>
        <w:t xml:space="preserve"> partially offset by</w:t>
      </w:r>
      <w:r>
        <w:rPr>
          <w:rFonts w:hint="default" w:ascii="Times New Roman" w:hAnsi="Times New Roman" w:eastAsia="initial ! important" w:cs="Times New Roman"/>
          <w:color w:val="000000"/>
          <w:sz w:val="20"/>
          <w:szCs w:val="20"/>
          <w:shd w:val="clear" w:fill="FFFFFF"/>
        </w:rPr>
        <w:t xml:space="preserve"> </w:t>
      </w:r>
      <w:r>
        <w:rPr>
          <w:rFonts w:hint="default" w:ascii="Times New Roman" w:hAnsi="Times New Roman" w:eastAsia="initial ! important" w:cs="Times New Roman"/>
          <w:color w:val="000000"/>
          <w:sz w:val="20"/>
          <w:szCs w:val="20"/>
        </w:rPr>
        <w:t>increased unit sales, including sales by third-party sellers, and advertising sales</w:t>
      </w:r>
      <w:r>
        <w:rPr>
          <w:rFonts w:hint="default" w:ascii="Times New Roman" w:hAnsi="Times New Roman" w:eastAsia="initial ! important" w:cs="Times New Roman"/>
          <w:color w:val="000000"/>
          <w:sz w:val="20"/>
          <w:szCs w:val="20"/>
          <w:shd w:val="clear" w:fill="FFFFFF"/>
        </w:rPr>
        <w:t xml:space="preserve">. </w:t>
      </w:r>
      <w:r>
        <w:rPr>
          <w:rFonts w:hint="default" w:ascii="Times New Roman" w:hAnsi="Times New Roman" w:eastAsia="initial ! important" w:cs="Times New Roman"/>
          <w:color w:val="000000"/>
          <w:sz w:val="20"/>
          <w:szCs w:val="20"/>
        </w:rPr>
        <w:t xml:space="preserve">The increase in International operating income in absolute dollars for the </w:t>
      </w:r>
      <w:r>
        <w:rPr>
          <w:rFonts w:hint="default" w:ascii="Times New Roman" w:hAnsi="Times New Roman" w:eastAsia="initial ! important" w:cs="Times New Roman"/>
          <w:color w:val="000000"/>
          <w:sz w:val="20"/>
          <w:szCs w:val="20"/>
          <w:shd w:val="clear" w:fill="FFFFFF"/>
        </w:rPr>
        <w:t>nine months ended September 30, 2021</w:t>
      </w:r>
      <w:r>
        <w:rPr>
          <w:rFonts w:hint="default" w:ascii="Times New Roman" w:hAnsi="Times New Roman" w:eastAsia="initial ! important" w:cs="Times New Roman"/>
          <w:color w:val="000000"/>
          <w:sz w:val="20"/>
          <w:szCs w:val="20"/>
        </w:rPr>
        <w:t xml:space="preserve">, </w:t>
      </w:r>
      <w:r>
        <w:rPr>
          <w:rFonts w:hint="default" w:ascii="Times New Roman" w:hAnsi="Times New Roman" w:eastAsia="initial ! important" w:cs="Times New Roman"/>
          <w:color w:val="000000"/>
          <w:sz w:val="20"/>
          <w:szCs w:val="20"/>
          <w:shd w:val="clear" w:fill="FFFFFF"/>
        </w:rPr>
        <w:t>compared to the comparable prior year period,</w:t>
      </w:r>
      <w:r>
        <w:rPr>
          <w:rFonts w:hint="default" w:ascii="Times New Roman" w:hAnsi="Times New Roman" w:eastAsia="initial ! important" w:cs="Times New Roman"/>
          <w:color w:val="000000"/>
          <w:sz w:val="20"/>
          <w:szCs w:val="20"/>
        </w:rPr>
        <w:t xml:space="preserve"> is primarily due to increased unit sales, including sales by third-party sellers, and advertising sales</w:t>
      </w:r>
      <w:r>
        <w:rPr>
          <w:rFonts w:hint="default" w:ascii="Times New Roman" w:hAnsi="Times New Roman" w:eastAsia="initial ! important" w:cs="Times New Roman"/>
          <w:color w:val="000000"/>
          <w:sz w:val="20"/>
          <w:szCs w:val="20"/>
          <w:shd w:val="clear" w:fill="FFFFFF"/>
        </w:rPr>
        <w:t>,</w:t>
      </w:r>
      <w:r>
        <w:rPr>
          <w:rFonts w:hint="default" w:ascii="Times New Roman" w:hAnsi="Times New Roman" w:eastAsia="initial ! important" w:cs="Times New Roman"/>
          <w:color w:val="000000"/>
          <w:sz w:val="20"/>
          <w:szCs w:val="20"/>
        </w:rPr>
        <w:t xml:space="preserve"> partially offset by increased shipp</w:t>
      </w:r>
      <w:r>
        <w:rPr>
          <w:rFonts w:hint="default" w:ascii="Times New Roman" w:hAnsi="Times New Roman" w:eastAsia="initial ! important" w:cs="Times New Roman"/>
          <w:color w:val="000000"/>
          <w:sz w:val="20"/>
          <w:szCs w:val="20"/>
          <w:shd w:val="clear" w:fill="FFFFFF"/>
        </w:rPr>
        <w:t xml:space="preserve">ing and fulfillment costs, due in part to increased investments in our fulfillment network, and growth in certain operating expenses, including marketing. </w:t>
      </w:r>
      <w:r>
        <w:rPr>
          <w:rFonts w:hint="default" w:ascii="Times New Roman" w:hAnsi="Times New Roman" w:eastAsia="initial ! important" w:cs="Times New Roman"/>
          <w:color w:val="000000"/>
          <w:sz w:val="20"/>
          <w:szCs w:val="20"/>
        </w:rPr>
        <w:t xml:space="preserve">Changes in foreign exchange rates impacted operating income by $24 million for Q3 2021, and by $493 million for the nine months ended September 30,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increase in AWS operating income in absolute dollars in Q3 2021 and for the nine months ended September 30, 2021, compared to the comparable prior year periods, is primarily due to increased customer usage and cost structure productivity, partially offset by increased spending on technology infrastructure and payroll and related expenses, all of which were primarily driven by additional investments to support the business growth, and reduced prices for our customers. Changes in foreign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exchange rates impacted operating income by $(58) million for Q3 2021, and by $(455) million for the nine months ended September 30, 2021.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Operating Expenses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about operating expenses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05"/>
        <w:gridCol w:w="36"/>
        <w:gridCol w:w="120"/>
        <w:gridCol w:w="6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7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Three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Nine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57,106 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62,930 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154,023 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189,509 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14,705 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18,498 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40,043 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52,666 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10,976 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14,380 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30,691 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40,739 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5,434 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8,010 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14,605 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21,741 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1,668 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2,153 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4,700 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6,298 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421 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89,951 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105,960 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244,483 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310,991 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209 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59.4 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59.1 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16.7 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15.8 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11.4 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13.0 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6.5 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0.2 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Cost of Sales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cost of sales in absolute dollars in Q3 2021 and for the nine months ended September 30, 2021, compared to the comparable prior year periods, is primarily due to increased product and shipping costs resulting from increased sales, costs from expanding our fulfillment network, and increased wage rates and incentives and fulfillment network inefficiencies resulting from a constrained labor market and global supply chain constraints.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$15.1 billion and $18.1 billion in Q3 2020 and Q3 2021, and $39.7 billion and $53.0 billion for the nine months ended September 30, 2020 and 2021.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Fulfillment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fulfillment costs in absolute dollars in Q3 2021 and for the nine months ended September 30, 2021, compared to the comparable prior year periods, is primarily due to variable costs corresponding with increased product and service sales volume and inventory levels, increased wage rates and incentives and fulfillment network inefficiencies resulting from a constrained labor market and global supply chain constraints, and costs from expanding our fulfillment network.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Technology and Content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Q3 2021 and for the nine months ended September 30, 2021, compared to the comparable prior year periods, is primarily due to an increase in spending on technology infrastructure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2020 Annual Report on Form 10-K for a discussion of how management views advances in technology and the importance of innovation.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Marketing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marketing costs in absolute dollars in Q3 2021 and for the nine months ended September 30, 2021, compared to the comparable prior year periods, is primarily due to higher marketing spend, which was constrained in 2020 in response to COVID-19, and increased payroll and related expenses for personnel engaged in marketing and selling activities.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While costs associated with Amazon Prime membership benefits and other shipping offers are not included in marketing expense, we view these offers as effective worldwide marketing tools, and intend to continue offering them indefinitely.</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General and Administrative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increase in general and administrative costs in absolute dollars in Q3 2021 and for the nine months ended September 30, 2021, compared to the comparable prior year periods, is primarily due to increases in payroll and related expenses and professional service fees.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Other Operating Expense (Income),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operating expense (income), net was $62 million and $(11) million for Q3 2020 and Q3 2021, and $421 million and $38 million for the nine months ended September 30, 2020 and 2021, and was primarily related to a lease impairment in Q2 2020 and the amortization of intangible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Interest Income and Expense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interest income was $118 million and $119 million during Q3 2020 and Q3 2021, and $455 million and $330 million for the nine months ended September 30, 2020 and 2021.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Interest expense was $428 million and $493 million during Q3 2020 and Q3 2021, and $1.2 billion and $1.3 billion for the nine months ended September 30, 2020 and 2021, and was primarily related to debt and finance leases.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Other income (expense), net was $925 million and $(163) million during Q3 2020 and Q3 2021 and $1.2 billion and $2.8 billion for the nine months ended September 30, 2020 and 2021. The primary components of other income (expense), net are related to equity securities valuations and adjustments, equity warrant valuations, and foreign currency.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Income Taxes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income tax provisions for the nine months ended September 30, 2020 and 2021 were $2.3 billion and $4.2 billion, which included $1.5 billion and $1.7 billion of net discrete tax benefits primarily attributable to excess tax benefits from stock-based compensation and audit-related developments. See Item 1 of Part I, “Financial Statements — Note 7 — Income Taxes” for additional information.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Non-GAAP Financial Measures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Free Cash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September 30, 2020 and 2021 (in millions):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485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(2,859)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7,575 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Free Cash Flow Less Principal Repayments of Finance Leases and Financing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September 30, 2020 and 2021 (in millions):</w:t>
      </w:r>
    </w:p>
    <w:tbl>
      <w:tblPr>
        <w:tblStyle w:val="5"/>
        <w:tblW w:w="4858"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3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3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(11,054)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(11,271)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(124)</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18,379 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(8,843)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(46,110)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(62,611)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(2,859)</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7,575 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September 30, 2020 and 2021 (in millions):</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76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1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Twelve Months Ended</w:t>
            </w:r>
            <w:r>
              <w:rPr>
                <w:rFonts w:hint="default" w:ascii="Times New Roman" w:hAnsi="Times New Roman" w:eastAsia="Helvetica Neue" w:cs="Times New Roman"/>
                <w:b/>
                <w:bCs/>
                <w:color w:val="000000"/>
                <w:sz w:val="16"/>
                <w:szCs w:val="16"/>
              </w:rPr>
              <w:br w:type="textWrapping"/>
            </w:r>
            <w:r>
              <w:rPr>
                <w:rFonts w:hint="default" w:ascii="Times New Roman" w:hAnsi="Times New Roman" w:eastAsia="Helvetica Neue"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55,292 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(25,791)</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29,501 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(11,116)</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(5,738)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(413)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(582)</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(124)</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17,904 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(3,892)</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(46,110)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(2,859)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7,575 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(1)For the twelve months ended September 30, 2020 and 2021, this amount relates to equipment included in “Property and equipment acquired under finance leases” of $13,075 million and $8,149 million.</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(2)For the twelve months ended September 30, 2020 and 2021, this amount relates to property included in “Principal repayments of finance leases” of $11,054 million and $11,271 million.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All of these free cash flows measures have limitations as they omit certain components of the overall cash flow statement and do not represent the residual cash flow available for discretionary expenditures. For example, these measures of free cash flows do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7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i/>
          <w:iCs/>
          <w:color w:val="000000"/>
          <w:sz w:val="20"/>
          <w:szCs w:val="20"/>
        </w:rPr>
        <w:t xml:space="preserve">Effect of Foreign Exchange Rates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5000"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535"/>
        <w:gridCol w:w="36"/>
        <w:gridCol w:w="90"/>
        <w:gridCol w:w="503"/>
        <w:gridCol w:w="36"/>
        <w:gridCol w:w="36"/>
        <w:gridCol w:w="36"/>
        <w:gridCol w:w="36"/>
        <w:gridCol w:w="91"/>
        <w:gridCol w:w="523"/>
        <w:gridCol w:w="36"/>
        <w:gridCol w:w="36"/>
        <w:gridCol w:w="36"/>
        <w:gridCol w:w="36"/>
        <w:gridCol w:w="90"/>
        <w:gridCol w:w="481"/>
        <w:gridCol w:w="36"/>
        <w:gridCol w:w="36"/>
        <w:gridCol w:w="36"/>
        <w:gridCol w:w="36"/>
        <w:gridCol w:w="90"/>
        <w:gridCol w:w="490"/>
        <w:gridCol w:w="36"/>
        <w:gridCol w:w="36"/>
        <w:gridCol w:w="36"/>
        <w:gridCol w:w="36"/>
        <w:gridCol w:w="91"/>
        <w:gridCol w:w="523"/>
        <w:gridCol w:w="36"/>
        <w:gridCol w:w="36"/>
        <w:gridCol w:w="36"/>
        <w:gridCol w:w="36"/>
        <w:gridCol w:w="90"/>
        <w:gridCol w:w="490"/>
        <w:gridCol w:w="36"/>
        <w:gridCol w:w="36"/>
        <w:gridCol w:w="36"/>
        <w:gridCol w:w="36"/>
        <w:gridCol w:w="90"/>
        <w:gridCol w:w="490"/>
        <w:gridCol w:w="36"/>
        <w:gridCol w:w="36"/>
        <w:gridCol w:w="36"/>
        <w:gridCol w:w="36"/>
        <w:gridCol w:w="91"/>
        <w:gridCol w:w="523"/>
        <w:gridCol w:w="36"/>
        <w:gridCol w:w="36"/>
        <w:gridCol w:w="36"/>
        <w:gridCol w:w="36"/>
        <w:gridCol w:w="90"/>
        <w:gridCol w:w="490"/>
        <w:gridCol w:w="36"/>
        <w:gridCol w:w="36"/>
        <w:gridCol w:w="36"/>
        <w:gridCol w:w="36"/>
        <w:gridCol w:w="90"/>
        <w:gridCol w:w="490"/>
        <w:gridCol w:w="36"/>
        <w:gridCol w:w="36"/>
        <w:gridCol w:w="36"/>
        <w:gridCol w:w="624"/>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4"/>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Nine Months Ended September 30,</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2021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6"/>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2021</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As</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Exchange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At Prior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Year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Exchange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At Prior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Year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As</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Exchange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At Prior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Year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Exchange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Effect (1)</w:t>
            </w:r>
          </w:p>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4"/>
                <w:szCs w:val="14"/>
              </w:rPr>
              <w:t>At Prior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Year</w:t>
            </w:r>
            <w:r>
              <w:rPr>
                <w:rFonts w:hint="default" w:ascii="Times New Roman" w:hAnsi="Times New Roman" w:eastAsia="Helvetica Neue" w:cs="Times New Roman"/>
                <w:b/>
                <w:bCs/>
                <w:color w:val="000000"/>
                <w:sz w:val="14"/>
                <w:szCs w:val="14"/>
              </w:rPr>
              <w:br w:type="textWrapping"/>
            </w:r>
            <w:r>
              <w:rPr>
                <w:rFonts w:hint="default" w:ascii="Times New Roman" w:hAnsi="Times New Roman" w:eastAsia="Helvetica Neue"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96,145 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(691)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95,454 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(513)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110,299 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260,509 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260,787 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2"/>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(5,057)</w:t>
            </w:r>
          </w:p>
          <w:p>
            <w:pPr>
              <w:keepNext w:val="0"/>
              <w:keepLines w:val="0"/>
              <w:widowControl/>
              <w:suppressLineNumbers w:val="0"/>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w:t>
            </w:r>
          </w:p>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327,353 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89,951 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(558)</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89,393 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105,960 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(533)</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105,427 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244,483 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585 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245,068 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310,991 </w:t>
            </w:r>
          </w:p>
        </w:tc>
        <w:tc>
          <w:tcPr>
            <w:tcW w:w="0" w:type="auto"/>
            <w:shd w:val="clear" w:color="auto" w:fill="FFFF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2"/>
            <w:shd w:val="clear" w:color="auto" w:fill="FFFF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(4,963)</w:t>
            </w:r>
          </w:p>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306,028 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6,194 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(133)</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6,061 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4,852 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20 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4,872 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16,026 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(307)</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15,719 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3"/>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21,419 </w:t>
            </w:r>
          </w:p>
        </w:tc>
        <w:tc>
          <w:tcPr>
            <w:tcW w:w="0" w:type="auto"/>
            <w:shd w:val="clear" w:color="auto" w:fill="CCEEFF"/>
            <w:tcMar>
              <w:top w:w="40" w:type="dxa"/>
              <w:left w:w="0" w:type="dxa"/>
              <w:bottom w:w="40" w:type="dxa"/>
              <w:right w:w="20" w:type="dxa"/>
            </w:tcMar>
            <w:vAlign w:val="bottom"/>
          </w:tcPr>
          <w:p>
            <w:pPr>
              <w:jc w:val="right"/>
              <w:rPr>
                <w:rFonts w:hint="default" w:ascii="Helvetica Neue" w:hAnsi="Helvetica Neue" w:eastAsia="Helvetica Neue" w:cs="Helvetica Neue"/>
                <w:color w:val="212529"/>
                <w:sz w:val="24"/>
                <w:szCs w:val="24"/>
              </w:rPr>
            </w:pPr>
          </w:p>
        </w:tc>
        <w:tc>
          <w:tcPr>
            <w:tcW w:w="0" w:type="auto"/>
            <w:gridSpan w:val="2"/>
            <w:shd w:val="clear" w:color="auto" w:fill="CCEEFF"/>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(94)</w:t>
            </w:r>
          </w:p>
          <w:p>
            <w:pPr>
              <w:keepNext w:val="0"/>
              <w:keepLines w:val="0"/>
              <w:widowControl/>
              <w:suppressLineNumbers w:val="0"/>
              <w:spacing w:line="30" w:lineRule="atLeast"/>
              <w:jc w:val="righ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14"/>
                <w:szCs w:val="14"/>
              </w:rPr>
              <w:t>21,325 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29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Guidance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provided guidance on October 28, 2021, in our earnings release furnished on Form 8-K as set forth below. These forward-looking statements reflect Amazon.com’s expectations as of October 28, 2021, and are subject to substantial uncertainty. Our results are inherently unpredictable and may be materially affected by many factors, such as uncertainty regarding the impacts of the COVID-19 pandemic, fluctuations in foreign exchange rates, changes in global economic conditions and customer demand and spending, labor market and global supply chain constraints, world events, the rate of growth of the Internet, online commerce, and cloud services, as well as thos</w:t>
      </w:r>
      <w:r>
        <w:rPr>
          <w:rFonts w:hint="default" w:ascii="Times New Roman" w:hAnsi="Times New Roman" w:eastAsia="initial ! important" w:cs="Times New Roman"/>
          <w:color w:val="000000"/>
          <w:sz w:val="20"/>
          <w:szCs w:val="20"/>
          <w:shd w:val="clear" w:fill="FFFFFF"/>
        </w:rPr>
        <w:t xml:space="preserve">e outlined in Item 1A of Part II, “Risk Factors.” This guidance reflects our estimates as of </w:t>
      </w:r>
      <w:r>
        <w:rPr>
          <w:rFonts w:hint="default" w:ascii="Times New Roman" w:hAnsi="Times New Roman" w:eastAsia="initial ! important" w:cs="Times New Roman"/>
          <w:color w:val="000000"/>
          <w:sz w:val="20"/>
          <w:szCs w:val="20"/>
        </w:rPr>
        <w:t>October 28, 2021</w:t>
      </w:r>
      <w:r>
        <w:rPr>
          <w:rFonts w:hint="default" w:ascii="Times New Roman" w:hAnsi="Times New Roman" w:eastAsia="initial ! important" w:cs="Times New Roman"/>
          <w:color w:val="000000"/>
          <w:sz w:val="20"/>
          <w:szCs w:val="20"/>
          <w:shd w:val="clear" w:fill="FFFFFF"/>
        </w:rPr>
        <w:t xml:space="preserve"> </w:t>
      </w:r>
      <w:r>
        <w:rPr>
          <w:rFonts w:hint="default" w:ascii="Times New Roman" w:hAnsi="Times New Roman" w:eastAsia="initial ! important" w:cs="Times New Roman"/>
          <w:color w:val="000000"/>
          <w:sz w:val="20"/>
          <w:szCs w:val="20"/>
        </w:rPr>
        <w:t xml:space="preserve">regarding the impacts of the COVID-19 pandemic on our operations as well as the effect of other factors discussed above.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Fourth Quarter 2021 Guidance</w:t>
      </w:r>
    </w:p>
    <w:p>
      <w:pPr>
        <w:keepNext w:val="0"/>
        <w:keepLines w:val="0"/>
        <w:widowControl/>
        <w:suppressLineNumbers w:val="0"/>
        <w:pBdr>
          <w:top w:val="none" w:color="auto" w:sz="0" w:space="0"/>
          <w:left w:val="none" w:color="auto" w:sz="0" w:space="0"/>
          <w:bottom w:val="none" w:color="auto" w:sz="0" w:space="0"/>
          <w:right w:val="none" w:color="auto" w:sz="0" w:space="0"/>
        </w:pBdr>
        <w:spacing w:after="40" w:after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•Net sales are expected to be between $130.0 billion and $140.0 billion, or to grow between 4% and 12% compared with fourth quarter 2020. This guidance anticipates an unfavorable impact of approximately 60 basis points from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after="40" w:after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•Operating income is expected to be between $0 and $3.0 billion, compared with $6.9 billion in fourth quarter 2020. </w:t>
      </w:r>
    </w:p>
    <w:p>
      <w:pPr>
        <w:keepNext w:val="0"/>
        <w:keepLines w:val="0"/>
        <w:widowControl/>
        <w:suppressLineNumbers w:val="0"/>
        <w:pBdr>
          <w:top w:val="none" w:color="auto" w:sz="0" w:space="0"/>
          <w:left w:val="none" w:color="auto" w:sz="0" w:space="0"/>
          <w:bottom w:val="none" w:color="auto" w:sz="0" w:space="0"/>
          <w:right w:val="none" w:color="auto" w:sz="0" w:space="0"/>
        </w:pBdr>
        <w:spacing w:after="40" w:after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Quantitative and Qualitative Disclosures About Market Risk</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Interest Rate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Foreign Exchange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Q3 2021, net sales from our International segment accounted for 26%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Q3 2021 increased by $323 million in comparison with Q3 2020.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foreign exchange risk related to foreign-denominated cash, cash equivalents, and marketable securities (“foreign funds”). Based on the balance of foreign funds as of September 30, 2021, of $14.3 billion, an assumed 5%, 10%, and 20% adverse change to foreign exchange would result in fair value declines of $715 million, $1.4 billion, and $2.9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foreign exchange risk related to our intercompany balances denominated in various foreign currencies. Based on the intercompany balances as of September 30, 2021, an assumed 5%, 10%, and 20% adverse change to foreign exchange rates would result in losses of $235 million, $475 million, and $950 million, recorded to “Other income (expense), 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Equity Investment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of September 30, 2021, our recorded value in equity and equity warrant investments in public and private companies was $10.3 billion. Our equity and equity warrant investments in publicly traded companies represent $4.4 billion of our investments as of September 30, 2021, and are recorded at fair value, which is subject to market price volatility. We carry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climate provides additional uncertainty. As such, we believe that market sensitivities are not practicable.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Controls and Procedures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PART II. OTHER INFORMATION</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Legal Proceedings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See Item 1 of Part I, “Financial Statements — Note 4 — Commitments and Contingencies — Legal Proceedings.”</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Risk Factors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Business and Industry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Intense Competition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International Operations Expose Us to a Number of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•local economic and political conditions;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•business licensing or certification requirements, such as for imports, exports, web services, and electronic devices;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•limitations on the repatriation and investment of funds and foreign currency exchange restrictions;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•limited fulfillment and technology infrastructure;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•shorter payable and longer receivable cycles and the resultant negative impact on cash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•laws and regulations regarding privacy, data protection, data security, network security, consumer protection, payments, advertising, and restrictions on pricing or discounts;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use of the Internet;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consumer spending and fewer opportunities for growth compared to the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•lower levels of credit card usage and increased payment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•different employee/employer relationships and the existence of works councils and labor unions;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•laws and policies of the U.S. and other jurisdictions affecting trade, foreign investment, loans, and taxes;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•geopolitical events, including war and terrorism.</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The Variability in Our Retail Business Places Increased Strain on Our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Demand for our products and services can fluctuate significantly for many reasons, including as a result of seasonality, promotions, product launches, or unforeseeable events, such as in response to natural or man-made disasters, extreme weather,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Impacted by Fraudulent or Unlawful Activities of Sellers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35</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Have Foreign Exchange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Operating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Expansion Places a Significant Strain on our Management, Operational, Financial, and Other Resources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Experience Significant Fluctuations in Our Operating Results and Growth Rate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retain and expand our network of sellers;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offer products on favorable terms, manage inventory, and fulfill orders;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introduction of competitive stores, websites, products, services, price decreases, or improvements;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•timing, effectiveness, and costs of expansion and upgrades of our systems and infrastructure;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success of our geographic, service, and product line expansions;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finance, and the terms of any such financing for, our current operations and future growth;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•variations in the mix of products and services we sell;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•variations in our level of merchandise and vendor returns;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•factors affecting our reputation or brand image;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we invest in technology and content, fulfillment, and other expense categories;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36</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ability to collect amounts owed to us when they become due;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global supply chain constraints and constrained labor markets, which increase payroll costs and make it difficult to hire, train, and deploy a sufficient number of people to operate our fulfillment network as efficiently as we would like.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Could Be Harmed by Data Loss or Other Security Breaches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protection, data security, network security, and consumer protection);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In addition, we are continuing to investigate and assess an October 2021 incident at our Twitch subsidiary involving limited data that was extracted and exposed to the Internet.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37</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Risks Related to System Interruption and Lack of Redundancy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technology industry has historically been intense, particularly for software engineers, computer scientists, and other technical staff, as well as senior management.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Supplier Relationships Subject Us to a Number of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Commercial Agreements, Strategic Alliances, and Other Business Relationships Expose Us to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38</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 of our ongoing business, including loss of management focus on existing businesses;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•impairment of other relationships;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•difficulty integrating under the commercial agreements.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•disruption of our ongoing business, including loss of management focus on existing businesses;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•problems retaining key personnel;</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•additional operating losses and expenses of the businesses we acquired or in which we invested;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potential impairment of tangible and intangible assets and goodwill, including as a result of acquisitions;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•potential unknown liabilities associated with a company we acquire or in which we invest;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Significant Inventory Risk</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39</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Payments-Related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Have a Rapidly Evolving Business Model and Our Stock Price Is Highly Volatile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interest rates;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•conditions or trends in the Internet and the industry segments we operate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•quarterly variations in operating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•fluctuations in the stock market in general and market prices for Internet-related companies in particular;</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financial estimates and recommendations by securities analysts;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our capital structure, including issuance of additional debt or equity to the public;</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•changes in the valuation methodology of, or performance by, other e-commerce or technology companies;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hanging="36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•transactions in our common stock by major investors and certain analyst reports, news, and speculation.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Legal and Regulatory Risks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Government Regulation Is Evolving and Unfavorable Changes Could Harm Our Business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40</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privacy, data protection, data security,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European marketplace for sellers, particularly with respect to use of data, fulfillment services, and featured offers.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50"/>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Face Additional Tax Liabilities and Collection Obligations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line="20" w:lineRule="atLeast"/>
        <w:ind w:left="0" w:firstLine="22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i/>
          <w:iCs/>
          <w:color w:val="000000"/>
          <w:sz w:val="20"/>
          <w:szCs w:val="20"/>
        </w:rPr>
        <w:t>We Are Subject to Risks Related to Government Contracts and Related Procurement Regulations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42</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Unregistered Sales of Equity Securities and Use of Proceeds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Defaults Upon Senior Securities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Mine Safety Disclosures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Not applicable.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line="20" w:lineRule="atLeast"/>
        <w:ind w:left="0" w:firstLine="495"/>
        <w:jc w:val="left"/>
        <w:rPr>
          <w:rFonts w:hint="default" w:ascii="initial ! important" w:hAnsi="initial ! important" w:eastAsia="initial ! important" w:cs="initial ! important"/>
          <w:color w:val="212529"/>
        </w:rPr>
      </w:pP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Other Information</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 xml:space="preserve">Not applicable. </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43</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94"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39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34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28"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4506"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u w:val="single"/>
              </w:rPr>
              <w:t>Exhibit</w:t>
            </w:r>
            <w:r>
              <w:rPr>
                <w:rFonts w:hint="default" w:ascii="Times New Roman" w:hAnsi="Times New Roman" w:eastAsia="Helvetica Neue" w:cs="Times New Roman"/>
                <w:b/>
                <w:bCs/>
                <w:color w:val="000000"/>
                <w:sz w:val="16"/>
                <w:szCs w:val="16"/>
                <w:u w:val="single"/>
              </w:rPr>
              <w:br w:type="textWrapping"/>
            </w:r>
            <w:r>
              <w:rPr>
                <w:rFonts w:hint="default" w:ascii="Times New Roman" w:hAnsi="Times New Roman" w:eastAsia="Helvetica Neue"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Restated Certificate of Incorporation of the Company (incorporated by reference to the Company’s Current Report on Form 8-K, filed May 29, 2020).</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"https://www.sec.gov/Archives/edgar/data/0001018724/000101872421000028/amzn-20210930xex311.htm"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Certification of Andrew R. Jassy, President and Chief Executive Officer of Amazon.com, Inc., pursuant to Rule 13a-14(a) under the Securities Exchange Act of 1934.</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"https://www.sec.gov/Archives/edgar/data/0001018724/000101872421000028/amzn-20210930xex312.htm"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"https://www.sec.gov/Archives/edgar/data/0001018724/000101872421000028/amzn-20210930xex321.htm"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Certification of Andrew R. Jassy, President and Chief Executive Officer of Amazon.com, Inc., pursuant to 18 U.S.C. Section 1350.</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FF"/>
                <w:sz w:val="20"/>
                <w:szCs w:val="20"/>
                <w:u w:val="single"/>
              </w:rPr>
              <w:fldChar w:fldCharType="begin"/>
            </w:r>
            <w:r>
              <w:rPr>
                <w:rFonts w:hint="default" w:ascii="Times New Roman" w:hAnsi="Times New Roman" w:eastAsia="Helvetica Neue" w:cs="Times New Roman"/>
                <w:color w:val="0000FF"/>
                <w:sz w:val="20"/>
                <w:szCs w:val="20"/>
                <w:u w:val="single"/>
              </w:rPr>
              <w:instrText xml:space="preserve"> HYPERLINK "https://www.sec.gov/Archives/edgar/data/0001018724/000101872421000028/amzn-20210930xex322.htm" </w:instrText>
            </w:r>
            <w:r>
              <w:rPr>
                <w:rFonts w:hint="default" w:ascii="Times New Roman" w:hAnsi="Times New Roman" w:eastAsia="Helvetica Neue" w:cs="Times New Roman"/>
                <w:color w:val="0000FF"/>
                <w:sz w:val="20"/>
                <w:szCs w:val="20"/>
                <w:u w:val="single"/>
              </w:rPr>
              <w:fldChar w:fldCharType="separate"/>
            </w:r>
            <w:r>
              <w:rPr>
                <w:rStyle w:val="8"/>
                <w:rFonts w:hint="default" w:ascii="Times New Roman" w:hAnsi="Times New Roman" w:eastAsia="Helvetica Neue"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Helvetica Neue"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 following financial statements from the Company’s Quarterly Report on Form 10-Q for the quarter ended September 30, 2021,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center"/>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The cover page from the Company’s Quarterly Report on Form 10-Q for the quarter ended September 30, 2021, formatted in Inline XBRL (included as Exhibit 101).</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44</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pPr>
      <w:r>
        <w:rPr>
          <w:rFonts w:hint="default" w:ascii="initial ! important" w:hAnsi="initial ! important" w:eastAsia="initial ! important" w:cs="initial ! important"/>
          <w:color w:val="212529"/>
        </w:rP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 xml:space="preserve">Table of </w:t>
      </w:r>
      <w:r>
        <w:rPr>
          <w:rFonts w:hint="default" w:ascii="Times New Roman" w:hAnsi="Times New Roman" w:eastAsia="initial ! important" w:cs="Times New Roman"/>
          <w:color w:val="0000FF"/>
          <w:sz w:val="20"/>
          <w:szCs w:val="20"/>
          <w:u w:val="single"/>
        </w:rPr>
        <w:fldChar w:fldCharType="end"/>
      </w:r>
      <w:r>
        <w:rPr>
          <w:rFonts w:hint="default" w:ascii="Times New Roman" w:hAnsi="Times New Roman" w:eastAsia="initial ! important" w:cs="Times New Roman"/>
          <w:color w:val="0000FF"/>
          <w:sz w:val="20"/>
          <w:szCs w:val="20"/>
          <w:u w:val="single"/>
        </w:rPr>
        <w:fldChar w:fldCharType="begin"/>
      </w:r>
      <w:r>
        <w:rPr>
          <w:rFonts w:hint="default" w:ascii="Times New Roman" w:hAnsi="Times New Roman" w:eastAsia="initial ! important" w:cs="Times New Roman"/>
          <w:color w:val="0000FF"/>
          <w:sz w:val="20"/>
          <w:szCs w:val="20"/>
          <w:u w:val="single"/>
        </w:rPr>
        <w:instrText xml:space="preserve"> HYPERLINK "https://www.sec.gov/ix?doc=/Archives/edgar/data/0001018724/000101872421000028/amzn-20210930.htm" \l "i938dbbcfcf0645268507d22b13fb8f8e_7" </w:instrText>
      </w:r>
      <w:r>
        <w:rPr>
          <w:rFonts w:hint="default" w:ascii="Times New Roman" w:hAnsi="Times New Roman" w:eastAsia="initial ! important" w:cs="Times New Roman"/>
          <w:color w:val="0000FF"/>
          <w:sz w:val="20"/>
          <w:szCs w:val="20"/>
          <w:u w:val="single"/>
        </w:rPr>
        <w:fldChar w:fldCharType="separate"/>
      </w:r>
      <w:r>
        <w:rPr>
          <w:rStyle w:val="8"/>
          <w:rFonts w:hint="default" w:ascii="Times New Roman" w:hAnsi="Times New Roman" w:eastAsia="initial ! important" w:cs="Times New Roman"/>
          <w:color w:val="0000FF"/>
          <w:sz w:val="20"/>
          <w:szCs w:val="20"/>
          <w:u w:val="single"/>
        </w:rPr>
        <w:t>Contents</w:t>
      </w:r>
      <w:r>
        <w:rPr>
          <w:rFonts w:hint="default" w:ascii="Times New Roman" w:hAnsi="Times New Roman" w:eastAsia="initial ! important" w:cs="Times New Roman"/>
          <w:color w:val="0000FF"/>
          <w:sz w:val="20"/>
          <w:szCs w:val="20"/>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b/>
          <w:bCs/>
          <w:color w:val="000000"/>
          <w:sz w:val="20"/>
          <w:szCs w:val="20"/>
        </w:rPr>
        <w:t>SIGNATURES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line="20" w:lineRule="atLeast"/>
        <w:ind w:left="0" w:firstLine="495"/>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18"/>
          <w:szCs w:val="18"/>
        </w:rPr>
        <w:t> </w:t>
      </w:r>
    </w:p>
    <w:tbl>
      <w:tblPr>
        <w:tblStyle w:val="5"/>
        <w:tblW w:w="4993" w:type="pct"/>
        <w:tblInd w:w="-2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2763"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71"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c>
          <w:tcPr>
            <w:tcW w:w="50" w:type="pct"/>
            <w:shd w:val="clear" w:color="auto" w:fill="auto"/>
            <w:vAlign w:val="bottom"/>
          </w:tcPr>
          <w:p>
            <w:pPr>
              <w:jc w:val="left"/>
              <w:rPr>
                <w:rFonts w:hint="default" w:ascii="Helvetica Neue" w:hAnsi="Helvetica Neue" w:eastAsia="Helvetica Neue" w:cs="Helvetica Neue"/>
                <w:color w:val="212529"/>
                <w:sz w:val="24"/>
                <w:szCs w:val="24"/>
              </w:rPr>
            </w:pPr>
          </w:p>
        </w:tc>
        <w:tc>
          <w:tcPr>
            <w:tcW w:w="1899" w:type="pct"/>
            <w:shd w:val="clear" w:color="auto" w:fill="auto"/>
            <w:vAlign w:val="bottom"/>
          </w:tcPr>
          <w:p>
            <w:pPr>
              <w:jc w:val="left"/>
              <w:rPr>
                <w:rFonts w:hint="default" w:ascii="Helvetica Neue" w:hAnsi="Helvetica Neue" w:eastAsia="Helvetica Neue" w:cs="Helvetica Neue"/>
                <w:color w:val="212529"/>
                <w:sz w:val="24"/>
                <w:szCs w:val="24"/>
              </w:rPr>
            </w:pPr>
          </w:p>
        </w:tc>
        <w:tc>
          <w:tcPr>
            <w:tcW w:w="5" w:type="pct"/>
            <w:shd w:val="clear" w:color="auto" w:fill="auto"/>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A</w:t>
            </w:r>
            <w:r>
              <w:rPr>
                <w:rFonts w:hint="default" w:ascii="Times New Roman" w:hAnsi="Times New Roman" w:eastAsia="Helvetica Neue" w:cs="Times New Roman"/>
                <w:color w:val="000000"/>
                <w:sz w:val="16"/>
                <w:szCs w:val="16"/>
              </w:rPr>
              <w:t>MAZON</w:t>
            </w:r>
            <w:r>
              <w:rPr>
                <w:rFonts w:hint="default" w:ascii="Times New Roman" w:hAnsi="Times New Roman" w:eastAsia="Helvetica Neue" w:cs="Times New Roman"/>
                <w:color w:val="000000"/>
                <w:sz w:val="20"/>
                <w:szCs w:val="20"/>
              </w:rPr>
              <w:t>.</w:t>
            </w:r>
            <w:r>
              <w:rPr>
                <w:rFonts w:hint="default" w:ascii="Times New Roman" w:hAnsi="Times New Roman" w:eastAsia="Helvetica Neue" w:cs="Times New Roman"/>
                <w:color w:val="000000"/>
                <w:sz w:val="16"/>
                <w:szCs w:val="16"/>
              </w:rPr>
              <w:t>COM</w:t>
            </w:r>
            <w:r>
              <w:rPr>
                <w:rFonts w:hint="default" w:ascii="Times New Roman" w:hAnsi="Times New Roman" w:eastAsia="Helvetica Neue" w:cs="Times New Roman"/>
                <w:color w:val="000000"/>
                <w:sz w:val="20"/>
                <w:szCs w:val="20"/>
              </w:rPr>
              <w:t>, I</w:t>
            </w:r>
            <w:r>
              <w:rPr>
                <w:rFonts w:hint="default" w:ascii="Times New Roman" w:hAnsi="Times New Roman" w:eastAsia="Helvetica Neue" w:cs="Times New Roman"/>
                <w:color w:val="000000"/>
                <w:sz w:val="16"/>
                <w:szCs w:val="16"/>
              </w:rPr>
              <w:t>NC</w:t>
            </w:r>
            <w:r>
              <w:rPr>
                <w:rFonts w:hint="default" w:ascii="Times New Roman" w:hAnsi="Times New Roman" w:eastAsia="Helvetica Neue" w:cs="Times New Roman"/>
                <w:color w:val="000000"/>
                <w:sz w:val="20"/>
                <w:szCs w:val="20"/>
              </w:rPr>
              <w:t>. (R</w:t>
            </w:r>
            <w:r>
              <w:rPr>
                <w:rFonts w:hint="default" w:ascii="Times New Roman" w:hAnsi="Times New Roman" w:eastAsia="Helvetica Neue" w:cs="Times New Roman"/>
                <w:color w:val="000000"/>
                <w:sz w:val="16"/>
                <w:szCs w:val="16"/>
              </w:rPr>
              <w:t>EGISTRANT</w:t>
            </w:r>
            <w:r>
              <w:rPr>
                <w:rFonts w:hint="default" w:ascii="Times New Roman" w:hAnsi="Times New Roman" w:eastAsia="Helvetica Neue" w:cs="Times New Roman"/>
                <w:color w:val="000000"/>
                <w:sz w:val="20"/>
                <w:szCs w:val="20"/>
              </w:rPr>
              <w:t>)</w:t>
            </w:r>
          </w:p>
        </w:tc>
      </w:tr>
      <w:tr>
        <w:trPr>
          <w:trHeight w:val="300" w:hRule="atLeast"/>
        </w:trP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left"/>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spacing w:line="30" w:lineRule="atLeast"/>
              <w:jc w:val="center"/>
              <w:textAlignment w:val="top"/>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0" w:type="dxa"/>
              <w:left w:w="20" w:type="dxa"/>
              <w:bottom w:w="0" w:type="dxa"/>
              <w:right w:w="20" w:type="dxa"/>
            </w:tcMar>
            <w:vAlign w:val="bottom"/>
          </w:tcPr>
          <w:p>
            <w:pPr>
              <w:jc w:val="left"/>
              <w:rPr>
                <w:rFonts w:hint="default" w:ascii="Helvetica Neue" w:hAnsi="Helvetica Neue" w:eastAsia="Helvetica Neue" w:cs="Helvetica Neue"/>
                <w:color w:val="212529"/>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spacing w:line="30" w:lineRule="atLeast"/>
              <w:jc w:val="center"/>
              <w:textAlignment w:val="bottom"/>
              <w:rPr>
                <w:rFonts w:hint="default" w:ascii="Helvetica Neue" w:hAnsi="Helvetica Neue" w:eastAsia="Helvetica Neue" w:cs="Helvetica Neue"/>
                <w:color w:val="212529"/>
              </w:rPr>
            </w:pPr>
            <w:r>
              <w:rPr>
                <w:rFonts w:hint="default" w:ascii="Times New Roman" w:hAnsi="Times New Roman" w:eastAsia="Helvetica Neue" w:cs="Times New Roman"/>
                <w:b/>
                <w:bCs/>
                <w:color w:val="000000"/>
                <w:sz w:val="20"/>
                <w:szCs w:val="20"/>
              </w:rPr>
              <w:t>(Principal Accounting Officer)</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line="20" w:lineRule="atLeast"/>
        <w:jc w:val="left"/>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Dated: October 28, 2021</w:t>
      </w: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ind w:left="0" w:hanging="720"/>
        <w:jc w:val="left"/>
        <w:rPr>
          <w:rFonts w:hint="default" w:ascii="initial ! important" w:hAnsi="initial ! important" w:eastAsia="initial ! important" w:cs="initial ! important"/>
          <w:color w:val="212529"/>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0" w:lineRule="atLeast"/>
        <w:jc w:val="center"/>
        <w:rPr>
          <w:rFonts w:hint="default" w:ascii="initial ! important" w:hAnsi="initial ! important" w:eastAsia="initial ! important" w:cs="initial ! important"/>
          <w:color w:val="212529"/>
        </w:rPr>
      </w:pPr>
      <w:r>
        <w:rPr>
          <w:rFonts w:hint="default" w:ascii="Times New Roman" w:hAnsi="Times New Roman" w:eastAsia="initial ! important" w:cs="Times New Roman"/>
          <w:color w:val="000000"/>
          <w:sz w:val="20"/>
          <w:szCs w:val="20"/>
        </w:rPr>
        <w:t>45</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tNrt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dtNrtwACAAAaBAAADgAAAAAAAAAB&#10;ACAAAAAzAQAAZHJzL2Uyb0RvYy54bWxQSwUGAAAAAAYABgBZAQAApQU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pStyle w:val="4"/>
        <w:keepNext w:val="0"/>
        <w:keepLines w:val="0"/>
        <w:widowControl/>
        <w:suppressLineNumbers w:val="0"/>
        <w:spacing w:before="0" w:beforeAutospacing="1" w:after="0" w:afterAutospacing="1" w:line="30" w:lineRule="atLeast"/>
        <w:ind w:left="0" w:right="0"/>
        <w:jc w:val="left"/>
      </w:pPr>
      <w:r>
        <w:rPr>
          <w:rFonts w:hint="default" w:ascii="Helvetica Neue" w:hAnsi="Helvetica Neue" w:eastAsia="Helvetica Neue" w:cs="Helvetica Neue"/>
          <w:color w:val="212529"/>
        </w:rPr>
        <w:t>Settings</w:t>
      </w:r>
    </w:p>
    <w:p>
      <w:pPr>
        <w:pStyle w:val="9"/>
      </w:pPr>
      <w:r>
        <w:t>窗体顶端</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Hover over Fact for quick information.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TiFKg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fHbO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04hSoBAgAAGgQAAA4AAAAAAAAA&#10;AQAgAAAAMwEAAGRycy9lMm9Eb2MueG1sUEsFBgAAAAAGAAYAWQEAAKYFA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color w:val="212529"/>
          <w:sz w:val="24"/>
          <w:szCs w:val="24"/>
        </w:rPr>
        <w:t xml:space="preserve">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Auto Scrolling Position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qfvTQ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6n700BAgAAGgQAAA4AAAAAAAAA&#10;AQAgAAAAMwEAAGRycy9lMm9Eb2MueG1sUEsFBgAAAAAGAAYAWQEAAKYFAAAAAA==&#10;">
                <v:path/>
                <v:fill on="f" focussize="0,0"/>
                <v:stroke/>
                <v:imagedata o:title=""/>
                <o:lock v:ext="edit" aspectratio="t"/>
                <w10:wrap type="none"/>
                <w10:anchorlock/>
              </v:rect>
            </w:pict>
          </mc:Fallback>
        </mc:AlternateContent>
      </w:r>
      <w:r>
        <w:rPr>
          <w:rFonts w:hint="default" w:ascii="Helvetica Neue" w:hAnsi="Helvetica Neue" w:eastAsia="Helvetica Neue" w:cs="Helvetica Neue"/>
          <w:color w:val="212529"/>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spacing w:line="30" w:lineRule="atLeast"/>
        <w:jc w:val="left"/>
      </w:pPr>
      <w:r>
        <w:rPr>
          <w:rFonts w:hint="default" w:ascii="Helvetica Neue" w:hAnsi="Helvetica Neue" w:eastAsia="Helvetica Neue" w:cs="Helvetica Neue"/>
          <w:color w:val="212529"/>
        </w:rP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Tagged Data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ascii="monospace" w:hAnsi="monospace" w:eastAsia="monospace" w:cs="monospace"/>
          <w:color w:val="212529"/>
          <w:sz w:val="24"/>
          <w:szCs w:val="24"/>
        </w:rPr>
        <mc:AlternateContent>
          <mc:Choice Requires="wps">
            <w:drawing>
              <wp:inline distT="0" distB="0" distL="114300" distR="114300">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Search Results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Selected Fact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keepNext w:val="0"/>
        <w:keepLines w:val="0"/>
        <w:widowControl/>
        <w:suppressLineNumbers w:val="0"/>
        <w:pBdr>
          <w:top w:val="none" w:color="auto" w:sz="0" w:space="0"/>
          <w:left w:val="none" w:color="auto" w:sz="0" w:space="0"/>
          <w:bottom w:val="none" w:color="auto" w:sz="0" w:space="0"/>
          <w:right w:val="none" w:color="auto" w:sz="0" w:space="0"/>
        </w:pBdr>
        <w:spacing w:line="30" w:lineRule="atLeast"/>
        <w:jc w:val="left"/>
      </w:pPr>
      <w:r>
        <w:rPr>
          <w:rFonts w:hint="default" w:ascii="Helvetica Neue" w:hAnsi="Helvetica Neue" w:eastAsia="Helvetica Neue" w:cs="Helvetica Neue"/>
          <w:color w:val="212529"/>
        </w:rP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Tag Shading (hover)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monospace" w:hAnsi="monospace" w:eastAsia="monospace" w:cs="monospace"/>
          <w:color w:val="212529"/>
          <w:sz w:val="24"/>
          <w:szCs w:val="24"/>
        </w:rPr>
        <mc:AlternateContent>
          <mc:Choice Requires="wps">
            <w:drawing>
              <wp:inline distT="0" distB="0" distL="114300" distR="114300">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Save</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Reset</w:t>
      </w:r>
    </w:p>
    <w:p>
      <w:pPr>
        <w:pStyle w:val="10"/>
      </w:pPr>
      <w:r>
        <w:t>窗体底端</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pStyle w:val="4"/>
        <w:keepNext w:val="0"/>
        <w:keepLines w:val="0"/>
        <w:widowControl/>
        <w:suppressLineNumbers w:val="0"/>
        <w:spacing w:before="0" w:beforeAutospacing="1" w:after="0" w:afterAutospacing="1" w:line="30" w:lineRule="atLeast"/>
        <w:ind w:left="0" w:right="0"/>
        <w:jc w:val="left"/>
      </w:pPr>
      <w:r>
        <w:rPr>
          <w:rFonts w:hint="default" w:ascii="Helvetica Neue" w:hAnsi="Helvetica Neue" w:eastAsia="Helvetica Neue" w:cs="Helvetica Neue"/>
          <w:color w:val="212529"/>
        </w:rPr>
        <w:t xml:space="preserve">Nested Facts /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Copy and Paste Below Content. </w:t>
      </w:r>
      <w:r>
        <w:rPr>
          <w:rFonts w:hint="default" w:ascii="Helvetica Neue" w:hAnsi="Helvetica Neue" w:eastAsia="Helvetica Neue" w:cs="Helvetica Neue"/>
          <w:color w:val="212529"/>
          <w:sz w:val="24"/>
          <w:szCs w:val="24"/>
        </w:rPr>
        <mc:AlternateContent>
          <mc:Choice Requires="wps">
            <w:drawing>
              <wp:inline distT="0" distB="0" distL="114300" distR="114300">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jc w:val="left"/>
              <w:rPr>
                <w:rFonts w:hint="default" w:ascii="Helvetica Neue" w:hAnsi="Helvetica Neue" w:eastAsia="Helvetica Neue" w:cs="Helvetica Neue"/>
                <w:color w:val="212529"/>
                <w:sz w:val="24"/>
                <w:szCs w:val="24"/>
              </w:rPr>
            </w:pPr>
          </w:p>
        </w:tc>
      </w:tr>
    </w:tbl>
    <w:p>
      <w:pPr>
        <w:keepNext w:val="0"/>
        <w:keepLines w:val="0"/>
        <w:widowControl/>
        <w:suppressLineNumbers w:val="0"/>
        <w:spacing w:line="30" w:lineRule="atLeast"/>
        <w:jc w:val="left"/>
        <w:rPr>
          <w:rFonts w:hint="default" w:ascii="Helvetica Neue" w:hAnsi="Helvetica Neue" w:eastAsia="Helvetica Neue" w:cs="Helvetica Neue"/>
          <w:color w:val="212529"/>
        </w:rPr>
      </w:pPr>
      <w:r>
        <w:rPr>
          <w:rFonts w:hint="default" w:ascii="Helvetica Neue" w:hAnsi="Helvetica Neue" w:eastAsia="Helvetica Neue" w:cs="Helvetica Neue"/>
          <w:color w:val="212529"/>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initial ! importan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71AA8"/>
    <w:rsid w:val="0D37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line="24" w:lineRule="atLeast"/>
      <w:jc w:val="left"/>
    </w:pPr>
    <w:rPr>
      <w:rFonts w:hint="eastAsia" w:ascii="宋体" w:hAnsi="宋体" w:eastAsia="宋体" w:cs="宋体"/>
      <w:kern w:val="0"/>
      <w:sz w:val="36"/>
      <w:szCs w:val="36"/>
      <w:lang w:val="en-US" w:eastAsia="zh-CN" w:bidi="ar"/>
    </w:rPr>
  </w:style>
  <w:style w:type="paragraph" w:styleId="3">
    <w:name w:val="heading 5"/>
    <w:basedOn w:val="1"/>
    <w:next w:val="1"/>
    <w:semiHidden/>
    <w:unhideWhenUsed/>
    <w:qFormat/>
    <w:uiPriority w:val="0"/>
    <w:pPr>
      <w:spacing w:line="24" w:lineRule="atLeast"/>
      <w:jc w:val="left"/>
    </w:pPr>
    <w:rPr>
      <w:rFonts w:hint="eastAsia" w:ascii="宋体" w:hAnsi="宋体" w:eastAsia="宋体" w:cs="宋体"/>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2023-02-11T00:42:00Z</dcterms:created>
  <dc:creator>徐馨润</dc:creator>
  <cp:lastModifiedBy>徐馨润</cp:lastModifiedBy>
  <dcterms:modified xsi:type="dcterms:W3CDTF">2023-02-11T00:42:58Z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6D0A20015905A1ACE073E663246A2291</vt:lpwstr>
  </property>
</Properties>
</file>