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230"/>
        <w:gridCol w:w="37"/>
      </w:tblGrid>
      <w:tr>
        <w:trPr>
          <w:jc w:val="center"/>
        </w:trPr>
        <w:tc>
          <w:tcPr>
            <w:tcW w:w="50" w:type="pct"/>
            <w:shd w:val="clear" w:color="auto" w:fill="auto"/>
            <w:vAlign w:val="bottom"/>
          </w:tcPr>
          <w:p>
            <w:pPr>
              <w:rPr>
                <w:rFonts w:hint="eastAsia" w:ascii="宋体"/>
                <w:sz w:val="24"/>
                <w:szCs w:val="24"/>
              </w:rPr>
            </w:pPr>
            <w:bookmarkStart w:id="0" w:name="_GoBack"/>
            <w:bookmarkEnd w:id="0"/>
          </w:p>
        </w:tc>
        <w:tc>
          <w:tcPr>
            <w:tcW w:w="494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trHeight w:val="60" w:hRule="atLeast"/>
          <w:jc w:val="center"/>
        </w:trPr>
        <w:tc>
          <w:tcPr>
            <w:tcW w:w="0" w:type="auto"/>
            <w:gridSpan w:val="3"/>
            <w:tcBorders>
              <w:top w:val="single" w:color="000000" w:sz="8" w:space="0"/>
              <w:bottom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b/>
          <w:bCs/>
          <w:color w:val="000000"/>
          <w:sz w:val="36"/>
          <w:szCs w:val="36"/>
        </w:rPr>
        <w:t>UNITED STATES</w:t>
      </w:r>
    </w:p>
    <w:p>
      <w:pPr>
        <w:keepNext w:val="0"/>
        <w:keepLines w:val="0"/>
        <w:widowControl/>
        <w:suppressLineNumbers w:val="0"/>
        <w:jc w:val="center"/>
      </w:pPr>
      <w:r>
        <w:rPr>
          <w:rFonts w:hint="default" w:ascii="Times New Roman" w:hAnsi="Times New Roman" w:eastAsia="宋体" w:cs="Times New Roman"/>
          <w:b/>
          <w:bCs/>
          <w:color w:val="000000"/>
          <w:sz w:val="36"/>
          <w:szCs w:val="36"/>
        </w:rPr>
        <w:t>SECURITIES AND EXCHANGE COMMISSION</w:t>
      </w:r>
    </w:p>
    <w:p>
      <w:pPr>
        <w:keepNext w:val="0"/>
        <w:keepLines w:val="0"/>
        <w:widowControl/>
        <w:suppressLineNumbers w:val="0"/>
        <w:jc w:val="center"/>
      </w:pPr>
      <w:r>
        <w:rPr>
          <w:rFonts w:hint="default" w:ascii="Times New Roman" w:hAnsi="Times New Roman" w:eastAsia="宋体" w:cs="Times New Roman"/>
          <w:b/>
          <w:bCs/>
          <w:color w:val="000000"/>
          <w:sz w:val="24"/>
          <w:szCs w:val="24"/>
        </w:rPr>
        <w:t>Washington, D.C. 20549</w:t>
      </w:r>
    </w:p>
    <w:p>
      <w:pPr>
        <w:keepNext w:val="0"/>
        <w:keepLines w:val="0"/>
        <w:widowControl/>
        <w:suppressLineNumbers w:val="0"/>
        <w:jc w:val="center"/>
      </w:pPr>
      <w:r>
        <w:rPr>
          <w:rFonts w:hint="default" w:ascii="Times New Roman" w:hAnsi="Times New Roman" w:eastAsia="宋体" w:cs="Times New Roman"/>
          <w:color w:val="000000"/>
          <w:sz w:val="20"/>
          <w:szCs w:val="20"/>
        </w:rPr>
        <w:t> ____________________________________</w:t>
      </w:r>
    </w:p>
    <w:p>
      <w:pPr>
        <w:keepNext w:val="0"/>
        <w:keepLines w:val="0"/>
        <w:widowControl/>
        <w:suppressLineNumbers w:val="0"/>
        <w:jc w:val="center"/>
      </w:pPr>
      <w:r>
        <w:rPr>
          <w:rFonts w:hint="default" w:ascii="Times New Roman" w:hAnsi="Times New Roman" w:eastAsia="宋体" w:cs="Times New Roman"/>
          <w:b/>
          <w:bCs/>
          <w:color w:val="000000"/>
          <w:sz w:val="36"/>
          <w:szCs w:val="36"/>
        </w:rPr>
        <w:t xml:space="preserve">FORM 10-Q </w:t>
      </w:r>
    </w:p>
    <w:p>
      <w:pPr>
        <w:keepNext w:val="0"/>
        <w:keepLines w:val="0"/>
        <w:widowControl/>
        <w:suppressLineNumbers w:val="0"/>
        <w:jc w:val="center"/>
      </w:pPr>
      <w:r>
        <w:rPr>
          <w:rFonts w:hint="default" w:ascii="Times New Roman" w:hAnsi="Times New Roman" w:eastAsia="宋体" w:cs="Times New Roman"/>
          <w:color w:val="000000"/>
          <w:sz w:val="20"/>
          <w:szCs w:val="20"/>
        </w:rPr>
        <w:t>____________________________________ </w:t>
      </w:r>
    </w:p>
    <w:p>
      <w:pPr>
        <w:keepNext w:val="0"/>
        <w:keepLines w:val="0"/>
        <w:widowControl/>
        <w:suppressLineNumbers w:val="0"/>
        <w:jc w:val="left"/>
      </w:pPr>
      <w:r>
        <w:rPr>
          <w:rFonts w:hint="default" w:ascii="Times New Roman" w:hAnsi="Times New Roman" w:eastAsia="宋体" w:cs="Times New Roman"/>
          <w:b/>
          <w:bCs/>
          <w:color w:val="000000"/>
          <w:sz w:val="20"/>
          <w:szCs w:val="20"/>
        </w:rPr>
        <w:t>(Mark One)</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381"/>
        <w:gridCol w:w="36"/>
        <w:gridCol w:w="69"/>
        <w:gridCol w:w="7733"/>
        <w:gridCol w:w="36"/>
      </w:tblGrid>
      <w:tr>
        <w:tc>
          <w:tcPr>
            <w:tcW w:w="50" w:type="pct"/>
            <w:shd w:val="clear" w:color="auto" w:fill="auto"/>
            <w:vAlign w:val="bottom"/>
          </w:tcPr>
          <w:p>
            <w:pPr>
              <w:rPr>
                <w:rFonts w:hint="eastAsia" w:ascii="宋体"/>
                <w:sz w:val="24"/>
                <w:szCs w:val="24"/>
              </w:rPr>
            </w:pPr>
          </w:p>
        </w:tc>
        <w:tc>
          <w:tcPr>
            <w:tcW w:w="23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65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ascii="Arial Unicode MS" w:hAnsi="Arial Unicode MS" w:eastAsia="Arial Unicode MS" w:cs="Arial Unicode MS"/>
                <w:color w:val="000000"/>
                <w:sz w:val="24"/>
                <w:szCs w:val="24"/>
              </w:rPr>
              <w:t>☒</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4"/>
                <w:szCs w:val="24"/>
              </w:rPr>
              <w:t>QUARTERLY REPORT PURSUANT TO SECTION 13 OR 15(d) OF THE SECURITIES EXCHANGE ACT OF 1934</w:t>
            </w:r>
          </w:p>
        </w:tc>
      </w:tr>
    </w:tbl>
    <w:p>
      <w:pPr>
        <w:keepNext w:val="0"/>
        <w:keepLines w:val="0"/>
        <w:widowControl/>
        <w:suppressLineNumbers w:val="0"/>
        <w:jc w:val="center"/>
      </w:pPr>
      <w:r>
        <w:rPr>
          <w:rFonts w:hint="default" w:ascii="Times New Roman" w:hAnsi="Times New Roman" w:eastAsia="宋体" w:cs="Times New Roman"/>
          <w:b/>
          <w:bCs/>
          <w:color w:val="000000"/>
          <w:sz w:val="20"/>
          <w:szCs w:val="20"/>
        </w:rPr>
        <w:t xml:space="preserve">For the quarterly period ended March 31, 2022 </w:t>
      </w:r>
    </w:p>
    <w:p>
      <w:pPr>
        <w:keepNext w:val="0"/>
        <w:keepLines w:val="0"/>
        <w:widowControl/>
        <w:suppressLineNumbers w:val="0"/>
        <w:jc w:val="center"/>
      </w:pPr>
      <w:r>
        <w:rPr>
          <w:rFonts w:hint="default" w:ascii="Times New Roman" w:hAnsi="Times New Roman" w:eastAsia="宋体" w:cs="Times New Roman"/>
          <w:b/>
          <w:bCs/>
          <w:color w:val="000000"/>
          <w:sz w:val="20"/>
          <w:szCs w:val="20"/>
        </w:rPr>
        <w:t>or</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381"/>
        <w:gridCol w:w="36"/>
        <w:gridCol w:w="69"/>
        <w:gridCol w:w="7733"/>
        <w:gridCol w:w="36"/>
      </w:tblGrid>
      <w:tr>
        <w:tc>
          <w:tcPr>
            <w:tcW w:w="50" w:type="pct"/>
            <w:shd w:val="clear" w:color="auto" w:fill="auto"/>
            <w:vAlign w:val="bottom"/>
          </w:tcPr>
          <w:p>
            <w:pPr>
              <w:rPr>
                <w:rFonts w:hint="eastAsia" w:ascii="宋体"/>
                <w:sz w:val="24"/>
                <w:szCs w:val="24"/>
              </w:rPr>
            </w:pPr>
          </w:p>
        </w:tc>
        <w:tc>
          <w:tcPr>
            <w:tcW w:w="23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65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eastAsia" w:ascii="Arial Unicode MS" w:hAnsi="Arial Unicode MS" w:eastAsia="Arial Unicode MS" w:cs="Arial Unicode MS"/>
                <w:color w:val="000000"/>
                <w:sz w:val="24"/>
                <w:szCs w:val="24"/>
              </w:rPr>
              <w:t>☐</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4"/>
                <w:szCs w:val="24"/>
              </w:rPr>
              <w:t>TRANSITION REPORT PURSUANT TO SECTION 13 OR 15(d) OF THE SECURITIES EXCHANGE ACT OF 1934</w:t>
            </w:r>
          </w:p>
        </w:tc>
      </w:tr>
    </w:tbl>
    <w:p>
      <w:pPr>
        <w:keepNext w:val="0"/>
        <w:keepLines w:val="0"/>
        <w:widowControl/>
        <w:suppressLineNumbers w:val="0"/>
        <w:jc w:val="center"/>
      </w:pPr>
      <w:r>
        <w:rPr>
          <w:rFonts w:hint="default" w:ascii="Times New Roman" w:hAnsi="Times New Roman" w:eastAsia="宋体" w:cs="Times New Roman"/>
          <w:b/>
          <w:bCs/>
          <w:color w:val="000000"/>
          <w:sz w:val="20"/>
          <w:szCs w:val="20"/>
        </w:rPr>
        <w:t>For the transition period from            to             .</w:t>
      </w:r>
    </w:p>
    <w:p>
      <w:pPr>
        <w:keepNext w:val="0"/>
        <w:keepLines w:val="0"/>
        <w:widowControl/>
        <w:suppressLineNumbers w:val="0"/>
        <w:jc w:val="center"/>
      </w:pPr>
      <w:r>
        <w:rPr>
          <w:rFonts w:hint="default" w:ascii="Times New Roman" w:hAnsi="Times New Roman" w:eastAsia="宋体" w:cs="Times New Roman"/>
          <w:b/>
          <w:bCs/>
          <w:color w:val="000000"/>
          <w:sz w:val="20"/>
          <w:szCs w:val="20"/>
        </w:rPr>
        <w:t xml:space="preserve">Commission File No. 000-22513 </w:t>
      </w:r>
    </w:p>
    <w:p>
      <w:pPr>
        <w:keepNext w:val="0"/>
        <w:keepLines w:val="0"/>
        <w:widowControl/>
        <w:suppressLineNumbers w:val="0"/>
        <w:jc w:val="center"/>
      </w:pPr>
      <w:r>
        <w:rPr>
          <w:rFonts w:hint="default" w:ascii="Times New Roman" w:hAnsi="Times New Roman" w:eastAsia="宋体" w:cs="Times New Roman"/>
          <w:color w:val="000000"/>
          <w:sz w:val="20"/>
          <w:szCs w:val="20"/>
        </w:rPr>
        <w:t>____________________________________</w:t>
      </w:r>
    </w:p>
    <w:p>
      <w:pPr>
        <w:keepNext w:val="0"/>
        <w:keepLines w:val="0"/>
        <w:widowControl/>
        <w:suppressLineNumbers w:val="0"/>
        <w:jc w:val="center"/>
      </w:pPr>
      <w:r>
        <w:rPr>
          <w:rFonts w:hint="default" w:ascii="Times New Roman" w:hAnsi="Times New Roman" w:eastAsia="宋体" w:cs="Times New Roman"/>
          <w:b/>
          <w:bCs/>
          <w:color w:val="000000"/>
          <w:sz w:val="48"/>
          <w:szCs w:val="48"/>
        </w:rPr>
        <w:t xml:space="preserve">AMAZON.COM, INC. </w:t>
      </w:r>
    </w:p>
    <w:p>
      <w:pPr>
        <w:keepNext w:val="0"/>
        <w:keepLines w:val="0"/>
        <w:widowControl/>
        <w:suppressLineNumbers w:val="0"/>
        <w:jc w:val="center"/>
      </w:pPr>
      <w:r>
        <w:rPr>
          <w:rFonts w:hint="default" w:ascii="Times New Roman" w:hAnsi="Times New Roman" w:eastAsia="宋体" w:cs="Times New Roman"/>
          <w:b/>
          <w:bCs/>
          <w:color w:val="000000"/>
          <w:sz w:val="20"/>
          <w:szCs w:val="20"/>
        </w:rPr>
        <w:t>(Exact name of registrant as specified in its charter)</w:t>
      </w:r>
    </w:p>
    <w:p>
      <w:pPr>
        <w:keepNext w:val="0"/>
        <w:keepLines w:val="0"/>
        <w:widowControl/>
        <w:suppressLineNumbers w:val="0"/>
        <w:jc w:val="center"/>
      </w:pPr>
      <w:r>
        <w:rPr>
          <w:rFonts w:hint="default" w:ascii="Times New Roman" w:hAnsi="Times New Roman" w:eastAsia="宋体" w:cs="Times New Roman"/>
          <w:color w:val="000000"/>
          <w:sz w:val="20"/>
          <w:szCs w:val="20"/>
        </w:rPr>
        <w:t> ____________________________________</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0"/>
        <w:gridCol w:w="3933"/>
        <w:gridCol w:w="36"/>
        <w:gridCol w:w="36"/>
        <w:gridCol w:w="193"/>
        <w:gridCol w:w="36"/>
        <w:gridCol w:w="61"/>
        <w:gridCol w:w="3933"/>
        <w:gridCol w:w="36"/>
      </w:tblGrid>
      <w:tr>
        <w:tc>
          <w:tcPr>
            <w:tcW w:w="50" w:type="pct"/>
            <w:shd w:val="clear" w:color="auto" w:fill="auto"/>
            <w:vAlign w:val="bottom"/>
          </w:tcPr>
          <w:p>
            <w:pPr>
              <w:rPr>
                <w:rFonts w:hint="eastAsia" w:ascii="宋体"/>
                <w:sz w:val="24"/>
                <w:szCs w:val="24"/>
              </w:rPr>
            </w:pPr>
          </w:p>
        </w:tc>
        <w:tc>
          <w:tcPr>
            <w:tcW w:w="237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37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Delaware</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91-1646860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(State or other jurisdiction of</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incorporation or organization)</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(I.R.S. Employer</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Identification No.)</w:t>
            </w:r>
          </w:p>
        </w:tc>
      </w:tr>
    </w:tbl>
    <w:p>
      <w:pPr>
        <w:keepNext w:val="0"/>
        <w:keepLines w:val="0"/>
        <w:widowControl/>
        <w:suppressLineNumbers w:val="0"/>
        <w:jc w:val="center"/>
      </w:pPr>
      <w:r>
        <w:rPr>
          <w:rFonts w:hint="default" w:ascii="Times New Roman" w:hAnsi="Times New Roman" w:eastAsia="宋体" w:cs="Times New Roman"/>
          <w:b/>
          <w:bCs/>
          <w:color w:val="000000"/>
          <w:sz w:val="18"/>
          <w:szCs w:val="18"/>
        </w:rPr>
        <w:t xml:space="preserve">410 Terry Avenue North, Seattle, Washington 98109-5210 </w:t>
      </w:r>
    </w:p>
    <w:p>
      <w:pPr>
        <w:keepNext w:val="0"/>
        <w:keepLines w:val="0"/>
        <w:widowControl/>
        <w:suppressLineNumbers w:val="0"/>
        <w:jc w:val="center"/>
      </w:pPr>
      <w:r>
        <w:rPr>
          <w:rFonts w:hint="default" w:ascii="Times New Roman" w:hAnsi="Times New Roman" w:eastAsia="宋体" w:cs="Times New Roman"/>
          <w:b/>
          <w:bCs/>
          <w:color w:val="000000"/>
          <w:sz w:val="18"/>
          <w:szCs w:val="18"/>
        </w:rPr>
        <w:t xml:space="preserve">(206) 266-1000 </w:t>
      </w:r>
    </w:p>
    <w:p>
      <w:pPr>
        <w:keepNext w:val="0"/>
        <w:keepLines w:val="0"/>
        <w:widowControl/>
        <w:suppressLineNumbers w:val="0"/>
        <w:jc w:val="center"/>
      </w:pPr>
      <w:r>
        <w:rPr>
          <w:rFonts w:hint="default" w:ascii="Times New Roman" w:hAnsi="Times New Roman" w:eastAsia="宋体" w:cs="Times New Roman"/>
          <w:b/>
          <w:bCs/>
          <w:color w:val="000000"/>
          <w:sz w:val="16"/>
          <w:szCs w:val="16"/>
        </w:rPr>
        <w:t>(Address and telephone number, including area code, of registrant’s principal executive offices)</w:t>
      </w:r>
    </w:p>
    <w:p>
      <w:pPr>
        <w:keepNext w:val="0"/>
        <w:keepLines w:val="0"/>
        <w:widowControl/>
        <w:suppressLineNumbers w:val="0"/>
        <w:jc w:val="center"/>
      </w:pPr>
    </w:p>
    <w:p>
      <w:pPr>
        <w:keepNext w:val="0"/>
        <w:keepLines w:val="0"/>
        <w:widowControl/>
        <w:suppressLineNumbers w:val="0"/>
        <w:jc w:val="center"/>
      </w:pPr>
      <w:r>
        <w:rPr>
          <w:rFonts w:hint="default" w:ascii="Times New Roman" w:hAnsi="Times New Roman" w:eastAsia="宋体" w:cs="Times New Roman"/>
          <w:b/>
          <w:bCs/>
          <w:color w:val="000000"/>
          <w:sz w:val="16"/>
          <w:szCs w:val="16"/>
        </w:rPr>
        <w:t xml:space="preserve">Securities registered pursuant to Section 12(b) of the Act: </w:t>
      </w:r>
    </w:p>
    <w:tbl>
      <w:tblPr>
        <w:tblStyle w:val="5"/>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3259"/>
        <w:gridCol w:w="36"/>
        <w:gridCol w:w="69"/>
        <w:gridCol w:w="1551"/>
        <w:gridCol w:w="36"/>
        <w:gridCol w:w="69"/>
        <w:gridCol w:w="3198"/>
        <w:gridCol w:w="37"/>
      </w:tblGrid>
      <w:tr>
        <w:trPr>
          <w:jc w:val="center"/>
        </w:trPr>
        <w:tc>
          <w:tcPr>
            <w:tcW w:w="50" w:type="pct"/>
            <w:shd w:val="clear" w:color="auto" w:fill="auto"/>
            <w:vAlign w:val="bottom"/>
          </w:tcPr>
          <w:p>
            <w:pPr>
              <w:rPr>
                <w:rFonts w:hint="eastAsia" w:ascii="宋体"/>
                <w:sz w:val="24"/>
                <w:szCs w:val="24"/>
              </w:rPr>
            </w:pPr>
          </w:p>
        </w:tc>
        <w:tc>
          <w:tcPr>
            <w:tcW w:w="196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94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192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3"/>
                <w:szCs w:val="13"/>
              </w:rPr>
              <w:t>Title of Each Class</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3"/>
                <w:szCs w:val="13"/>
              </w:rPr>
              <w:t>Trading Symbol(s)</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3"/>
                <w:szCs w:val="13"/>
              </w:rPr>
              <w:t>Name of Each Exchange on Which Registered</w:t>
            </w: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16"/>
                <w:szCs w:val="16"/>
              </w:rPr>
              <w:t>Common Stock, par value $.01 per share</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16"/>
                <w:szCs w:val="16"/>
              </w:rPr>
              <w:t>AMZN</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16"/>
                <w:szCs w:val="16"/>
              </w:rPr>
              <w:t>Nasdaq Global Select Market</w:t>
            </w:r>
          </w:p>
        </w:tc>
      </w:tr>
    </w:tbl>
    <w:p>
      <w:pPr>
        <w:keepNext w:val="0"/>
        <w:keepLines w:val="0"/>
        <w:widowControl/>
        <w:suppressLineNumbers w:val="0"/>
        <w:jc w:val="center"/>
      </w:pPr>
      <w:r>
        <w:rPr>
          <w:rFonts w:hint="default" w:ascii="Times New Roman" w:hAnsi="Times New Roman" w:eastAsia="宋体" w:cs="Times New Roman"/>
          <w:color w:val="000000"/>
          <w:sz w:val="18"/>
          <w:szCs w:val="18"/>
        </w:rPr>
        <w:t>____________________________________</w:t>
      </w:r>
    </w:p>
    <w:p>
      <w:pPr>
        <w:keepNext w:val="0"/>
        <w:keepLines w:val="0"/>
        <w:widowControl/>
        <w:suppressLineNumbers w:val="0"/>
        <w:ind w:left="0" w:firstLine="495"/>
        <w:jc w:val="left"/>
      </w:pPr>
      <w:r>
        <w:rPr>
          <w:rFonts w:hint="default" w:ascii="Times New Roman" w:hAnsi="Times New Roman" w:eastAsia="宋体" w:cs="Times New Roman"/>
          <w:color w:val="000000"/>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Pr>
          <w:rFonts w:hint="eastAsia" w:ascii="Arial Unicode MS" w:hAnsi="Arial Unicode MS" w:eastAsia="Arial Unicode MS" w:cs="Arial Unicode MS"/>
          <w:color w:val="000000"/>
          <w:sz w:val="18"/>
          <w:szCs w:val="18"/>
        </w:rPr>
        <w:t>☒</w:t>
      </w:r>
      <w:r>
        <w:rPr>
          <w:rFonts w:hint="default" w:ascii="Times New Roman" w:hAnsi="Times New Roman" w:eastAsia="宋体" w:cs="Times New Roman"/>
          <w:color w:val="000000"/>
          <w:sz w:val="18"/>
          <w:szCs w:val="18"/>
        </w:rPr>
        <w:t>    No  </w:t>
      </w:r>
      <w:r>
        <w:rPr>
          <w:rFonts w:hint="eastAsia" w:ascii="Arial Unicode MS" w:hAnsi="Arial Unicode MS" w:eastAsia="Arial Unicode MS" w:cs="Arial Unicode MS"/>
          <w:color w:val="000000"/>
          <w:sz w:val="18"/>
          <w:szCs w:val="18"/>
        </w:rPr>
        <w:t>☐</w:t>
      </w:r>
    </w:p>
    <w:p>
      <w:pPr>
        <w:keepNext w:val="0"/>
        <w:keepLines w:val="0"/>
        <w:widowControl/>
        <w:suppressLineNumbers w:val="0"/>
        <w:ind w:left="0" w:firstLine="495"/>
        <w:jc w:val="left"/>
      </w:pPr>
    </w:p>
    <w:p>
      <w:pPr>
        <w:keepNext w:val="0"/>
        <w:keepLines w:val="0"/>
        <w:widowControl/>
        <w:suppressLineNumbers w:val="0"/>
        <w:ind w:left="0" w:firstLine="495"/>
        <w:jc w:val="left"/>
      </w:pPr>
      <w:r>
        <w:rPr>
          <w:rFonts w:hint="default" w:ascii="Times New Roman" w:hAnsi="Times New Roman" w:eastAsia="宋体" w:cs="Times New Roman"/>
          <w:color w:val="000000"/>
          <w:sz w:val="18"/>
          <w:szCs w:val="18"/>
        </w:rPr>
        <w:t>Indicate by check mark whether the registrant has submitted electronically every Interactive Data File required to be submitted pursuant to Rule 405 of Regulation S-T during the preceding 12 months (or for such shorter period that the registrant was required to submit such files).    Yes  </w:t>
      </w:r>
      <w:r>
        <w:rPr>
          <w:rFonts w:hint="eastAsia" w:ascii="Arial Unicode MS" w:hAnsi="Arial Unicode MS" w:eastAsia="Arial Unicode MS" w:cs="Arial Unicode MS"/>
          <w:color w:val="000000"/>
          <w:sz w:val="18"/>
          <w:szCs w:val="18"/>
        </w:rPr>
        <w:t>☒</w:t>
      </w:r>
      <w:r>
        <w:rPr>
          <w:rFonts w:hint="default" w:ascii="Times New Roman" w:hAnsi="Times New Roman" w:eastAsia="宋体" w:cs="Times New Roman"/>
          <w:color w:val="000000"/>
          <w:sz w:val="18"/>
          <w:szCs w:val="18"/>
        </w:rPr>
        <w:t>    No </w:t>
      </w:r>
      <w:r>
        <w:rPr>
          <w:rFonts w:hint="eastAsia" w:ascii="Arial Unicode MS" w:hAnsi="Arial Unicode MS" w:eastAsia="Arial Unicode MS" w:cs="Arial Unicode MS"/>
          <w:color w:val="000000"/>
          <w:sz w:val="18"/>
          <w:szCs w:val="18"/>
        </w:rPr>
        <w:t> ☐</w:t>
      </w:r>
    </w:p>
    <w:p>
      <w:pPr>
        <w:keepNext w:val="0"/>
        <w:keepLines w:val="0"/>
        <w:widowControl/>
        <w:suppressLineNumbers w:val="0"/>
        <w:ind w:left="0" w:firstLine="495"/>
        <w:jc w:val="left"/>
      </w:pPr>
    </w:p>
    <w:p>
      <w:pPr>
        <w:keepNext w:val="0"/>
        <w:keepLines w:val="0"/>
        <w:widowControl/>
        <w:suppressLineNumbers w:val="0"/>
        <w:ind w:left="0" w:firstLine="495"/>
        <w:jc w:val="left"/>
      </w:pPr>
      <w:r>
        <w:rPr>
          <w:rFonts w:hint="default" w:ascii="Times New Roman" w:hAnsi="Times New Roman" w:eastAsia="宋体" w:cs="Times New Roman"/>
          <w:color w:val="000000"/>
          <w:sz w:val="18"/>
          <w:szCs w:val="18"/>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Style w:val="5"/>
        <w:tblW w:w="47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6"/>
        <w:gridCol w:w="1515"/>
        <w:gridCol w:w="36"/>
        <w:gridCol w:w="36"/>
        <w:gridCol w:w="36"/>
        <w:gridCol w:w="36"/>
        <w:gridCol w:w="36"/>
        <w:gridCol w:w="3657"/>
        <w:gridCol w:w="36"/>
        <w:gridCol w:w="81"/>
        <w:gridCol w:w="1921"/>
        <w:gridCol w:w="36"/>
        <w:gridCol w:w="36"/>
        <w:gridCol w:w="36"/>
        <w:gridCol w:w="36"/>
        <w:gridCol w:w="36"/>
        <w:gridCol w:w="174"/>
        <w:gridCol w:w="36"/>
      </w:tblGrid>
      <w:tr>
        <w:tc>
          <w:tcPr>
            <w:tcW w:w="50" w:type="pct"/>
            <w:shd w:val="clear" w:color="auto" w:fill="auto"/>
            <w:vAlign w:val="bottom"/>
          </w:tcPr>
          <w:p>
            <w:pPr>
              <w:rPr>
                <w:rFonts w:hint="eastAsia" w:ascii="宋体"/>
                <w:sz w:val="24"/>
                <w:szCs w:val="24"/>
              </w:rPr>
            </w:pPr>
          </w:p>
        </w:tc>
        <w:tc>
          <w:tcPr>
            <w:tcW w:w="10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40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118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3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Large accelerated filer</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eastAsia" w:ascii="Arial Unicode MS" w:hAnsi="Arial Unicode MS" w:eastAsia="Arial Unicode MS" w:cs="Arial Unicode MS"/>
                <w:color w:val="000000"/>
                <w:sz w:val="20"/>
                <w:szCs w:val="20"/>
              </w:rPr>
              <w:t>☒</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Accelerated filer</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eastAsia" w:ascii="Arial Unicode MS" w:hAnsi="Arial Unicode MS" w:eastAsia="Arial Unicode MS" w:cs="Arial Unicode MS"/>
                <w:color w:val="000000"/>
                <w:sz w:val="20"/>
                <w:szCs w:val="20"/>
              </w:rPr>
              <w:t>☐</w:t>
            </w:r>
          </w:p>
        </w:tc>
      </w:tr>
      <w:tr>
        <w:trPr>
          <w:trHeight w:val="60" w:hRule="atLeast"/>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Non-accelerated filer</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eastAsia" w:ascii="Arial Unicode MS" w:hAnsi="Arial Unicode MS" w:eastAsia="Arial Unicode MS" w:cs="Arial Unicode MS"/>
                <w:color w:val="000000"/>
                <w:sz w:val="20"/>
                <w:szCs w:val="20"/>
              </w:rPr>
              <w:t>☐</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Smaller reporting company</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eastAsia" w:ascii="Arial Unicode MS" w:hAnsi="Arial Unicode MS" w:eastAsia="Arial Unicode MS" w:cs="Arial Unicode MS"/>
                <w:color w:val="000000"/>
                <w:sz w:val="20"/>
                <w:szCs w:val="20"/>
              </w:rPr>
              <w:t>☐</w:t>
            </w:r>
          </w:p>
        </w:tc>
      </w:tr>
      <w:tr>
        <w:trPr>
          <w:trHeight w:val="60" w:hRule="atLeast"/>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Emerging growth company</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eastAsia" w:ascii="Arial Unicode MS" w:hAnsi="Arial Unicode MS" w:eastAsia="Arial Unicode MS" w:cs="Arial Unicode MS"/>
                <w:color w:val="000000"/>
                <w:sz w:val="20"/>
                <w:szCs w:val="20"/>
              </w:rPr>
              <w:t>☐</w:t>
            </w:r>
          </w:p>
        </w:tc>
      </w:tr>
    </w:tbl>
    <w:p>
      <w:pPr>
        <w:keepNext w:val="0"/>
        <w:keepLines w:val="0"/>
        <w:widowControl/>
        <w:suppressLineNumbers w:val="0"/>
        <w:ind w:left="0" w:firstLine="495"/>
        <w:jc w:val="left"/>
      </w:pPr>
      <w:r>
        <w:rPr>
          <w:rFonts w:hint="default" w:ascii="Times New Roman" w:hAnsi="Times New Roman" w:eastAsia="宋体" w:cs="Times New Roman"/>
          <w:color w:val="000000"/>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Pr>
          <w:rFonts w:hint="eastAsia" w:ascii="Arial Unicode MS" w:hAnsi="Arial Unicode MS" w:eastAsia="Arial Unicode MS" w:cs="Arial Unicode MS"/>
          <w:color w:val="000000"/>
          <w:sz w:val="18"/>
          <w:szCs w:val="18"/>
        </w:rPr>
        <w: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18"/>
          <w:szCs w:val="18"/>
        </w:rPr>
        <w:t>Indicate by check mark whether the registrant is a shell company (as defined in Rule 12b-2 of the Exchange Act).    Yes  </w:t>
      </w:r>
      <w:r>
        <w:rPr>
          <w:rFonts w:hint="eastAsia" w:ascii="Arial Unicode MS" w:hAnsi="Arial Unicode MS" w:eastAsia="Arial Unicode MS" w:cs="Arial Unicode MS"/>
          <w:color w:val="000000"/>
          <w:sz w:val="18"/>
          <w:szCs w:val="18"/>
        </w:rPr>
        <w:t>☐</w:t>
      </w:r>
      <w:r>
        <w:rPr>
          <w:rFonts w:hint="default" w:ascii="Times New Roman" w:hAnsi="Times New Roman" w:eastAsia="宋体" w:cs="Times New Roman"/>
          <w:color w:val="000000"/>
          <w:sz w:val="18"/>
          <w:szCs w:val="18"/>
        </w:rPr>
        <w:t>    No  </w:t>
      </w:r>
      <w:r>
        <w:rPr>
          <w:rFonts w:hint="eastAsia" w:ascii="Arial Unicode MS" w:hAnsi="Arial Unicode MS" w:eastAsia="Arial Unicode MS" w:cs="Arial Unicode MS"/>
          <w:color w:val="000000"/>
          <w:sz w:val="18"/>
          <w:szCs w:val="18"/>
        </w:rPr>
        <w: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18"/>
          <w:szCs w:val="18"/>
        </w:rPr>
        <w:t xml:space="preserve">508,720,481 shares of common stock, par value $0.01 per share, outstanding as of April 20, 2022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230"/>
        <w:gridCol w:w="37"/>
      </w:tblGrid>
      <w:tr>
        <w:tc>
          <w:tcPr>
            <w:tcW w:w="50" w:type="pct"/>
            <w:shd w:val="clear" w:color="auto" w:fill="auto"/>
            <w:vAlign w:val="bottom"/>
          </w:tcPr>
          <w:p>
            <w:pPr>
              <w:rPr>
                <w:rFonts w:hint="eastAsia" w:ascii="宋体"/>
                <w:sz w:val="24"/>
                <w:szCs w:val="24"/>
              </w:rPr>
            </w:pPr>
          </w:p>
        </w:tc>
        <w:tc>
          <w:tcPr>
            <w:tcW w:w="494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trHeight w:val="60" w:hRule="atLeast"/>
        </w:trPr>
        <w:tc>
          <w:tcPr>
            <w:tcW w:w="0" w:type="auto"/>
            <w:gridSpan w:val="3"/>
            <w:tcBorders>
              <w:top w:val="single" w:color="000000" w:sz="8" w:space="0"/>
              <w:bottom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r>
    </w:tbl>
    <w:p>
      <w:pPr>
        <w:keepNext w:val="0"/>
        <w:keepLines w:val="0"/>
        <w:widowControl/>
        <w:suppressLineNumbers w:val="0"/>
        <w:jc w:val="left"/>
      </w:pPr>
    </w:p>
    <w:p>
      <w:pPr>
        <w:keepNext w:val="0"/>
        <w:keepLines w:val="0"/>
        <w:widowControl/>
        <w:suppressLineNumbers w:val="0"/>
      </w:pPr>
      <w:r>
        <w:pict>
          <v:rect id="_x0000_i105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FORM 10-Q</w:t>
      </w:r>
    </w:p>
    <w:p>
      <w:pPr>
        <w:keepNext w:val="0"/>
        <w:keepLines w:val="0"/>
        <w:widowControl/>
        <w:suppressLineNumbers w:val="0"/>
        <w:jc w:val="center"/>
      </w:pPr>
      <w:r>
        <w:rPr>
          <w:rFonts w:hint="default" w:ascii="Times New Roman" w:hAnsi="Times New Roman" w:eastAsia="宋体" w:cs="Times New Roman"/>
          <w:b/>
          <w:bCs/>
          <w:color w:val="000000"/>
          <w:sz w:val="20"/>
          <w:szCs w:val="20"/>
        </w:rPr>
        <w:t xml:space="preserve">For the Quarterly Period Ended March 31, 2022 </w:t>
      </w:r>
    </w:p>
    <w:p>
      <w:pPr>
        <w:keepNext w:val="0"/>
        <w:keepLines w:val="0"/>
        <w:widowControl/>
        <w:suppressLineNumbers w:val="0"/>
        <w:spacing w:before="100" w:beforeAutospacing="0"/>
        <w:jc w:val="center"/>
      </w:pPr>
      <w:r>
        <w:rPr>
          <w:rFonts w:hint="default" w:ascii="Times New Roman" w:hAnsi="Times New Roman" w:eastAsia="宋体" w:cs="Times New Roman"/>
          <w:b/>
          <w:bCs/>
          <w:color w:val="000000"/>
          <w:sz w:val="20"/>
          <w:szCs w:val="20"/>
        </w:rPr>
        <w:t>INDEX</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32"/>
        <w:gridCol w:w="36"/>
        <w:gridCol w:w="69"/>
        <w:gridCol w:w="6611"/>
        <w:gridCol w:w="36"/>
        <w:gridCol w:w="69"/>
        <w:gridCol w:w="565"/>
        <w:gridCol w:w="37"/>
      </w:tblGrid>
      <w:tr>
        <w:tc>
          <w:tcPr>
            <w:tcW w:w="50" w:type="pct"/>
            <w:shd w:val="clear" w:color="auto" w:fill="auto"/>
            <w:vAlign w:val="bottom"/>
          </w:tcPr>
          <w:p>
            <w:pPr>
              <w:rPr>
                <w:rFonts w:hint="eastAsia" w:ascii="宋体"/>
                <w:sz w:val="24"/>
                <w:szCs w:val="24"/>
              </w:rPr>
            </w:pPr>
          </w:p>
        </w:tc>
        <w:tc>
          <w:tcPr>
            <w:tcW w:w="50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97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4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EE"/>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Page</w:t>
            </w:r>
          </w:p>
        </w:tc>
      </w:tr>
      <w:tr>
        <w:tc>
          <w:tcPr>
            <w:tcW w:w="0" w:type="auto"/>
            <w:gridSpan w:val="6"/>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PART I. FINANCIAL INFORMATION</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"i4e41bfcd43b843d5af1e86714106570b_13"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Financial Statements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"i4e41bfcd43b843d5af1e86714106570b_13"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"i4e41bfcd43b843d5af1e86714106570b_16"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Consolidated Statements of Cash Flows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"i4e41bfcd43b843d5af1e86714106570b_16"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"i4e41bfcd43b843d5af1e86714106570b_19"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Consolidated Statements of Operations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"i4e41bfcd43b843d5af1e86714106570b_19"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"i4e41bfcd43b843d5af1e86714106570b_22"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Consolidated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"i4e41bfcd43b843d5af1e86714106570b_22"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Statements of Comprehensive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t>Income (Loss)</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"i4e41bfcd43b843d5af1e86714106570b_22"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5</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"i4e41bfcd43b843d5af1e86714106570b_28"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Consolidated Balance Sheets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"i4e41bfcd43b843d5af1e86714106570b_28"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6</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"i4e41bfcd43b843d5af1e86714106570b_31"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Notes to Consolidated Financial Statements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"i4e41bfcd43b843d5af1e86714106570b_31"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7</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2.</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"i4e41bfcd43b843d5af1e86714106570b_109"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Management’s Discussion and Analysis of Financial Condition and Results of Operations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"i4e41bfcd43b843d5af1e86714106570b_109"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20</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3.</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"i4e41bfcd43b843d5af1e86714106570b_127"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Quantitative and Qualitative Disclosures About Market Risk</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"i4e41bfcd43b843d5af1e86714106570b_127"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31</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4.</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"i4e41bfcd43b843d5af1e86714106570b_130"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Controls and Procedures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"i4e41bfcd43b843d5af1e86714106570b_130"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32</w:t>
            </w:r>
            <w:r>
              <w:rPr>
                <w:rFonts w:hint="default" w:ascii="Times New Roman" w:hAnsi="Times New Roman" w:eastAsia="宋体" w:cs="Times New Roman"/>
                <w:color w:val="0000FF"/>
                <w:sz w:val="20"/>
                <w:szCs w:val="20"/>
                <w:u w:val="single"/>
              </w:rPr>
              <w:fldChar w:fldCharType="end"/>
            </w:r>
          </w:p>
        </w:tc>
      </w:tr>
      <w:tr>
        <w:trPr>
          <w:trHeight w:val="300" w:hRule="atLeast"/>
        </w:trPr>
        <w:tc>
          <w:tcPr>
            <w:tcW w:w="0" w:type="auto"/>
            <w:gridSpan w:val="6"/>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6"/>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PART II. OTHER INFORMATION</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"i4e41bfcd43b843d5af1e86714106570b_136"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Legal Proceedings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"i4e41bfcd43b843d5af1e86714106570b_136"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33</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1A.</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"i4e41bfcd43b843d5af1e86714106570b_139"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Risk Factors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"i4e41bfcd43b843d5af1e86714106570b_139"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33</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2.</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"i4e41bfcd43b843d5af1e86714106570b_142"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Unregistered Sales of Equity Securities and Use of Proceeds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"i4e41bfcd43b843d5af1e86714106570b_142"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43</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3.</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"i4e41bfcd43b843d5af1e86714106570b_145"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Defaults Upon Senior Securities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"i4e41bfcd43b843d5af1e86714106570b_145"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43</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4.</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"i4e41bfcd43b843d5af1e86714106570b_148"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Mine Safety Disclosures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"i4e41bfcd43b843d5af1e86714106570b_148"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43</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5.</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"i4e41bfcd43b843d5af1e86714106570b_151"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Other Information</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"i4e41bfcd43b843d5af1e86714106570b_151"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43</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6.</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"i4e41bfcd43b843d5af1e86714106570b_154"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Exhibits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"i4e41bfcd43b843d5af1e86714106570b_154"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44</w:t>
            </w:r>
            <w:r>
              <w:rPr>
                <w:rFonts w:hint="default" w:ascii="Times New Roman" w:hAnsi="Times New Roman" w:eastAsia="宋体" w:cs="Times New Roman"/>
                <w:color w:val="0000FF"/>
                <w:sz w:val="20"/>
                <w:szCs w:val="20"/>
                <w:u w:val="single"/>
              </w:rPr>
              <w:fldChar w:fldCharType="end"/>
            </w:r>
          </w:p>
        </w:tc>
      </w:tr>
      <w:tr>
        <w:tc>
          <w:tcPr>
            <w:tcW w:w="0" w:type="auto"/>
            <w:gridSpan w:val="6"/>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"i4e41bfcd43b843d5af1e86714106570b_157"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Signatures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"i4e41bfcd43b843d5af1e86714106570b_157"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45</w:t>
            </w:r>
            <w:r>
              <w:rPr>
                <w:rFonts w:hint="default" w:ascii="Times New Roman" w:hAnsi="Times New Roman" w:eastAsia="宋体" w:cs="Times New Roman"/>
                <w:color w:val="0000FF"/>
                <w:sz w:val="20"/>
                <w:szCs w:val="20"/>
                <w:u w:val="single"/>
              </w:rPr>
              <w:fldChar w:fldCharType="end"/>
            </w:r>
          </w:p>
        </w:tc>
      </w:tr>
    </w:tbl>
    <w:p>
      <w:pPr>
        <w:keepNext w:val="0"/>
        <w:keepLines w:val="0"/>
        <w:widowControl/>
        <w:suppressLineNumbers w:val="0"/>
        <w:jc w:val="center"/>
      </w:pPr>
      <w:r>
        <w:rPr>
          <w:rFonts w:hint="default" w:ascii="Times New Roman" w:hAnsi="Times New Roman" w:eastAsia="宋体" w:cs="Times New Roman"/>
          <w:color w:val="000000"/>
          <w:sz w:val="20"/>
          <w:szCs w:val="20"/>
        </w:rPr>
        <w:t>2</w:t>
      </w:r>
    </w:p>
    <w:p>
      <w:pPr>
        <w:keepNext w:val="0"/>
        <w:keepLines w:val="0"/>
        <w:widowControl/>
        <w:suppressLineNumbers w:val="0"/>
      </w:pPr>
      <w:r>
        <w:pict>
          <v:rect id="_x0000_i105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PART I. FINANCIAL INFORMATION</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1.</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Financial Statements</w:t>
            </w:r>
          </w:p>
        </w:tc>
      </w:tr>
    </w:tbl>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CONSOLIDATED STATEMENTS OF CASH FLOWS</w:t>
      </w:r>
    </w:p>
    <w:p>
      <w:pPr>
        <w:keepNext w:val="0"/>
        <w:keepLines w:val="0"/>
        <w:widowControl/>
        <w:suppressLineNumbers w:val="0"/>
        <w:jc w:val="center"/>
      </w:pPr>
      <w:r>
        <w:rPr>
          <w:rFonts w:hint="default" w:ascii="Times New Roman" w:hAnsi="Times New Roman" w:eastAsia="宋体" w:cs="Times New Roman"/>
          <w:b/>
          <w:bCs/>
          <w:color w:val="000000"/>
          <w:sz w:val="20"/>
          <w:szCs w:val="20"/>
        </w:rPr>
        <w:t xml:space="preserve">(in millions) </w:t>
      </w:r>
    </w:p>
    <w:p>
      <w:pPr>
        <w:keepNext w:val="0"/>
        <w:keepLines w:val="0"/>
        <w:widowControl/>
        <w:suppressLineNumbers w:val="0"/>
        <w:jc w:val="center"/>
      </w:pPr>
      <w:r>
        <w:rPr>
          <w:rFonts w:hint="default" w:ascii="Times New Roman" w:hAnsi="Times New Roman" w:eastAsia="宋体" w:cs="Times New Roman"/>
          <w:b/>
          <w:bCs/>
          <w:color w:val="000000"/>
          <w:sz w:val="20"/>
          <w:szCs w:val="20"/>
        </w:rPr>
        <w:t>(unaudited)</w:t>
      </w:r>
    </w:p>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331"/>
        <w:gridCol w:w="36"/>
        <w:gridCol w:w="36"/>
        <w:gridCol w:w="36"/>
        <w:gridCol w:w="36"/>
        <w:gridCol w:w="36"/>
        <w:gridCol w:w="100"/>
        <w:gridCol w:w="480"/>
        <w:gridCol w:w="36"/>
        <w:gridCol w:w="36"/>
        <w:gridCol w:w="36"/>
        <w:gridCol w:w="36"/>
        <w:gridCol w:w="100"/>
        <w:gridCol w:w="480"/>
        <w:gridCol w:w="36"/>
        <w:gridCol w:w="36"/>
        <w:gridCol w:w="36"/>
        <w:gridCol w:w="36"/>
        <w:gridCol w:w="100"/>
        <w:gridCol w:w="480"/>
        <w:gridCol w:w="36"/>
        <w:gridCol w:w="36"/>
        <w:gridCol w:w="36"/>
        <w:gridCol w:w="36"/>
        <w:gridCol w:w="100"/>
        <w:gridCol w:w="480"/>
        <w:gridCol w:w="37"/>
      </w:tblGrid>
      <w:tr>
        <w:trPr>
          <w:jc w:val="center"/>
        </w:trPr>
        <w:tc>
          <w:tcPr>
            <w:tcW w:w="50" w:type="pct"/>
            <w:shd w:val="clear" w:color="auto" w:fill="auto"/>
            <w:vAlign w:val="bottom"/>
          </w:tcPr>
          <w:p>
            <w:pPr>
              <w:rPr>
                <w:rFonts w:hint="eastAsia" w:ascii="宋体"/>
                <w:sz w:val="24"/>
                <w:szCs w:val="24"/>
              </w:rPr>
            </w:pPr>
          </w:p>
        </w:tc>
        <w:tc>
          <w:tcPr>
            <w:tcW w:w="349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50" w:type="pct"/>
            <w:shd w:val="clear" w:color="auto" w:fill="auto"/>
            <w:vAlign w:val="bottom"/>
          </w:tcPr>
          <w:p>
            <w:pPr>
              <w:rPr>
                <w:rFonts w:hint="eastAsia" w:ascii="宋体"/>
                <w:sz w:val="24"/>
                <w:szCs w:val="24"/>
              </w:rPr>
            </w:pPr>
          </w:p>
        </w:tc>
        <w:tc>
          <w:tcPr>
            <w:tcW w:w="28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7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7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8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r>
      <w:tr>
        <w:trPr>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CASH, CASH EQUIVALENTS, AND RESTRICTED CASH, BEGINNING OF PERIOD</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42,377 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36,477 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27,505 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34,155 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OPERATING ACTIVITIES: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Net income (loss)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8,107 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(3,844)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26,903 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21,413 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Adjustments to reconcile net income (loss) to net cash from operating activities: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Depreciation and amortization of property and equipment and capitalized content costs, operating lease assets, and other</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7,508 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8,978 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27,397 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35,766 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Stock-based compensation</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2,306 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3,250 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9,757 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13,701 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Other operating expense (income), net</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215 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322 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Other expense (income), net</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(1,456)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8,689 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(4,603)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(4,161)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Deferred income taxes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1,703 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(2,001)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827 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(4,014)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Changes in operating assets and liabilities: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Inventories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(304)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(2,614)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(4,545)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(11,797)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Accounts receivable, net and other</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(2,255)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(1,516)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(11,686)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(17,424)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Accounts payable</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(8,266)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(9,380)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17,258 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2,488 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Accrued expenses and other</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(4,060)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(5,903)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4,455 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280 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Unearned revenue</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1,336 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1,558 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2,750 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Net cash provided by (used in) operating activities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4,213 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(2,790)</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67,213 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39,324 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INVESTING ACTIVITIES: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Purchases of property and equipment</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(12,082)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(14,951)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(45,427)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(63,922)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Proceeds from property and equipment sales and incentives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895 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1,209 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4,624 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5,971 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Acquisitions, net of cash acquired, and other</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(630)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(6,341)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(2,864)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(7,696)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Sales and maturities of marketable securities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17,826 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22,753 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56,437 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64,311 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Purchases of marketable securities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(14,675)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(1,764)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(72,153)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(47,246)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Net cash provided by (used in) investing activities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(8,666)</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906 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(59,383)</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(48,582)</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FINANCING ACTIVITIES: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Common stock repurchased</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(2,666)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(2,666)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Proceeds from short-term debt, and other</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1,926 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13,743 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8,105 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19,773 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Repayments of short-term debt, and other</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(2,001)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(6,231)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(7,547)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(11,983)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Proceeds from long-term debt</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10,560 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18,892 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Repayments of long-term debt</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(1,556)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(1,551)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Principal repayments of finance leases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(3,406)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(2,777)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(11,448)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(10,534)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Principal repayments of financing obligations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(174)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Net cash provided by (used in) financing activities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(3,476)</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1,990 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(1,989)</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11,757 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Foreign currency effect on cash, cash equivalents, and restricted cash</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(293)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809 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Net increase (decrease) in cash, cash equivalents, and restricted cash</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(8,222)</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6,650 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2,444 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CASH, CASH EQUIVALENTS, AND RESTRICTED CASH, END OF PERIOD</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34,155 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36,599 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34,155 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36,599 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jc w:val="center"/>
      </w:pPr>
      <w:r>
        <w:rPr>
          <w:rFonts w:hint="default" w:ascii="Times New Roman" w:hAnsi="Times New Roman" w:eastAsia="宋体" w:cs="Times New Roman"/>
          <w:color w:val="000000"/>
          <w:sz w:val="20"/>
          <w:szCs w:val="20"/>
        </w:rPr>
        <w:t>See accompanying notes to consolidated financial statements.</w:t>
      </w:r>
    </w:p>
    <w:p>
      <w:pPr>
        <w:keepNext w:val="0"/>
        <w:keepLines w:val="0"/>
        <w:widowControl/>
        <w:suppressLineNumbers w:val="0"/>
        <w:jc w:val="center"/>
      </w:pPr>
      <w:r>
        <w:rPr>
          <w:rFonts w:hint="default" w:ascii="Times New Roman" w:hAnsi="Times New Roman" w:eastAsia="宋体" w:cs="Times New Roman"/>
          <w:color w:val="000000"/>
          <w:sz w:val="20"/>
          <w:szCs w:val="20"/>
        </w:rPr>
        <w:t>3</w:t>
      </w:r>
    </w:p>
    <w:p>
      <w:pPr>
        <w:keepNext w:val="0"/>
        <w:keepLines w:val="0"/>
        <w:widowControl/>
        <w:suppressLineNumbers w:val="0"/>
      </w:pPr>
      <w:r>
        <w:pict>
          <v:rect id="_x0000_i106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CONSOLIDATED STATEMENTS OF OPERATIONS</w:t>
      </w:r>
    </w:p>
    <w:p>
      <w:pPr>
        <w:keepNext w:val="0"/>
        <w:keepLines w:val="0"/>
        <w:widowControl/>
        <w:suppressLineNumbers w:val="0"/>
        <w:jc w:val="center"/>
      </w:pPr>
      <w:r>
        <w:rPr>
          <w:rFonts w:hint="default" w:ascii="Times New Roman" w:hAnsi="Times New Roman" w:eastAsia="宋体" w:cs="Times New Roman"/>
          <w:b/>
          <w:bCs/>
          <w:color w:val="000000"/>
          <w:sz w:val="20"/>
          <w:szCs w:val="20"/>
        </w:rPr>
        <w:t>(in millions, except per share data)</w:t>
      </w:r>
    </w:p>
    <w:p>
      <w:pPr>
        <w:keepNext w:val="0"/>
        <w:keepLines w:val="0"/>
        <w:widowControl/>
        <w:suppressLineNumbers w:val="0"/>
        <w:jc w:val="center"/>
      </w:pPr>
      <w:r>
        <w:rPr>
          <w:rFonts w:hint="default" w:ascii="Times New Roman" w:hAnsi="Times New Roman" w:eastAsia="宋体" w:cs="Times New Roman"/>
          <w:b/>
          <w:bCs/>
          <w:color w:val="000000"/>
          <w:sz w:val="20"/>
          <w:szCs w:val="20"/>
        </w:rPr>
        <w:t>(unaudited)</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
        <w:gridCol w:w="6085"/>
        <w:gridCol w:w="36"/>
        <w:gridCol w:w="36"/>
        <w:gridCol w:w="36"/>
        <w:gridCol w:w="36"/>
        <w:gridCol w:w="36"/>
        <w:gridCol w:w="120"/>
        <w:gridCol w:w="824"/>
        <w:gridCol w:w="36"/>
        <w:gridCol w:w="36"/>
        <w:gridCol w:w="36"/>
        <w:gridCol w:w="36"/>
        <w:gridCol w:w="120"/>
        <w:gridCol w:w="788"/>
        <w:gridCol w:w="36"/>
      </w:tblGrid>
      <w:tr>
        <w:tc>
          <w:tcPr>
            <w:tcW w:w="50" w:type="pct"/>
            <w:shd w:val="clear" w:color="auto" w:fill="auto"/>
            <w:vAlign w:val="bottom"/>
          </w:tcPr>
          <w:p>
            <w:pPr>
              <w:rPr>
                <w:rFonts w:hint="eastAsia" w:ascii="宋体"/>
                <w:sz w:val="24"/>
                <w:szCs w:val="24"/>
              </w:rPr>
            </w:pPr>
          </w:p>
        </w:tc>
        <w:tc>
          <w:tcPr>
            <w:tcW w:w="373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product sales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57,491 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56,455 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service sales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51,027 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59,989 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net sales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108,518 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116,444 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62,403 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66,499 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16,530 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20,271 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12,488 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14,842 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Sales and marketing</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6,207 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8,320 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1,987 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2,594 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operating expense (income), net</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operating expenses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99,653 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112,775 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8,865 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3,669 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Interest income</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Interest expense</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income (expense), net</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1,697 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(8,570)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non-operating income (expense)</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1,403 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(8,934)</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Income (loss) before income taxes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10,268 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(5,265)</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Benefit (provision) for income taxes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(2,156)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1,422 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Equity-method investment activity, net of tax</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income (loss)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8,107 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(3,844)</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Basic earnings per share</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16.09 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(7.56)</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Diluted earnings per share</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15.79 </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(7.56)</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shares used in computation of earnings per share:</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Basic</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Diluted</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513 </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509 </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bl>
    <w:p>
      <w:pPr>
        <w:keepNext w:val="0"/>
        <w:keepLines w:val="0"/>
        <w:widowControl/>
        <w:suppressLineNumbers w:val="0"/>
        <w:spacing w:before="100" w:beforeAutospacing="0"/>
        <w:jc w:val="center"/>
      </w:pPr>
      <w:r>
        <w:rPr>
          <w:rFonts w:hint="default" w:ascii="Times New Roman" w:hAnsi="Times New Roman" w:eastAsia="宋体" w:cs="Times New Roman"/>
          <w:color w:val="000000"/>
          <w:sz w:val="20"/>
          <w:szCs w:val="20"/>
        </w:rPr>
        <w:t>See accompanying notes to consolidated financial statements.</w:t>
      </w:r>
    </w:p>
    <w:p>
      <w:pPr>
        <w:keepNext w:val="0"/>
        <w:keepLines w:val="0"/>
        <w:widowControl/>
        <w:suppressLineNumbers w:val="0"/>
        <w:jc w:val="center"/>
      </w:pPr>
      <w:r>
        <w:rPr>
          <w:rFonts w:hint="default" w:ascii="Times New Roman" w:hAnsi="Times New Roman" w:eastAsia="宋体" w:cs="Times New Roman"/>
          <w:color w:val="000000"/>
          <w:sz w:val="20"/>
          <w:szCs w:val="20"/>
        </w:rPr>
        <w:t>4</w:t>
      </w:r>
    </w:p>
    <w:p>
      <w:pPr>
        <w:keepNext w:val="0"/>
        <w:keepLines w:val="0"/>
        <w:widowControl/>
        <w:suppressLineNumbers w:val="0"/>
      </w:pPr>
      <w:r>
        <w:pict>
          <v:rect id="_x0000_i106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CONSOLIDATED STATEMENTS OF COMPREHENSIVE INCOME (LOSS)</w:t>
      </w:r>
    </w:p>
    <w:p>
      <w:pPr>
        <w:keepNext w:val="0"/>
        <w:keepLines w:val="0"/>
        <w:widowControl/>
        <w:suppressLineNumbers w:val="0"/>
        <w:jc w:val="center"/>
      </w:pPr>
      <w:r>
        <w:rPr>
          <w:rFonts w:hint="default" w:ascii="Times New Roman" w:hAnsi="Times New Roman" w:eastAsia="宋体" w:cs="Times New Roman"/>
          <w:b/>
          <w:bCs/>
          <w:color w:val="000000"/>
          <w:sz w:val="20"/>
          <w:szCs w:val="20"/>
        </w:rPr>
        <w:t>(in millions)</w:t>
      </w:r>
    </w:p>
    <w:p>
      <w:pPr>
        <w:keepNext w:val="0"/>
        <w:keepLines w:val="0"/>
        <w:widowControl/>
        <w:suppressLineNumbers w:val="0"/>
        <w:jc w:val="center"/>
      </w:pPr>
      <w:r>
        <w:rPr>
          <w:rFonts w:hint="default" w:ascii="Times New Roman" w:hAnsi="Times New Roman" w:eastAsia="宋体" w:cs="Times New Roman"/>
          <w:b/>
          <w:bCs/>
          <w:color w:val="000000"/>
          <w:sz w:val="20"/>
          <w:szCs w:val="20"/>
        </w:rPr>
        <w:t>(unaudited)</w:t>
      </w:r>
      <w:r>
        <w:rPr>
          <w:rFonts w:hint="default" w:ascii="Times New Roman" w:hAnsi="Times New Roman" w:eastAsia="宋体" w:cs="Times New Roman"/>
          <w:color w:val="000000"/>
          <w:sz w:val="18"/>
          <w:szCs w:val="18"/>
        </w:rPr>
        <w:t>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
        <w:gridCol w:w="6085"/>
        <w:gridCol w:w="36"/>
        <w:gridCol w:w="36"/>
        <w:gridCol w:w="36"/>
        <w:gridCol w:w="36"/>
        <w:gridCol w:w="36"/>
        <w:gridCol w:w="120"/>
        <w:gridCol w:w="824"/>
        <w:gridCol w:w="36"/>
        <w:gridCol w:w="36"/>
        <w:gridCol w:w="36"/>
        <w:gridCol w:w="36"/>
        <w:gridCol w:w="120"/>
        <w:gridCol w:w="788"/>
        <w:gridCol w:w="36"/>
      </w:tblGrid>
      <w:tr>
        <w:tc>
          <w:tcPr>
            <w:tcW w:w="50" w:type="pct"/>
            <w:shd w:val="clear" w:color="auto" w:fill="auto"/>
            <w:vAlign w:val="bottom"/>
          </w:tcPr>
          <w:p>
            <w:pPr>
              <w:rPr>
                <w:rFonts w:hint="eastAsia" w:ascii="宋体"/>
                <w:sz w:val="24"/>
                <w:szCs w:val="24"/>
              </w:rPr>
            </w:pPr>
          </w:p>
        </w:tc>
        <w:tc>
          <w:tcPr>
            <w:tcW w:w="373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Net income (loss)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8,107 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(3,844)</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Other comprehensive income (loss):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pPr>
            <w:r>
              <w:rPr>
                <w:rFonts w:hint="default" w:ascii="Times New Roman" w:hAnsi="Times New Roman" w:eastAsia="宋体" w:cs="Times New Roman"/>
                <w:color w:val="000000"/>
                <w:sz w:val="20"/>
                <w:szCs w:val="20"/>
              </w:rPr>
              <w:t>Foreign currency translation adjustments, net of tax of $13 and $(16)</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c>
          <w:tcPr>
            <w:tcW w:w="0" w:type="auto"/>
            <w:gridSpan w:val="3"/>
            <w:shd w:val="clear" w:color="auto" w:fill="FFFFFF"/>
            <w:tcMar>
              <w:top w:w="40" w:type="dxa"/>
              <w:left w:w="38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Net change in unrealized gains (losses) on available-for-sale debt securities: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pPr>
            <w:r>
              <w:rPr>
                <w:rFonts w:hint="default" w:ascii="Times New Roman" w:hAnsi="Times New Roman" w:eastAsia="宋体" w:cs="Times New Roman"/>
                <w:color w:val="000000"/>
                <w:sz w:val="20"/>
                <w:szCs w:val="20"/>
              </w:rPr>
              <w:t>Unrealized gains (losses), net of tax of $30 and $1</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pPr>
            <w:r>
              <w:rPr>
                <w:rFonts w:hint="default" w:ascii="Times New Roman" w:hAnsi="Times New Roman" w:eastAsia="宋体" w:cs="Times New Roman"/>
                <w:color w:val="000000"/>
                <w:sz w:val="20"/>
                <w:szCs w:val="20"/>
              </w:rPr>
              <w:t>Reclassification adjustment for losses (gains) included in “Other income (expense), net,” net of tax of $4 and $0</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2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Net unrealized gains (losses) on available-for-sale debt securities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(112)</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(656)</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58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Total other comprehensive income (loss)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(486)</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(989)</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Comprehensive income (loss)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7,621 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(4,833)</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jc w:val="center"/>
      </w:pPr>
      <w:r>
        <w:rPr>
          <w:rFonts w:hint="default" w:ascii="Times New Roman" w:hAnsi="Times New Roman" w:eastAsia="宋体" w:cs="Times New Roman"/>
          <w:color w:val="000000"/>
          <w:sz w:val="20"/>
          <w:szCs w:val="20"/>
        </w:rPr>
        <w:t>See accompanying notes to consolidated financial statements.</w:t>
      </w:r>
    </w:p>
    <w:p>
      <w:pPr>
        <w:keepNext w:val="0"/>
        <w:keepLines w:val="0"/>
        <w:widowControl/>
        <w:suppressLineNumbers w:val="0"/>
        <w:jc w:val="center"/>
      </w:pPr>
      <w:r>
        <w:rPr>
          <w:rFonts w:hint="default" w:ascii="Times New Roman" w:hAnsi="Times New Roman" w:eastAsia="宋体" w:cs="Times New Roman"/>
          <w:color w:val="000000"/>
          <w:sz w:val="20"/>
          <w:szCs w:val="20"/>
        </w:rPr>
        <w:t>5</w:t>
      </w:r>
    </w:p>
    <w:p>
      <w:pPr>
        <w:keepNext w:val="0"/>
        <w:keepLines w:val="0"/>
        <w:widowControl/>
        <w:suppressLineNumbers w:val="0"/>
      </w:pPr>
      <w:r>
        <w:pict>
          <v:rect id="_x0000_i106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CONSOLIDATED BALANCE SHEETS</w:t>
      </w:r>
    </w:p>
    <w:p>
      <w:pPr>
        <w:keepNext w:val="0"/>
        <w:keepLines w:val="0"/>
        <w:widowControl/>
        <w:suppressLineNumbers w:val="0"/>
        <w:jc w:val="center"/>
      </w:pPr>
      <w:r>
        <w:rPr>
          <w:rFonts w:hint="default" w:ascii="Times New Roman" w:hAnsi="Times New Roman" w:eastAsia="宋体" w:cs="Times New Roman"/>
          <w:b/>
          <w:bCs/>
          <w:color w:val="000000"/>
          <w:sz w:val="20"/>
          <w:szCs w:val="20"/>
        </w:rPr>
        <w:t>(in millions, except per share data)</w:t>
      </w:r>
      <w:r>
        <w:rPr>
          <w:rFonts w:hint="default" w:ascii="Times New Roman" w:hAnsi="Times New Roman" w:eastAsia="宋体" w:cs="Times New Roman"/>
          <w:color w:val="000000"/>
          <w:sz w:val="18"/>
          <w:szCs w:val="18"/>
        </w:rPr>
        <w:t> </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5680"/>
        <w:gridCol w:w="36"/>
        <w:gridCol w:w="120"/>
        <w:gridCol w:w="1084"/>
        <w:gridCol w:w="36"/>
        <w:gridCol w:w="36"/>
        <w:gridCol w:w="36"/>
        <w:gridCol w:w="36"/>
        <w:gridCol w:w="121"/>
        <w:gridCol w:w="1049"/>
        <w:gridCol w:w="37"/>
      </w:tblGrid>
      <w:tr>
        <w:tc>
          <w:tcPr>
            <w:tcW w:w="50" w:type="pct"/>
            <w:shd w:val="clear" w:color="auto" w:fill="auto"/>
            <w:vAlign w:val="bottom"/>
          </w:tcPr>
          <w:p>
            <w:pPr>
              <w:rPr>
                <w:rFonts w:hint="eastAsia" w:ascii="宋体"/>
                <w:sz w:val="24"/>
                <w:szCs w:val="24"/>
              </w:rPr>
            </w:pPr>
          </w:p>
        </w:tc>
        <w:tc>
          <w:tcPr>
            <w:tcW w:w="344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7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7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March 31, 2022</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(unaudited)</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u w:val="single"/>
              </w:rPr>
              <w:t>ASSETS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Cash and cash equivalents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36,220 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36,393 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Marketable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59,829 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29,992 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Inventories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32,640 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34,987 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Accounts receivable, net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32,891 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32,504 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2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current assets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161,580 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133,876 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Property and equipment,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160,281 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168,468 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56,082 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56,161 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Goodwill</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15,371 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20,229 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assets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27,235 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32,033 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5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assets</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420,549 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410,767 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u w:val="single"/>
              </w:rPr>
              <w:t>LIABILITIES AND STOCKHOLDERS’ EQUITY</w:t>
            </w: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Current liabilities: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Accounts payable</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78,664 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68,547 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Accrued expenses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51,775 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58,141 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Unearned revenue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11,827 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12,820 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2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current liabilities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142,266 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139,508 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Long-term lease liabilities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67,651 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65,731 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Long-term debt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48,744 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47,556 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long-term liabilities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23,643 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23,971 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Commitments and contingencies (Note 4)</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Stockholders’ equity:</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Preferred stock, $0.01 par value:</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Authorized shares — 500</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Issued and outstanding shares — none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Common stock, $0.01 par value:</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Authorized shares — 5,000</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Issued shares — 532 and 533</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Outstanding shares — 509 and 509</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Treasury stock, at cost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(4,503)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Additional paid-in capital</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55,538 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58,793 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Accumulated other comprehensive income (loss)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(1,376)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(2,365)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Retained earnings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85,915 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82,071 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2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stockholders’ equity</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138,245 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134,001 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5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liabilities and stockholders’ equity</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420,549 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410,767 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jc w:val="center"/>
      </w:pPr>
      <w:r>
        <w:rPr>
          <w:rFonts w:hint="default" w:ascii="Times New Roman" w:hAnsi="Times New Roman" w:eastAsia="宋体" w:cs="Times New Roman"/>
          <w:color w:val="000000"/>
          <w:sz w:val="20"/>
          <w:szCs w:val="20"/>
        </w:rPr>
        <w:t>See accompanying notes to consolidated financial statements.</w:t>
      </w:r>
    </w:p>
    <w:p>
      <w:pPr>
        <w:keepNext w:val="0"/>
        <w:keepLines w:val="0"/>
        <w:widowControl/>
        <w:suppressLineNumbers w:val="0"/>
        <w:jc w:val="center"/>
      </w:pPr>
      <w:r>
        <w:rPr>
          <w:rFonts w:hint="default" w:ascii="Times New Roman" w:hAnsi="Times New Roman" w:eastAsia="宋体" w:cs="Times New Roman"/>
          <w:color w:val="000000"/>
          <w:sz w:val="20"/>
          <w:szCs w:val="20"/>
        </w:rPr>
        <w:t>6</w:t>
      </w:r>
    </w:p>
    <w:p>
      <w:pPr>
        <w:keepNext w:val="0"/>
        <w:keepLines w:val="0"/>
        <w:widowControl/>
        <w:suppressLineNumbers w:val="0"/>
      </w:pPr>
      <w:r>
        <w:pict>
          <v:rect id="_x0000_i106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NOTES TO CONSOLIDATED FINANCIAL STATEMENTS</w:t>
      </w:r>
    </w:p>
    <w:p>
      <w:pPr>
        <w:keepNext w:val="0"/>
        <w:keepLines w:val="0"/>
        <w:widowControl/>
        <w:suppressLineNumbers w:val="0"/>
        <w:jc w:val="center"/>
      </w:pPr>
      <w:r>
        <w:rPr>
          <w:rFonts w:hint="default" w:ascii="Times New Roman" w:hAnsi="Times New Roman" w:eastAsia="宋体" w:cs="Times New Roman"/>
          <w:b/>
          <w:bCs/>
          <w:color w:val="000000"/>
          <w:sz w:val="20"/>
          <w:szCs w:val="20"/>
        </w:rPr>
        <w:t>(unaudited)</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1 — ACCOUNTING POLICIES AND SUPPLEMENTAL DISCLOSURES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Unaudited Interim Financial Information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prepared the accompanying consolidated financial statements pursuant to the rules and regulations of the Securities and Exchange Commission (the “SEC”) for interim financial reporting. These consolidated financial statements are unaudited and, in our opinion, include all adjustments, consisting of normal recurring adjustments and accruals necessary for a fair presentation of our consolidated cash flows, operating results, and balance sheets for the periods presented. Operating results for the periods presented are not necessarily indicative of the results that may be expected for 2022 due to seasonal and other factors. Certain information and footnote disclosures normally included in financial statements prepared in accordance with accounting principles generally accepted in the United States (“GAAP”) have been omitted in accordance with the rules and regulations of the SEC. These consolidated financial statements should be read in conjunction with the audited consolidated financial statements and accompanying notes in Item 8 of Part II, “Financial Statements and Supplementary Data,” of our 2021 Annual Report on Form 10-K.</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Principles of Consolidation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consolidated financial statements include the accounts of Amazon.com, Inc. and its consolidated entities (collectively, the “Company”), consisting of its wholly-owned subsidiaries and those entities in which we have a variable interest and of which we are the primary beneficiary, including certain entities in India and certain entities that support our seller lending financing activities. Intercompany balances and transactions between consolidated entities are eliminated.</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Use of Estimates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preparation of financial statements in conformity with GAAP requires estimates and assumptions that affect the reported amounts of assets and liabilities, revenues and expenses, and related disclosures of contingent liabilities in the consolidated financial statements and accompanying notes. Estimates are used for, but not limited to, income taxes, useful lives of equipment, commitments and contingencies, valuation of acquired intangibles and goodwill, stock-based compensation forfeiture rates, vendor funding, inventory valuation, collectability of receivables, and valuation and impairment of investments. Actual results could differ materially from these estimates.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review the useful lives of equipment on an ongoing basis, and effective January 1, 2022 we changed our estimate of the useful lives for our servers from four to five years and for our networking equipment from five to six years. The longer useful lives are due to continuous improvements in our hardware, software, and data center designs. The effect of this change in estimate for Q1 2022, based on servers and networking equipment that were included in “Property and equipment, net” as of December 31, 2021 and those acquired during the quarter ended March 31, 2022, was a reduction in depreciation and amortization expense of $973 million and a benefit to net loss of $769 million, or $1.51 per basic share and $1.51 per diluted share.</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Supplemental Cash Flow Information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shows supplemental cash flow information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731"/>
        <w:gridCol w:w="36"/>
        <w:gridCol w:w="36"/>
        <w:gridCol w:w="36"/>
        <w:gridCol w:w="258"/>
        <w:gridCol w:w="258"/>
        <w:gridCol w:w="100"/>
        <w:gridCol w:w="549"/>
        <w:gridCol w:w="36"/>
        <w:gridCol w:w="36"/>
        <w:gridCol w:w="36"/>
        <w:gridCol w:w="36"/>
        <w:gridCol w:w="100"/>
        <w:gridCol w:w="509"/>
        <w:gridCol w:w="36"/>
        <w:gridCol w:w="36"/>
        <w:gridCol w:w="36"/>
        <w:gridCol w:w="36"/>
        <w:gridCol w:w="100"/>
        <w:gridCol w:w="509"/>
        <w:gridCol w:w="36"/>
        <w:gridCol w:w="36"/>
        <w:gridCol w:w="36"/>
        <w:gridCol w:w="36"/>
        <w:gridCol w:w="100"/>
        <w:gridCol w:w="510"/>
        <w:gridCol w:w="36"/>
      </w:tblGrid>
      <w:tr>
        <w:tc>
          <w:tcPr>
            <w:tcW w:w="50" w:type="pct"/>
            <w:shd w:val="clear" w:color="auto" w:fill="auto"/>
            <w:vAlign w:val="bottom"/>
          </w:tcPr>
          <w:p>
            <w:pPr>
              <w:rPr>
                <w:rFonts w:hint="eastAsia" w:ascii="宋体"/>
                <w:sz w:val="24"/>
                <w:szCs w:val="24"/>
              </w:rPr>
            </w:pPr>
          </w:p>
        </w:tc>
        <w:tc>
          <w:tcPr>
            <w:tcW w:w="308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50" w:type="pct"/>
            <w:shd w:val="clear" w:color="auto" w:fill="auto"/>
            <w:vAlign w:val="bottom"/>
          </w:tcPr>
          <w:p>
            <w:pPr>
              <w:rPr>
                <w:rFonts w:hint="eastAsia" w:ascii="宋体"/>
                <w:sz w:val="24"/>
                <w:szCs w:val="24"/>
              </w:rPr>
            </w:pPr>
          </w:p>
        </w:tc>
        <w:tc>
          <w:tcPr>
            <w:tcW w:w="3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SUPPLEMENTAL CASH FLOW INFORMATION:</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Cash paid for interest on debt</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276 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279 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902 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1,101 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Cash paid for operating leases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1,640 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2,367 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5,086 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7,449 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Cash paid for interest on finance leases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157 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107 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601 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471 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Cash paid for interest on financing obligations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178 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Cash paid for income taxes, net of refunds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801 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453 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2,209 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3,340 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Assets acquired under operating leases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3,536 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2,175 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17,345 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24,008 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Property and equipment acquired under finance leases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2,067 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166 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11,489 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5,160 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Property and equipment acquired under build-to-suit lease arrangements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887 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1,332 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2,775 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6,061 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20"/>
          <w:szCs w:val="20"/>
        </w:rPr>
        <w:t>7</w:t>
      </w:r>
    </w:p>
    <w:p>
      <w:pPr>
        <w:keepNext w:val="0"/>
        <w:keepLines w:val="0"/>
        <w:widowControl/>
        <w:suppressLineNumbers w:val="0"/>
      </w:pPr>
      <w:r>
        <w:pict>
          <v:rect id="_x0000_i106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Earnings Per Share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Basic earnings per share is calculated using our weighted-average outstanding common shares. Diluted earnings per share is calculated using our weighted-average outstanding common shares including the dilutive effect of stock awards as determined under the treasury stock method. In periods when we have a net loss, stock awards are excluded from our calculation of earnings per share as their inclusion would have an antidilutive effect.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shows the calculation of diluted shares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7"/>
        <w:gridCol w:w="5974"/>
        <w:gridCol w:w="36"/>
        <w:gridCol w:w="36"/>
        <w:gridCol w:w="36"/>
        <w:gridCol w:w="253"/>
        <w:gridCol w:w="253"/>
        <w:gridCol w:w="58"/>
        <w:gridCol w:w="711"/>
        <w:gridCol w:w="36"/>
        <w:gridCol w:w="36"/>
        <w:gridCol w:w="36"/>
        <w:gridCol w:w="36"/>
        <w:gridCol w:w="42"/>
        <w:gridCol w:w="700"/>
        <w:gridCol w:w="36"/>
      </w:tblGrid>
      <w:tr>
        <w:tc>
          <w:tcPr>
            <w:tcW w:w="50" w:type="pct"/>
            <w:shd w:val="clear" w:color="auto" w:fill="auto"/>
            <w:vAlign w:val="bottom"/>
          </w:tcPr>
          <w:p>
            <w:pPr>
              <w:rPr>
                <w:rFonts w:hint="eastAsia" w:ascii="宋体"/>
                <w:sz w:val="24"/>
                <w:szCs w:val="24"/>
              </w:rPr>
            </w:pPr>
          </w:p>
        </w:tc>
        <w:tc>
          <w:tcPr>
            <w:tcW w:w="386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50" w:type="pct"/>
            <w:shd w:val="clear" w:color="auto" w:fill="auto"/>
            <w:vAlign w:val="bottom"/>
          </w:tcPr>
          <w:p>
            <w:pPr>
              <w:rPr>
                <w:rFonts w:hint="eastAsia" w:ascii="宋体"/>
                <w:sz w:val="24"/>
                <w:szCs w:val="24"/>
              </w:rPr>
            </w:pPr>
          </w:p>
        </w:tc>
        <w:tc>
          <w:tcPr>
            <w:tcW w:w="47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6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Shares used in computation of basic earnings per share</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dilutive effect of outstanding stock awards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Shares used in computation of diluted earnings per share</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513 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509 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Other Income (Expense), Net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Other income (expense), net,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6162"/>
        <w:gridCol w:w="36"/>
        <w:gridCol w:w="36"/>
        <w:gridCol w:w="36"/>
        <w:gridCol w:w="258"/>
        <w:gridCol w:w="258"/>
        <w:gridCol w:w="120"/>
        <w:gridCol w:w="510"/>
        <w:gridCol w:w="36"/>
        <w:gridCol w:w="36"/>
        <w:gridCol w:w="36"/>
        <w:gridCol w:w="36"/>
        <w:gridCol w:w="120"/>
        <w:gridCol w:w="584"/>
        <w:gridCol w:w="36"/>
      </w:tblGrid>
      <w:tr>
        <w:tc>
          <w:tcPr>
            <w:tcW w:w="50" w:type="pct"/>
            <w:shd w:val="clear" w:color="auto" w:fill="auto"/>
            <w:vAlign w:val="bottom"/>
          </w:tcPr>
          <w:p>
            <w:pPr>
              <w:rPr>
                <w:rFonts w:hint="eastAsia" w:ascii="宋体"/>
                <w:sz w:val="24"/>
                <w:szCs w:val="24"/>
              </w:rPr>
            </w:pPr>
          </w:p>
        </w:tc>
        <w:tc>
          <w:tcPr>
            <w:tcW w:w="40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50" w:type="pct"/>
            <w:shd w:val="clear" w:color="auto" w:fill="auto"/>
            <w:vAlign w:val="bottom"/>
          </w:tcPr>
          <w:p>
            <w:pPr>
              <w:rPr>
                <w:rFonts w:hint="eastAsia" w:ascii="宋体"/>
                <w:sz w:val="24"/>
                <w:szCs w:val="24"/>
              </w:rPr>
            </w:pPr>
          </w:p>
        </w:tc>
        <w:tc>
          <w:tcPr>
            <w:tcW w:w="3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Marketable equity securities valuation gains (losses)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(76)</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(8,245)</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Equity warrant valuation gains (losses)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Upward adjustments relating to equity investments in private companies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1,475 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Foreign currency gains (losses)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Other, net</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Total other income (expense), net</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1,697 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(8,570)</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Included in other income (expense), net for the three months ended March 31, 2022 is a marketable equity securities valuation loss of $7.6 billion from our equity investment in Rivian Automotive, Inc. (“Rivian”). Our investment in Rivian’s preferred stock was accounted for at cost, with adjustments for observable changes in prices or impairments, prior to Rivian’s initial public offering in November 2021, which resulted in the conversion of our preferred stock to Class A common stock. As of March 31, 2022, we held 158 million shares of Rivian’s Class A common stock, representing an approximate 18% ownership interest, and an approximate 16% voting interest. We determined that we have the ability to exercise significant influence over Rivian through our equity investment, our commercial arrangement for the purchase of electric vehicles, and one of our employees serving on Rivian’s board of directors. We elected the fair value option to account for our equity investment in Rivian, which is included in “Marketable securities” on our consolidated balance sheets.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Required summarized financial information of Rivian as disclosed in its most recent SEC filings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380"/>
        <w:gridCol w:w="36"/>
        <w:gridCol w:w="120"/>
        <w:gridCol w:w="1195"/>
        <w:gridCol w:w="36"/>
        <w:gridCol w:w="36"/>
        <w:gridCol w:w="36"/>
        <w:gridCol w:w="36"/>
        <w:gridCol w:w="120"/>
        <w:gridCol w:w="1195"/>
        <w:gridCol w:w="36"/>
        <w:gridCol w:w="37"/>
        <w:gridCol w:w="37"/>
      </w:tblGrid>
      <w:tr>
        <w:tc>
          <w:tcPr>
            <w:tcW w:w="50" w:type="pct"/>
            <w:shd w:val="clear" w:color="auto" w:fill="auto"/>
            <w:vAlign w:val="bottom"/>
          </w:tcPr>
          <w:p>
            <w:pPr>
              <w:rPr>
                <w:rFonts w:hint="eastAsia" w:ascii="宋体"/>
                <w:sz w:val="24"/>
                <w:szCs w:val="24"/>
              </w:rPr>
            </w:pPr>
          </w:p>
        </w:tc>
        <w:tc>
          <w:tcPr>
            <w:tcW w:w="329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75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75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 xml:space="preserve">Year Ended </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December 31, 2020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 xml:space="preserve">Year Ended </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December 31, 2021</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Revenues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r>
      <w:tr>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Gross profit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Loss from operations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(1,021)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(4,220)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r>
      <w:tr>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Net loss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(4,688)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r>
    </w:tbl>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Inventories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Inventories, consisting of products available for sale, are primarily accounted for using the first-in, first-out method, and are valued at the lower of cost and net realizable value. This valuation requires us to make judgments, based on currently available information, about the likely method of disposition, such as through sales to individual customers, returns to product vendors, or liquidations, and expected recoverable values of each disposition category. The inventory valuation allowance, representing a write-down of inventory, was $2.6 billion and $2.5 billion as of December 31, 2021 and March 31, 2022.</w:t>
      </w:r>
    </w:p>
    <w:p>
      <w:pPr>
        <w:keepNext w:val="0"/>
        <w:keepLines w:val="0"/>
        <w:widowControl/>
        <w:suppressLineNumbers w:val="0"/>
        <w:jc w:val="center"/>
      </w:pPr>
      <w:r>
        <w:rPr>
          <w:rFonts w:hint="default" w:ascii="Times New Roman" w:hAnsi="Times New Roman" w:eastAsia="宋体" w:cs="Times New Roman"/>
          <w:color w:val="000000"/>
          <w:sz w:val="20"/>
          <w:szCs w:val="20"/>
        </w:rPr>
        <w:t>8</w:t>
      </w:r>
    </w:p>
    <w:p>
      <w:pPr>
        <w:keepNext w:val="0"/>
        <w:keepLines w:val="0"/>
        <w:widowControl/>
        <w:suppressLineNumbers w:val="0"/>
      </w:pPr>
      <w:r>
        <w:pict>
          <v:rect id="_x0000_i106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Accounts Receivable, Net and Other</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Included in “Accounts receivable, net and other” on our consolidated balance sheets are amounts primarily related to customers, vendors, and sellers. As of December 31, 2021 and March 31, 2022, customer receivables, net, were $20.2 billion and $20.9 billion, vendor receivables, net, were $5.3 billion and $4.2 billion, and seller receivables, net, were $1.0 billion and $1.1 billion. Seller receivables are amounts due from sellers related to our seller lending program, which provides funding to sellers primarily to procure inventory.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estimate losses on receivables based on expected losses, including our historical experience of actual losses. The allowance for doubtful accounts was $1.1 billion as of December 31, 2021 and March 31, 2022.</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Digital Video and Music Content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total capitalized costs of video, which is primarily released content, and music as of December 31, 2021 and March 31, 2022 were $10.7 billion and $14.5 billion. Total video and music expense was $3.0 billion and $3.5 billion in Q1 2021 and Q1 2022.</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 xml:space="preserve">Unearned Revenue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Unearned revenue is recorded when payments are received or due in advance of performing our service obligations and is recognized over the service period. Unearned revenue primarily relates to prepayments of AWS services and Amazon Prime memberships. Our total unearned revenue as of December 31, 2021 was $14.0 billion, of which $5.1 billion was recognized as revenue during the three months ended March 31, 2022. Included in “Other long-term liabilities” on our consolidated balance sheets was $2.2 billion and $2.5 billion of unearned revenue as of December 31, 2021 and March 31,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Additionally, we have performance obligations, primarily related to AWS, associated with commitments in customer contracts for future services that have not yet been recognized in our consolidated financial statements. For contracts with original terms that exceed one year, those commitments not yet recognized were $88.9 billion as of March 31, 2022. The weighted-average remaining life of our long-term contracts is 3.8 years. However, the amount and timing of revenue recognition is largely driven by customer usage, which can extend beyond the original contractual term.</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Acquisition Activity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On March 17, 2022, we acquired MGM Holdings Inc. (“MGM”), for cash consideration of approximately $6.1 billion, net of cash acquired, to provide more digital media content options for customers. We also assumed $2.5 billion of debt, which we repaid immediately after closing. The acquired assets primarily consist of $3.4 billion of video content and $4.9 billion of goodwill, the majority of which is allocated to our North America segment. Due to the limited amount of time since the MGM acquisition, the valuation of certain assets and liabilities is preliminary and subject to change.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Pro forma results of operations have not been presented because the effects of the MGM acquisition were not material to our consolidated results of operations. Acquisition-related costs were expensed as incurred and were not significant.</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2 — FINANCIAL INSTRUMENTS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Cash, Cash Equivalents, Restricted Cash, and Marketable Securities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December 31, 2021 and March 31, 2022, our cash, cash equivalents, restricted cash, and marketable securities primarily consisted of cash, AAA-rated money market funds, U.S. and foreign government and agency securities, other investment grade securities, and marketable equity securities. Cash equivalents and marketable securities are recorded at fair value. Fair value is defined as the price that would be received to sell an asset or paid to transfer a liability in an orderly transaction between market participants at the measurement date. To increase the comparability of fair value measures, the following hierarchy prioritizes the inputs to valuation methodologies used to measure fair value:</w:t>
      </w:r>
    </w:p>
    <w:p>
      <w:pPr>
        <w:keepNext w:val="0"/>
        <w:keepLines w:val="0"/>
        <w:widowControl/>
        <w:suppressLineNumbers w:val="0"/>
        <w:pBdr>
          <w:left w:val="none" w:color="auto" w:sz="0" w:space="0"/>
        </w:pBdr>
        <w:spacing w:before="100" w:beforeAutospacing="0"/>
        <w:jc w:val="left"/>
      </w:pPr>
      <w:r>
        <w:rPr>
          <w:rFonts w:hint="default" w:ascii="Times New Roman" w:hAnsi="Times New Roman" w:eastAsia="宋体" w:cs="Times New Roman"/>
          <w:b/>
          <w:bCs/>
          <w:color w:val="000000"/>
          <w:sz w:val="20"/>
          <w:szCs w:val="20"/>
        </w:rPr>
        <w:t>Level 1—</w:t>
      </w:r>
      <w:r>
        <w:rPr>
          <w:rFonts w:hint="default" w:ascii="Times New Roman" w:hAnsi="Times New Roman" w:eastAsia="宋体" w:cs="Times New Roman"/>
          <w:color w:val="000000"/>
          <w:sz w:val="20"/>
          <w:szCs w:val="20"/>
        </w:rPr>
        <w:t>Valuations based on quoted prices for identical assets and liabilities in active markets.</w:t>
      </w:r>
    </w:p>
    <w:p>
      <w:pPr>
        <w:keepNext w:val="0"/>
        <w:keepLines w:val="0"/>
        <w:widowControl/>
        <w:suppressLineNumbers w:val="0"/>
        <w:pBdr>
          <w:left w:val="none" w:color="auto" w:sz="0" w:space="0"/>
        </w:pBdr>
        <w:spacing w:before="100" w:beforeAutospacing="0"/>
        <w:jc w:val="left"/>
      </w:pPr>
      <w:r>
        <w:rPr>
          <w:rFonts w:hint="default" w:ascii="Times New Roman" w:hAnsi="Times New Roman" w:eastAsia="宋体" w:cs="Times New Roman"/>
          <w:b/>
          <w:bCs/>
          <w:color w:val="000000"/>
          <w:sz w:val="20"/>
          <w:szCs w:val="20"/>
        </w:rPr>
        <w:t>Level 2—</w:t>
      </w:r>
      <w:r>
        <w:rPr>
          <w:rFonts w:hint="default" w:ascii="Times New Roman" w:hAnsi="Times New Roman" w:eastAsia="宋体" w:cs="Times New Roman"/>
          <w:color w:val="000000"/>
          <w:sz w:val="20"/>
          <w:szCs w:val="20"/>
        </w:rPr>
        <w:t>Valuations based on observable inputs other than quoted prices included in Level 1, such as quoted prices for similar assets and liabilities in active markets, quoted prices for identical or similar assets and liabilities in markets that are not active, or other inputs that are observable or can be corroborated by observable market data.</w:t>
      </w:r>
    </w:p>
    <w:p>
      <w:pPr>
        <w:keepNext w:val="0"/>
        <w:keepLines w:val="0"/>
        <w:widowControl/>
        <w:suppressLineNumbers w:val="0"/>
        <w:pBdr>
          <w:left w:val="none" w:color="auto" w:sz="0" w:space="0"/>
        </w:pBdr>
        <w:spacing w:before="100" w:beforeAutospacing="0"/>
        <w:jc w:val="left"/>
      </w:pPr>
      <w:r>
        <w:rPr>
          <w:rFonts w:hint="default" w:ascii="Times New Roman" w:hAnsi="Times New Roman" w:eastAsia="宋体" w:cs="Times New Roman"/>
          <w:b/>
          <w:bCs/>
          <w:color w:val="000000"/>
          <w:sz w:val="20"/>
          <w:szCs w:val="20"/>
        </w:rPr>
        <w:t>Level 3—</w:t>
      </w:r>
      <w:r>
        <w:rPr>
          <w:rFonts w:hint="default" w:ascii="Times New Roman" w:hAnsi="Times New Roman" w:eastAsia="宋体" w:cs="Times New Roman"/>
          <w:color w:val="000000"/>
          <w:sz w:val="20"/>
          <w:szCs w:val="20"/>
        </w:rPr>
        <w:t>Valuations based on unobservable inputs reflecting our own assumptions, consistent with reasonably available assumptions made by other market participants. These valuations require significant judgment.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measure the fair value of money market funds and certain marketable equity securities based on quoted prices in active markets for identical assets or liabilities. Other marketable securities were valued either based on recent trades of securities in inactive markets or based on quoted market prices of similar instruments and other significant inputs derived from </w:t>
      </w:r>
    </w:p>
    <w:p>
      <w:pPr>
        <w:keepNext w:val="0"/>
        <w:keepLines w:val="0"/>
        <w:widowControl/>
        <w:suppressLineNumbers w:val="0"/>
        <w:jc w:val="center"/>
      </w:pPr>
      <w:r>
        <w:rPr>
          <w:rFonts w:hint="default" w:ascii="Times New Roman" w:hAnsi="Times New Roman" w:eastAsia="宋体" w:cs="Times New Roman"/>
          <w:color w:val="000000"/>
          <w:sz w:val="20"/>
          <w:szCs w:val="20"/>
        </w:rPr>
        <w:t>9</w:t>
      </w:r>
    </w:p>
    <w:p>
      <w:pPr>
        <w:keepNext w:val="0"/>
        <w:keepLines w:val="0"/>
        <w:widowControl/>
        <w:suppressLineNumbers w:val="0"/>
      </w:pPr>
      <w:r>
        <w:pict>
          <v:rect id="_x0000_i106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or corroborated by observable market data. We did not hold significant amounts of marketable securities categorized as Level 3 assets as of December 31, 2021 and March 31,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summarizes, by major security type, our cash, cash equivalents, restricted cash, and marketable securities that are measured at fair value on a recurring basis and are categorized using the fair value hierarchy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8"/>
        <w:gridCol w:w="3057"/>
        <w:gridCol w:w="36"/>
        <w:gridCol w:w="120"/>
        <w:gridCol w:w="1014"/>
        <w:gridCol w:w="36"/>
        <w:gridCol w:w="36"/>
        <w:gridCol w:w="36"/>
        <w:gridCol w:w="36"/>
        <w:gridCol w:w="120"/>
        <w:gridCol w:w="738"/>
        <w:gridCol w:w="36"/>
        <w:gridCol w:w="36"/>
        <w:gridCol w:w="36"/>
        <w:gridCol w:w="36"/>
        <w:gridCol w:w="120"/>
        <w:gridCol w:w="738"/>
        <w:gridCol w:w="36"/>
        <w:gridCol w:w="36"/>
        <w:gridCol w:w="36"/>
        <w:gridCol w:w="36"/>
        <w:gridCol w:w="120"/>
        <w:gridCol w:w="738"/>
        <w:gridCol w:w="36"/>
        <w:gridCol w:w="36"/>
        <w:gridCol w:w="36"/>
        <w:gridCol w:w="36"/>
        <w:gridCol w:w="120"/>
        <w:gridCol w:w="739"/>
        <w:gridCol w:w="37"/>
      </w:tblGrid>
      <w:tr>
        <w:tc>
          <w:tcPr>
            <w:tcW w:w="50" w:type="pct"/>
            <w:shd w:val="clear" w:color="auto" w:fill="auto"/>
            <w:vAlign w:val="bottom"/>
          </w:tcPr>
          <w:p>
            <w:pPr>
              <w:rPr>
                <w:rFonts w:hint="eastAsia" w:ascii="宋体"/>
                <w:sz w:val="24"/>
                <w:szCs w:val="24"/>
              </w:rPr>
            </w:pPr>
          </w:p>
        </w:tc>
        <w:tc>
          <w:tcPr>
            <w:tcW w:w="187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4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0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0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0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0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1"/>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March 31, 2022</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Estimated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Fair Value</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Cost or</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Amortized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Cost</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Gross</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Unrealized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Gains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Gross</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Unrealized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Losses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Estimated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Fair Value</w:t>
            </w: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Cash</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10,942 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10,268 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10,268 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Level 1 securities: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Money market funds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20,312 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23,858 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23,858 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Equity securities (1)(3)</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1,646 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9,121 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Level 2 securities: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Foreign government and agency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U.S. government and agency securities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2,610 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2,513 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35,764 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17,097 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16,580 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Asset-backed securities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6,738 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3,841 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3,725 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fixed income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686 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Equity securities (1)(3)</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15,740 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96,309 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58,133 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(747)</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66,594 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Restricted cash, cash equivalents, and marketable securities (2)</w:t>
            </w:r>
          </w:p>
        </w:tc>
        <w:tc>
          <w:tcPr>
            <w:tcW w:w="0" w:type="auto"/>
            <w:gridSpan w:val="2"/>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(260)</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(209)</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cash, cash equivalents, and marketable securities</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96,049 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66,385 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(1)The related unrealized gain (loss) recorded in “Other income (expense), net” was $3 million and $(8.1) billion in Q1 2021 and Q1 2022.</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(2)We are required to pledge or otherwise restrict a portion of our cash, cash equivalents, and marketable fixed income securities primarily as collateral for real estate, amounts due to third-party sellers in certain jurisdictions, debt, and standby and trade letters of credit. We classify cash, cash equivalents, and marketable fixed income securities with use restrictions of less than twelve months as “Accounts receivable, net and other” and of twelve months or longer as non-current “Other assets” on our consolidated balance sheets. See “Note 4 — Commitments and Contingencies.”</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(3)Our equity investment in Rivian had a fair value of $15.6 billion and $8.0 billion as of December 31, 2021 and March 31, 2022, respectively. The investment was subject to regulatory sales restrictions resulting in a discount for lack of marketability of approximately $800 million as of December 31, 2021, which expired in Q1 2022. In addition, we are subject to contractual sales restrictions that expire in May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summarizes the remaining contractual maturities of our cash equivalents and marketable fixed income securities as of March 31, 2022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168"/>
        <w:gridCol w:w="36"/>
        <w:gridCol w:w="120"/>
        <w:gridCol w:w="840"/>
        <w:gridCol w:w="36"/>
        <w:gridCol w:w="36"/>
        <w:gridCol w:w="36"/>
        <w:gridCol w:w="36"/>
        <w:gridCol w:w="121"/>
        <w:gridCol w:w="805"/>
        <w:gridCol w:w="37"/>
      </w:tblGrid>
      <w:tr>
        <w:tc>
          <w:tcPr>
            <w:tcW w:w="50" w:type="pct"/>
            <w:shd w:val="clear" w:color="auto" w:fill="auto"/>
            <w:vAlign w:val="bottom"/>
          </w:tcPr>
          <w:p>
            <w:pPr>
              <w:rPr>
                <w:rFonts w:hint="eastAsia" w:ascii="宋体"/>
                <w:sz w:val="24"/>
                <w:szCs w:val="24"/>
              </w:rPr>
            </w:pPr>
          </w:p>
        </w:tc>
        <w:tc>
          <w:tcPr>
            <w:tcW w:w="373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Amortized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Cost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Estimated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Fair Value</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Due within one year</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29,151 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29,144 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Due after one year through five years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15,512 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14,873 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Due after five years through ten years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822 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796 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Due after ten years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2,380 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2,305 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47,865 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47,118 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Actual maturities may differ from the contractual maturities because borrowers may have certain prepayment conditions.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Equity Warrants and Non-Marketable Equity Investments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hold equity warrants giving us the right to acquire stock of other companies. As of December 31, 2021 and March 31, 2022, these warrants had a fair value of $3.4 billion and $3.3 billion, and are recorded within “Other assets” on our consolidated balance sheets with gains and losses recognized in “Other income (expense), net” on our consolidated statements of operations. These warrants are primarily classified as Level 2 assets.</w:t>
      </w:r>
    </w:p>
    <w:p>
      <w:pPr>
        <w:keepNext w:val="0"/>
        <w:keepLines w:val="0"/>
        <w:widowControl/>
        <w:suppressLineNumbers w:val="0"/>
        <w:jc w:val="center"/>
      </w:pPr>
      <w:r>
        <w:rPr>
          <w:rFonts w:hint="default" w:ascii="Times New Roman" w:hAnsi="Times New Roman" w:eastAsia="宋体" w:cs="Times New Roman"/>
          <w:color w:val="000000"/>
          <w:sz w:val="20"/>
          <w:szCs w:val="20"/>
        </w:rPr>
        <w:t>10</w:t>
      </w:r>
    </w:p>
    <w:p>
      <w:pPr>
        <w:keepNext w:val="0"/>
        <w:keepLines w:val="0"/>
        <w:widowControl/>
        <w:suppressLineNumbers w:val="0"/>
      </w:pPr>
      <w:r>
        <w:pict>
          <v:rect id="_x0000_i106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As of December 31, 2021 and March 31, 2022, equity investments not accounted for under the equity-method and without readily determinable fair values had a carrying value of $603 million and $657 million, and are recorded within “Other assets” on our consolidated balance sheets with adjustments recognized in “Other income (expense), net” on our consolidated statements of operations.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Consolidated Statements of Cash Flows Reconciliation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provides a reconciliation of the amount of cash, cash equivalents, and restricted cash reported within the consolidated balance sheets to the total of the same such amounts shown in the consolidated statements of cash flows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5717"/>
        <w:gridCol w:w="36"/>
        <w:gridCol w:w="120"/>
        <w:gridCol w:w="1071"/>
        <w:gridCol w:w="36"/>
        <w:gridCol w:w="36"/>
        <w:gridCol w:w="37"/>
        <w:gridCol w:w="37"/>
        <w:gridCol w:w="121"/>
        <w:gridCol w:w="1036"/>
        <w:gridCol w:w="37"/>
      </w:tblGrid>
      <w:tr>
        <w:tc>
          <w:tcPr>
            <w:tcW w:w="50" w:type="pct"/>
            <w:shd w:val="clear" w:color="auto" w:fill="auto"/>
            <w:vAlign w:val="bottom"/>
          </w:tcPr>
          <w:p>
            <w:pPr>
              <w:rPr>
                <w:rFonts w:hint="eastAsia" w:ascii="宋体"/>
                <w:sz w:val="24"/>
                <w:szCs w:val="24"/>
              </w:rPr>
            </w:pPr>
          </w:p>
        </w:tc>
        <w:tc>
          <w:tcPr>
            <w:tcW w:w="345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6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6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March 31, 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Cash and cash equivalents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36,220 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36,393 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Restricted cash included in accounts receivable, net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Restricted cash included in other assets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cash, cash equivalents, and restricted cash shown in the consolidated statements of cash flows</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36,477 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36,599 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3 — LEASES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entered into non-cancellable operating and finance leases for fulfillment, delivery, office, physical store, data center, and sortation facilities as well as server and networking equipment, vehicles, and aircraft. Gross assets acquired under finance leases, inclusive of those where title transfers at the end of the lease, are recorded in “Property and equipment, net” and were $72.2 billion and $71.0 billion as of December 31, 2021 and March 31, 2022. Accumulated amortization associated with finance leases was $43.4 billion and $43.8 billion as of December 31, 2021 and March 31,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Lease cost recognized in our consolidated statements of operations is summarized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
        <w:gridCol w:w="5605"/>
        <w:gridCol w:w="36"/>
        <w:gridCol w:w="36"/>
        <w:gridCol w:w="36"/>
        <w:gridCol w:w="36"/>
        <w:gridCol w:w="36"/>
        <w:gridCol w:w="120"/>
        <w:gridCol w:w="1063"/>
        <w:gridCol w:w="36"/>
        <w:gridCol w:w="36"/>
        <w:gridCol w:w="36"/>
        <w:gridCol w:w="36"/>
        <w:gridCol w:w="120"/>
        <w:gridCol w:w="1029"/>
        <w:gridCol w:w="36"/>
      </w:tblGrid>
      <w:tr>
        <w:tc>
          <w:tcPr>
            <w:tcW w:w="50" w:type="pct"/>
            <w:shd w:val="clear" w:color="auto" w:fill="auto"/>
            <w:vAlign w:val="bottom"/>
          </w:tcPr>
          <w:p>
            <w:pPr>
              <w:rPr>
                <w:rFonts w:hint="eastAsia" w:ascii="宋体"/>
                <w:sz w:val="24"/>
                <w:szCs w:val="24"/>
              </w:rPr>
            </w:pPr>
          </w:p>
        </w:tc>
        <w:tc>
          <w:tcPr>
            <w:tcW w:w="344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50" w:type="pct"/>
            <w:shd w:val="clear" w:color="auto" w:fill="auto"/>
            <w:vAlign w:val="bottom"/>
          </w:tcPr>
          <w:p>
            <w:pPr>
              <w:rPr>
                <w:rFonts w:hint="eastAsia" w:ascii="宋体"/>
                <w:sz w:val="24"/>
                <w:szCs w:val="24"/>
              </w:rPr>
            </w:pPr>
          </w:p>
        </w:tc>
        <w:tc>
          <w:tcPr>
            <w:tcW w:w="67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7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 March 31,</w:t>
            </w: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r>
      <w:tr>
        <w:tc>
          <w:tcPr>
            <w:tcW w:w="0" w:type="auto"/>
            <w:gridSpan w:val="3"/>
            <w:shd w:val="clear" w:color="auto" w:fill="auto"/>
            <w:tcMar>
              <w:top w:w="0" w:type="dxa"/>
              <w:left w:w="605"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lease cost</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1,556 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2,103 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Finance lease cost:</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Amortization of lease assets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2,456 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1,560 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Interest on lease liabilities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103 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Finance lease cost</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2,588 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1,663 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Variable lease cost</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2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lease cost</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4,492 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4,235 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Other information about lease amounts recognized in our consolidated financial statements is as follows: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644"/>
        <w:gridCol w:w="36"/>
        <w:gridCol w:w="50"/>
        <w:gridCol w:w="1034"/>
        <w:gridCol w:w="187"/>
        <w:gridCol w:w="36"/>
        <w:gridCol w:w="36"/>
        <w:gridCol w:w="36"/>
        <w:gridCol w:w="36"/>
        <w:gridCol w:w="992"/>
        <w:gridCol w:w="188"/>
      </w:tblGrid>
      <w:tr>
        <w:tc>
          <w:tcPr>
            <w:tcW w:w="50" w:type="pct"/>
            <w:shd w:val="clear" w:color="auto" w:fill="auto"/>
            <w:vAlign w:val="bottom"/>
          </w:tcPr>
          <w:p>
            <w:pPr>
              <w:rPr>
                <w:rFonts w:hint="eastAsia" w:ascii="宋体"/>
                <w:sz w:val="24"/>
                <w:szCs w:val="24"/>
              </w:rPr>
            </w:pPr>
          </w:p>
        </w:tc>
        <w:tc>
          <w:tcPr>
            <w:tcW w:w="344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7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7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605"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March 31, 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remaining lease term – operating leases</w:t>
            </w: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11.3 years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11.1 years</w:t>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remaining lease term – finance leases</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8.1 years</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8.6 years</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discount rate – operating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discount rate – finance leases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bl>
    <w:p>
      <w:pPr>
        <w:keepNext w:val="0"/>
        <w:keepLines w:val="0"/>
        <w:widowControl/>
        <w:suppressLineNumbers w:val="0"/>
        <w:jc w:val="center"/>
      </w:pPr>
      <w:r>
        <w:rPr>
          <w:rFonts w:hint="default" w:ascii="Times New Roman" w:hAnsi="Times New Roman" w:eastAsia="宋体" w:cs="Times New Roman"/>
          <w:color w:val="000000"/>
          <w:sz w:val="20"/>
          <w:szCs w:val="20"/>
        </w:rPr>
        <w:t>11</w:t>
      </w:r>
    </w:p>
    <w:p>
      <w:pPr>
        <w:keepNext w:val="0"/>
        <w:keepLines w:val="0"/>
        <w:widowControl/>
        <w:suppressLineNumbers w:val="0"/>
      </w:pPr>
      <w:r>
        <w:pict>
          <v:rect id="_x0000_i106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lease liabilities were as follows (in millions):</w:t>
      </w:r>
    </w:p>
    <w:tbl>
      <w:tblPr>
        <w:tblStyle w:val="5"/>
        <w:tblW w:w="497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224"/>
        <w:gridCol w:w="36"/>
        <w:gridCol w:w="120"/>
        <w:gridCol w:w="799"/>
        <w:gridCol w:w="36"/>
        <w:gridCol w:w="36"/>
        <w:gridCol w:w="36"/>
        <w:gridCol w:w="36"/>
        <w:gridCol w:w="120"/>
        <w:gridCol w:w="758"/>
        <w:gridCol w:w="36"/>
        <w:gridCol w:w="36"/>
        <w:gridCol w:w="36"/>
        <w:gridCol w:w="37"/>
        <w:gridCol w:w="121"/>
        <w:gridCol w:w="759"/>
        <w:gridCol w:w="37"/>
      </w:tblGrid>
      <w:tr>
        <w:tc>
          <w:tcPr>
            <w:tcW w:w="50" w:type="pct"/>
            <w:shd w:val="clear" w:color="auto" w:fill="auto"/>
            <w:vAlign w:val="bottom"/>
          </w:tcPr>
          <w:p>
            <w:pPr>
              <w:rPr>
                <w:rFonts w:hint="eastAsia" w:ascii="宋体"/>
                <w:sz w:val="24"/>
                <w:szCs w:val="24"/>
              </w:rPr>
            </w:pPr>
          </w:p>
        </w:tc>
        <w:tc>
          <w:tcPr>
            <w:tcW w:w="317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2021</w:t>
            </w:r>
          </w:p>
        </w:tc>
      </w:tr>
      <w:tr>
        <w:tc>
          <w:tcPr>
            <w:tcW w:w="0" w:type="auto"/>
            <w:gridSpan w:val="3"/>
            <w:shd w:val="clear" w:color="auto" w:fill="auto"/>
            <w:tcMar>
              <w:top w:w="40" w:type="dxa"/>
              <w:left w:w="605"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Operating Leases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Finance Leases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Gross lease liabilities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66,269 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25,866 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92,135 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imputed interest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(7,939)</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(2,113)</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(10,052)</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Present value of lease liabilities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58,330 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23,753 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82,083 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current portion of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(6,349)</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(8,083)</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(14,432)</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long-term lease liabilities</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51,981 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15,670 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67,651 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rPr>
          <w:vanish/>
          <w:sz w:val="24"/>
          <w:szCs w:val="24"/>
        </w:rPr>
      </w:pPr>
    </w:p>
    <w:tbl>
      <w:tblPr>
        <w:tblStyle w:val="5"/>
        <w:tblW w:w="4985"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212"/>
        <w:gridCol w:w="36"/>
        <w:gridCol w:w="120"/>
        <w:gridCol w:w="799"/>
        <w:gridCol w:w="36"/>
        <w:gridCol w:w="36"/>
        <w:gridCol w:w="36"/>
        <w:gridCol w:w="36"/>
        <w:gridCol w:w="120"/>
        <w:gridCol w:w="758"/>
        <w:gridCol w:w="36"/>
        <w:gridCol w:w="36"/>
        <w:gridCol w:w="36"/>
        <w:gridCol w:w="36"/>
        <w:gridCol w:w="121"/>
        <w:gridCol w:w="784"/>
        <w:gridCol w:w="37"/>
      </w:tblGrid>
      <w:tr>
        <w:trPr>
          <w:jc w:val="center"/>
        </w:trPr>
        <w:tc>
          <w:tcPr>
            <w:tcW w:w="50" w:type="pct"/>
            <w:shd w:val="clear" w:color="auto" w:fill="auto"/>
            <w:vAlign w:val="bottom"/>
          </w:tcPr>
          <w:p>
            <w:pPr>
              <w:rPr>
                <w:rFonts w:hint="eastAsia" w:ascii="宋体"/>
                <w:sz w:val="24"/>
                <w:szCs w:val="24"/>
              </w:rPr>
            </w:pPr>
          </w:p>
        </w:tc>
        <w:tc>
          <w:tcPr>
            <w:tcW w:w="316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0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0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March 31, 2022</w:t>
            </w:r>
          </w:p>
        </w:tc>
      </w:tr>
      <w:tr>
        <w:trPr>
          <w:jc w:val="center"/>
        </w:trPr>
        <w:tc>
          <w:tcPr>
            <w:tcW w:w="0" w:type="auto"/>
            <w:gridSpan w:val="3"/>
            <w:shd w:val="clear" w:color="auto" w:fill="auto"/>
            <w:tcMar>
              <w:top w:w="40" w:type="dxa"/>
              <w:left w:w="605"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Operating Leases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Finance Leases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Gross lease liabilities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66,144 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23,094 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89,238 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imputed interest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(7,858)</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(2,167)</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(10,025)</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Present value of lease liabilities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58,286 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20,927 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79,213 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current portion of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(6,640)</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(6,842)</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(13,482)</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long-term lease liabilities</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51,646 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14,085 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65,731 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4 — COMMITMENTS AND CONTINGENCIES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Commitments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summarizes our principal contractual commitments, excluding open orders for purchases that support normal operations and are generally cancellable, as of March 31, 2022 (in millions): </w:t>
      </w:r>
    </w:p>
    <w:tbl>
      <w:tblPr>
        <w:tblStyle w:val="5"/>
        <w:tblW w:w="4971"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
        <w:gridCol w:w="2063"/>
        <w:gridCol w:w="36"/>
        <w:gridCol w:w="120"/>
        <w:gridCol w:w="600"/>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6"/>
        <w:gridCol w:w="36"/>
        <w:gridCol w:w="37"/>
        <w:gridCol w:w="121"/>
        <w:gridCol w:w="701"/>
        <w:gridCol w:w="37"/>
        <w:gridCol w:w="37"/>
        <w:gridCol w:w="37"/>
        <w:gridCol w:w="37"/>
        <w:gridCol w:w="121"/>
        <w:gridCol w:w="701"/>
        <w:gridCol w:w="37"/>
      </w:tblGrid>
      <w:tr>
        <w:tc>
          <w:tcPr>
            <w:tcW w:w="50" w:type="pct"/>
            <w:shd w:val="clear" w:color="auto" w:fill="auto"/>
            <w:vAlign w:val="bottom"/>
          </w:tcPr>
          <w:p>
            <w:pPr>
              <w:rPr>
                <w:rFonts w:hint="eastAsia" w:ascii="宋体"/>
                <w:sz w:val="24"/>
                <w:szCs w:val="24"/>
              </w:rPr>
            </w:pPr>
          </w:p>
        </w:tc>
        <w:tc>
          <w:tcPr>
            <w:tcW w:w="186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8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2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2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2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0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6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6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Nine Months Ended December 31,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1"/>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 </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 </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2023</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2024</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2025</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2026</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Thereafter</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Long-term debt principal and interest</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2,572 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4,862 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7,017 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3,400 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3,829 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52,784 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74,464 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5,883 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7,429 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6,890 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6,364 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5,798 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33,780 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66,144 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Finance lease liabilities, including interest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5,459 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4,748 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2,266 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1,357 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1,224 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8,040 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23,094 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Financing obligations, including interest (1)</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7,181 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9,372 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Leases not yet commenced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959 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2,006 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2,412 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2,378 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2,422 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23,593 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33,770 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Unconditional purchase obligations (2)</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4,390 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5,838 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5,153 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4,712 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4,166 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9,394 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33,653 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commitments (3)(4)</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2,642 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1,842 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1,319 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973 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1,093 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10,938 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18,807 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commitments</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22,245 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27,191 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25,522 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19,640 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18,996 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145,710 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259,304 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(1)Includes non-cancellable financing obligations for fulfillment, sortation, and data center facilities. Excluding interest, current financing obligations of $196 million and $217 million are recorded within “Accrued expenses and other” and $6.2 billion and $6.8 billion are recorded within “Other long-term liabilities” as of December 31, 2021 and March 31, 2022. The weighted-average remaining term of the financing obligations was 18.8 years and the weighted-average imputed interest rate was 3.2% and 3.3% as of December 31, 2021 and March 31, 2022.</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(2)Includes unconditional purchase obligations related to long-term agreements to acquire and license digital media content that are not reflected on the consolidated balance sheets and certain products offered in our Whole Foods Market stores. For those digital media content agreements with variable terms, we do not estimate the total obligation beyond any minimum quantities and/or pricing as of the reporting date. Purchase obligations associated with renewal provisions solely at the option of the content provider are included to the extent such commitments are fixed or a minimum amount is specified.</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(3)Includes the estimated timing and amounts of payments for rent and tenant improvements associated with build-to-suit lease arrangements that are under construction, asset retirement obligations, and liabilities associated with digital media content agreements with initial terms greater than one year.</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(4)Excludes approximately $3.3 billion of accrued tax contingencies for which we cannot make a reasonably reliable estimate of the amount and period of payment, if any.</w:t>
      </w:r>
    </w:p>
    <w:p>
      <w:pPr>
        <w:keepNext w:val="0"/>
        <w:keepLines w:val="0"/>
        <w:widowControl/>
        <w:suppressLineNumbers w:val="0"/>
        <w:jc w:val="center"/>
      </w:pPr>
      <w:r>
        <w:rPr>
          <w:rFonts w:hint="default" w:ascii="Times New Roman" w:hAnsi="Times New Roman" w:eastAsia="宋体" w:cs="Times New Roman"/>
          <w:color w:val="000000"/>
          <w:sz w:val="20"/>
          <w:szCs w:val="20"/>
        </w:rPr>
        <w:t>12</w:t>
      </w:r>
    </w:p>
    <w:p>
      <w:pPr>
        <w:keepNext w:val="0"/>
        <w:keepLines w:val="0"/>
        <w:widowControl/>
        <w:suppressLineNumbers w:val="0"/>
      </w:pPr>
      <w:r>
        <w:pict>
          <v:rect id="_x0000_i106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we expect to pay the previously disclosed €1.13 billion fine imposed by the Italian Competition Authority in December 2021, which we will seek to recover pending conclusion of all appeals.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Other Contingencies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disputing claims and denials of refunds or credits related to various non-income taxes (such as sales, value added, consumption, service, and similar taxes), including in jurisdictions in which we already collect and remit these taxes. These non-income tax controversies typically relate to (i) the taxability of products and services, including cross-border intercompany transactions, (ii) collection and withholding on transactions with third parties, and (iii) the adequacy of compliance with reporting obligations, including evolving documentation requirements. Due to the inherent complexity and uncertainty of these matters and the judicial and regulatory processes in certain jurisdictions, the final outcome of any such controversies may be materially different from our expectations.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Legal Proceedings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Company is involved from time to time in claims, proceedings, and litigation, including the matters described in Item 8 of Part II, “Financial Statements and Supplementary Data — Note 7 — Commitments and Contingencies — Legal Proceedings” of our 2021 Annual Report on Form 10-K as supplemented by the following:</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December 2018, Kove IO, Inc. filed a complaint against Amazon Web Services, Inc. in the United States District Court for the Northern District of Illinois. The complaint alleges, among other things, that Amazon S3 and DynamoDB infringe U.S. Patent Nos. 7,814,170 and 7,103,640, both entitled “Network Distributed Tracking Wire Transfer Protocol,” and 7,233,978, entitled “Method And Apparatus For Managing Location Information In A Network Separate From The Data To Which The Location Information Pertains.” The complaint seeks an unspecified amount of damages, enhanced damages, attorneys’ fees, costs, interest, and injunctive relief. In March 2022, the case was stayed pending resolution of review petitions we filed with the United States Patent and Trademark Office. We dispute the allegations of wrongdoing and intend to defend ourselves vigorously in this matter.</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Beginning in March 2020, with Frame-Wilson v. Amazon.com, Inc. filed in the United States District Court for the Western District of Washington, a number of cases have been filed in the U.S. and Canada alleging, among other things, price fixing arrangements between Amazon.com, Inc. and third-party sellers in Amazon’s stores, monopolization and attempted monopolization, and consumer protection and unjust enrichment claims. Some of the cases include allegations of several distinct purported classes, including consumers who purchased a product through Amazon’s stores and consumers who purchased a product offered by Amazon through another e-commerce retailer. The complaints seek billions of dollars of alleged actual damages, treble damages, punitive damages, and injunctive relief. Individuals have also initiated arbitrations based on substantially similar allegations. In March 2022, the court in the Frame-Wilson case granted Amazon’s motion to dismiss claims alleging that Amazon’s pricing policies are inherently illegal under federal law and claims alleging competition and consumer protection violations under state law, and denied Amazon’s motion to dismiss claims alleging that Amazon’s pricing policies are an unlawful restraint of trade under federal law. We dispute the remaining allegations of wrongdoing and intend to defend ourselves vigorously in these matters.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November 2021, Jawbone Innovations, LLC filed a complaint against Amazon.com, Inc. and Amazon.com Services, Inc. in the United States District Court for the Eastern District of Texas. The complaint alleges, among other things, that Amazon Echo smart speakers and displays, Fire TV Cube, and Echo Buds infringe U.S. Patent Nos. 7,246,058, entitled “Detecting Voiced and Unvoiced Speech Using Both Acoustic and Nonacoustic Sensors”; 8,019,091, entitled “Voice Activity Detector (VAD)-Based Multiple-Microphone Acoustic Noise Suppression”; 8,280,072, entitled “Microphone Array with Rear Venting”; 8,321,213 and 8,326,611, both entitled “Acoustic Voice Activity Detection (AVAD) for Electronic Systems”; 8,467,543, entitled “Microphone and Voice Activity Detection (VAD) Configurations for Use with Communications Systems”; 8,503,691, entitled “Virtual Microphone Arrays Using Dual Omnidirectional Microphone Array (DOMA)”; 10,779,080, entitled “Dual Omnidirectional Microphone Array (DOMA)”; and 11,122,357, entitled “Forming Virtual Microphone Arrays Using Dual Omnidirectional Microphone Array (DOMA).” The complaint seeks an unspecified amount of damages, enhanced damages, attorneys’ fees, costs, interest, and injunctive relief. We dispute the allegations of wrongdoing and intend to defend ourselves vigorously in this matter.</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we are regularly subject to claims, litigation, and other proceedings, including potential regulatory proceedings, involving patent and other intellectual property matters, taxes, labor and employment, competition and antitrust, privacy and data protection, consumer protection, commercial disputes, goods and services offered by us and by third parties, and other matters.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The outcomes of our legal proceedings and other contingencies are inherently unpredictable, subject to significant uncertainties, and could be material to our operating results and cash flows for a particular period. We evaluate, on a regular basis, developments in our legal proceedings and other contingencies that could affect the amount of liability, including </w:t>
      </w:r>
    </w:p>
    <w:p>
      <w:pPr>
        <w:keepNext w:val="0"/>
        <w:keepLines w:val="0"/>
        <w:widowControl/>
        <w:suppressLineNumbers w:val="0"/>
        <w:jc w:val="center"/>
      </w:pPr>
      <w:r>
        <w:rPr>
          <w:rFonts w:hint="default" w:ascii="Times New Roman" w:hAnsi="Times New Roman" w:eastAsia="宋体" w:cs="Times New Roman"/>
          <w:color w:val="000000"/>
          <w:sz w:val="20"/>
          <w:szCs w:val="20"/>
        </w:rPr>
        <w:t>13</w:t>
      </w:r>
    </w:p>
    <w:p>
      <w:pPr>
        <w:keepNext w:val="0"/>
        <w:keepLines w:val="0"/>
        <w:widowControl/>
        <w:suppressLineNumbers w:val="0"/>
      </w:pPr>
      <w:r>
        <w:pict>
          <v:rect id="_x0000_i107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amounts in excess of any previous accruals and reasonably possible losses disclosed, and make adjustments and changes to our accruals and disclosures as appropriate. For the matters we disclose that do not include an estimate of the amount of loss or range of losses, such an estimate is not possible or is immaterial, and we may be unable to estimate the possible loss or range of losses that could potentially result from the application of non-monetary remedies. Until the final resolution of such matters, if any of our estimates and assumptions change or prove to have been incorrect, we may experience losses in excess of the amounts recorded, which could have a material effect on our business, consolidated financial position, results of operations, or cash flows.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See also “Note 7 — Income Taxes.”</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 xml:space="preserve">Note 5 — DEBT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March 31, 2022, we had $49.7 billion of unsecured senior notes outstanding (the “Notes”) and $803 million of borrowings under our credit facility. Our total long-term debt obligations are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2597"/>
        <w:gridCol w:w="36"/>
        <w:gridCol w:w="72"/>
        <w:gridCol w:w="711"/>
        <w:gridCol w:w="36"/>
        <w:gridCol w:w="36"/>
        <w:gridCol w:w="36"/>
        <w:gridCol w:w="36"/>
        <w:gridCol w:w="42"/>
        <w:gridCol w:w="996"/>
        <w:gridCol w:w="36"/>
        <w:gridCol w:w="36"/>
        <w:gridCol w:w="36"/>
        <w:gridCol w:w="36"/>
        <w:gridCol w:w="50"/>
        <w:gridCol w:w="940"/>
        <w:gridCol w:w="36"/>
        <w:gridCol w:w="36"/>
        <w:gridCol w:w="36"/>
        <w:gridCol w:w="36"/>
        <w:gridCol w:w="120"/>
        <w:gridCol w:w="987"/>
        <w:gridCol w:w="36"/>
        <w:gridCol w:w="36"/>
        <w:gridCol w:w="36"/>
        <w:gridCol w:w="36"/>
        <w:gridCol w:w="120"/>
        <w:gridCol w:w="1012"/>
        <w:gridCol w:w="37"/>
      </w:tblGrid>
      <w:tr>
        <w:tc>
          <w:tcPr>
            <w:tcW w:w="50" w:type="pct"/>
            <w:shd w:val="clear" w:color="auto" w:fill="auto"/>
            <w:vAlign w:val="bottom"/>
          </w:tcPr>
          <w:p>
            <w:pPr>
              <w:rPr>
                <w:rFonts w:hint="eastAsia" w:ascii="宋体"/>
                <w:sz w:val="24"/>
                <w:szCs w:val="24"/>
              </w:rPr>
            </w:pPr>
          </w:p>
        </w:tc>
        <w:tc>
          <w:tcPr>
            <w:tcW w:w="158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7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2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9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3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3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Maturities (1)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Stated Interest Rates</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Effective Interest Rates</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March 31, 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2012 Notes issuance of $3.0 billion</w:t>
            </w: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2022</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2.50%</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2.66%</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1,250 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1,250 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2014 Notes issuance of $6.0 billion</w:t>
            </w: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2024 - 2044</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3.80% - 4.95%</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3.90% - 5.11%</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2017 Notes issuance of $17.0 billion</w:t>
            </w: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2023 - 2057</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2.40% - 5.20%</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2.56% - 4.33%</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2020 Notes issuance of $10.0 billion</w:t>
            </w: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2023 - 2060</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0.40% - 2.70%</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0.56% - 2.77%</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2021 Notes issuance of $18.5 billion</w:t>
            </w: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2023 - 2061</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0.25% - 3.25%</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0.35% - 3.31%</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18,500 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18,500 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Credit Facility</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face value of long-term debt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50,553 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50,553 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Unamortized discount and issuance costs, net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current portion of long-term debt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(1,491)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(2,681)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Long-term debt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48,744 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47,556 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 The weighted-average remaining lives of the 2012, 2014, 2017, 2020, and 2021 Notes were 0.7, 13.3, 15.0, 17.5, and 14.1 years as of March 31, 2022. The combined weighted-average remaining life of the Notes was 14.6 years as of March 31,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Interest on the Notes is payable semi-annually in arrears. We may redeem the Notes at any time in whole, or from time to time, in part at specified redemption prices. We are not subject to any financial covenants under the Notes. The estimated fair value of the Notes was approximately $53.3 billion and $49.0 billion as of December 31, 2021 and March 31, 2022, which is based on quoted prices for our debt as of those dates. We issued $12.8 billion of notes in April 2022 for general corporate purposes with maturities between 2024 and 2062, stated interest rates between 2.73% and 4.10%, and effective interest rates between 2.83% and 4.15%.</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a $1.0 billion secured revolving credit facility with a lender that is secured by certain seller receivables, which we may from time to time increase in the future subject to lender approval (the “Credit Facility”). The Credit Facility is available until October 2022, bears interest at the London interbank offered rate (“LIBOR”) plus 1.40%, and has a commitment fee of 0.50% on the undrawn portion. There were $803 million of borrowings outstanding under the Credit Facility as of December 31, 2021 and March 31, 2022, which had a weighted-average interest rate of 2.7%. As of December 31, 2021 and March 31, 2022, we have pledged $918 million of our cash and seller receivables as collateral for debt related to our Credit Facility. The estimated fair value of the Credit Facility, which is based on Level 2 inputs, approximated its carrying value as of December 31, 2021 and March 31,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U.S. Dollar and Euro commercial paper programs (the “Commercial Paper Programs”) under which we may from time to time issue unsecured commercial paper up to a total of $20.0 billion (including up to €3.0 billion) at the date of issue, with individual maturities that may vary but will not exceed 397 days from the date of issue. In March 2022, we increased the size of the Commercial Paper Programs from $10.0 billion to $20.0 billion. There were $725 million and $10.8 billion of borrowings outstanding under the Commercial Paper Programs as of December 31, 2021 and March 31, 2022, which were included in “Accrued expenses and other” on our consolidated balance sheets and had a weighted-average effective interest rate, including issuance costs, of 0.08% and 0.56%, respectively. We use the net proceeds from the issuance of commercial paper for general corporate purposes.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also have a $10.0 billion unsecured revolving credit facility with a syndicate of lenders (the “Credit Agreement”), which was amended and restated in March 2022 to increase the borrowing capacity from $7.0 billion to $10.0 billion and to </w:t>
      </w:r>
    </w:p>
    <w:p>
      <w:pPr>
        <w:keepNext w:val="0"/>
        <w:keepLines w:val="0"/>
        <w:widowControl/>
        <w:suppressLineNumbers w:val="0"/>
        <w:jc w:val="center"/>
      </w:pPr>
      <w:r>
        <w:rPr>
          <w:rFonts w:hint="default" w:ascii="Times New Roman" w:hAnsi="Times New Roman" w:eastAsia="宋体" w:cs="Times New Roman"/>
          <w:color w:val="000000"/>
          <w:sz w:val="20"/>
          <w:szCs w:val="20"/>
        </w:rPr>
        <w:t>14</w:t>
      </w:r>
    </w:p>
    <w:p>
      <w:pPr>
        <w:keepNext w:val="0"/>
        <w:keepLines w:val="0"/>
        <w:widowControl/>
        <w:suppressLineNumbers w:val="0"/>
      </w:pPr>
      <w:r>
        <w:pict>
          <v:rect id="_x0000_i107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extend the term to March 2025. It may be extended for up to three additional one year terms if approved by the lenders. The interest rate applicable to outstanding balances under the Credit Agreement is the applicable benchmark rate specified in the Credit Agreement plus 0.45%, with a commitment fee of 0.03% on the undrawn portion of the credit facility. There were no borrowings outstanding under the Credit Agreement as of December 31, 2021 and March 31,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also utilize other short-term credit facilities for working capital purposes. These amounts are included in “Accrued expenses and other” on our consolidated balance sheets. In addition, we had $10.2 billion of unused letters of credit as of March 31, 2022. </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6 — STOCKHOLDERS’ EQUITY</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Stock Repurchase Activity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March 2022, the Board of Directors authorized a program to repurchase up to $10.0 billion of our common stock, with no fixed expiration, which replaced the previous $5.0 billion stock repurchase authorization, approved by the Board of Directors in February 2016. We repurchased 0.9 million shares of our common stock for $2.7 billion during the three months ended March 31, 2022 under these programs. As of March 31, 2022, we have $9.5 billion remaining under the repurchase program.</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Stock Award Activity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Common shares outstanding plus shares underlying outstanding stock awards totaled 523 million as of December 31, 2021 and March 31, 2022. These totals include all vested and unvested stock awards outstanding, including those awards we estimate will be forfeited. Stock-based compensation expense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
        <w:gridCol w:w="5580"/>
        <w:gridCol w:w="36"/>
        <w:gridCol w:w="36"/>
        <w:gridCol w:w="36"/>
        <w:gridCol w:w="36"/>
        <w:gridCol w:w="36"/>
        <w:gridCol w:w="120"/>
        <w:gridCol w:w="1076"/>
        <w:gridCol w:w="36"/>
        <w:gridCol w:w="36"/>
        <w:gridCol w:w="36"/>
        <w:gridCol w:w="36"/>
        <w:gridCol w:w="120"/>
        <w:gridCol w:w="1040"/>
        <w:gridCol w:w="37"/>
      </w:tblGrid>
      <w:tr>
        <w:tc>
          <w:tcPr>
            <w:tcW w:w="50" w:type="pct"/>
            <w:shd w:val="clear" w:color="auto" w:fill="auto"/>
            <w:vAlign w:val="bottom"/>
          </w:tcPr>
          <w:p>
            <w:pPr>
              <w:rPr>
                <w:rFonts w:hint="eastAsia" w:ascii="宋体"/>
                <w:sz w:val="24"/>
                <w:szCs w:val="24"/>
              </w:rPr>
            </w:pPr>
          </w:p>
        </w:tc>
        <w:tc>
          <w:tcPr>
            <w:tcW w:w="34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50" w:type="pct"/>
            <w:shd w:val="clear" w:color="auto" w:fill="auto"/>
            <w:vAlign w:val="bottom"/>
          </w:tcPr>
          <w:p>
            <w:pPr>
              <w:rPr>
                <w:rFonts w:hint="eastAsia" w:ascii="宋体"/>
                <w:sz w:val="24"/>
                <w:szCs w:val="24"/>
              </w:rPr>
            </w:pPr>
          </w:p>
        </w:tc>
        <w:tc>
          <w:tcPr>
            <w:tcW w:w="6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1,228 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1,645 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Sales and marketing</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665 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stock-based compensation expense</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2,306 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3,250 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summarizes our restricted stock unit activity for the three months ended March 31, 2022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548"/>
        <w:gridCol w:w="36"/>
        <w:gridCol w:w="80"/>
        <w:gridCol w:w="1099"/>
        <w:gridCol w:w="36"/>
        <w:gridCol w:w="36"/>
        <w:gridCol w:w="36"/>
        <w:gridCol w:w="36"/>
        <w:gridCol w:w="121"/>
        <w:gridCol w:w="1223"/>
        <w:gridCol w:w="37"/>
      </w:tblGrid>
      <w:tr>
        <w:tc>
          <w:tcPr>
            <w:tcW w:w="50" w:type="pct"/>
            <w:shd w:val="clear" w:color="auto" w:fill="auto"/>
            <w:vAlign w:val="bottom"/>
          </w:tcPr>
          <w:p>
            <w:pPr>
              <w:rPr>
                <w:rFonts w:hint="eastAsia" w:ascii="宋体"/>
                <w:sz w:val="24"/>
                <w:szCs w:val="24"/>
              </w:rPr>
            </w:pPr>
          </w:p>
        </w:tc>
        <w:tc>
          <w:tcPr>
            <w:tcW w:w="34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8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8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Number of Units</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Weighted-Average</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Grant-Date</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Fair Value</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Outstanding as of December 31, 2021</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2,684 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Units granted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3,104 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Units vested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1,874 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Units forfeited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2,670 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Outstanding as of March 31, 2022</w:t>
            </w: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2,768 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Scheduled vesting for outstanding restricted stock units as of March 31, 2022, is as follows (in millions):</w:t>
      </w:r>
    </w:p>
    <w:tbl>
      <w:tblPr>
        <w:tblStyle w:val="5"/>
        <w:tblW w:w="4971"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2"/>
        <w:gridCol w:w="2807"/>
        <w:gridCol w:w="36"/>
        <w:gridCol w:w="62"/>
        <w:gridCol w:w="844"/>
        <w:gridCol w:w="36"/>
        <w:gridCol w:w="36"/>
        <w:gridCol w:w="36"/>
        <w:gridCol w:w="36"/>
        <w:gridCol w:w="46"/>
        <w:gridCol w:w="506"/>
        <w:gridCol w:w="36"/>
        <w:gridCol w:w="36"/>
        <w:gridCol w:w="36"/>
        <w:gridCol w:w="36"/>
        <w:gridCol w:w="46"/>
        <w:gridCol w:w="506"/>
        <w:gridCol w:w="36"/>
        <w:gridCol w:w="36"/>
        <w:gridCol w:w="36"/>
        <w:gridCol w:w="36"/>
        <w:gridCol w:w="46"/>
        <w:gridCol w:w="506"/>
        <w:gridCol w:w="36"/>
        <w:gridCol w:w="36"/>
        <w:gridCol w:w="36"/>
        <w:gridCol w:w="36"/>
        <w:gridCol w:w="46"/>
        <w:gridCol w:w="506"/>
        <w:gridCol w:w="36"/>
        <w:gridCol w:w="36"/>
        <w:gridCol w:w="36"/>
        <w:gridCol w:w="36"/>
        <w:gridCol w:w="90"/>
        <w:gridCol w:w="680"/>
        <w:gridCol w:w="37"/>
        <w:gridCol w:w="37"/>
        <w:gridCol w:w="37"/>
        <w:gridCol w:w="37"/>
        <w:gridCol w:w="50"/>
        <w:gridCol w:w="554"/>
        <w:gridCol w:w="37"/>
      </w:tblGrid>
      <w:tr>
        <w:tc>
          <w:tcPr>
            <w:tcW w:w="50" w:type="pct"/>
            <w:shd w:val="clear" w:color="auto" w:fill="auto"/>
            <w:vAlign w:val="bottom"/>
          </w:tcPr>
          <w:p>
            <w:pPr>
              <w:rPr>
                <w:rFonts w:hint="eastAsia" w:ascii="宋体"/>
                <w:sz w:val="24"/>
                <w:szCs w:val="24"/>
              </w:rPr>
            </w:pPr>
          </w:p>
        </w:tc>
        <w:tc>
          <w:tcPr>
            <w:tcW w:w="170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3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3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3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3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7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7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Nine Months Ended December 31,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1"/>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 </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 </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2023</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2024</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2025</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2026</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Thereafter</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Scheduled vesting — restricted stock units</w:t>
            </w: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0.2 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0.1 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As of March 31, 2022, there was $16.4 billion of net unrecognized compensation cost related to unvested stock-based compensation arrangements. This compensation is recognized on an accelerated basis with approximately half of the compensation expected to be expensed in the next twelve months, and has a remaining weighted-average recognition period of 1.1 years. The estimated forfeiture rate as of December 31, 2021 and March 31, 2022 was 27%. Changes in our estimates and assumptions relating to forfeitures may cause us to realize material changes in stock-based compensation expense in the future. </w:t>
      </w:r>
    </w:p>
    <w:p>
      <w:pPr>
        <w:keepNext w:val="0"/>
        <w:keepLines w:val="0"/>
        <w:widowControl/>
        <w:suppressLineNumbers w:val="0"/>
        <w:jc w:val="center"/>
      </w:pPr>
      <w:r>
        <w:rPr>
          <w:rFonts w:hint="default" w:ascii="Times New Roman" w:hAnsi="Times New Roman" w:eastAsia="宋体" w:cs="Times New Roman"/>
          <w:color w:val="000000"/>
          <w:sz w:val="20"/>
          <w:szCs w:val="20"/>
        </w:rPr>
        <w:t>15</w:t>
      </w:r>
    </w:p>
    <w:p>
      <w:pPr>
        <w:keepNext w:val="0"/>
        <w:keepLines w:val="0"/>
        <w:widowControl/>
        <w:suppressLineNumbers w:val="0"/>
      </w:pPr>
      <w:r>
        <w:pict>
          <v:rect id="_x0000_i107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Changes in Stockholders’ Equity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shows changes in stockholders’ equity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6300"/>
        <w:gridCol w:w="36"/>
        <w:gridCol w:w="36"/>
        <w:gridCol w:w="36"/>
        <w:gridCol w:w="36"/>
        <w:gridCol w:w="36"/>
        <w:gridCol w:w="120"/>
        <w:gridCol w:w="700"/>
        <w:gridCol w:w="36"/>
        <w:gridCol w:w="36"/>
        <w:gridCol w:w="36"/>
        <w:gridCol w:w="36"/>
        <w:gridCol w:w="120"/>
        <w:gridCol w:w="700"/>
        <w:gridCol w:w="36"/>
      </w:tblGrid>
      <w:tr>
        <w:tc>
          <w:tcPr>
            <w:tcW w:w="50" w:type="pct"/>
            <w:shd w:val="clear" w:color="auto" w:fill="auto"/>
            <w:vAlign w:val="bottom"/>
          </w:tcPr>
          <w:p>
            <w:pPr>
              <w:rPr>
                <w:rFonts w:hint="eastAsia" w:ascii="宋体"/>
                <w:sz w:val="24"/>
                <w:szCs w:val="24"/>
              </w:rPr>
            </w:pPr>
          </w:p>
        </w:tc>
        <w:tc>
          <w:tcPr>
            <w:tcW w:w="389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50" w:type="pct"/>
            <w:shd w:val="clear" w:color="auto" w:fill="auto"/>
            <w:vAlign w:val="bottom"/>
          </w:tcPr>
          <w:p>
            <w:pPr>
              <w:rPr>
                <w:rFonts w:hint="eastAsia" w:ascii="宋体"/>
                <w:sz w:val="24"/>
                <w:szCs w:val="24"/>
              </w:rPr>
            </w:pPr>
          </w:p>
        </w:tc>
        <w:tc>
          <w:tcPr>
            <w:tcW w:w="44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4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Total beginning stockholders’ equity</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93,404 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138,245 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Beginning and ending common stock</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Beginning treasury stock</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Common stock repurchased</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(2,666)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Ending treasury stock</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(4,503)</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Beginning additional paid-in capital</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42,865 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55,538 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Stock-based compensation and issuance of employee benefit plan stock</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2,295 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3,255 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Ending additional paid-in capital</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45,160 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58,793 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Beginning accumulated other comprehensive income (loss)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(1,376)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comprehensive income (loss)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Ending accumulated other comprehensive income (loss)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(666)</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(2,365)</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Beginning retained earnings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52,551 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85,915 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income (loss)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8,107 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(3,844)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Ending retained earnings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60,658 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82,071 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ending stockholders’ equity</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103,320 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134,001 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7 — INCOME TAXES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tax provision or benefit from income taxes for interim periods is determined using an estimate of our annual effective tax rate, adjusted for discrete items, if any, that are taken into account in the relevant period. Each quarter we update our estimate of the annual effective tax rate, and if our estimated tax rate changes, we make a cumulative adjustment.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quarterly tax provision, and our quarterly estimate of our annual effective tax rate, is subject to significant variation due to several factors, including variability in accurately predicting our pre-tax and taxable income and loss and the mix of jurisdictions to which they relate, intercompany transactions, the applicability of special tax regimes, changes in how we do business, acquisitions, investments, developments in tax controversies, changes in our stock price, changes in our deferred tax assets and liabilities and their valuation, foreign currency gains (losses), changes in statutes, regulations, case law, and administrative practices, principles, and interpretations related to tax, including changes to the global tax framework, competition, and other laws and accounting rules in various jurisdictions, and relative changes of expenses or losses for which tax benefits are not recognized. Our effective tax rate can be more or less volatile based on the amount of pre-tax income or loss. For example, the impact of discrete items and non-deductible expenses on our effective tax rate is greater when our pre-tax income is lower. In addition, we record valuation allowances against deferred tax assets when there is uncertainty about our ability to generate future income in relevant jurisdictions.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For 2022, we estimate that our effective tax rate will be favorably affected by the impact of excess tax benefits from stock-based compensation and the U.S. federal research and development credit and adversely affected by state income taxes. In addition, valuation gains and losses from our equity investment in Rivian impact our pre-tax income and may cause variability in our effective tax rate.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income tax provision for the three months ended March 31, 2021 was $2.2 billion, which included $349 million of net discrete tax benefits primarily attributable to excess tax benefits from stock-based compensation. Our income tax benefit for the three months ended March 31, 2022 was $1.4 billion, which included $2.1 billion of net discrete tax benefits primarily attributable to a valuation loss related to our equity investment in Rivian.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Cash paid for income taxes, net of refunds was $801 million and $453 million in Q1 2021 and Q1 2022.</w:t>
      </w:r>
    </w:p>
    <w:p>
      <w:pPr>
        <w:keepNext w:val="0"/>
        <w:keepLines w:val="0"/>
        <w:widowControl/>
        <w:suppressLineNumbers w:val="0"/>
        <w:jc w:val="center"/>
      </w:pPr>
      <w:r>
        <w:rPr>
          <w:rFonts w:hint="default" w:ascii="Times New Roman" w:hAnsi="Times New Roman" w:eastAsia="宋体" w:cs="Times New Roman"/>
          <w:color w:val="000000"/>
          <w:sz w:val="20"/>
          <w:szCs w:val="20"/>
        </w:rPr>
        <w:t>16</w:t>
      </w:r>
    </w:p>
    <w:p>
      <w:pPr>
        <w:keepNext w:val="0"/>
        <w:keepLines w:val="0"/>
        <w:widowControl/>
        <w:suppressLineNumbers w:val="0"/>
      </w:pPr>
      <w:r>
        <w:pict>
          <v:rect id="_x0000_i107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As of December 31, 2021 and March 31, 2022, tax contingencies were approximately $3.2 billion and $3.3 billion. Changes in tax laws, regulations, administrative practices, principles, and interpretations may impact our tax contingencies. Due to various factors, including the inherent complexities and uncertainties of the judicial, administrative, and regulatory processes in certain jurisdictions, the timing of the resolution of income tax controversies is highly uncertain, and the amounts ultimately paid, if any, upon resolution of the issues raised by the taxing authorities may differ from the amounts accrued. It is reasonably possible that within the next twelve months we will receive additional assessments by various tax authorities or possibly reach resolution of income tax controversies in one or more jurisdictions. These assessments or settlements could result in changes to our contingencies related to positions on prior years’ tax filings.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are under examination, or may be subject to examination, by the Internal Revenue Service for the calendar year 2016 and thereafter. These examinations may lead to ordinary course adjustments or proposed adjustments to our taxes or our net operating losses with respect to years under examination as well as subsequent periods.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are also subject to taxation in various states and other foreign jurisdictions including China, France, Germany, India, Japan, Luxembourg, and the United Kingdom. We are under, or may be subject to, audit or examination and additional assessments by the relevant authorities in respect of these particular jurisdictions primarily for 2009 and thereafter. We are currently disputing tax assessments in multiple jurisdictions, including with respect to the allocation and characterization of income.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October 2014, the European Commission opened a formal investigation to examine whether decisions by the tax authorities in Luxembourg with regard to the corporate income tax paid by certain of our subsidiaries comply with European Union rules on state aid. On October 4, 2017, the European Commission announced its decision that determinations by the tax authorities in Luxembourg did not comply with European Union rules on state aid. Based on that decision, the European Commission announced an estimated recovery amount of approximately €250 million, plus interest, for the period May 2006 through June 2014, and ordered Luxembourg tax authorities to calculate the actual amount of additional taxes subject to recovery. Luxembourg computed an initial recovery amount, consistent with the European Commission’s decision, which we deposited into escrow in March 2018, subject to adjustment pending conclusion of all appeals. In December 2017, Luxembourg appealed the European Commission’s decision. In May 2018, we appealed. On May 12, 2021, the European Union General Court annulled the European Commission’s state aid decision. In July 2021, the European Commission appealed the decision to the European Court of Justice. We will continue to defend ourselves vigorously in this matter. </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 xml:space="preserve">Note 8 — SEGMENT INFORMATION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organized our operations into three segments: North America, International, and AWS. We allocate to segment results the operating expenses “Fulfillment,” “Technology and content,” “Sales and marketing,” and “General and administrative” based on usage, which is generally reflected in the segment in which the costs are incurred. The majority of technology infrastructure costs are allocated to the AWS segment based on usage. The majority of the remaining non-infrastructure technology costs are incurred in the U.S. and are allocated to our North America segment. There are no internal revenue transactions between our reportable segments. These segments reflect the way our chief operating decision maker evaluates the Company’s business performance and manages its operations.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North America</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North America segment primarily consists of amounts earned from retail sales of consumer products (including from sellers) and subscriptions through North America-focused online and physical stores. This segment includes export sales from these online stores.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International</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International segment primarily consists of amounts earned from retail sales of consumer products (including from sellers) and subscriptions through internationally-focused online stores. This segment includes export sales from these internationally-focused online stores (including export sales from these online stores to customers in the U.S., Mexico, and Canada), but excludes export sales from our North America-focused online stores.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AWS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AWS segment consists of amounts earned from global sales of compute, storage, database, and other services for start-ups, enterprises, government agencies, and academic institutions.</w:t>
      </w:r>
    </w:p>
    <w:p>
      <w:pPr>
        <w:keepNext w:val="0"/>
        <w:keepLines w:val="0"/>
        <w:widowControl/>
        <w:suppressLineNumbers w:val="0"/>
        <w:jc w:val="center"/>
      </w:pPr>
      <w:r>
        <w:rPr>
          <w:rFonts w:hint="default" w:ascii="Times New Roman" w:hAnsi="Times New Roman" w:eastAsia="宋体" w:cs="Times New Roman"/>
          <w:color w:val="000000"/>
          <w:sz w:val="20"/>
          <w:szCs w:val="20"/>
        </w:rPr>
        <w:t>17</w:t>
      </w:r>
    </w:p>
    <w:p>
      <w:pPr>
        <w:keepNext w:val="0"/>
        <w:keepLines w:val="0"/>
        <w:widowControl/>
        <w:suppressLineNumbers w:val="0"/>
      </w:pPr>
      <w:r>
        <w:pict>
          <v:rect id="_x0000_i107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Information on reportable segments and reconciliation to consolidated net income (loss)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
        <w:gridCol w:w="6085"/>
        <w:gridCol w:w="36"/>
        <w:gridCol w:w="36"/>
        <w:gridCol w:w="36"/>
        <w:gridCol w:w="36"/>
        <w:gridCol w:w="36"/>
        <w:gridCol w:w="120"/>
        <w:gridCol w:w="824"/>
        <w:gridCol w:w="36"/>
        <w:gridCol w:w="36"/>
        <w:gridCol w:w="36"/>
        <w:gridCol w:w="36"/>
        <w:gridCol w:w="120"/>
        <w:gridCol w:w="788"/>
        <w:gridCol w:w="36"/>
      </w:tblGrid>
      <w:tr>
        <w:tc>
          <w:tcPr>
            <w:tcW w:w="50" w:type="pct"/>
            <w:shd w:val="clear" w:color="auto" w:fill="auto"/>
            <w:vAlign w:val="bottom"/>
          </w:tcPr>
          <w:p>
            <w:pPr>
              <w:rPr>
                <w:rFonts w:hint="eastAsia" w:ascii="宋体"/>
                <w:sz w:val="24"/>
                <w:szCs w:val="24"/>
              </w:rPr>
            </w:pPr>
          </w:p>
        </w:tc>
        <w:tc>
          <w:tcPr>
            <w:tcW w:w="373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North America</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64,366 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69,244 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60,916 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70,812 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 (loss)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3,450 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(1,568)</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rPr>
          <w:trHeight w:val="240" w:hRule="atLeast"/>
        </w:trPr>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International</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30,649 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28,759 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29,397 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30,040 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 (loss)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1,252 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(1,281)</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240" w:hRule="atLeast"/>
        </w:trP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AWS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13,503 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18,441 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9,340 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11,923 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4,163 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6,518 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rPr>
          <w:trHeight w:val="240" w:hRule="atLeast"/>
        </w:trPr>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Consolidated</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108,518 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116,444 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99,653 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112,775 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8,865 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3,669 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non-operating income (expense)</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1,403 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(8,934)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Benefit (provision) for income taxes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(2,156)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1,422 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Equity-method investment activity, net of tax</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income (loss)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8,107 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(3,844)</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20"/>
          <w:szCs w:val="20"/>
        </w:rPr>
        <w:t>18</w:t>
      </w:r>
    </w:p>
    <w:p>
      <w:pPr>
        <w:keepNext w:val="0"/>
        <w:keepLines w:val="0"/>
        <w:widowControl/>
        <w:suppressLineNumbers w:val="0"/>
      </w:pPr>
      <w:r>
        <w:pict>
          <v:rect id="_x0000_i107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Net sales by groups of similar products and services, which also have similar economic characteristics, is as follows (in millions):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
        <w:gridCol w:w="6085"/>
        <w:gridCol w:w="36"/>
        <w:gridCol w:w="36"/>
        <w:gridCol w:w="36"/>
        <w:gridCol w:w="36"/>
        <w:gridCol w:w="36"/>
        <w:gridCol w:w="120"/>
        <w:gridCol w:w="824"/>
        <w:gridCol w:w="36"/>
        <w:gridCol w:w="36"/>
        <w:gridCol w:w="36"/>
        <w:gridCol w:w="36"/>
        <w:gridCol w:w="120"/>
        <w:gridCol w:w="788"/>
        <w:gridCol w:w="36"/>
      </w:tblGrid>
      <w:tr>
        <w:tc>
          <w:tcPr>
            <w:tcW w:w="50" w:type="pct"/>
            <w:shd w:val="clear" w:color="auto" w:fill="auto"/>
            <w:vAlign w:val="bottom"/>
          </w:tcPr>
          <w:p>
            <w:pPr>
              <w:rPr>
                <w:rFonts w:hint="eastAsia" w:ascii="宋体"/>
                <w:sz w:val="24"/>
                <w:szCs w:val="24"/>
              </w:rPr>
            </w:pPr>
          </w:p>
        </w:tc>
        <w:tc>
          <w:tcPr>
            <w:tcW w:w="373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5"/>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Online stores (1)</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52,901 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51,129 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Physical stores (2)</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3,920 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4,591 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Third-party seller services (3)</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23,709 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25,335 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Subscription services (4)</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7,580 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8,410 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Advertising services (5)</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6,381 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7,877 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13,503 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18,441 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(6)</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108,518 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116,444 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(1)Includes product sales and digital media content where we record revenue gross. We leverage our retail infrastructure to offer a wide selection of consumable and durable goods that includes media products available in both a physical and digital format, such as books, videos, games, music, and software. These product sales include digital products sold on a transactional basis. Digital product subscriptions that provide unlimited viewing or usage rights are included in “Subscription services.”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(2)Includes product sales where our customers physically select items in a store. Sales to customers who order goods online for delivery or pickup at our physical stores are included in “Online stores.”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(3)Includes commissions and any related fulfillment and shipping fees, and other third-party seller services.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(4)Includes annual and monthly fees associated with Amazon Prime memberships, as well as digital video, audiobook, digital music, e-book, and other non-AWS subscription services.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(5)Includes sales of advertising services to sellers, vendors, publishers, authors, and others, through programs such as sponsored ads, display, and video advertising.</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(6)Includes sales related to various other service offerings. </w:t>
      </w:r>
    </w:p>
    <w:p>
      <w:pPr>
        <w:keepNext w:val="0"/>
        <w:keepLines w:val="0"/>
        <w:widowControl/>
        <w:suppressLineNumbers w:val="0"/>
        <w:jc w:val="center"/>
      </w:pPr>
      <w:r>
        <w:rPr>
          <w:rFonts w:hint="default" w:ascii="Times New Roman" w:hAnsi="Times New Roman" w:eastAsia="宋体" w:cs="Times New Roman"/>
          <w:color w:val="000000"/>
          <w:sz w:val="20"/>
          <w:szCs w:val="20"/>
        </w:rPr>
        <w:t>19</w:t>
      </w:r>
    </w:p>
    <w:p>
      <w:pPr>
        <w:keepNext w:val="0"/>
        <w:keepLines w:val="0"/>
        <w:widowControl/>
        <w:suppressLineNumbers w:val="0"/>
      </w:pPr>
      <w:r>
        <w:pict>
          <v:rect id="_x0000_i107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2.</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Management’s Discussion and Analysis of Financial Condition and Results of Operations</w:t>
            </w:r>
          </w:p>
        </w:tc>
      </w:tr>
    </w:tbl>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Forward-Looking Statements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i/>
          <w:iCs/>
          <w:color w:val="000000"/>
          <w:sz w:val="20"/>
          <w:szCs w:val="20"/>
        </w:rPr>
        <w:t>This Quarterly Report on Form 10-Q includes forward-looking statements within the meaning of the Private Securities Litigation Reform Act of 1995. All statements other than statements of historical fact, including statements regarding guidance, industry prospects, or future results of operations or financial position, made in this Quarterly Report on Form 10-Q are forward-looking. We use words such as anticipates, believes, expects, future, intends, and similar expressions to identify forward-looking statements. Forward-looking statements reflect management’s current expectations and are inherently uncertain. Actual results and outcomes could differ materially for a variety of reasons, including, among others, fluctuations in foreign exchange rates, changes in global economic conditions and customer spending, inflation, labor market and global supply chain constraints, world events, the rate of growth of the Internet, online commerce, and cloud services, the amount that Amazon.com invests in new business opportunities and the timing of those investments, the mix of products and services sold to customers, the mix of net sales derived from products as compared with services, the extent to which we owe income or other taxes, competition, management of growth, potential fluctuations in operating results, international growth and expansion, the outcomes of claims, litigation, government investigations, and other proceedings, fulfillment, sortation, delivery, and data center optimization, risks of inventory management, variability in demand, the degree to which we enter into, maintain, and develop commercial agreements, proposed and completed acquisitions and strategic transactions, payments risks, and risks of fulfillment throughput and productivity. In addition, global economic conditions and additional or unforeseen effects from the COVID-19 pandemic amplify many of these risks. These risks and uncertainties, as well as other risks and uncertainties that could cause our actual results or outcomes to differ significantly from management’s expectations, are described in greater detail in Item 1A of Part II, “Risk Factors.”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For additional information, see Item 7 of Part II, “Management’s Discussion and Analysis of Financial Condition and Results of Operations — Overview” of our 2021 Annual Report on Form 10-K.</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Critical Accounting Judgments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preparation of financial statements in conformity with GAAP requires estimates and assumptions that affect the reported amounts of assets and liabilities, revenues and expenses, and related disclosures of contingent liabilities in the consolidated financial statements and accompanying notes. The SEC has defined a company’s critical accounting policies as the ones that are most important to the portrayal of the company’s financial condition and results of operations, and which require the company to make its most difficult and subjective judgments, often as a result of the need to make estimates of matters that are inherently uncertain. Based on this definition, we have identified the critical accounting policies and judgments addressed below. We also have other key accounting policies, which involve the use of estimates, judgments, and assumptions that are significant to understanding our results. For additional information, see Item 8 of Part II, “Financial Statements and Supplementary Data — Note 1 — Description of Business, Accounting Policies, and Supplemental Disclosures” of our 2021 Annual Report on Form 10-K and Item 1 of Part I, “Financial Statements — Note 1 — Accounting Policies and Supplemental Disclosures,” of this Form 10-Q. Although we believe that our estimates, assumptions, and judgments are reasonable, they are based upon information presently available. Actual results may differ significantly from these estimates under different assumptions, judgments, or conditions.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Inventories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Inventories, consisting of products available for sale, are primarily accounted for using the first-in first-out method, and are valued at the lower of cost and net realizable value. This valuation requires us to make judgments, based on currently available information, about the likely method of disposition, such as through sales to individual customers, returns to product vendors, or liquidations, and expected recoverable values of each disposition category. These assumptions about future disposition of inventory are inherently uncertain and changes in our estimates and assumptions may cause us to realize material write-downs in the future. As a measure of sensitivity, for every 1% of additional inventory valuation allowance as of March 31, 2022, we would have recorded an additional cost of sales of approximately $390 million.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we enter into supplier commitments for certain electronic device components and certain products. These commitments are based on forecasted customer demand. If we reduce these commitments, we may incur additional costs.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Income Taxes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are subject to income taxes in the U.S. (federal and state) and numerous foreign jurisdictions. Tax laws, regulations, administrative practices, principles, and interpretations in various jurisdictions may be subject to significant change, with or without notice, due to economic, political, and other conditions, and significant judgment is required in evaluating and estimating our provision and accruals for these taxes. There are many transactions that occur during the ordinary course of business for which the ultimate tax determination is uncertain. In addition, our actual and forecasted earnings are subject to </w:t>
      </w:r>
    </w:p>
    <w:p>
      <w:pPr>
        <w:keepNext w:val="0"/>
        <w:keepLines w:val="0"/>
        <w:widowControl/>
        <w:suppressLineNumbers w:val="0"/>
        <w:jc w:val="center"/>
      </w:pPr>
      <w:r>
        <w:rPr>
          <w:rFonts w:hint="default" w:ascii="Times New Roman" w:hAnsi="Times New Roman" w:eastAsia="宋体" w:cs="Times New Roman"/>
          <w:color w:val="000000"/>
          <w:sz w:val="20"/>
          <w:szCs w:val="20"/>
        </w:rPr>
        <w:t>20</w:t>
      </w:r>
    </w:p>
    <w:p>
      <w:pPr>
        <w:keepNext w:val="0"/>
        <w:keepLines w:val="0"/>
        <w:widowControl/>
        <w:suppressLineNumbers w:val="0"/>
      </w:pPr>
      <w:r>
        <w:pict>
          <v:rect id="_x0000_i107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 xml:space="preserve">change due to economic, political, and other conditions and significant judgment is required in determining our ability to use our deferred tax assets.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effective tax rates could be affected by numerous factors, such as changes in our business operations, acquisitions, investments, entry into new businesses and geographies, intercompany transactions, the relative amount of our foreign earnings, including earnings being lower than anticipated in jurisdictions where we have lower statutory rates and higher than anticipated in jurisdictions where we have higher statutory rates, losses incurred in jurisdictions for which we are not able to realize related tax benefits, the applicability of special tax regimes, changes in foreign currency exchange rates, changes in our stock price, changes to our forecasts of income and loss and the mix of jurisdictions to which they relate, changes in our deferred tax assets and liabilities and their valuation, changes in the laws, regulations, administrative practices, principles, and interpretations related to tax, including changes to the global tax framework, competition, and other laws and accounting rules in various jurisdictions. In addition, a number of countries have enacted or are actively pursuing changes to their tax laws applicable to corporate multinationals.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also currently subject to tax controversies in various jurisdictions, and these jurisdictions may assess additional income tax liabilities against us. Developments in an audit, investigation, or other tax controversy could have a material effect on our operating results or cash flows in the period or periods for which that development occurs, as well as for prior and subsequent periods. We regularly assess the likelihood of an adverse outcome resulting from these proceedings to determine the adequacy of our tax accruals. Although we believe our tax estimates are reasonable, the final outcome of audits, investigations, and any other tax controversies could be materially different from our historical income tax provisions and accruals.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Liquidity and Capital Resources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Cash flow information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457"/>
        <w:gridCol w:w="36"/>
        <w:gridCol w:w="36"/>
        <w:gridCol w:w="36"/>
        <w:gridCol w:w="36"/>
        <w:gridCol w:w="36"/>
        <w:gridCol w:w="120"/>
        <w:gridCol w:w="708"/>
        <w:gridCol w:w="36"/>
        <w:gridCol w:w="36"/>
        <w:gridCol w:w="36"/>
        <w:gridCol w:w="36"/>
        <w:gridCol w:w="120"/>
        <w:gridCol w:w="664"/>
        <w:gridCol w:w="36"/>
        <w:gridCol w:w="36"/>
        <w:gridCol w:w="36"/>
        <w:gridCol w:w="36"/>
        <w:gridCol w:w="120"/>
        <w:gridCol w:w="664"/>
        <w:gridCol w:w="36"/>
        <w:gridCol w:w="36"/>
        <w:gridCol w:w="36"/>
        <w:gridCol w:w="36"/>
        <w:gridCol w:w="120"/>
        <w:gridCol w:w="678"/>
        <w:gridCol w:w="37"/>
      </w:tblGrid>
      <w:tr>
        <w:tc>
          <w:tcPr>
            <w:tcW w:w="50" w:type="pct"/>
            <w:shd w:val="clear" w:color="auto" w:fill="auto"/>
            <w:vAlign w:val="bottom"/>
          </w:tcPr>
          <w:p>
            <w:pPr>
              <w:rPr>
                <w:rFonts w:hint="eastAsia" w:ascii="宋体"/>
                <w:sz w:val="24"/>
                <w:szCs w:val="24"/>
              </w:rPr>
            </w:pPr>
          </w:p>
        </w:tc>
        <w:tc>
          <w:tcPr>
            <w:tcW w:w="275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50" w:type="pct"/>
            <w:shd w:val="clear" w:color="auto" w:fill="auto"/>
            <w:vAlign w:val="bottom"/>
          </w:tcPr>
          <w:p>
            <w:pPr>
              <w:rPr>
                <w:rFonts w:hint="eastAsia" w:ascii="宋体"/>
                <w:sz w:val="24"/>
                <w:szCs w:val="24"/>
              </w:rPr>
            </w:pPr>
          </w:p>
        </w:tc>
        <w:tc>
          <w:tcPr>
            <w:tcW w:w="46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6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6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7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Cash provided by (used in):</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activities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4,213 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(2,790)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67,213 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39,324 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Investing activities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(8,666)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906 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(59,383)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(48,582)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Financing activities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(3,476)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1,990 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(1,989)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11,757 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principal sources of liquidity are cash flows generated from operations and our cash, cash equivalents, and marketable securities balances, which, at fair value, were $96.0 billion and $66.4 billion as of December 31, 2021 and March 31, 2022. Amounts held in foreign currencies were $22.7 billion and $15.6 billion as of December 31, 2021 and March 31, 2022. Our foreign currency balances include British Pounds, Canadian Dollars, Euros, and Japanese Yen.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Cash provided by (used in) operating activities was $4.2 billion and $(2.8) billion for Q1 2021 and Q1 2022. Our operating cash flows result primarily from cash received from our consumer, seller, developer, enterprise, and content creator customers, and advertisers, offset by cash payments we make for products and services, employee compensation, payment processing and related transaction costs, operating leases, and interest payments on our long-term obligations. Cash received from our customers and other activities generally corresponds to our net sales. Because consumers primarily use credit cards to buy from us, our receivables from consumers settle quickly. The decrease in operating cash flow for the trailing twelve months ended March 31, 2022, compared to the comparable prior year period, was primarily due to changes in working capital, partially offset by changes in net income (loss), excluding non-cash expenses. Working capital at any specific point in time is subject to many variables, including variability in demand, inventory management and category expansion, the timing of cash receipts and payments, vendor payment terms, and fluctuations in foreign exchange rates.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Cash provided by (used in) investing activities corresponds with cash capital expenditures, including leasehold improvements, incentives received from property and equipment vendors, proceeds from asset sales, cash outlays for acquisitions, investments in other companies and intellectual property rights, and purchases, sales, and maturities of marketable securities. Cash provided by (used in) investing activities was $(8.7) billion and $906 million for Q1 2021 and Q1 2022, with the variability caused primarily by purchases, sales, and maturities of marketable securities. Cash capital expenditures were $11.2 billion and $13.7 billion during Q1 2021 and Q1 2022, which primarily reflect investments in additional capacity to support our fulfillment operations and in support of continued business growth in technology infrastructure (the majority of which is to support AWS), which investments we expect to continue over time. We made cash payments, net of acquired cash, related to acquisition and other investment activity of $630 million and $6.3 billion during Q1 2021 and Q1 2022. We funded the acquisition of MGM Holdings Inc. with cash on hand.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Cash provided by (used in) financing activities was $(3.5) billion and $2.0 billion for Q1 2021 and Q1 2022. Cash inflows from financing activities resulted from proceeds from short-term debt, and other and long-term debt of $2.0 billion and $13.7 billion for Q1 2021 and Q1 2022. Cash outflows from financing activities resulted from repurchases of common stock, </w:t>
      </w:r>
    </w:p>
    <w:p>
      <w:pPr>
        <w:keepNext w:val="0"/>
        <w:keepLines w:val="0"/>
        <w:widowControl/>
        <w:suppressLineNumbers w:val="0"/>
        <w:jc w:val="center"/>
      </w:pPr>
      <w:r>
        <w:rPr>
          <w:rFonts w:hint="default" w:ascii="Times New Roman" w:hAnsi="Times New Roman" w:eastAsia="宋体" w:cs="Times New Roman"/>
          <w:color w:val="000000"/>
          <w:sz w:val="20"/>
          <w:szCs w:val="20"/>
        </w:rPr>
        <w:t>21</w:t>
      </w:r>
    </w:p>
    <w:p>
      <w:pPr>
        <w:keepNext w:val="0"/>
        <w:keepLines w:val="0"/>
        <w:widowControl/>
        <w:suppressLineNumbers w:val="0"/>
      </w:pPr>
      <w:r>
        <w:pict>
          <v:rect id="_x0000_i107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 xml:space="preserve">payments of short-term debt, and other, long-term debt, finance leases, and financing obligations of $5.5 billion and $11.8 billion in Q1 2021 and Q1 2022. Property and equipment acquired under finance leases was $2.1 billion and $166 million during Q1 2021 and Q1 2022.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had no borrowings outstanding under the Credit Agreement, $10.8 billion of borrowings outstanding under the Commercial Paper Programs, and $803 million of borrowings outstanding under our Credit Facility as of March 31, 2022. See Item 1 of Part I, “Financial Statements — Note 5 — Debt” for additional information.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Certain foreign subsidiary earnings and losses are subject to current U.S. taxation and the subsequent repatriation of those earnings is not subject to tax in the U.S. We intend to invest substantially all of our foreign subsidiary earnings, as well as our capital in our foreign subsidiaries, indefinitely outside of the U.S. in those jurisdictions in which we would incur significant, additional costs upon repatriation of such amounts.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U.S. taxable income is reduced by tax benefits relating to excess stock-based compensation deductions and accelerated depreciation deductions and increased by the impact of capitalized research and development expenses. U.S. tax rules provide for enhanced accelerated depreciation deductions by allowing the election of full expensing of qualified property, primarily equipment, through 2022. Effective January 1, 2022, research and development expenses are required to be capitalized and amortized for U.S. tax purposes, which delays the deductibility of these expenses. Cash taxes paid (net of refunds) were $801 million and $453 million for Q1 2021 and Q1 2022.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As of December 31, 2021 and March 31, 2022, restricted cash, cash equivalents, and marketable securities were $260 million and $209 million. See Item 1 of Part I, “Financial Statements — Note 4 — Commitments and Contingencies” and “Financial Statements — Note 5 — Debt” for additional discussion of our principal contractual commitments, as well as our pledged assets. Additionally, we have purchase obligations and open purchase orders, including for inventory and capital expenditures, that support normal operations and are primarily due in the next twelve months. These purchase obligations and open purchase orders are generally cancellable in full or in part through the contractual provisions.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believe that cash flows generated from operations and our cash, cash equivalents, and marketable securities balances, as well as our borrowing arrangements, will be sufficient to meet our anticipated operating cash needs for at least the next twelve months. However, any projections of future cash needs and cash flows are subject to substantial uncertainty. See Item 1A of Part II, “Risk Factors.” We continually evaluate opportunities to sell additional equity or debt securities, obtain credit facilities, obtain finance and operating lease arrangements, enter into financing obligations, repurchase common stock, pay dividends, or repurchase, refinance, or otherwise restructure our debt for strategic reasons or to further strengthen our financial position.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The sale of additional equity or convertible debt securities would be dilutive to our shareholders. In addition, we will, from time to time, consider the acquisition of, or investment in, complementary businesses, products, services, capital infrastructure, and technologies, which might affect our liquidity requirements or cause us to secure additional financing, or issue additional equity or debt securities. There can be no assurance that additional credit lines or financing instruments will be available in amounts or on terms acceptable to us, if at all. In addition, economic conditions and actions by policymaking bodies are contributing to rising interest rates, which, along with increases in our borrowing levels, could increase our future borrowing costs. </w:t>
      </w:r>
    </w:p>
    <w:p>
      <w:pPr>
        <w:keepNext w:val="0"/>
        <w:keepLines w:val="0"/>
        <w:widowControl/>
        <w:suppressLineNumbers w:val="0"/>
        <w:jc w:val="center"/>
      </w:pPr>
      <w:r>
        <w:rPr>
          <w:rFonts w:hint="default" w:ascii="Times New Roman" w:hAnsi="Times New Roman" w:eastAsia="宋体" w:cs="Times New Roman"/>
          <w:color w:val="000000"/>
          <w:sz w:val="20"/>
          <w:szCs w:val="20"/>
        </w:rPr>
        <w:t>22</w:t>
      </w:r>
    </w:p>
    <w:p>
      <w:pPr>
        <w:keepNext w:val="0"/>
        <w:keepLines w:val="0"/>
        <w:widowControl/>
        <w:suppressLineNumbers w:val="0"/>
      </w:pPr>
      <w:r>
        <w:pict>
          <v:rect id="_x0000_i107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Results of Operations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organized our operations into three segments: North America, International, and AWS. These segments reflect the way the Company evaluates its business performance and manages its operations. See Item 1 of Part I, “Financial Statements — Note 8 — Segment Information.”</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Overview</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Macroeconomic factors, including increased inflation rates, the prolonged COVID-19 pandemic, global supply chain constraints, and global economic and geopolitical developments, have direct and indirect impacts on our results of operations that are difficult to isolate and quantify. In addition, the COVID-19 pandemic and the related societal impacts, such as lockdowns, caused a significant increase in growth rates across our North America and International segments throughout much of 2020 and 2021, and we are seeing a return to pre-pandemic demand patterns as consumers’ mobility increases.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factors described above contributed to a deceleration in our net sales growth rate and increases in our operating costs during Q1 2022, particularly across our North America and International segments, due to increased wage rates and incentives, increased transportation costs, and fulfillment network inefficiencies resulting from constrained labor markets and global supply chain constraints. We expect some or all of these factors to continue to impact our operations into Q2 2022.</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Net Sales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Net sales include product and service sales. Product sales represent revenue from the sale of products and related shipping fees and digital media content where we record revenue gross. Service sales primarily represent third-party seller fees, which includes commissions and any related fulfillment and shipping fees, AWS sales, advertising services, Amazon Prime membership fees, and certain digital content subscriptions. Net sales information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987"/>
        <w:gridCol w:w="36"/>
        <w:gridCol w:w="36"/>
        <w:gridCol w:w="36"/>
        <w:gridCol w:w="36"/>
        <w:gridCol w:w="36"/>
        <w:gridCol w:w="120"/>
        <w:gridCol w:w="709"/>
        <w:gridCol w:w="187"/>
        <w:gridCol w:w="36"/>
        <w:gridCol w:w="36"/>
        <w:gridCol w:w="36"/>
        <w:gridCol w:w="120"/>
        <w:gridCol w:w="701"/>
        <w:gridCol w:w="188"/>
      </w:tblGrid>
      <w:tr>
        <w:tc>
          <w:tcPr>
            <w:tcW w:w="50" w:type="pct"/>
            <w:shd w:val="clear" w:color="auto" w:fill="auto"/>
            <w:vAlign w:val="bottom"/>
          </w:tcPr>
          <w:p>
            <w:pPr>
              <w:rPr>
                <w:rFonts w:hint="eastAsia" w:ascii="宋体"/>
                <w:sz w:val="24"/>
                <w:szCs w:val="24"/>
              </w:rPr>
            </w:pPr>
          </w:p>
        </w:tc>
        <w:tc>
          <w:tcPr>
            <w:tcW w:w="376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50" w:type="pct"/>
            <w:shd w:val="clear" w:color="auto" w:fill="auto"/>
            <w:vAlign w:val="bottom"/>
          </w:tcPr>
          <w:p>
            <w:pPr>
              <w:rPr>
                <w:rFonts w:hint="eastAsia" w:ascii="宋体"/>
                <w:sz w:val="24"/>
                <w:szCs w:val="24"/>
              </w:rPr>
            </w:pPr>
          </w:p>
        </w:tc>
        <w:tc>
          <w:tcPr>
            <w:tcW w:w="51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64,366 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69,244 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30,649 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28,759 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13,503 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18,441 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108,518 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116,444 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Year-over-year Percentage Growth:</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Year-over-year Percentage Growth, excluding the effect of foreign exchange rates: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 mix:</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Sales increased 7% in Q1 2022 compared to the comparable prior year period. Changes in foreign currency exchange rates impacted net sales by $(1.8) billion for Q1 2022. For a discussion of the effect of foreign exchange rates on sales growth, see “Effect of Foreign Exchange Rates” below.</w:t>
      </w:r>
    </w:p>
    <w:p>
      <w:pPr>
        <w:keepNext w:val="0"/>
        <w:keepLines w:val="0"/>
        <w:widowControl/>
        <w:suppressLineNumbers w:val="0"/>
        <w:jc w:val="center"/>
      </w:pPr>
      <w:r>
        <w:rPr>
          <w:rFonts w:hint="default" w:ascii="Times New Roman" w:hAnsi="Times New Roman" w:eastAsia="宋体" w:cs="Times New Roman"/>
          <w:color w:val="000000"/>
          <w:sz w:val="20"/>
          <w:szCs w:val="20"/>
        </w:rPr>
        <w:t>23</w:t>
      </w:r>
    </w:p>
    <w:p>
      <w:pPr>
        <w:keepNext w:val="0"/>
        <w:keepLines w:val="0"/>
        <w:widowControl/>
        <w:suppressLineNumbers w:val="0"/>
      </w:pPr>
      <w:r>
        <w:pict>
          <v:rect id="_x0000_i108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North America sales increased 8% in Q1 2022 compared to the comparable prior year period. The sales growth reflects increased unit sales by third-party sellers and advertising sales. Increased unit sales were driven largely by our continued focus on price, selection, and convenience for our customers, including from our shipping offers, partially offset by fulfillment network inefficiencies and supply chain constraints.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International sales decreased 6% in Q1 2022 compared to the comparable prior year period, primarily due to the impact of foreign currency exchange rates, and also due to decreased unit sales, partially offset by increased subscription services and advertising sales. Unit sales decreased in Q1 2022, compared to the higher levels we experienced in Q1 2021 due to widespread regional and national COVID-19 lockdowns in Q1 2021. Q1 2022 sales were also impacted by fulfillment network inefficiencies and supply chain constraints. Changes in foreign currency exchange rates impacted International net sales by $(1.8) billion for Q1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AWS sales increased 37% in Q1 2022 compared to the comparable prior year period. The sales growth primarily reflects increased customer usage, partially offset by pricing changes. Pricing changes were driven largely by our continued efforts to reduce prices for our customers.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Operating Income (Loss)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Operating income (loss) by segment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8"/>
        <w:gridCol w:w="6136"/>
        <w:gridCol w:w="36"/>
        <w:gridCol w:w="36"/>
        <w:gridCol w:w="36"/>
        <w:gridCol w:w="36"/>
        <w:gridCol w:w="36"/>
        <w:gridCol w:w="120"/>
        <w:gridCol w:w="800"/>
        <w:gridCol w:w="36"/>
        <w:gridCol w:w="36"/>
        <w:gridCol w:w="36"/>
        <w:gridCol w:w="36"/>
        <w:gridCol w:w="120"/>
        <w:gridCol w:w="762"/>
        <w:gridCol w:w="36"/>
      </w:tblGrid>
      <w:tr>
        <w:tc>
          <w:tcPr>
            <w:tcW w:w="50" w:type="pct"/>
            <w:shd w:val="clear" w:color="auto" w:fill="auto"/>
            <w:vAlign w:val="bottom"/>
          </w:tcPr>
          <w:p>
            <w:pPr>
              <w:rPr>
                <w:rFonts w:hint="eastAsia" w:ascii="宋体"/>
                <w:sz w:val="24"/>
                <w:szCs w:val="24"/>
              </w:rPr>
            </w:pPr>
          </w:p>
        </w:tc>
        <w:tc>
          <w:tcPr>
            <w:tcW w:w="376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50" w:type="pct"/>
            <w:shd w:val="clear" w:color="auto" w:fill="auto"/>
            <w:vAlign w:val="bottom"/>
          </w:tcPr>
          <w:p>
            <w:pPr>
              <w:rPr>
                <w:rFonts w:hint="eastAsia" w:ascii="宋体"/>
                <w:sz w:val="24"/>
                <w:szCs w:val="24"/>
              </w:rPr>
            </w:pPr>
          </w:p>
        </w:tc>
        <w:tc>
          <w:tcPr>
            <w:tcW w:w="51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 (Loss)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3,450 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(1,568)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 xml:space="preserve">International </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1,252 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(1,281)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4,163 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6,518 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8,865 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3,669 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Operating income decreased from $8.9 billion in Q1 2021 to $3.7 billion in Q1 2022. We believe that operating income is a more meaningful measure than gross profit and gross margin due to the diversity of our product categories and services.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The North America operating loss in Q1 2022, as compared to the operating income in the comparable prior year period, is primarily </w:t>
      </w:r>
      <w:r>
        <w:rPr>
          <w:rFonts w:hint="default" w:ascii="Times New Roman" w:hAnsi="Times New Roman" w:eastAsia="宋体" w:cs="Times New Roman"/>
          <w:color w:val="000000"/>
          <w:sz w:val="20"/>
          <w:szCs w:val="20"/>
          <w:shd w:val="clear" w:fill="FFFFFF"/>
        </w:rPr>
        <w:t>due to increased shipping and fulfillment costs, due in part to increased investments in our fulfillment network, increased wage rates and incentives, increased transportation costs, and fulfillment network inefficiencies, and growth in certain operating expenses, partially offset by increased unit sales by third-party sellers and advertising sales.</w:t>
      </w:r>
      <w:r>
        <w:rPr>
          <w:rFonts w:hint="default" w:ascii="Times New Roman" w:hAnsi="Times New Roman" w:eastAsia="宋体" w:cs="Times New Roman"/>
          <w:color w:val="000000"/>
          <w:sz w:val="20"/>
          <w:szCs w:val="20"/>
        </w:rPr>
        <w:t xml:space="preserve"> Changes in foreign exchange rates positively impacted operating loss by $42 million for Q1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The International operating loss in Q1 2022, as compared to the operating income in the comparable prior year period, is primarily due to: increased shipping and fulfillment costs, due in part to increased investments in our fulfillment network, increased wage rates and incentives, increased transportation costs, and fulfillment network inefficiencies; decreased unit sales; and growth in certain operating expenses; partially offset by increased advertising sales. Changes in foreign exchange rates negatively impacted operating loss by $79 million for Q1 2022.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AWS operating income in absolute dollars in Q1 2022, compared to the comparable prior year period, is primarily due to increased customer usage and cost structure productivity, including a reduction in depreciation and amortization expense from our change in the estimated useful lives of our servers and networking equipment, partially offset by increased spending on technology infrastructure and payroll and related expenses, all of which were primarily driven by additional investments to support the business growth, and reduced prices for our customers. Changes in foreign exchange rates positively impacted operating income by $163 million for Q1 2022.</w:t>
      </w:r>
    </w:p>
    <w:p>
      <w:pPr>
        <w:keepNext w:val="0"/>
        <w:keepLines w:val="0"/>
        <w:widowControl/>
        <w:suppressLineNumbers w:val="0"/>
        <w:jc w:val="center"/>
      </w:pPr>
      <w:r>
        <w:rPr>
          <w:rFonts w:hint="default" w:ascii="Times New Roman" w:hAnsi="Times New Roman" w:eastAsia="宋体" w:cs="Times New Roman"/>
          <w:color w:val="000000"/>
          <w:sz w:val="20"/>
          <w:szCs w:val="20"/>
        </w:rPr>
        <w:t>24</w:t>
      </w:r>
    </w:p>
    <w:p>
      <w:pPr>
        <w:keepNext w:val="0"/>
        <w:keepLines w:val="0"/>
        <w:widowControl/>
        <w:suppressLineNumbers w:val="0"/>
      </w:pPr>
      <w:r>
        <w:pict>
          <v:rect id="_x0000_i108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Operating Expenses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Information about operating expenses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987"/>
        <w:gridCol w:w="36"/>
        <w:gridCol w:w="36"/>
        <w:gridCol w:w="36"/>
        <w:gridCol w:w="36"/>
        <w:gridCol w:w="36"/>
        <w:gridCol w:w="120"/>
        <w:gridCol w:w="709"/>
        <w:gridCol w:w="187"/>
        <w:gridCol w:w="36"/>
        <w:gridCol w:w="36"/>
        <w:gridCol w:w="36"/>
        <w:gridCol w:w="120"/>
        <w:gridCol w:w="701"/>
        <w:gridCol w:w="188"/>
      </w:tblGrid>
      <w:tr>
        <w:tc>
          <w:tcPr>
            <w:tcW w:w="50" w:type="pct"/>
            <w:shd w:val="clear" w:color="auto" w:fill="auto"/>
            <w:vAlign w:val="bottom"/>
          </w:tcPr>
          <w:p>
            <w:pPr>
              <w:rPr>
                <w:rFonts w:hint="eastAsia" w:ascii="宋体"/>
                <w:sz w:val="24"/>
                <w:szCs w:val="24"/>
              </w:rPr>
            </w:pPr>
          </w:p>
        </w:tc>
        <w:tc>
          <w:tcPr>
            <w:tcW w:w="376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50" w:type="pct"/>
            <w:shd w:val="clear" w:color="auto" w:fill="auto"/>
            <w:vAlign w:val="bottom"/>
          </w:tcPr>
          <w:p>
            <w:pPr>
              <w:rPr>
                <w:rFonts w:hint="eastAsia" w:ascii="宋体"/>
                <w:sz w:val="24"/>
                <w:szCs w:val="24"/>
              </w:rPr>
            </w:pPr>
          </w:p>
        </w:tc>
        <w:tc>
          <w:tcPr>
            <w:tcW w:w="51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62,403 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66,499 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16,530 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20,271 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12,488 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14,842 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Sales and marketing</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6,207 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8,320 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1,987 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2,594 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operating expense (income), net</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operating expenses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99,653 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112,775 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Year-over-year Percentage Growth:</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FFFF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Sales and marketing</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operating expense (income), net</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Percent of Net Sales: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57.5 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57.1 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Sales and marketing</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operating expense (income), net</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Cost of Sales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Cost of sales primarily consists of the purchase price of consumer products, inbound and outbound shipping costs, including costs related to sortation and delivery centers and where we are the transportation service provider, and digital media content costs where we record revenue gross, including video and music.</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cost of sales in absolute dollars in Q1 2022, compared to the comparable prior year period, is primarily due to increased product and shipping costs resulting from increased sales, increased investments in our fulfillment network, as well as increased transportation costs, increased wage rates and incentives, and fulfillment network inefficiencies resulting from a constrained labor market and global supply chain constraints.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Shipping costs to receive products from our suppliers are included in our inventory and recognized as cost of sales upon sale of products to our customers. Shipping costs, which include sortation and delivery centers and transportation costs, were $17.2 billion and $19.6 billion in Q1 2021 and Q1 2022. We expect our cost of shipping to continue to increase to the extent our customers accept and use our shipping offers at an increasing rate, we use more expensive shipping methods, including faster delivery, and we offer additional services. We seek to mitigate costs of shipping over time in part through achieving higher sales volumes, optimizing our fulfillment network, negotiating better terms with our suppliers, and achieving better operating efficiencies. We believe that offering low prices to our customers is fundamental to our future success, and one way we offer lower prices is through shipping offers.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Costs to operate our AWS segment are primarily classified as “Technology and content” as we leverage a shared infrastructure that supports both our internal technology requirements and external sales to AWS customers.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Fulfillment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Fulfillment costs primarily consist of those costs incurred in operating and staffing our North America and International fulfillment centers, physical stores, and customer service centers and payment processing costs. While AWS payment processing </w:t>
      </w:r>
    </w:p>
    <w:p>
      <w:pPr>
        <w:keepNext w:val="0"/>
        <w:keepLines w:val="0"/>
        <w:widowControl/>
        <w:suppressLineNumbers w:val="0"/>
        <w:jc w:val="center"/>
      </w:pPr>
      <w:r>
        <w:rPr>
          <w:rFonts w:hint="default" w:ascii="Times New Roman" w:hAnsi="Times New Roman" w:eastAsia="宋体" w:cs="Times New Roman"/>
          <w:color w:val="000000"/>
          <w:sz w:val="20"/>
          <w:szCs w:val="20"/>
        </w:rPr>
        <w:t>25</w:t>
      </w:r>
    </w:p>
    <w:p>
      <w:pPr>
        <w:keepNext w:val="0"/>
        <w:keepLines w:val="0"/>
        <w:widowControl/>
        <w:suppressLineNumbers w:val="0"/>
      </w:pPr>
      <w:r>
        <w:pict>
          <v:rect id="_x0000_i108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and related transaction costs are included in “Fulfillment,” AWS costs are primarily classified as “Technology and content.” Fulfillment costs as a percentage of net sales may vary due to several factors, such as payment processing and related transaction costs, our level of productivity and accuracy, changes in volume, size, and weight of units received and fulfilled, the extent to which third party sellers utilize Fulfillment by Amazon services, timing of fulfillment network and physical store expansion, the extent we utilize fulfillment services provided by third parties, mix of products and services sold, and our ability to affect customer service contacts per unit by implementing improvements in our operations and enhancements to our customer self-service features. Additionally, sales by our sellers have higher payment processing and related transaction costs as a percentage of net sales compared to our retail sales because payment processing costs are based on the gross purchase price of underlying transactions.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fulfillment costs in absolute dollars in Q1 2022, compared to the comparable prior year period, is primarily due to variable costs corresponding with increased product and service sales volume and inventory levels, increased wage rates and incentives and fulfillment network inefficiencies resulting from a constrained labor market and global supply chain constraints, and increased investments in our fulfillment network.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seek to expand our fulfillment network to accommodate a greater selection and in-stock inventory levels and to meet anticipated shipment volumes from sales of our own products as well as sales by third parties for which we provide the fulfillment services. We regularly evaluate our facility requirements.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Technology and Content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Technology and content costs include payroll and related expenses for employees involved in the research and development of new and existing products and services, development, design, and maintenance of our stores, curation and display of products and services made available in our online stores, and infrastructure costs. Infrastructure costs include servers, networking equipment, and data center related depreciation and amortization, rent, utilities, and other expenses necessary to support AWS and other Amazon businesses. Collectively, these costs reflect the investments we make in order to offer a wide variety of products and services to our customers.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seek to invest efficiently in numerous areas of technology and content so we may continue to enhance the customer experience and improve our process efficiency through rapid technology developments, while operating at an ever increasing scale. Our technology and content investment and capital spending projects often support a variety of product and service offerings due to geographic expansion and the cross-functionality of our systems and operations. We expect spending in technology and content to increase over time as we continue to add employees and technology infrastructure. These costs are allocated to segments based on usage. The increase in technology and content costs in absolute dollars in Q1 2022, compared to the comparable prior year period, is primarily due to an increase in spending on technology infrastructure, partially offset by a reduction in depreciation and amortization expense from our change in the estimated useful lives of our servers and networking equipment, and increased payroll and related costs associated with technical teams responsible for expanding our existing products and services and initiatives to introduce new products and service offerings. See Item 7 of Part II, “Management’s Discussion and Analysis of Financial Condition and Results of Operations — Overview” of our 2021 Annual Report on Form 10-K for a discussion of how management views advances in technology and the importance of innovation. See Item 1 of Part I, “Financial Statements — Note 1 — Accounting Policies and Supplemental Disclosures — Use of Estimates” for additional information on the change in estimated useful lives of our servers and networking equipment.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Sales and Marketing</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Sales and marketing costs include advertising and payroll and related expenses for personnel engaged in marketing and selling activities, including sales commissions related to AWS. We direct customers to our stores primarily through a number of marketing channels, such as our sponsored search, social and online advertising, third party customer referrals, television advertising, and other initiatives. Our marketing costs are largely variable, based on growth in sales and changes in rates. To the extent there is increased or decreased competition for these traffic sources, or to the extent our mix of these channels shifts, we would expect to see a corresponding change in our marketing costs.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sales and marketing costs in absolute dollars in Q1 2022, compared to the comparable prior year period, is primarily due to higher marketing spend and increased payroll and related expenses for personnel engaged in marketing and selling activities.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While costs associated with Amazon Prime membership benefits and other shipping offers are not included in sales and marketing expense, we view these offers as effective worldwide marketing tools, and intend to continue offering them indefinitely.</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General and Administrative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general and administrative costs in absolute dollars in Q1 2022, compared to the comparable prior year period, is primarily due to increases in payroll and related expenses and professional fees.</w:t>
      </w:r>
    </w:p>
    <w:p>
      <w:pPr>
        <w:keepNext w:val="0"/>
        <w:keepLines w:val="0"/>
        <w:widowControl/>
        <w:suppressLineNumbers w:val="0"/>
        <w:jc w:val="center"/>
      </w:pPr>
      <w:r>
        <w:rPr>
          <w:rFonts w:hint="default" w:ascii="Times New Roman" w:hAnsi="Times New Roman" w:eastAsia="宋体" w:cs="Times New Roman"/>
          <w:color w:val="000000"/>
          <w:sz w:val="20"/>
          <w:szCs w:val="20"/>
        </w:rPr>
        <w:t>26</w:t>
      </w:r>
    </w:p>
    <w:p>
      <w:pPr>
        <w:keepNext w:val="0"/>
        <w:keepLines w:val="0"/>
        <w:widowControl/>
        <w:suppressLineNumbers w:val="0"/>
      </w:pPr>
      <w:r>
        <w:pict>
          <v:rect id="_x0000_i108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Other Operating Expense (Income), Net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Other operating expense (income), net was $38 million and $249 million for Q1 2021 and Q1 2022, and was primarily related to asset impairments for physical store closures in Q1 2022 and the amortization of intangible assets.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Interest Income and Expense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interest income was $105 million and $108 million during Q1 2021 and Q1 2022. We generally invest our excess cash in AAA-rated money market funds and investment grade short- to intermediate-term fixed income securities. Our interest income corresponds with the average balance of invested funds based on the prevailing rates, which vary depending on the geographies and currencies in which they are invested.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Interest expense was $399 million and $472 million during Q1 2021 and Q1 2022, and was primarily related to debt and finance leases.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Other Income (Expense), Net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Other income (expense), net was $1.7 billion and $(8.6) billion during Q1 2021 and Q1 2022. The primary components of other income (expense), net are related to equity securities valuations and adjustments, equity warrant valuations, and foreign currency. Included in other income (expense), net in Q1 2022 is a marketable equity securities valuation loss of $7.6 billion from our equity securities of Rivian Automotive, Inc.</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Income Taxes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income tax provision for the three months ended March 31, 2021 was $2.2 billion, which included $349 million of net discrete tax benefits primarily attributable to excess tax benefits from stock-based compensation. Our income tax benefit for the three months ended March 31, 2022 was $1.4 billion, which included $2.1 billion of net discrete tax benefits primarily attributable to a valuation loss related to our equity investment in Rivian. See Item 1 of Part I, “Financial Statements — Note 7 — Income Taxes” for additional information.</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Non-GAAP Financial Measures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Regulation G, Conditions for Use of Non-GAAP Financial Measures, and other SEC regulations define and prescribe the conditions for use of certain non-GAAP financial information. Our measures of free cash flows and the effect of foreign exchange rates on our consolidated statements of operations meet the definition of non-GAAP financial measures.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provide multiple measures of free cash flows because we believe these measures provide additional perspective on the impact of acquiring property and equipment with cash and through finance leases and financing obligations.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Free Cash Flow</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Free cash flow is cash flow from operations reduced by “Purchases of property and equipment, net of proceeds from sales and incentives.” The following is a reconciliation of free cash flow to the most comparable GAAP cash flow measure, “Net cash provided by (used in) operating activities,” for the trailing twelve months ended March 31, 2021 and 2022 (in millions):</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85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
        <w:gridCol w:w="6008"/>
        <w:gridCol w:w="36"/>
        <w:gridCol w:w="120"/>
        <w:gridCol w:w="816"/>
        <w:gridCol w:w="36"/>
        <w:gridCol w:w="36"/>
        <w:gridCol w:w="36"/>
        <w:gridCol w:w="37"/>
        <w:gridCol w:w="121"/>
        <w:gridCol w:w="779"/>
        <w:gridCol w:w="37"/>
      </w:tblGrid>
      <w:tr>
        <w:tc>
          <w:tcPr>
            <w:tcW w:w="50" w:type="pct"/>
            <w:shd w:val="clear" w:color="auto" w:fill="auto"/>
            <w:vAlign w:val="bottom"/>
          </w:tcPr>
          <w:p>
            <w:pPr>
              <w:rPr>
                <w:rFonts w:hint="eastAsia" w:ascii="宋体"/>
                <w:sz w:val="24"/>
                <w:szCs w:val="24"/>
              </w:rPr>
            </w:pPr>
          </w:p>
        </w:tc>
        <w:tc>
          <w:tcPr>
            <w:tcW w:w="373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operating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67,213 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39,324 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Purchases of property and equipment, net of proceeds from sales and incentives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(40,803)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(57,951)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26,410 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(18,627)</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300" w:hRule="atLeast"/>
        </w:trP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investing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(59,383)</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(48,582)</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financing activities</w:t>
            </w:r>
          </w:p>
        </w:tc>
        <w:tc>
          <w:tcPr>
            <w:tcW w:w="0" w:type="auto"/>
            <w:tcBorders>
              <w:top w:val="double" w:color="000000" w:sz="6"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(1,989)</w:t>
            </w:r>
          </w:p>
        </w:tc>
        <w:tc>
          <w:tcPr>
            <w:tcW w:w="0" w:type="auto"/>
            <w:tcBorders>
              <w:top w:val="double" w:color="000000" w:sz="6"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11,757 </w:t>
            </w:r>
          </w:p>
        </w:tc>
        <w:tc>
          <w:tcPr>
            <w:tcW w:w="0" w:type="auto"/>
            <w:tcBorders>
              <w:top w:val="double" w:color="000000" w:sz="6"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20"/>
          <w:szCs w:val="20"/>
        </w:rPr>
        <w:t>27</w:t>
      </w:r>
    </w:p>
    <w:p>
      <w:pPr>
        <w:keepNext w:val="0"/>
        <w:keepLines w:val="0"/>
        <w:widowControl/>
        <w:suppressLineNumbers w:val="0"/>
      </w:pPr>
      <w:r>
        <w:pict>
          <v:rect id="_x0000_i108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Free Cash Flow Less Principal Repayments of Finance Leases and Financing Obligations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Free cash flow less principal repayments of finance leases and financing obligations is free cash flow reduced by “Principal repayments of finance leases” and “Principal repayments of financing obligations.” Principal repayments of finance leases and financing obligations approximates the actual payments of cash for our finance leases and financing obligations. The following is a reconciliation of free cash flow less principal repayments of finance leases and financing obligations to the most comparable GAAP cash flow measure, “Net cash provided by (used in) operating activities,” for the trailing twelve months ended March 31, 2021 and 2022 (in millions):</w:t>
      </w:r>
    </w:p>
    <w:tbl>
      <w:tblPr>
        <w:tblStyle w:val="5"/>
        <w:tblW w:w="485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
        <w:gridCol w:w="6008"/>
        <w:gridCol w:w="36"/>
        <w:gridCol w:w="120"/>
        <w:gridCol w:w="816"/>
        <w:gridCol w:w="36"/>
        <w:gridCol w:w="36"/>
        <w:gridCol w:w="36"/>
        <w:gridCol w:w="37"/>
        <w:gridCol w:w="121"/>
        <w:gridCol w:w="779"/>
        <w:gridCol w:w="37"/>
      </w:tblGrid>
      <w:tr>
        <w:tc>
          <w:tcPr>
            <w:tcW w:w="50" w:type="pct"/>
            <w:shd w:val="clear" w:color="auto" w:fill="auto"/>
            <w:vAlign w:val="bottom"/>
          </w:tcPr>
          <w:p>
            <w:pPr>
              <w:rPr>
                <w:rFonts w:hint="eastAsia" w:ascii="宋体"/>
                <w:sz w:val="24"/>
                <w:szCs w:val="24"/>
              </w:rPr>
            </w:pPr>
          </w:p>
        </w:tc>
        <w:tc>
          <w:tcPr>
            <w:tcW w:w="373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operating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67,213 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39,324 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Purchases of property and equipment, net of proceeds from sales and incentives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(40,803)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(57,951)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26,410 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(18,627)</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Principal repayments of finance leases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(11,448)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(10,534)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Principal repayments of financing obligations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 less principal repayments of finance leases and financing obligations</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14,859 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(29,335)</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rPr>
          <w:trHeight w:val="300" w:hRule="atLeast"/>
        </w:trPr>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investing activities</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(59,383)</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(48,582)</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financing activities</w:t>
            </w:r>
          </w:p>
        </w:tc>
        <w:tc>
          <w:tcPr>
            <w:tcW w:w="0" w:type="auto"/>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(1,989)</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11,757 </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 xml:space="preserve">Free Cash Flow Less Equipment Finance Leases and Principal Repayments of All Other Finance Leases and Financing Obligations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Free cash flow less equipment finance leases and principal repayments of all other finance leases and financing obligations is free cash flow reduced by equipment acquired under finance leases, which is included in “Property and equipment acquired under finance leases,” principal repayments of all other finance lease liabilities, which is included in “Principal repayments of finance leases,” and “Principal repayments of financing obligations.” All other finance lease liabilities and financing obligations consists of property. In this measure, equipment acquired under finance leases is reflected as if these assets had been purchased with cash, which is not the case as these assets have been leased. The following is a reconciliation of free cash flow less equipment finance leases and principal repayments of all other finance leases and financing obligations to the most comparable GAAP cash flow measure, “Net cash provided by (used in) operating activities,” for the trailing twelve months ended March 31, 2021 and 2022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232"/>
        <w:gridCol w:w="36"/>
        <w:gridCol w:w="120"/>
        <w:gridCol w:w="815"/>
        <w:gridCol w:w="36"/>
        <w:gridCol w:w="36"/>
        <w:gridCol w:w="36"/>
        <w:gridCol w:w="36"/>
        <w:gridCol w:w="121"/>
        <w:gridCol w:w="779"/>
        <w:gridCol w:w="37"/>
      </w:tblGrid>
      <w:tr>
        <w:tc>
          <w:tcPr>
            <w:tcW w:w="50" w:type="pct"/>
            <w:shd w:val="clear" w:color="auto" w:fill="auto"/>
            <w:vAlign w:val="bottom"/>
          </w:tcPr>
          <w:p>
            <w:pPr>
              <w:rPr>
                <w:rFonts w:hint="eastAsia" w:ascii="宋体"/>
                <w:sz w:val="24"/>
                <w:szCs w:val="24"/>
              </w:rPr>
            </w:pPr>
          </w:p>
        </w:tc>
        <w:tc>
          <w:tcPr>
            <w:tcW w:w="376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operating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67,213 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39,324 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Purchases of property and equipment, net of proceeds from sales and incentives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(40,803)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(57,951)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26,410 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(18,627)</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Equipment acquired under finance leases (1)</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(8,936)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(2,764)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Principal repayments of all other finance leases (2)</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Principal repayments of financing obligations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 less equipment finance leases and principal repayments of all other finance leases and financing obligations</w:t>
            </w: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16,846 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(22,279)</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300" w:hRule="atLeast"/>
        </w:trP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investing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(59,383)</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(48,582)</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financing activities</w:t>
            </w:r>
          </w:p>
        </w:tc>
        <w:tc>
          <w:tcPr>
            <w:tcW w:w="0" w:type="auto"/>
            <w:tcBorders>
              <w:top w:val="double" w:color="000000" w:sz="6"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(1,989)</w:t>
            </w:r>
          </w:p>
        </w:tc>
        <w:tc>
          <w:tcPr>
            <w:tcW w:w="0" w:type="auto"/>
            <w:tcBorders>
              <w:top w:val="double" w:color="000000" w:sz="6"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11,757 </w:t>
            </w:r>
          </w:p>
        </w:tc>
        <w:tc>
          <w:tcPr>
            <w:tcW w:w="0" w:type="auto"/>
            <w:tcBorders>
              <w:top w:val="double" w:color="000000" w:sz="6"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(1)For the twelve months ended March 31, 2021 and 2022, this amount relates to equipment included in “Property and equipment acquired under finance leases” of $11,489 million and $5,160 million.</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(2)For the twelve months ended March 31, 2021 and 2022, this amount relates to property included in “Principal repayments of finance leases” of $11,448 million and $10,534 million.</w:t>
      </w:r>
    </w:p>
    <w:p>
      <w:pPr>
        <w:keepNext w:val="0"/>
        <w:keepLines w:val="0"/>
        <w:widowControl/>
        <w:suppressLineNumbers w:val="0"/>
        <w:jc w:val="center"/>
      </w:pPr>
      <w:r>
        <w:rPr>
          <w:rFonts w:hint="default" w:ascii="Times New Roman" w:hAnsi="Times New Roman" w:eastAsia="宋体" w:cs="Times New Roman"/>
          <w:color w:val="000000"/>
          <w:sz w:val="20"/>
          <w:szCs w:val="20"/>
        </w:rPr>
        <w:t>28</w:t>
      </w:r>
    </w:p>
    <w:p>
      <w:pPr>
        <w:keepNext w:val="0"/>
        <w:keepLines w:val="0"/>
        <w:widowControl/>
        <w:suppressLineNumbers w:val="0"/>
      </w:pPr>
      <w:r>
        <w:pict>
          <v:rect id="_x0000_i108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All of these free cash flows measures have limitations as they omit certain components of the overall cash flow statement and do not represent the residual cash flow available for discretionary expenditures. For example, these measures of free cash flows do not incorporate the portion of payments representing principal reductions of debt or cash payments for business acquisitions. Additionally, our mix of property and equipment acquisitions with cash or other financing options may change over time. Therefore, we believe it is important to view free cash flows measures only as a complement to our entire consolidated statements of cash flows.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 xml:space="preserve">Effect of Foreign Exchange Rates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Information regarding the effect of foreign exchange rates, versus the U.S. Dollar, on our net sales, operating expenses, and operating income is provided to show reported period operating results had the foreign exchange rates remained the same as those in effect in the comparable prior year period. The effect on our net sales, operating expenses, and operating income from changes in our foreign exchange rates versus the U.S. Dollar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3087"/>
        <w:gridCol w:w="36"/>
        <w:gridCol w:w="36"/>
        <w:gridCol w:w="36"/>
        <w:gridCol w:w="36"/>
        <w:gridCol w:w="57"/>
        <w:gridCol w:w="73"/>
        <w:gridCol w:w="73"/>
        <w:gridCol w:w="73"/>
        <w:gridCol w:w="74"/>
        <w:gridCol w:w="74"/>
        <w:gridCol w:w="99"/>
        <w:gridCol w:w="61"/>
        <w:gridCol w:w="61"/>
        <w:gridCol w:w="120"/>
        <w:gridCol w:w="700"/>
        <w:gridCol w:w="36"/>
        <w:gridCol w:w="36"/>
        <w:gridCol w:w="36"/>
        <w:gridCol w:w="36"/>
        <w:gridCol w:w="120"/>
        <w:gridCol w:w="584"/>
        <w:gridCol w:w="36"/>
        <w:gridCol w:w="36"/>
        <w:gridCol w:w="36"/>
        <w:gridCol w:w="36"/>
        <w:gridCol w:w="120"/>
        <w:gridCol w:w="700"/>
        <w:gridCol w:w="36"/>
        <w:gridCol w:w="36"/>
        <w:gridCol w:w="36"/>
        <w:gridCol w:w="36"/>
        <w:gridCol w:w="120"/>
        <w:gridCol w:w="700"/>
        <w:gridCol w:w="36"/>
        <w:gridCol w:w="36"/>
        <w:gridCol w:w="36"/>
        <w:gridCol w:w="720"/>
      </w:tblGrid>
      <w:tr>
        <w:tc>
          <w:tcPr>
            <w:tcW w:w="50" w:type="pct"/>
            <w:shd w:val="clear" w:color="auto" w:fill="auto"/>
            <w:vAlign w:val="bottom"/>
          </w:tcPr>
          <w:p>
            <w:pPr>
              <w:rPr>
                <w:rFonts w:hint="eastAsia" w:ascii="宋体"/>
                <w:sz w:val="24"/>
                <w:szCs w:val="24"/>
              </w:rPr>
            </w:pPr>
          </w:p>
        </w:tc>
        <w:tc>
          <w:tcPr>
            <w:tcW w:w="190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50" w:type="pct"/>
            <w:shd w:val="clear" w:color="auto" w:fill="auto"/>
            <w:vAlign w:val="bottom"/>
          </w:tcPr>
          <w:p>
            <w:pPr>
              <w:rPr>
                <w:rFonts w:hint="eastAsia" w:ascii="宋体"/>
                <w:sz w:val="24"/>
                <w:szCs w:val="24"/>
              </w:rPr>
            </w:pPr>
          </w:p>
        </w:tc>
        <w:tc>
          <w:tcPr>
            <w:tcW w:w="42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2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2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2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 </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13"/>
            <w:tcBorders>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 March 31,</w:t>
            </w: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5"/>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11"/>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As</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Reported</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Exchange</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Rate</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Effect (1)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At Prior</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Year</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Rates (2)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As Reported</w:t>
            </w:r>
          </w:p>
        </w:tc>
        <w:tc>
          <w:tcPr>
            <w:tcW w:w="0" w:type="auto"/>
            <w:gridSpan w:val="2"/>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Exchange</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Rate</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Effect (1)</w:t>
            </w:r>
          </w:p>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At Prior</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Year</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Rates (2)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108,518 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(2,073)</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106,445 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116,444 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2"/>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1,841 </w:t>
            </w:r>
          </w:p>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118,285 </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99,653 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(1,966)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97,687 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112,775 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2"/>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1,967 </w:t>
            </w:r>
          </w:p>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114,742 </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8,865 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8,758 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3,669 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2"/>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(126)</w:t>
            </w:r>
          </w:p>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3,543 </w:t>
            </w: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(1)Represents the change in reported amounts resulting from changes in foreign exchange rates from those in effect in the comparable prior year period for operating results.</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(2)Represents the outcome that would have resulted had foreign exchange rates in the reported period been the same as those in effect in the comparable prior year period for operating results.</w:t>
      </w:r>
    </w:p>
    <w:p>
      <w:pPr>
        <w:keepNext w:val="0"/>
        <w:keepLines w:val="0"/>
        <w:widowControl/>
        <w:suppressLineNumbers w:val="0"/>
        <w:jc w:val="center"/>
      </w:pPr>
      <w:r>
        <w:rPr>
          <w:rFonts w:hint="default" w:ascii="Times New Roman" w:hAnsi="Times New Roman" w:eastAsia="宋体" w:cs="Times New Roman"/>
          <w:color w:val="000000"/>
          <w:sz w:val="20"/>
          <w:szCs w:val="20"/>
        </w:rPr>
        <w:t>29</w:t>
      </w:r>
    </w:p>
    <w:p>
      <w:pPr>
        <w:keepNext w:val="0"/>
        <w:keepLines w:val="0"/>
        <w:widowControl/>
        <w:suppressLineNumbers w:val="0"/>
      </w:pPr>
      <w:r>
        <w:pict>
          <v:rect id="_x0000_i108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Guidance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provided guidance on April 28, 2022, in our earnings release furnished on Form 8-K as set forth below. These forward-looking statements reflect Amazon.com’s expectations as of April 28, 2022, and are subject to substantial uncertainty. Our results are inherently unpredictable and may be materially affected by many factors, such as uncertainty regarding the impacts of the COVID-19 pandemic, fluctuations in foreign exchange rates, changes in global economic conditions and customer demand and spending, inflation, labor market and global supply chain constraints, world events, the rate of growth of the Internet, online commerce, and cloud services, as well as those outlined in Item 1A of Part II, “Risk Factors.” This guidance reflects our estimates as of April 28, 2022 regarding the impacts of the COVID-19 pandemic on our operations as well as the effect of other factors discussed above. </w:t>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Second Quarter 2022 Guidance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 xml:space="preserve">•Net sales are expected to be between $116.0 billion and $121.0 billion, or to grow between 3% and 7% compared with second quarter 2021. This guidance anticipates an unfavorable impact of approximately 200 basis points from foreign exchange rates. </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 xml:space="preserve">•Operating income (loss) is expected to be between $(1.0) billion and $3.0 billion, compared with $7.7 billion in second quarter 2021. </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•This guidance assumes that Prime Day occurs in third quarter 2022.</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•This guidance assumes, among other things, that no additional business acquisitions, restructurings, or legal settlements are concluded.</w:t>
      </w:r>
    </w:p>
    <w:p>
      <w:pPr>
        <w:keepNext w:val="0"/>
        <w:keepLines w:val="0"/>
        <w:widowControl/>
        <w:suppressLineNumbers w:val="0"/>
        <w:jc w:val="center"/>
      </w:pPr>
      <w:r>
        <w:rPr>
          <w:rFonts w:hint="default" w:ascii="Times New Roman" w:hAnsi="Times New Roman" w:eastAsia="宋体" w:cs="Times New Roman"/>
          <w:color w:val="000000"/>
          <w:sz w:val="20"/>
          <w:szCs w:val="20"/>
        </w:rPr>
        <w:t>30</w:t>
      </w:r>
    </w:p>
    <w:p>
      <w:pPr>
        <w:keepNext w:val="0"/>
        <w:keepLines w:val="0"/>
        <w:widowControl/>
        <w:suppressLineNumbers w:val="0"/>
      </w:pPr>
      <w:r>
        <w:pict>
          <v:rect id="_x0000_i108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3.</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Quantitative and Qualitative Disclosures About Market Risk</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exposed to market risk for the effect of interest rate changes, foreign currency fluctuations, and changes in the market values of our investments. Information relating to quantitative and qualitative disclosures about market risk is set forth below and in Item 2 of Part I, “Management’s Discussion and Analysis of Financial Condition and Results of Operations — Liquidity and Capital Resources.”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Interest Rate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exposure to market risk for changes in interest rates relates primarily to our investment portfolio and our long-term debt. Our long-term debt is carried at amortized cost and fluctuations in interest rates do not impact our consolidated financial statements. However, the fair value of our debt, which pays interest at a fixed rate, will generally fluctuate with movements of interest rates, increasing in periods of declining rates of interest and declining in periods of increasing rates of interest. We generally invest our excess cash in AAA-rated money market funds and investment grade short- to intermediate-term fixed income securities. Fixed income securities may have their fair market value adversely affected due to a rise in interest rates, and we may suffer losses in principal if forced to sell securities that have declined in market value due to changes in interest rates.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Foreign Exchange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During Q1 2022, net sales from our International segment accounted for 25% of our consolidated revenues. Net sales and related expenses generated from our internationally-focused stores, including within Canada and Mexico (which are included in our North America segment), are primarily denominated in the functional currencies of the corresponding stores and primarily include Euros, British Pounds, and Japanese Yen. The results of operations of, and certain of our intercompany balances associated with, our internationally-focused stores and AWS are exposed to foreign exchange rate fluctuations. Upon consolidation, as foreign exchange rates vary, net sales and other operating results may differ materially from expectations, and we may record significant gains or losses on the remeasurement of intercompany balances. For example, as a result of fluctuations in foreign exchange rates throughout the period compared to rates in effect the prior year, International segment net sales in Q1 2022 decreased by $1.8 billion in comparison with Q1 2021.</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foreign exchange risk related to foreign-denominated cash, cash equivalents, and marketable securities (“foreign funds”). Based on the balance of foreign funds as of March 31, 2022, of $15.6 billion, an assumed 5%, 10%, and 20% adverse change to foreign exchange would result in fair value declines of $780 million, $1.6 billion, and $3.1 billion. Fluctuations in fair value are recorded in “Accumulated other comprehensive income (loss),” a separate component of stockholders’ equity. Equity securities with readily determinable fair values are included in “Marketable securities” on our consolidated balance sheets and are measured at fair value with changes recognized in “Other income (expense), net” on our consolidated statements of operations.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foreign exchange risk related to our intercompany balances denominated in various foreign currencies. Based on the intercompany balances as of March 31, 2022, an assumed 5%, 10%, and 20% adverse change to foreign exchange rates would result in losses of $230 million, $455 million, and $915 million, recorded to “Other income (expense), net.”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See Item 2 of Part I, “Management’s Discussion and Analysis of Financial Condition and Results of Operations — Results of Operations — Effect of Foreign Exchange Rates” for additional information on the effect on reported results of changes in foreign exchange rates.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Equity Investment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March 31, 2022, our recorded value in equity and equity warrant investments in public and private companies was $13.9 billion. Our equity and equity warrant investments in publicly traded companies, which primarily relate to Rivian Automotive, Inc., represent $11.8 billion of our investments as of March 31, 2022, and are recorded at fair value, which is subject to market price volatility. We record our equity warrant investments in private companies at fair value and adjust our equity investments in private companies for observable price changes or impairments. Valuations of private companies are inherently more complex due to the lack of readily available market data. The current global economic conditions provide additional uncertainty. As such, we believe that market sensitivities are not practicable.</w:t>
      </w:r>
    </w:p>
    <w:p>
      <w:pPr>
        <w:keepNext w:val="0"/>
        <w:keepLines w:val="0"/>
        <w:widowControl/>
        <w:suppressLineNumbers w:val="0"/>
        <w:jc w:val="center"/>
      </w:pPr>
      <w:r>
        <w:rPr>
          <w:rFonts w:hint="default" w:ascii="Times New Roman" w:hAnsi="Times New Roman" w:eastAsia="宋体" w:cs="Times New Roman"/>
          <w:color w:val="000000"/>
          <w:sz w:val="20"/>
          <w:szCs w:val="20"/>
        </w:rPr>
        <w:t>31</w:t>
      </w:r>
    </w:p>
    <w:p>
      <w:pPr>
        <w:keepNext w:val="0"/>
        <w:keepLines w:val="0"/>
        <w:widowControl/>
        <w:suppressLineNumbers w:val="0"/>
      </w:pPr>
      <w:r>
        <w:pict>
          <v:rect id="_x0000_i108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4.</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Controls and Procedures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carried out an evaluation required by the Securities Exchange Act of 1934 (the “1934 Act”), under the supervision and with the participation of our principal executive officer and principal financial officer, of the effectiveness of the design and operation of our disclosure controls and procedures, as defined in Rule 13a-15(e) of the 1934 Act, as of the end of the period covered by this report. Based on this evaluation, our principal executive officer and principal financial officer concluded that our disclosure controls and procedures were effective to provide reasonable assurance that information required to be disclosed by us in the reports that we file or submit under the 1934 Act is recorded, processed, summarized, and reported within the time periods specified in the SEC’s rules and forms and to provide reasonable assurance that such information is accumulated and communicated to our management, including our principal executive officer and principal financial officer, as appropriate to allow timely decisions regarding required disclosure.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During the most recent fiscal quarter, there has not occurred any change in our internal control over financial reporting that has materially affected, or is reasonably likely to materially affect, our internal control over financial reporting.</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disclosure controls and procedures are designed to provide reasonable assurance of achieving their objectives as specified above. Management does not expect, however, that our disclosure controls and procedures will prevent or detect all error and fraud. Any control system, no matter how well designed and operated, is based upon certain assumptions and can provide only reasonable, not absolute, assurance that its objectives will be met. Further, no evaluation of controls can provide absolute assurance that misstatements due to error or fraud will not occur or that all control issues and instances of fraud, if any, within the Company have been detected.</w:t>
      </w:r>
    </w:p>
    <w:p>
      <w:pPr>
        <w:keepNext w:val="0"/>
        <w:keepLines w:val="0"/>
        <w:widowControl/>
        <w:suppressLineNumbers w:val="0"/>
        <w:ind w:left="0" w:firstLine="495"/>
        <w:jc w:val="left"/>
      </w:pPr>
    </w:p>
    <w:p>
      <w:pPr>
        <w:keepNext w:val="0"/>
        <w:keepLines w:val="0"/>
        <w:widowControl/>
        <w:suppressLineNumbers w:val="0"/>
        <w:jc w:val="center"/>
      </w:pPr>
      <w:r>
        <w:rPr>
          <w:rFonts w:hint="default" w:ascii="Times New Roman" w:hAnsi="Times New Roman" w:eastAsia="宋体" w:cs="Times New Roman"/>
          <w:color w:val="000000"/>
          <w:sz w:val="20"/>
          <w:szCs w:val="20"/>
        </w:rPr>
        <w:t>32</w:t>
      </w:r>
    </w:p>
    <w:p>
      <w:pPr>
        <w:keepNext w:val="0"/>
        <w:keepLines w:val="0"/>
        <w:widowControl/>
        <w:suppressLineNumbers w:val="0"/>
      </w:pPr>
      <w:r>
        <w:pict>
          <v:rect id="_x0000_i108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PART II. OTHER INFORMATION</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1.</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Legal Proceedings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See Item 1 of Part I, “Financial Statements — Note 4 — Commitments and Contingencies — Legal Proceedings.”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1"/>
        <w:gridCol w:w="806"/>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1A.</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Risk Factors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Please carefully consider the following discussion of significant factors, events, and uncertainties that make an investment in our securities risky. The events and consequences discussed in these risk factors could, in circumstances we may or may not be able to accurately predict, recognize, or control, have a material adverse effect on our business, growth, reputation, prospects, financial condition, operating results (including components of our financial results), cash flows, liquidity, and stock price. These risk factors do not identify all risks that we face; our operations could also be affected by factors, events, or uncertainties that are not presently known to us or that we currently do not consider to present significant risks to our operations. In addition to the effects of the COVID-19 pandemic and resulting global disruptions on our business and operations discussed in Item 2 of Part I, “Management’s Discussion and Analysis of Financial Condition and Results of Operations,” and in the risk factors below, global economic conditions and additional or unforeseen circumstances, developments, or events may give rise to or amplify many of the risks discussed below.</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Business and Industry Risks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We Face Intense Competition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businesses are rapidly evolving and intensely competitive, and we have many competitors across geographies, including cross-border competition, and in different industries, including physical, e-commerce, and omnichannel retail, e-commerce services, web and infrastructure computing services, electronic devices, digital content, advertising, grocery, and transportation and logistics services. Some of our current and potential competitors have greater resources, longer histories, more customers, and/or greater brand recognition, particularly with our newly-launched products and services and in our newer geographic regions. They may secure better terms from vendors, adopt more aggressive pricing, and devote more resources to technology, infrastructure, fulfillment, and marketing.</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Competition continues to intensify, including with the development of new business models and the entry of new and well-funded competitors, and as our competitors enter into business combinations or alliances and established companies in other market segments expand to become competitive with our business. In addition, new and enhanced technologies, including search, web and infrastructure computing services, digital content, and electronic devices continue to increase our competition. The Internet facilitates competitive entry and comparison shopping, which enhances the ability of new, smaller, or lesser known businesses to compete against us. As a result of competition, our product and service offerings may not be successful, we may fail to gain or may lose business, and we may be required to increase our spending or lower prices, any of which could materially reduce our sales and profits.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Expansion into New Products, Services, Technologies, and Geographic Regions Subjects Us to Additional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may have limited or no experience in our newer market segments, and our customers may not adopt our product or service offerings. These offerings, which can present new and difficult technology challenges, may subject us to claims if customers of these offerings experience service disruptions or failures or other quality issues. In addition, profitability, if any, in our newer activities may not meet our expectations, and we may not be successful enough in these newer activities to recoup our investments in them. Failure to realize the benefits of amounts we invest in new technologies, products, or services could result in the value of those investments being written down or written off. In addition, our sustainability initiatives may be unsuccessful for a variety of reasons, including if we are unable to realize the expected benefits of new technologies or if we do not successfully plan or execute new strategies, which could harm our business or damage our reputation.</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International Operations Expose Us to a Number of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international activities are significant to our revenues and profits, and we plan to further expand internationally. In certain international market segments, we have relatively little operating experience and may not benefit from any first-to-market advantages or otherwise succeed. It is costly to establish, develop, and maintain international operations and stores, and promote our brand internationally. Our international operations may not become profitable on a sustained basis.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to risks described elsewhere in this section, our international sales and operations are subject to a number of risks, including:</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•local economic and political conditions;</w:t>
      </w:r>
    </w:p>
    <w:p>
      <w:pPr>
        <w:keepNext w:val="0"/>
        <w:keepLines w:val="0"/>
        <w:widowControl/>
        <w:suppressLineNumbers w:val="0"/>
        <w:jc w:val="center"/>
      </w:pPr>
      <w:r>
        <w:rPr>
          <w:rFonts w:hint="default" w:ascii="Times New Roman" w:hAnsi="Times New Roman" w:eastAsia="宋体" w:cs="Times New Roman"/>
          <w:color w:val="000000"/>
          <w:sz w:val="20"/>
          <w:szCs w:val="20"/>
        </w:rPr>
        <w:t>33</w:t>
      </w:r>
    </w:p>
    <w:p>
      <w:pPr>
        <w:keepNext w:val="0"/>
        <w:keepLines w:val="0"/>
        <w:widowControl/>
        <w:suppressLineNumbers w:val="0"/>
      </w:pPr>
      <w:r>
        <w:pict>
          <v:rect id="_x0000_i109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•government regulation (such as regulation of our product and service offerings and of competition); restrictive governmental actions (such as trade protection measures, including export duties and quotas and custom duties and tariffs); nationalization; and restrictions on foreign ownership;</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•restrictions on sales or distribution of certain products or services and uncertainty regarding liability for products, services, and content, including uncertainty as a result of less Internet-friendly legal systems, local laws, lack of legal precedent, and varying rules, regulations, and practices regarding the physical and digital distribution of media products and enforcement of intellectual property rights;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•business licensing or certification requirements, such as for imports, exports, web services, and electronic devices;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•limitations on the repatriation and investment of funds and foreign currency exchange restrictions;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•limited fulfillment and technology infrastructure;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•shorter payable and longer receivable cycles and the resultant negative impact on cash flow;</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•laws and regulations regarding privacy, data use, data protection, data security, network security, consumer protection, payments, advertising, and restrictions on pricing or discounts;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•lower levels of use of the Internet;</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•lower levels of consumer spending and fewer opportunities for growth compared to the U.S.;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•lower levels of credit card usage and increased payment risk;</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•difficulty in staffing, developing, and managing foreign operations as a result of distance, language, and cultural differences;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•different employee/employer relationships and the existence of works councils and labor unions;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•compliance with the U.S. Foreign Corrupt Practices Act and other applicable U.S. and foreign laws prohibiting corrupt payments to government officials and other third parties;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•laws and policies of the U.S. and other jurisdictions affecting trade, foreign investment, loans, and taxes;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•geopolitical events, including war and terrorism.</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international physical, e-commerce, and omnichannel retail, cloud services, and other services grow, competition will intensify, including through adoption of evolving business models. Local companies may have a substantial competitive advantage because of their greater understanding of, and focus on, the local customer, as well as their more established local brand names. The inability to hire, train, retain, and manage sufficient required personnel may limit our international growth.</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The People’s Republic of China (“PRC”) and India regulate Amazon’s and its affiliates’ businesses and operations in country through regulations and license requirements that may restrict (i) foreign investment in and operation of the Internet, IT infrastructure, data centers, retail, delivery, and other sectors, (ii) Internet content, and (iii) the sale of media and other products and services. For example, in order to meet local ownership, regulatory licensing, and cybersecurity requirements, we provide certain technology services in China through contractual relationships with third parties that hold PRC licenses to provide services. In India, the government restricts the ownership or control of Indian companies by foreign entities involved in online multi-brand retail trading activities. For www.amazon.in, we provide certain marketing tools and logistics services to third-party sellers to enable them to sell online and deliver to customers, and we hold indirect minority interests in entities that are third-party sellers on the www.amazon.in marketplace. Although we believe these structures and activities comply with existing laws, they involve unique risks, and the PRC and India may from time to time consider and implement additional changes in their regulatory, licensing, or other requirements that could impact these structures and activities. There are substantial uncertainties regarding the interpretation of PRC and Indian laws and regulations, and it is possible that these governments will ultimately take a view contrary to ours. In addition, our Chinese and Indian businesses and operations may be unable to continue to operate if we or our affiliates are unable to access sufficient funding or, in China, enforce contractual relationships we or our affiliates have in place. Violation of any existing or future PRC, Indian, or other laws or regulations or changes in the interpretations of those laws and regulations could result in our businesses in those countries being subject to fines and other financial penalties, having licenses revoked, or being forced to restructure our operations or shut down entirely.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The Variability in Our Retail Business Places Increased Strain on Our Operations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Demand for our products and services can fluctuate significantly for many reasons, including as a result of seasonality, promotions, product launches, or unforeseeable events, such as in response to natural or human-caused disasters (including public health crises) or extreme weather (including as a result of climate change), or geopolitical events. For example, we expect a disproportionate amount of our retail sales to occur during our fourth quarter. Our failure to stock or restock popular products in sufficient amounts such that we fail to meet customer demand could significantly affect our revenue and our future </w:t>
      </w:r>
    </w:p>
    <w:p>
      <w:pPr>
        <w:keepNext w:val="0"/>
        <w:keepLines w:val="0"/>
        <w:widowControl/>
        <w:suppressLineNumbers w:val="0"/>
        <w:jc w:val="center"/>
      </w:pPr>
      <w:r>
        <w:rPr>
          <w:rFonts w:hint="default" w:ascii="Times New Roman" w:hAnsi="Times New Roman" w:eastAsia="宋体" w:cs="Times New Roman"/>
          <w:color w:val="000000"/>
          <w:sz w:val="20"/>
          <w:szCs w:val="20"/>
        </w:rPr>
        <w:t>34</w:t>
      </w:r>
    </w:p>
    <w:p>
      <w:pPr>
        <w:keepNext w:val="0"/>
        <w:keepLines w:val="0"/>
        <w:widowControl/>
        <w:suppressLineNumbers w:val="0"/>
      </w:pPr>
      <w:r>
        <w:pict>
          <v:rect id="_x0000_i109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growth. When we overstock products, we may be required to take significant inventory markdowns or write-offs and incur commitment costs, which could materially reduce profitability. We regularly experience increases in our net shipping cost due to complimentary upgrades, split-shipments, and additional long-zone shipments necessary to ensure timely delivery for the holiday season. If too many customers access our websites within a short period of time due to increased demand, we may experience system interruptions that make our websites unavailable or prevent us from efficiently fulfilling orders, which may reduce the volume of goods we offer or sell and the attractiveness of our products and services. In addition, we may be unable to adequately staff our fulfillment network and customer service centers during these peak periods and delivery and other fulfillment companies and customer service co-sourcers may be unable to meet the seasonal demand. Risks described elsewhere in this Item 1A relating to fulfillment network optimization and inventory are magnified during periods of high demand.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generally have payment terms with our retail vendors that extend beyond the amount of time necessary to collect proceeds from our consumer customers. As a result of holiday sales, as of December 31 of each year, our cash, cash equivalents, and marketable securities balances typically reach their highest level (other than as a result of cash flows provided by or used in investing and financing activities). This operating cycle results in a corresponding increase in accounts payable as of December 31. Our accounts payable balance generally declines during the first three months of the year, resulting in a corresponding decline in our cash, cash equivalents, and marketable securities balances.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Are Impacted by Fraudulent or Unlawful Activities of Sellers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The law relating to the liability of online service providers is currently unsettled. In addition, governmental agencies have in the past and could in the future require changes in the way this business is conducted. Under our seller programs, we maintain policies and processes designed to prevent sellers from collecting payments, fraudulently or otherwise, when buyers never receive the products they ordered or when the products received are materially different from the sellers’ descriptions, and to prevent sellers in our stores or through other stores from selling unlawful, counterfeit, pirated, or stolen goods, selling goods in an unlawful or unethical manner, violating the proprietary rights of others, or otherwise violating our policies. When these policies and processes are circumvented or fail to operate sufficiently, it can harm our business or damage our reputation and we could face civil or criminal liability for unlawful activities by our sellers. Under our A2Z Guarantee, we reimburse buyers for payments up to certain limits in these situations, and as our third-party seller sales grow, the cost of this program will increase and could negatively affect our operating results.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Risks Related to Adequately Protecting Our Intellectual Property Rights and Being Accused of Infringing Intellectual Property Rights of Third Parties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regard our trademarks, service marks, copyrights, patents, trade dress, trade secrets, proprietary technology, and similar intellectual property as critical to our success, and we rely on trademark, copyright, and patent law, trade secret protection, and confidentiality and/or license agreements with our employees, customers, and others to protect our proprietary rights. Effective intellectual property protection is not available in every country in which our products and services are made available. We also may not be able to acquire or maintain appropriate domain names in all countries in which we do business. Furthermore, regulations governing domain names may not protect our trademarks and similar proprietary rights. We may be unable to prevent third parties from acquiring domain names that are similar to, infringe upon, or diminish the value of our trademarks and other proprietary rights.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not always able to discover or determine the extent of any unauthorized use of our proprietary rights. Actions taken by third parties that license our proprietary rights may materially diminish the value of our proprietary rights or reputation. The protection of our intellectual property requires the expenditure of significant financial and managerial resources. Moreover, the steps we take to protect our intellectual property do not always adequately protect our rights or prevent third parties from infringing or misappropriating our proprietary rights. We also cannot be certain that others will not independently develop or otherwise acquire equivalent or superior technology or other intellectual property rights.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been subject to, and expect to continue to be subject to, claims and legal proceedings regarding alleged infringement by us of the intellectual property rights of third parties. Such claims, whether or not meritorious, have in the past, and may in the future, result in the expenditure of significant financial and managerial resources, injunctions against us, or significant payments for damages, including to satisfy indemnification obligations or to obtain licenses from third parties who allege that we have infringed their rights. Such licenses may not be available on terms acceptable to us or at all. These risks have been amplified by the increase in third parties whose sole or primary business is to assert such claims.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digital content offerings depend in part on effective digital rights management technology to control access to digital content. Breach or malfunctioning of the digital rights management technology that we use could subject us to claims, and content providers may be unwilling to include their content in our service.</w:t>
      </w:r>
    </w:p>
    <w:p>
      <w:pPr>
        <w:keepNext w:val="0"/>
        <w:keepLines w:val="0"/>
        <w:widowControl/>
        <w:suppressLineNumbers w:val="0"/>
        <w:jc w:val="center"/>
      </w:pPr>
      <w:r>
        <w:rPr>
          <w:rFonts w:hint="default" w:ascii="Times New Roman" w:hAnsi="Times New Roman" w:eastAsia="宋体" w:cs="Times New Roman"/>
          <w:color w:val="000000"/>
          <w:sz w:val="20"/>
          <w:szCs w:val="20"/>
        </w:rPr>
        <w:t>35</w:t>
      </w:r>
    </w:p>
    <w:p>
      <w:pPr>
        <w:keepNext w:val="0"/>
        <w:keepLines w:val="0"/>
        <w:widowControl/>
        <w:suppressLineNumbers w:val="0"/>
      </w:pPr>
      <w:r>
        <w:pict>
          <v:rect id="_x0000_i109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Have Foreign Exchange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results of operations of, and certain of our intercompany balances associated with, our international stores and product and service offerings are exposed to foreign exchange rate fluctuations. Due to these fluctuations, operating results may differ materially from expectations, and we may record significant gains or losses on the remeasurement of intercompany balances. As we have expanded our international operations, our exposure to exchange rate fluctuations has increased. We also hold cash equivalents and/or marketable securities in foreign currencies such as British Pounds, Canadian Dollars, Euros, and Japanese Yen. When the U.S. Dollar strengthens compared to these currencies, cash equivalents, and marketable securities balances, when translated, may be materially less than expected and vice versa.</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Operating Risks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Our Expansion Places a Significant Strain on our Management, Operational, Financial, and Other Resources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continuing to rapidly and significantly expand our global operations, including increasing our product and service offerings and scaling our infrastructure to support our retail and services businesses. The complexity of the current scale of our business can place significant strain on our management, personnel, operations, systems, technical performance, financial resources, and internal financial control and reporting functions, and our expansion increases these factors. Failure to manage growth effectively could damage our reputation, limit our growth, and negatively affect our operating results.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Experience Significant Fluctuations in Our Operating Results and Growth Rate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not always able to accurately forecast our growth rate. We base our expense levels and investment plans on sales estimates. A significant portion of our expenses and investments is fixed, and we are not always able to adjust our spending quickly enough if our sales are less than expected.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revenue growth may not be sustainable, and our percentage growth rates may decrease. Our revenue and operating profit growth depends on the continued growth of demand for the products and services offered by us or our sellers, and our business is affected by general economic and business conditions worldwide. A softening of demand, whether caused by changes in customer preferences or a weakening of the U.S. or global economies, may result in decreased revenue or growth.</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sales and operating results will also fluctuate for many other reasons, including due to factors described elsewhere in this section and the following:</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•our ability to retain and increase sales to existing customers, attract new customers, and satisfy our customers’ demands;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•our ability to retain and expand our network of sellers;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•our ability to offer products on favorable terms, manage inventory, and fulfill orders;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introduction of competitive stores, websites, products, services, price decreases, or improvements;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usage or adoption rates of the Internet, e-commerce, electronic devices, and web services, including outside the U.S.;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•timing, effectiveness, and costs of expansion and upgrades of our systems and infrastructure;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success of our geographic, service, and product line expansions;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we finance, and the terms of any such financing for, our current operations and future growth;</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outcomes of legal proceedings and claims, which may include significant monetary damages or injunctive relief and could have a material adverse impact on our operating results;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•variations in the mix of products and services we sell;</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•variations in our level of merchandise and vendor returns;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we offer fast and free delivery, continue to reduce prices worldwide, and provide additional benefits to our customers;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•factors affecting our reputation or brand image (including any actual or perceived inability to achieve our goals or commitments, whether related to sustainability, customers, employees, or other topics);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we invest in technology and content, fulfillment, and other expense categories;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•increases in the prices of fuel and gasoline, energy products, commodities like paper and packing supplies and hardware products, and technology infrastructure products;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•constrained labor markets, which increase our payroll costs;</w:t>
      </w:r>
    </w:p>
    <w:p>
      <w:pPr>
        <w:keepNext w:val="0"/>
        <w:keepLines w:val="0"/>
        <w:widowControl/>
        <w:suppressLineNumbers w:val="0"/>
        <w:jc w:val="center"/>
      </w:pPr>
      <w:r>
        <w:rPr>
          <w:rFonts w:hint="default" w:ascii="Times New Roman" w:hAnsi="Times New Roman" w:eastAsia="宋体" w:cs="Times New Roman"/>
          <w:color w:val="000000"/>
          <w:sz w:val="20"/>
          <w:szCs w:val="20"/>
        </w:rPr>
        <w:t>36</w:t>
      </w:r>
    </w:p>
    <w:p>
      <w:pPr>
        <w:keepNext w:val="0"/>
        <w:keepLines w:val="0"/>
        <w:widowControl/>
        <w:suppressLineNumbers w:val="0"/>
      </w:pPr>
      <w:r>
        <w:pict>
          <v:rect id="_x0000_i109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operators of the networks between our customers and our stores successfully charge fees to grant our customers unimpaired and unconstrained access to our online services;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•our ability to collect amounts owed to us when they become due;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new and existing technologies, or industry trends, restrict online advertising or affect our ability to customize advertising or otherwise tailor our product and service offerings;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use of our services is affected by spyware, viruses, phishing and other spam emails, denial of service attacks, data theft, computer intrusions, outages, and similar events;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•disruptions from natural or human-caused disasters (including public health crises) or extreme weather (including as a result of climate change), geopolitical events and security issues (including terrorist attacks and armed hostilities), labor or trade disputes, and similar events.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Risks Related to Successfully Optimizing and Operating Our Fulfillment Network and Data Centers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Failures to adequately predict customer demand or otherwise optimize and operate our fulfillment network and data centers successfully from time to time result in excess or insufficient fulfillment or data center capacity, service interruptions, increased costs, and impairment charges, any of which could materially harm our business. As we continue to add fulfillment and data center capability or add new businesses with different requirements, our fulfillment and data center networks become increasingly complex and operating them becomes more challenging. There can be no assurance that we will be able to operate our networks effectively.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failure to optimize inventory or staffing in our fulfillment network increases our net shipping cost by requiring long-zone or partial shipments. We and our co-sourcers may be unable to adequately staff our fulfillment network and customer service centers. For example, productivity across our fulfillment network currently is being affected by global supply chain constraints and constrained labor markets, which increase payroll costs and make it difficult to hire, train, and deploy a sufficient number of people to operate our fulfillment network as efficiently as we would like. We are also subject to labor union efforts to organize groups of our employees from time to time and, if successful, those organizational efforts may decrease our operational flexibility, which could adversely affect our fulfillment network operating efficiency.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Under some of our commercial agreements, we maintain the inventory of other companies, thereby increasing the complexity of tracking inventory and operating our fulfillment network. Our failure to properly handle such inventory or the inability of the other businesses on whose behalf we perform inventory fulfillment services to accurately forecast product demand may result in us being unable to secure sufficient storage space or to optimize our fulfillment network or cause other unexpected costs and other harm to our business and reputation.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rely on a limited number of shipping companies to deliver inventory to us and completed orders to our customers. An inability to negotiate acceptable terms with these companies or performance problems, staffing limitations, or other difficulties experienced by these companies or by our own transportation systems, including as a result of labor market constraints and related costs, could negatively impact our operating results and customer experience. In addition, our ability to receive inbound inventory efficiently and ship completed orders to customers also may be negatively affected by natural or human-caused disasters (including public health crises) or extreme weather (including as a result of climate change), geopolitical events and security issues, labor or trade disputes, and similar events.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Could Be Harmed by Data Loss or Other Security Breaches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Because we collect, process, store, and transmit large amounts of data, including confidential, sensitive, proprietary, and business and personal information, failure to prevent or mitigate data loss, theft, misuse, or other security breaches or vulnerabilities affecting our or our vendors’ or customers’ technology, products, and systems, could: expose us or our customers to a risk of loss, disclosure, or misuse of such information; adversely affect our operating results; result in litigation, liability, or regulatory action (including under laws related to privacy, data use, data protection, data security, network security, and consumer protection); deter customers or sellers from using our stores, products, and services; and otherwise harm our business and reputation. We use third-party technology and systems for a variety of reasons, including, without limitation, encryption and authentication technology, employee email, content delivery to customers, back-office support, and other functions. Some of our systems have experienced past security breaches, and, although they did not have a material adverse effect on our operating results, there can be no assurance that future incidents will not have material adverse effects on our operations or financial results. Although we have developed systems and processes that are designed to protect customer data and prevent such incidents, including systems and processes designed to reduce the impact of a security breach at a third-party vendor or customer, such measures cannot provide absolute security and may fail to operate as intended or be circumvented.</w:t>
      </w:r>
    </w:p>
    <w:p>
      <w:pPr>
        <w:keepNext w:val="0"/>
        <w:keepLines w:val="0"/>
        <w:widowControl/>
        <w:suppressLineNumbers w:val="0"/>
        <w:jc w:val="center"/>
      </w:pPr>
      <w:r>
        <w:rPr>
          <w:rFonts w:hint="default" w:ascii="Times New Roman" w:hAnsi="Times New Roman" w:eastAsia="宋体" w:cs="Times New Roman"/>
          <w:color w:val="000000"/>
          <w:sz w:val="20"/>
          <w:szCs w:val="20"/>
        </w:rPr>
        <w:t>37</w:t>
      </w:r>
    </w:p>
    <w:p>
      <w:pPr>
        <w:keepNext w:val="0"/>
        <w:keepLines w:val="0"/>
        <w:widowControl/>
        <w:suppressLineNumbers w:val="0"/>
      </w:pPr>
      <w:r>
        <w:pict>
          <v:rect id="_x0000_i109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Risks Related to System Interruption and Lack of Redundancy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experience occasional system interruptions and delays that make our websites and services unavailable or slow to respond and prevent us from efficiently accepting or fulfilling orders or providing services to customers and third parties, which may reduce our net sales and the attractiveness of our products and services. Steps we take to add software and hardware, upgrade our systems and network infrastructure, and improve the stability and efficiency of our systems may not be sufficient to avoid system interruptions or delays that could adversely affect our operating results.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computer and communications systems and operations in the past have been, or in the future could be, damaged or interrupted due to events such as natural or human-caused disasters (including public health crises) or extreme weather (including as a result of climate change), geopolitical events and security issues (including terrorist attacks and armed hostilities), computer viruses, physical or electronic break-ins, operational failures, and similar events or disruptions. Any of these events could cause system interruption, delays, and loss of critical data, and could prevent us from accepting and fulfilling customer orders and providing services, which could make our product and service offerings less attractive and subject us to liability. Our systems are not fully redundant and our disaster recovery planning may not be sufficient. In addition, our insurance may not provide sufficient coverage to compensate for related losses. Any of these events could damage our reputation and be expensive to remedy.</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The Loss of Key Senior Management Personnel or the Failure to Hire and Retain Highly Skilled and Other Key Personnel Could Negatively Affect Our Business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depend on our senior management and other key personnel, including our President and CEO. We do not have “key person” life insurance policies. We also rely on other highly skilled personnel. Competition for qualified personnel in the industries in which we operate, as well as senior management, has historically been intense. For example, we experience significant competition in the technology industry, particularly for software engineers, computer scientists, and other technical staff. In addition, changes we make to our current and future work environments may not meet the needs or expectations of our employees or may be perceived as less favorable compared to other companies’ policies, which could negatively impact our ability to hire and retain qualified personnel. The loss of any of our executive officers or other key employees, the failure to successfully transition key roles, or the inability to hire, train, retain, and manage qualified personnel, could harm our business.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Supplier Relationships Subject Us to a Number of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significant suppliers, including content and technology licensors, and in some cases, limited or single-sources of supply, that are important to our sourcing, services, manufacturing, and any related ongoing servicing of merchandise and content. We do not have long-term arrangements with most of our suppliers to guarantee availability of merchandise, content, components, or services, particular payment terms, or the extension of credit limits. Decisions by our current suppliers to limit or stop selling or licensing merchandise, content, components, or services to us on acceptable terms, or delay delivery, including as a result of one or more supplier bankruptcies due to poor economic conditions, as a result of natural or human-caused disasters (including public health crises), or for other reasons, may result in our being unable to procure alternatives from other suppliers in a timely and efficient manner and on acceptable terms, or at all. In addition, violations by our suppliers or other vendors of applicable laws, regulations, contractual terms, intellectual property rights of others, or our Supply Chain Standards, as well as products or practices regarded as unethical, unsafe, or hazardous, could expose us to claims, damage our reputation, limit our growth, and negatively affect our operating results.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Commercial Agreements, Strategic Alliances, and Other Business Relationships Expose Us to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provide physical, e-commerce, and omnichannel retail, cloud services, and other services to businesses through commercial agreements, strategic alliances, and business relationships. Under these agreements, we provide web services, technology, fulfillment, computing, digital storage, and other services, as well as enable sellers to offer products or services through our stores. These arrangements are complex and require substantial infrastructure capacity, personnel, and other resource commitments, which may limit the amount of business we can service. We may not be able to implement, maintain, and develop the components of these commercial relationships, which may include web services, fulfillment, customer service, inventory management, tax collection, payment processing, hardware, content, and third-party software, and engaging third parties to perform services. The amount of compensation we receive under certain of our commercial agreements is partially dependent on the volume of the other company’s sales. Therefore, when the other company’s offerings are not successful, the compensation we receive may be lower than expected or the agreement may be terminated. Moreover, we may not be able to enter into additional or alternative commercial relationships and strategic alliances on favorable terms. We also may be subject to claims from businesses to which we provide these services if we are unsuccessful in implementing, maintaining, or developing these services.</w:t>
      </w:r>
    </w:p>
    <w:p>
      <w:pPr>
        <w:keepNext w:val="0"/>
        <w:keepLines w:val="0"/>
        <w:widowControl/>
        <w:suppressLineNumbers w:val="0"/>
        <w:jc w:val="center"/>
      </w:pPr>
      <w:r>
        <w:rPr>
          <w:rFonts w:hint="default" w:ascii="Times New Roman" w:hAnsi="Times New Roman" w:eastAsia="宋体" w:cs="Times New Roman"/>
          <w:color w:val="000000"/>
          <w:sz w:val="20"/>
          <w:szCs w:val="20"/>
        </w:rPr>
        <w:t>38</w:t>
      </w:r>
    </w:p>
    <w:p>
      <w:pPr>
        <w:keepNext w:val="0"/>
        <w:keepLines w:val="0"/>
        <w:widowControl/>
        <w:suppressLineNumbers w:val="0"/>
      </w:pPr>
      <w:r>
        <w:pict>
          <v:rect id="_x0000_i109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our agreements terminate, we may be unable to renew or replace these agreements on comparable terms, or at all. We may in the future enter into amendments on less favorable terms or encounter parties that have difficulty meeting their contractual obligations to us, which could adversely affect our operating results.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present and future commercial agreements, strategic alliances, and business relationships create additional risks such as: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•disruption of our ongoing business, including loss of management focus on existing businesses;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•impairment of other relationships;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•variability in revenue and income from entering into, amending, or terminating such agreements or relationships;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•difficulty integrating under the commercial agreements.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Business Suffers When We Are Unsuccessful in Making, Integrating, and Maintaining Acquisitions and Investments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acquired and invested in a number of companies, and we may in the future acquire or invest in or enter into joint ventures with additional companies. These transactions create risks such as: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•disruption of our ongoing business, including loss of management focus on existing businesses;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•problems retaining key personnel;</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•additional operating losses and expenses of the businesses we acquired or in which we invested;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potential impairment of tangible and intangible assets and goodwill, including as a result of acquisitions;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potential impairment of customer and other relationships of the company we acquired or in which we invested or our own customers as a result of any integration of operations;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 xml:space="preserve">•the difficulty of completing such transactions and achieving anticipated benefits within expected timeframes, or at all; </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difficulty of incorporating acquired operations, technology, and rights into our offerings, and unanticipated expenses related to such integration;</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difficulty of integrating a new company’s accounting, financial reporting, management, information and data security, human resource, and other administrative systems to permit effective management, and the lack of control if such integration is delayed or not successfully implemented;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•losses we may incur as a result of declines in the value of an investment or as a result of incorporating an investee’s financial performance into our financial results;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•for investments in which an investee’s financial performance is incorporated into our financial results, either in full or in part, or investments for which we are required to file financial statements or provide financial information, the dependence on the investee’s accounting, financial reporting, and similar systems, controls, and processes;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difficulty of implementing at companies we acquire the controls, procedures, and policies appropriate for a larger public company;</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risks associated with businesses we acquire or invest in, which may differ from or be more significant than the risks our other businesses face;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•potential unknown liabilities associated with a company we acquire or in which we invest;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•for foreign transactions, additional risks related to the integration of operations across different cultures and languages, and the economic, political, and regulatory risks associated with specific countries.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a result of future acquisitions or mergers, we might need to issue additional equity securities, spend our cash, or incur debt, contingent liabilities, or amortization expenses related to intangible assets, any of which could reduce our profitability and harm our business or only be available on unfavorable terms, if at all. In addition, valuations supporting our acquisitions and strategic investments could change rapidly. We could determine that such valuations have experienced impairments or other-than-temporary declines in fair value which could adversely impact our financial results.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Significant Inventory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In addition to risks described elsewhere in this Item 1A relating to fulfillment network and inventory optimization by us and third parties, we are exposed to significant inventory risks that may adversely affect our operating results as a result of seasonality, new product launches, rapid changes in product cycles and pricing, defective merchandise, changes in consumer demand and consumer spending patterns, changes in consumer tastes with respect to our products, spoilage, and other factors. We endeavor to accurately predict these trends and avoid overstocking or understocking products we manufacture and/or sell. </w:t>
      </w:r>
    </w:p>
    <w:p>
      <w:pPr>
        <w:keepNext w:val="0"/>
        <w:keepLines w:val="0"/>
        <w:widowControl/>
        <w:suppressLineNumbers w:val="0"/>
        <w:jc w:val="center"/>
      </w:pPr>
      <w:r>
        <w:rPr>
          <w:rFonts w:hint="default" w:ascii="Times New Roman" w:hAnsi="Times New Roman" w:eastAsia="宋体" w:cs="Times New Roman"/>
          <w:color w:val="000000"/>
          <w:sz w:val="20"/>
          <w:szCs w:val="20"/>
        </w:rPr>
        <w:t>39</w:t>
      </w:r>
    </w:p>
    <w:p>
      <w:pPr>
        <w:keepNext w:val="0"/>
        <w:keepLines w:val="0"/>
        <w:widowControl/>
        <w:suppressLineNumbers w:val="0"/>
      </w:pPr>
      <w:r>
        <w:pict>
          <v:rect id="_x0000_i109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Demand for products, however, can change significantly between the time inventory or components are ordered and the date of sale. In addition, when we begin selling or manufacturing a new product, it may be difficult to establish vendor relationships, determine appropriate product or component selection, and accurately forecast demand. The acquisition of certain types of inventory or components requires significant lead-time and prepayment and they may not be returnable. We carry a broad selection and significant inventory levels of certain products, such as consumer electronics, and at times we are unable to sell products in sufficient quantities or to meet demand during the relevant selling seasons. Any one of the inventory risk factors set forth above may adversely affect our operating results.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Are Subject to Payments-Related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accept payments using a variety of methods, including credit card, debit card, credit accounts (including promotional financing), gift cards, direct debit from a customer’s bank account, consumer invoicing, physical bank check, and payment upon delivery. For existing and future payment options we offer to our customers, we currently are subject to, and may become subject to additional, regulations and compliance requirements (including obligations to implement enhanced authentication processes that could result in significant costs and reduce the ease of use of our payments products), as well as fraud. For certain payment methods, including credit and debit cards, we pay interchange and other fees, which may increase over time and raise our operating costs and lower profitability. We rely on third parties to provide certain Amazon-branded payment methods and payment processing services, including the processing of credit cards, debit cards, electronic checks, and promotional financing. In each case, it could disrupt our business if these companies become unwilling or unable to provide these services to us. We also offer co-branded credit card programs, which could adversely affect our operating results if renewed on less favorable terms or terminated. We are also subject to payment card association operating rules, including data security rules, certification requirements, and rules governing electronic funds transfers, which could change or be reinterpreted to make it difficult or impossible for us to comply. Failure to comply with these rules or requirements, as well as any breach, compromise, or failure to otherwise detect or prevent fraudulent activity involving our data security systems, could result in our being liable for card issuing banks’ costs, subject to fines and higher transaction fees, and loss of our ability to accept credit and debit card payments from our customers, process electronic funds transfers, or facilitate other types of online payments, and our business and operating results could be adversely affected.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we provide regulated services in certain jurisdictions because we enable customers to keep account balances with us and transfer money to third parties, and because we provide services to third parties to facilitate payments on their behalf. Jurisdictions subject us to requirements for licensing, regulatory inspection, bonding and capital maintenance, the use, handling, and segregation of transferred funds, consumer disclosures, maintaining or processing data, and authentication. We are also subject to or voluntarily comply with a number of other laws and regulations relating to payments, money laundering, international money transfers, privacy, data use, data protection, data security, network security, consumer protection, and electronic fund transfers. If we were found to be in violation of applicable laws or regulations, we could be subject to additional requirements and civil and criminal penalties, or forced to cease providing certain services.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Have a Rapidly Evolving Business Model and Our Stock Price Is Highly Volatile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a rapidly evolving business model. The trading price of our common stock fluctuates significantly in response to, among other risks, the risks described elsewhere in this Item 1A, as well as: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interest rates;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•conditions or trends in the Internet and the industry segments we operate in;</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•quarterly variations in operating results;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•fluctuations in the stock market in general and market prices for Internet-related companies in particular;</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 xml:space="preserve">•changes in financial estimates by us or decisions to increase or decrease future spending or investment levels; </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financial estimates and recommendations by securities analysts;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our capital structure, including issuance of additional debt or equity to the public;</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the valuation methodology of, or performance by, other e-commerce or technology companies;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•transactions in our common stock by major investors and certain analyst reports, news, and speculation.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Volatility in our stock price could adversely affect our business and financing opportunities and force us to increase our cash compensation to employees or grant larger stock awards than we have historically, which could hurt our operating results or reduce the percentage ownership of our existing stockholders, or both.</w:t>
      </w:r>
    </w:p>
    <w:p>
      <w:pPr>
        <w:keepNext w:val="0"/>
        <w:keepLines w:val="0"/>
        <w:widowControl/>
        <w:suppressLineNumbers w:val="0"/>
        <w:jc w:val="center"/>
      </w:pPr>
      <w:r>
        <w:rPr>
          <w:rFonts w:hint="default" w:ascii="Times New Roman" w:hAnsi="Times New Roman" w:eastAsia="宋体" w:cs="Times New Roman"/>
          <w:color w:val="000000"/>
          <w:sz w:val="20"/>
          <w:szCs w:val="20"/>
        </w:rPr>
        <w:t>40</w:t>
      </w:r>
    </w:p>
    <w:p>
      <w:pPr>
        <w:keepNext w:val="0"/>
        <w:keepLines w:val="0"/>
        <w:widowControl/>
        <w:suppressLineNumbers w:val="0"/>
      </w:pPr>
      <w:r>
        <w:pict>
          <v:rect id="_x0000_i109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Legal and Regulatory Risks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Government Regulation Is Evolving and Unfavorable Changes Could Harm Our Business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are subject to general business regulations and laws, as well as regulations and laws specifically governing the Internet, physical, e-commerce, and omnichannel retail, digital content, web services, electronic devices, advertising, artificial intelligence technologies and services, and other products and services that we offer or sell. These regulations and laws cover taxation, privacy, data use, data protection, data security, network security, consumer protection, pricing, content, copyrights, distribution, transportation, mobile communications, electronic device certification, electronic waste, energy consumption, environmental regulation, electronic contracts and other communications, competition, employment, trade and protectionist measures, web services, the provision of online payment services, registration, licensing, and information reporting requirements, unencumbered Internet access to our services or access to our facilities, the design and operation of websites, health, safety, and sanitation standards, the characteristics, legality, and quality of products and services, product labeling, the commercial operation of unmanned aircraft systems, healthcare, and other matters. It is not clear how existing laws governing issues such as property ownership, libel, privacy, data use, data protection, data security, network security, and consumer protection apply to aspects of our operations such as the Internet, e-commerce, digital content, web services, electronic devices, advertising, and artificial intelligence technologies and services. A large number of jurisdictions regulate our operations, and the extent, nature, and scope of such regulations is evolving and expanding as the scope of our businesses expand. We are regularly subject to formal and informal reviews and investigations by governments and regulatory authorities under existing laws, regulations, or interpretations or pursuing new and novel approaches to regulate our operations. For example, we face a number of open investigations based on claims that aspects of our operations violate competition rules, including aspects of Amazon’s European marketplace for sellers, particularly with respect to use of data, fulfillment services, and featured offers. Unfavorable regulations, laws, decisions, or interpretations by government or regulatory authorities applying those laws and regulations, or inquiries, investigations, or enforcement actions threatened or initiated by them, could cause us to incur substantial costs, expose us to unanticipated civil and criminal liability or penalties (including substantial monetary fines), diminish the demand for, or availability of, our products and services, increase our cost of doing business, require us to change our business practices in a manner materially adverse to our business, damage our reputation, impede our growth, or otherwise have a material effect on our operations. The media, political, and regulatory scrutiny we face, which may continue to increase, amplifies these risks.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Claims, Litigation, Government Investigations, and Other Proceedings May Adversely Affect Our Business and Results of Operations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As an innovative company offering a wide range of consumer and business products and services around the world, we are regularly subject to actual and threatened claims, litigation, reviews, investigations, and other proceedings, including proceedings by governments and regulatory authorities, involving a wide range of issues, including patent and other intellectual property matters, taxes, labor and employment, competition and antitrust, privacy, data use, data protection, data security, network security, consumer protection, commercial disputes, goods and services offered by us and by third parties, and other matters. The number and scale of these proceedings have increased over time as our businesses have expanded in scope and geographic reach and our products, services, and operations have become more complex and available to, and used by, more people. Any of these types of proceedings can have an adverse effect on us because of legal costs, disruption of our operations, diversion of management resources, negative publicity, and other factors. The outcomes of these matters are inherently unpredictable and subject to significant uncertainties. Determining legal reserves or possible losses from such matters involves judgment and may not reflect the full range of uncertainties and unpredictable outcomes. Until the final resolution of such matters, we may be exposed to losses in excess of the amount recorded, and such amounts could be material. Should any of our estimates and assumptions change or prove to have been incorrect, it could have a material effect on our business, consolidated financial position, results of operations, or cash flows. In addition, it is possible that a resolution of one or more such proceedings, including as a result of a settlement, could involve licenses, sanctions, consent decrees, or orders requiring us to make substantial future payments, preventing us from offering certain products or services, requiring us to change our business practices in a manner materially adverse to our business, requiring development of non-infringing or otherwise altered products or technologies, damaging our reputation, or otherwise having a material effect on our operations.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Are Subject to Product Liability Claims When People or Property Are Harmed by the Products We Sell or Manufacture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Some of the products we sell or manufacture expose us to product liability or food safety claims relating to personal injury or illness, death, or environmental or property damage, and can require product recalls or other actions. Third parties who sell products using our services and stores also expose us to product liability claims. Although we maintain liability insurance, we cannot be certain that our coverage will be adequate for liabilities actually incurred or that insurance will continue to be available to us on economically reasonable terms, or at all. Although we impose contractual terms on sellers that are intended to prohibit sales of certain type of products, we may not be able to detect, enforce, or collect sufficient damages for breaches of such agreements. In addition, some of our agreements with our vendors and sellers do not indemnify us from product liability.</w:t>
      </w:r>
    </w:p>
    <w:p>
      <w:pPr>
        <w:keepNext w:val="0"/>
        <w:keepLines w:val="0"/>
        <w:widowControl/>
        <w:suppressLineNumbers w:val="0"/>
        <w:jc w:val="center"/>
      </w:pPr>
      <w:r>
        <w:rPr>
          <w:rFonts w:hint="default" w:ascii="Times New Roman" w:hAnsi="Times New Roman" w:eastAsia="宋体" w:cs="Times New Roman"/>
          <w:color w:val="000000"/>
          <w:sz w:val="20"/>
          <w:szCs w:val="20"/>
        </w:rPr>
        <w:t>41</w:t>
      </w:r>
    </w:p>
    <w:p>
      <w:pPr>
        <w:keepNext w:val="0"/>
        <w:keepLines w:val="0"/>
        <w:widowControl/>
        <w:suppressLineNumbers w:val="0"/>
      </w:pPr>
      <w:r>
        <w:pict>
          <v:rect id="_x0000_i109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Additional Tax Liabilities and Collection Obligations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subject to a variety of taxes and tax collection obligations in the U.S. (federal and state) and numerous foreign jurisdictions. We may recognize additional tax expense and be subject to additional tax liabilities, including other liabilities for tax collection obligations due to changes in laws, regulations, administrative practices, principles, and interpretations related to tax, including changes to the global tax framework, competition, and other laws and accounting rules in various jurisdictions. Such changes could come about as a result of economic, political, and other conditions. An increasing number of jurisdictions are considering or have adopted laws or administrative practices that impose new tax measures, including revenue-based taxes, targeting online commerce and the remote selling of goods and services. These include new obligations to withhold or collect sales, consumption, value added, or other taxes on online marketplaces and remote sellers, or other requirements that may result in liability for third party obligations. For example, non-U.S. jurisdictions have proposed or enacted taxes on online advertising and marketplace service revenues. Proliferation of these or similar unilateral tax measures may continue unless broader international tax reform is implemented. Our results of operations and cash flows could be adversely affected by additional taxes imposed on us prospectively or retroactively or additional taxes or penalties resulting from the failure to comply with any collection obligations or failure to provide information about our customers, suppliers, and other third parties for tax reporting purposes to various government agencies. In some cases we also may not have sufficient notice to enable us to build systems and adopt processes to properly comply with new reporting or collection obligations by the effective date.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tax expense and liabilities are also affected by other factors, such as changes in our business operations, acquisitions, investments, entry into new businesses and geographies, intercompany transactions, the relative amount of our foreign earnings, losses incurred in jurisdictions for which we are not able to realize related tax benefits, the applicability of special or extraterritorial tax regimes, changes in foreign currency exchange rates, changes in our stock price, changes to our forecasts of income and loss and the mix of jurisdictions to which they relate, and changes in our tax assets and liabilities and their valuation. In the ordinary course of our business, there are many transactions and calculations for which the ultimate tax determination is uncertain. Significant judgment is required in evaluating and estimating our tax expense, assets, and liabilities.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also subject to tax controversies in various jurisdictions that can result in tax assessments against us. Developments in an audit, investigation, or other tax controversy can have a material effect on our operating results or cash flows in the period or periods for which that development occurs, as well as for prior and subsequent periods. Due to the inherent complexity and uncertainty of these matters, interpretations of certain tax laws by authorities, and judicial, administrative, and regulatory processes in certain jurisdictions, the final outcome of any such controversy may be materially different from our expectations. We regularly assess the likelihood of an adverse outcome resulting from these proceedings to determine the adequacy of our tax accruals. Although we believe our tax estimates are reasonable, the final outcome of audits, investigations, and any other tax controversies could be materially different from our historical tax accruals.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Are Subject to Risks Related to Government Contracts and Related Procurement Regulations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contracts with U.S., as well as state, local, and foreign, government entities are subject to various procurement regulations and other requirements relating to their formation, administration, and performance. We are subject to audits and investigations relating to our government contracts, and any violations could result in various civil and criminal penalties and administrative sanctions, including termination of contract, refunding or suspending of payments, forfeiture of profits, payment of fines, and suspension or debarment from future government business. In addition, some of these contracts are subject to periodic funding approval and/or provide for termination by the government at any time, without cause.</w:t>
      </w:r>
    </w:p>
    <w:p>
      <w:pPr>
        <w:keepNext w:val="0"/>
        <w:keepLines w:val="0"/>
        <w:widowControl/>
        <w:suppressLineNumbers w:val="0"/>
        <w:jc w:val="center"/>
      </w:pPr>
      <w:r>
        <w:rPr>
          <w:rFonts w:hint="default" w:ascii="Times New Roman" w:hAnsi="Times New Roman" w:eastAsia="宋体" w:cs="Times New Roman"/>
          <w:color w:val="000000"/>
          <w:sz w:val="20"/>
          <w:szCs w:val="20"/>
        </w:rPr>
        <w:t>42</w:t>
      </w:r>
    </w:p>
    <w:p>
      <w:pPr>
        <w:keepNext w:val="0"/>
        <w:keepLines w:val="0"/>
        <w:widowControl/>
        <w:suppressLineNumbers w:val="0"/>
      </w:pPr>
      <w:r>
        <w:pict>
          <v:rect id="_x0000_i109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2.</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Unregistered Sales of Equity Securities and Use of Proceeds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March 2022, the Board of Directors authorized a program to repurchase up to $10.0 billion of our common stock, with no fixed expiration, which replaced the previous $5.0 billion stock repurchase authorization, approved by the Board of Directors in February 2016. We repurchased 0.9 million shares of our common stock for $2.7 billion during the three months ended March 31, 2022 under these programs. The table below sets forth information regarding the Company’s purchases of its common stock during three months ended March 31, 2022 (in millions, except per share data):</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7"/>
        <w:gridCol w:w="2450"/>
        <w:gridCol w:w="36"/>
        <w:gridCol w:w="36"/>
        <w:gridCol w:w="36"/>
        <w:gridCol w:w="36"/>
        <w:gridCol w:w="36"/>
        <w:gridCol w:w="49"/>
        <w:gridCol w:w="1155"/>
        <w:gridCol w:w="36"/>
        <w:gridCol w:w="36"/>
        <w:gridCol w:w="36"/>
        <w:gridCol w:w="36"/>
        <w:gridCol w:w="120"/>
        <w:gridCol w:w="1129"/>
        <w:gridCol w:w="36"/>
        <w:gridCol w:w="36"/>
        <w:gridCol w:w="36"/>
        <w:gridCol w:w="36"/>
        <w:gridCol w:w="53"/>
        <w:gridCol w:w="1123"/>
        <w:gridCol w:w="36"/>
        <w:gridCol w:w="36"/>
        <w:gridCol w:w="36"/>
        <w:gridCol w:w="36"/>
        <w:gridCol w:w="120"/>
        <w:gridCol w:w="1441"/>
        <w:gridCol w:w="37"/>
      </w:tblGrid>
      <w:tr>
        <w:tc>
          <w:tcPr>
            <w:tcW w:w="50" w:type="pct"/>
            <w:shd w:val="clear" w:color="auto" w:fill="auto"/>
            <w:vAlign w:val="bottom"/>
          </w:tcPr>
          <w:p>
            <w:pPr>
              <w:rPr>
                <w:rFonts w:hint="eastAsia" w:ascii="宋体"/>
                <w:sz w:val="24"/>
                <w:szCs w:val="24"/>
              </w:rPr>
            </w:pPr>
          </w:p>
        </w:tc>
        <w:tc>
          <w:tcPr>
            <w:tcW w:w="151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50" w:type="pct"/>
            <w:shd w:val="clear" w:color="auto" w:fill="auto"/>
            <w:vAlign w:val="bottom"/>
          </w:tcPr>
          <w:p>
            <w:pPr>
              <w:rPr>
                <w:rFonts w:hint="eastAsia" w:ascii="宋体"/>
                <w:sz w:val="24"/>
                <w:szCs w:val="24"/>
              </w:rPr>
            </w:pPr>
          </w:p>
        </w:tc>
        <w:tc>
          <w:tcPr>
            <w:tcW w:w="72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72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72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91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 Number of Shares Purchased</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Average Price Paid Per Share</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 Number of Shares Purchased as Part of Publicly Announced Program</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Approximate Dollar Value of Shares that May Yet be Repurchased Under the Program</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January 1 - January 31, 2022</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0.5</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2,823 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0.5</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3,660 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February 1 - February 28, 2022</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0.2</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0.2</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2,881 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March 1 - March 31, 2022</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0.2</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2,907 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0.2</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9,453 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tcBorders>
              <w:top w:val="single" w:color="000000" w:sz="8" w:space="0"/>
              <w:bottom w:val="double" w:color="000000" w:sz="6" w:space="0"/>
            </w:tcBorders>
            <w:shd w:val="clear" w:color="auto" w:fill="FFFF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0.9</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bottom w:val="double" w:color="000000" w:sz="6" w:space="0"/>
            </w:tcBorders>
            <w:shd w:val="clear" w:color="auto" w:fill="FFFF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0.9</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All repurchases disclosed in the table were pursuant to the March 2022 and February 2016 Board of Directors’ authorizations.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3.</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Defaults Upon Senior Securities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None.</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4.</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Mine Safety Disclosures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Not applicable.</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5.</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Other Information</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Not applicable. </w:t>
      </w:r>
    </w:p>
    <w:p>
      <w:pPr>
        <w:keepNext w:val="0"/>
        <w:keepLines w:val="0"/>
        <w:widowControl/>
        <w:suppressLineNumbers w:val="0"/>
        <w:jc w:val="center"/>
      </w:pPr>
      <w:r>
        <w:rPr>
          <w:rFonts w:hint="default" w:ascii="Times New Roman" w:hAnsi="Times New Roman" w:eastAsia="宋体" w:cs="Times New Roman"/>
          <w:color w:val="000000"/>
          <w:sz w:val="20"/>
          <w:szCs w:val="20"/>
        </w:rPr>
        <w:t>43</w:t>
      </w:r>
    </w:p>
    <w:p>
      <w:pPr>
        <w:keepNext w:val="0"/>
        <w:keepLines w:val="0"/>
        <w:widowControl/>
        <w:suppressLineNumbers w:val="0"/>
      </w:pPr>
      <w:r>
        <w:pict>
          <v:rect id="_x0000_i110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6.</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Exhibits</w:t>
            </w:r>
          </w:p>
        </w:tc>
      </w:tr>
    </w:tbl>
    <w:p>
      <w:pPr>
        <w:rPr>
          <w:vanish/>
          <w:sz w:val="24"/>
          <w:szCs w:val="24"/>
        </w:rPr>
      </w:pPr>
    </w:p>
    <w:tbl>
      <w:tblPr>
        <w:tblStyle w:val="5"/>
        <w:tblW w:w="4751"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6"/>
        <w:gridCol w:w="525"/>
        <w:gridCol w:w="36"/>
        <w:gridCol w:w="36"/>
        <w:gridCol w:w="36"/>
        <w:gridCol w:w="36"/>
        <w:gridCol w:w="36"/>
        <w:gridCol w:w="7105"/>
        <w:gridCol w:w="36"/>
      </w:tblGrid>
      <w:tr>
        <w:trPr>
          <w:jc w:val="center"/>
        </w:trPr>
        <w:tc>
          <w:tcPr>
            <w:tcW w:w="50" w:type="pct"/>
            <w:shd w:val="clear" w:color="auto" w:fill="auto"/>
            <w:vAlign w:val="bottom"/>
          </w:tcPr>
          <w:p>
            <w:pPr>
              <w:rPr>
                <w:rFonts w:hint="eastAsia" w:ascii="宋体"/>
                <w:sz w:val="24"/>
                <w:szCs w:val="24"/>
              </w:rPr>
            </w:pPr>
          </w:p>
        </w:tc>
        <w:tc>
          <w:tcPr>
            <w:tcW w:w="34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50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u w:val="single"/>
              </w:rPr>
              <w:t>Exhibit</w:t>
            </w:r>
            <w:r>
              <w:rPr>
                <w:rFonts w:hint="default" w:ascii="Times New Roman" w:hAnsi="Times New Roman" w:eastAsia="宋体" w:cs="Times New Roman"/>
                <w:b/>
                <w:bCs/>
                <w:color w:val="000000"/>
                <w:sz w:val="16"/>
                <w:szCs w:val="16"/>
                <w:u w:val="single"/>
              </w:rPr>
              <w:br w:type="textWrapping"/>
            </w:r>
            <w:r>
              <w:rPr>
                <w:rFonts w:hint="default" w:ascii="Times New Roman" w:hAnsi="Times New Roman" w:eastAsia="宋体" w:cs="Times New Roman"/>
                <w:b/>
                <w:bCs/>
                <w:color w:val="000000"/>
                <w:sz w:val="16"/>
                <w:szCs w:val="16"/>
                <w:u w:val="single"/>
              </w:rPr>
              <w:t>Number</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u w:val="single"/>
              </w:rPr>
              <w:t>Description</w:t>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"http://www.sec.gov/Archives/edgar/data/1018724/000101872420000015/amzn-20200529xex31.htm"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Restated Certificate of Incorporation of the Company (incorporated by reference to the Company’s Current Report on Form 8-K, filed May 29, 2020).</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"http://www.sec.gov/Archives/edgar/data/1018724/000101872420000015/amzn-20200529xex32.htm"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Amended and Restated Bylaws of the Company (incorporated by reference to the Company’s Current Report on Form 8-K, filed May 29, 2020).</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10.1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"https://www.sec.gov/Archives/edgar/data/0001018724/000101872422000013/amzn-20220331xex101.htm"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Amended and Restated Credit Agreement, dated as of March 29, 2022, among Amazon.com, Inc., JPMorgan Chase Bank, N.A., as administrative agent, and the other lenders party thereto.</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31.1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"https://www.sec.gov/Archives/edgar/data/0001018724/000101872422000013/amzn-20220331xex311.htm"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Andrew R. Jassy, President and Chief Executive Officer of Amazon.com, Inc., pursuant to Rule 13a-14(a) under the Securities Exchange Act of 1934.</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31.2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"https://www.sec.gov/Archives/edgar/data/0001018724/000101872422000013/amzn-20220331xex312.htm"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Brian T. Olsavsky, Senior Vice President and Chief Financial Officer of Amazon.com, Inc., pursuant to Rule 13a-14(a) under the Securities Exchange Act of 1934.</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"https://www.sec.gov/Archives/edgar/data/0001018724/000101872422000013/amzn-20220331xex321.htm"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Andrew R. Jassy, President and Chief Executive Officer of Amazon.com, Inc., pursuant to 18 U.S.C. Section 1350.</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"https://www.sec.gov/Archives/edgar/data/0001018724/000101872422000013/amzn-20220331xex322.htm"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Brian T. Olsavsky, Senior Vice President and Chief Financial Officer of Amazon.com, Inc., pursuant to 18 U.S.C. Section 1350.</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101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pPr>
            <w:r>
              <w:rPr>
                <w:rFonts w:hint="default" w:ascii="Times New Roman" w:hAnsi="Times New Roman" w:eastAsia="宋体" w:cs="Times New Roman"/>
                <w:color w:val="000000"/>
                <w:sz w:val="20"/>
                <w:szCs w:val="20"/>
              </w:rPr>
              <w:t>The following financial statements from the Company’s Quarterly Report on Form 10-Q for the quarter ended March 31, 2022, formatted in Inline XBRL: (i) Consolidated Statements of Cash Flows, (ii) Consolidated Statements of Operations, (iii) Consolidated Statements of Comprehensive Income (Loss), (iv) Consolidated Balance Sheets, and (v) Notes to Consolidated Financial Statements, tagged as blocks of text and including detailed tags.</w:t>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104</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pPr>
            <w:r>
              <w:rPr>
                <w:rFonts w:hint="default" w:ascii="Times New Roman" w:hAnsi="Times New Roman" w:eastAsia="宋体" w:cs="Times New Roman"/>
                <w:color w:val="000000"/>
                <w:sz w:val="20"/>
                <w:szCs w:val="20"/>
              </w:rPr>
              <w:t>The cover page from the Company’s Quarterly Report on Form 10-Q for the quarter ended March 31, 2022, formatted in Inline XBRL (included as Exhibit 101).</w:t>
            </w:r>
          </w:p>
        </w:tc>
      </w:tr>
    </w:tbl>
    <w:p>
      <w:pPr>
        <w:keepNext w:val="0"/>
        <w:keepLines w:val="0"/>
        <w:widowControl/>
        <w:suppressLineNumbers w:val="0"/>
        <w:jc w:val="center"/>
      </w:pPr>
      <w:r>
        <w:rPr>
          <w:rFonts w:hint="default" w:ascii="Times New Roman" w:hAnsi="Times New Roman" w:eastAsia="宋体" w:cs="Times New Roman"/>
          <w:color w:val="000000"/>
          <w:sz w:val="20"/>
          <w:szCs w:val="20"/>
        </w:rPr>
        <w:t>44</w:t>
      </w:r>
    </w:p>
    <w:p>
      <w:pPr>
        <w:keepNext w:val="0"/>
        <w:keepLines w:val="0"/>
        <w:widowControl/>
        <w:suppressLineNumbers w:val="0"/>
      </w:pPr>
      <w:r>
        <w:pict>
          <v:rect id="_x0000_i110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"https://www.sec.gov/ix?doc=/Archives/edgar/data/0001018724/000101872422000013/amzn-20220331.htm" \l "i4e41bfcd43b843d5af1e86714106570b_7"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SIGNATURES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Pursuant to the requirements of the Securities Exchange Act of 1934, the Registrant has duly caused this report to be signed on its behalf by the undersigned, thereunto duly authorized.</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4588"/>
        <w:gridCol w:w="36"/>
        <w:gridCol w:w="73"/>
        <w:gridCol w:w="267"/>
        <w:gridCol w:w="36"/>
        <w:gridCol w:w="69"/>
        <w:gridCol w:w="3149"/>
        <w:gridCol w:w="37"/>
      </w:tblGrid>
      <w:tr>
        <w:tc>
          <w:tcPr>
            <w:tcW w:w="50" w:type="pct"/>
            <w:shd w:val="clear" w:color="auto" w:fill="auto"/>
            <w:vAlign w:val="bottom"/>
          </w:tcPr>
          <w:p>
            <w:pPr>
              <w:rPr>
                <w:rFonts w:hint="eastAsia" w:ascii="宋体"/>
                <w:sz w:val="24"/>
                <w:szCs w:val="24"/>
              </w:rPr>
            </w:pPr>
          </w:p>
        </w:tc>
        <w:tc>
          <w:tcPr>
            <w:tcW w:w="276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17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189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6"/>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1"/>
                <w:szCs w:val="21"/>
              </w:rPr>
              <w:t>AMAZON.COM, INC. (REGISTRANT)</w:t>
            </w:r>
          </w:p>
        </w:tc>
      </w:tr>
      <w:tr>
        <w:trPr>
          <w:trHeight w:val="300" w:hRule="atLeast"/>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By:</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/s/ Shelley L. Reynolds</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Shelley L. Reynolds</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20"/>
                <w:szCs w:val="20"/>
              </w:rPr>
              <w:t>Vice President, Worldwide Controller</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20"/>
                <w:szCs w:val="20"/>
              </w:rPr>
              <w:t>(Principal Accounting Officer)</w:t>
            </w:r>
          </w:p>
        </w:tc>
      </w:tr>
    </w:tbl>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Dated: April 28, 2022</w:t>
      </w:r>
    </w:p>
    <w:p>
      <w:pPr>
        <w:keepNext w:val="0"/>
        <w:keepLines w:val="0"/>
        <w:widowControl/>
        <w:suppressLineNumbers w:val="0"/>
        <w:jc w:val="center"/>
      </w:pPr>
      <w:r>
        <w:rPr>
          <w:rFonts w:hint="default" w:ascii="Times New Roman" w:hAnsi="Times New Roman" w:eastAsia="宋体" w:cs="Times New Roman"/>
          <w:color w:val="000000"/>
          <w:sz w:val="20"/>
          <w:szCs w:val="20"/>
        </w:rPr>
        <w:t>45</w:t>
      </w:r>
    </w:p>
    <w:p>
      <w:pPr>
        <w:keepNext w:val="0"/>
        <w:keepLines w:val="0"/>
        <w:widowControl/>
        <w:suppressLineNumbers w:val="0"/>
        <w:jc w:val="left"/>
      </w:pPr>
      <w:r>
        <w:rPr>
          <w:rFonts w:ascii="宋体" w:hAnsi="宋体" w:eastAsia="宋体" w:cs="宋体"/>
          <w:sz w:val="24"/>
          <w:szCs w:val="24"/>
        </w:rPr>
        <w:t xml:space="preserve">Copy and Paste Below Content. </w:t>
      </w:r>
      <w:r>
        <w:rPr>
          <w:rFonts w:ascii="宋体" w:hAnsi="宋体" w:eastAsia="宋体" w:cs="宋体"/>
          <w:sz w:val="24"/>
          <w:szCs w:val="24"/>
        </w:rPr>
        <mc:AlternateContent>
          <mc:Choice Requires="wps">
            <w:drawing>
              <wp:inline distT="0" distB="0" distL="114300" distR="114300">
                <wp:extent cx="635" cy="0"/>
                <wp:effectExtent l="0" t="0" r="0" b="0"/>
                <wp:docPr id="31" name="矩形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LkcAsYBAgAAGgQAAA4AAAAAAAAA&#10;AQAgAAAAMwEAAGRycy9lMm9Eb2MueG1sUEsFBgAAAAAGAAYAWQEAAKYFAAAAAA==&#10;">
                <v:path/>
                <v:fill on="f" focussize="0,0"/>
                <v:stroke/>
                <v:imagedata o:title=""/>
                <o:lock v:ext="edit" aspectratio="t"/>
                <w10:wrap type="none"/>
                <w10:anchorlock/>
              </v:rect>
            </w:pict>
          </mc:Fallback>
        </mc:AlternateConten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sz w:val="24"/>
          <w:szCs w:val="24"/>
        </w:rPr>
        <w:t xml:space="preserve">Previous Next </w:t>
      </w:r>
    </w:p>
    <w:p>
      <w:pPr>
        <w:pStyle w:val="4"/>
        <w:keepNext w:val="0"/>
        <w:keepLines w:val="0"/>
        <w:widowControl/>
        <w:suppressLineNumbers w:val="0"/>
        <w:spacing w:before="0" w:beforeAutospacing="1" w:after="0" w:afterAutospacing="1"/>
        <w:ind w:left="0" w:right="0"/>
      </w:pPr>
      <w:r>
        <w:t>Settings</w:t>
      </w:r>
    </w:p>
    <w:p>
      <w:pPr>
        <w:pStyle w:val="9"/>
      </w:pPr>
      <w:r>
        <w:t>窗体顶端</w:t>
      </w:r>
    </w:p>
    <w:p>
      <w:pPr>
        <w:keepNext w:val="0"/>
        <w:keepLines w:val="0"/>
        <w:widowControl/>
        <w:suppressLineNumbers w:val="0"/>
        <w:jc w:val="left"/>
      </w:pPr>
      <w:r>
        <w:rPr>
          <w:rFonts w:ascii="宋体" w:hAnsi="宋体" w:eastAsia="宋体" w:cs="宋体"/>
          <w:sz w:val="24"/>
          <w:szCs w:val="24"/>
        </w:rPr>
        <w:t xml:space="preserve">Hover over Fact for quick information. </w:t>
      </w:r>
      <w:r>
        <w:rPr>
          <w:rFonts w:ascii="宋体" w:hAnsi="宋体" w:eastAsia="宋体" w:cs="宋体"/>
          <w:sz w:val="24"/>
          <w:szCs w:val="24"/>
        </w:rPr>
        <mc:AlternateContent>
          <mc:Choice Requires="wps">
            <w:drawing>
              <wp:inline distT="0" distB="0" distL="114300" distR="114300">
                <wp:extent cx="635" cy="0"/>
                <wp:effectExtent l="0" t="0" r="0" b="0"/>
                <wp:docPr id="32" name="矩形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pSZAu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HzGmQNLE//97cevn98ZOUidIWBNQQ/hPmZ+GO68eELm/E0PrlPXGEhj2qMcW70Izgfcp23b&#10;aHM6EWbbov7uqL7aJibIeXl+wZk4+CuoD0khYvqkvGXZaHikgkVr2NxhymWhPoTkGs7famPKYI1j&#10;Q8M/XMw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UmQLsBAgAAGgQAAA4AAAAAAAAA&#10;AQAgAAAAMwEAAGRycy9lMm9Eb2MueG1sUEsFBgAAAAAGAAYAWQEAAKYFAAAAAA==&#10;">
                <v:path/>
                <v:fill on="f" focussize="0,0"/>
                <v:stroke/>
                <v:imagedata o:title=""/>
                <o:lock v:ext="edit" aspectratio="t"/>
                <w10:wrap type="none"/>
                <w10:anchorlock/>
              </v:rect>
            </w:pict>
          </mc:Fallback>
        </mc:AlternateContent>
      </w:r>
      <w:r>
        <w:rPr>
          <w:rFonts w:ascii="宋体" w:hAnsi="宋体" w:eastAsia="宋体" w:cs="宋体"/>
          <w:sz w:val="24"/>
          <w:szCs w:val="24"/>
        </w:rPr>
        <w:t xml:space="preserve"> </w:t>
      </w:r>
    </w:p>
    <w:p>
      <w:pPr>
        <w:keepNext w:val="0"/>
        <w:keepLines w:val="0"/>
        <w:widowControl/>
        <w:suppressLineNumbers w:val="0"/>
        <w:jc w:val="left"/>
      </w:pPr>
      <w:r>
        <w:rPr>
          <w:rFonts w:ascii="宋体" w:hAnsi="宋体" w:eastAsia="宋体" w:cs="宋体"/>
          <w:sz w:val="24"/>
          <w:szCs w:val="24"/>
        </w:rPr>
        <w:t xml:space="preserve">Auto Scrolling Position </w:t>
      </w:r>
      <w:r>
        <w:rPr>
          <w:rFonts w:ascii="宋体" w:hAnsi="宋体" w:eastAsia="宋体" w:cs="宋体"/>
          <w:sz w:val="24"/>
          <w:szCs w:val="24"/>
        </w:rPr>
        <mc:AlternateContent>
          <mc:Choice Requires="wps">
            <w:drawing>
              <wp:inline distT="0" distB="0" distL="114300" distR="114300">
                <wp:extent cx="635" cy="0"/>
                <wp:effectExtent l="0" t="0" r="0" b="0"/>
                <wp:docPr id="30" name="矩形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vfsWwA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cvfsWwACAAAaBAAADgAAAAAAAAAB&#10;ACAAAAAzAQAAZHJzL2Uyb0RvYy54bWxQSwUGAAAAAAYABgBZAQAApQUAAAAA&#10;">
                <v:path/>
                <v:fill on="f" focussize="0,0"/>
                <v:stroke/>
                <v:imagedata o:title=""/>
                <o:lock v:ext="edit" aspectratio="t"/>
                <w10:wrap type="none"/>
                <w10:anchorlock/>
              </v:rect>
            </w:pict>
          </mc:Fallback>
        </mc:AlternateContent>
      </w:r>
      <w:r>
        <w:rPr>
          <w:rFonts w:ascii="宋体" w:hAnsi="宋体" w:eastAsia="宋体" w:cs="宋体"/>
          <w:sz w:val="24"/>
          <w:szCs w:val="24"/>
        </w:rPr>
        <w:t xml:space="preserve"> Selecting a fact from the Sections Menu or the Fact Menu will automatically scroll that element to the (Top, or Middle) of the viewer window. This setting will have no use on IE 10, or Safari. </w:t>
      </w:r>
    </w:p>
    <w:p>
      <w:pPr>
        <w:keepNext w:val="0"/>
        <w:keepLines w:val="0"/>
        <w:widowControl/>
        <w:suppressLineNumbers w:val="0"/>
      </w:pPr>
      <w:r>
        <w:pict>
          <v:rect id="_x0000_i110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Tagged Data </w:t>
      </w:r>
    </w:p>
    <w:p>
      <w:pPr>
        <w:keepNext w:val="0"/>
        <w:keepLines w:val="0"/>
        <w:widowControl/>
        <w:suppressLineNumbers w:val="0"/>
        <w:jc w:val="left"/>
      </w:pPr>
      <w:r>
        <w:rPr>
          <w:rFonts w:ascii="monospace" w:hAnsi="monospace" w:eastAsia="monospace" w:cs="monospace"/>
          <w:sz w:val="24"/>
          <w:szCs w:val="24"/>
        </w:rPr>
        <mc:AlternateContent>
          <mc:Choice Requires="wps">
            <w:drawing>
              <wp:inline distT="0" distB="0" distL="114300" distR="114300">
                <wp:extent cx="635" cy="0"/>
                <wp:effectExtent l="0" t="0" r="0" b="0"/>
                <wp:docPr id="28" name="矩形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f0mWY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f0mWYwACAAAaBAAADgAAAAAAAAAB&#10;ACAAAAAzAQAAZHJzL2Uyb0RvYy54bWxQSwUGAAAAAAYABgBZAQAApQU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keepNext w:val="0"/>
        <w:keepLines w:val="0"/>
        <w:widowControl/>
        <w:suppressLineNumbers w:val="0"/>
      </w:pPr>
      <w:r>
        <w:pict>
          <v:rect id="_x0000_i110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Search Results </w:t>
      </w:r>
    </w:p>
    <w:p>
      <w:pPr>
        <w:keepNext w:val="0"/>
        <w:keepLines w:val="0"/>
        <w:widowControl/>
        <w:suppressLineNumbers w:val="0"/>
        <w:jc w:val="left"/>
      </w:pPr>
      <w:r>
        <w:rPr>
          <w:rFonts w:hint="default" w:ascii="monospace" w:hAnsi="monospace" w:eastAsia="monospace" w:cs="monospace"/>
          <w:sz w:val="24"/>
          <w:szCs w:val="24"/>
        </w:rPr>
        <mc:AlternateContent>
          <mc:Choice Requires="wps">
            <w:drawing>
              <wp:inline distT="0" distB="0" distL="114300" distR="114300">
                <wp:extent cx="635" cy="0"/>
                <wp:effectExtent l="0" t="0" r="0" b="0"/>
                <wp:docPr id="29" name="矩形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LSieP4BAgAAGgQAAA4AAAAAAAAA&#10;AQAgAAAAMwEAAGRycy9lMm9Eb2MueG1sUEsFBgAAAAAGAAYAWQEAAKYFA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keepNext w:val="0"/>
        <w:keepLines w:val="0"/>
        <w:widowControl/>
        <w:suppressLineNumbers w:val="0"/>
      </w:pPr>
      <w:r>
        <w:pict>
          <v:rect id="_x0000_i110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Selected Fact </w:t>
      </w:r>
    </w:p>
    <w:p>
      <w:pPr>
        <w:keepNext w:val="0"/>
        <w:keepLines w:val="0"/>
        <w:widowControl/>
        <w:suppressLineNumbers w:val="0"/>
        <w:jc w:val="left"/>
      </w:pPr>
      <w:r>
        <w:rPr>
          <w:rFonts w:hint="default" w:ascii="monospace" w:hAnsi="monospace" w:eastAsia="monospace" w:cs="monospace"/>
          <w:sz w:val="24"/>
          <w:szCs w:val="24"/>
        </w:rPr>
        <mc:AlternateContent>
          <mc:Choice Requires="wps">
            <w:drawing>
              <wp:inline distT="0" distB="0" distL="114300" distR="114300">
                <wp:extent cx="635" cy="0"/>
                <wp:effectExtent l="0" t="0" r="0" b="0"/>
                <wp:docPr id="24" name="矩形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TqfvTQ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z95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6n700BAgAAGgQAAA4AAAAAAAAA&#10;AQAgAAAAMwEAAGRycy9lMm9Eb2MueG1sUEsFBgAAAAAGAAYAWQEAAKYFA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keepNext w:val="0"/>
        <w:keepLines w:val="0"/>
        <w:widowControl/>
        <w:suppressLineNumbers w:val="0"/>
      </w:pPr>
      <w:r>
        <w:pict>
          <v:rect id="_x0000_i111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Tag Shading (hover) </w:t>
      </w:r>
    </w:p>
    <w:p>
      <w:pPr>
        <w:keepNext w:val="0"/>
        <w:keepLines w:val="0"/>
        <w:widowControl/>
        <w:suppressLineNumbers w:val="0"/>
        <w:jc w:val="left"/>
      </w:pPr>
      <w:r>
        <w:rPr>
          <w:rFonts w:hint="default" w:ascii="monospace" w:hAnsi="monospace" w:eastAsia="monospace" w:cs="monospace"/>
          <w:sz w:val="24"/>
          <w:szCs w:val="24"/>
        </w:rPr>
        <mc:AlternateContent>
          <mc:Choice Requires="wps">
            <w:drawing>
              <wp:inline distT="0" distB="0" distL="114300" distR="114300">
                <wp:extent cx="635" cy="0"/>
                <wp:effectExtent l="0" t="0" r="0" b="0"/>
                <wp:docPr id="25" name="矩形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UwB0A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UwB0AACAAAaBAAADgAAAAAAAAAB&#10;ACAAAAAzAQAAZHJzL2Uyb0RvYy54bWxQSwUGAAAAAAYABgBZAQAApQU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pStyle w:val="10"/>
      </w:pPr>
      <w:r>
        <w:t>窗体底端</w:t>
      </w:r>
    </w:p>
    <w:p>
      <w:pPr>
        <w:keepNext w:val="0"/>
        <w:keepLines w:val="0"/>
        <w:widowControl/>
        <w:suppressLineNumbers w:val="0"/>
        <w:jc w:val="left"/>
      </w:pPr>
      <w:r>
        <w:rPr>
          <w:rFonts w:ascii="宋体" w:hAnsi="宋体" w:eastAsia="宋体" w:cs="宋体"/>
          <w:sz w:val="24"/>
          <w:szCs w:val="24"/>
        </w:rPr>
        <w:t xml:space="preserve">Copy and Paste Below Content. </w:t>
      </w:r>
      <w:r>
        <w:rPr>
          <w:rFonts w:ascii="宋体" w:hAnsi="宋体" w:eastAsia="宋体" w:cs="宋体"/>
          <w:sz w:val="24"/>
          <w:szCs w:val="24"/>
        </w:rPr>
        <mc:AlternateContent>
          <mc:Choice Requires="wps">
            <w:drawing>
              <wp:inline distT="0" distB="0" distL="114300" distR="114300">
                <wp:extent cx="635" cy="0"/>
                <wp:effectExtent l="0" t="0" r="0" b="0"/>
                <wp:docPr id="26" name="矩形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l2Q60BAgAAGgQAAA4AAAAAAAAA&#10;AQAgAAAAMwEAAGRycy9lMm9Eb2MueG1sUEsFBgAAAAAGAAYAWQEAAKYFAAAAAA==&#10;">
                <v:path/>
                <v:fill on="f" focussize="0,0"/>
                <v:stroke/>
                <v:imagedata o:title=""/>
                <o:lock v:ext="edit" aspectratio="t"/>
                <w10:wrap type="none"/>
                <w10:anchorlock/>
              </v:rect>
            </w:pict>
          </mc:Fallback>
        </mc:AlternateConten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sz w:val="24"/>
          <w:szCs w:val="24"/>
        </w:rPr>
        <w:t xml:space="preserve">Previous Next </w:t>
      </w:r>
    </w:p>
    <w:p>
      <w:pPr>
        <w:pStyle w:val="4"/>
        <w:keepNext w:val="0"/>
        <w:keepLines w:val="0"/>
        <w:widowControl/>
        <w:suppressLineNumbers w:val="0"/>
        <w:spacing w:before="0" w:beforeAutospacing="1" w:after="0" w:afterAutospacing="1"/>
        <w:ind w:left="0" w:right="0"/>
      </w:pPr>
      <w:r>
        <w:t xml:space="preserve">Nested Facts / </w:t>
      </w:r>
    </w:p>
    <w:p>
      <w:pPr>
        <w:keepNext w:val="0"/>
        <w:keepLines w:val="0"/>
        <w:widowControl/>
        <w:suppressLineNumbers w:val="0"/>
        <w:jc w:val="left"/>
      </w:pPr>
      <w:r>
        <w:rPr>
          <w:rFonts w:ascii="宋体" w:hAnsi="宋体" w:eastAsia="宋体" w:cs="宋体"/>
          <w:sz w:val="24"/>
          <w:szCs w:val="24"/>
        </w:rPr>
        <w:t xml:space="preserve">Previous Next </w:t>
      </w:r>
    </w:p>
    <w:p>
      <w:pPr>
        <w:keepNext w:val="0"/>
        <w:keepLines w:val="0"/>
        <w:widowControl/>
        <w:suppressLineNumbers w:val="0"/>
        <w:jc w:val="left"/>
      </w:pPr>
      <w:r>
        <w:rPr>
          <w:rFonts w:ascii="宋体" w:hAnsi="宋体" w:eastAsia="宋体" w:cs="宋体"/>
          <w:sz w:val="24"/>
          <w:szCs w:val="24"/>
        </w:rPr>
        <w:t xml:space="preserve">Copy and Paste Below Content. </w:t>
      </w:r>
      <w:r>
        <w:rPr>
          <w:rFonts w:ascii="宋体" w:hAnsi="宋体" w:eastAsia="宋体" w:cs="宋体"/>
          <w:sz w:val="24"/>
          <w:szCs w:val="24"/>
        </w:rPr>
        <mc:AlternateContent>
          <mc:Choice Requires="wps">
            <w:drawing>
              <wp:inline distT="0" distB="0" distL="114300" distR="114300">
                <wp:extent cx="635" cy="0"/>
                <wp:effectExtent l="0" t="0" r="0" b="0"/>
                <wp:docPr id="27" name="矩形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p2tMAECAAAaBAAADgAAAGRycy9l&#10;Mm9Eb2MueG1srVNLbhsxDN0X6B0E7etxXCRt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z95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FKdrTABAgAAGgQAAA4AAAAAAAAA&#10;AQAgAAAAMwEAAGRycy9lMm9Eb2MueG1sUEsFBgAAAAAGAAYAWQEAAKYFAAAAAA==&#10;">
                <v:path/>
                <v:fill on="f" focussize="0,0"/>
                <v:stroke/>
                <v:imagedata o:title=""/>
                <o:lock v:ext="edit" aspectratio="t"/>
                <w10:wrap type="none"/>
                <w10:anchorlock/>
              </v:rect>
            </w:pict>
          </mc:Fallback>
        </mc:AlternateConten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sz w:val="24"/>
          <w:szCs w:val="24"/>
        </w:rPr>
        <w:t xml:space="preserve">Previous Next </w:t>
      </w:r>
    </w:p>
    <w:p/>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 w:name="monospace">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EF7B6"/>
    <w:rsid w:val="F7FEF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paragraph" w:customStyle="1" w:styleId="9">
    <w:name w:val="_Style 4"/>
    <w:basedOn w:val="1"/>
    <w:next w:val="1"/>
    <w:uiPriority w:val="0"/>
    <w:pPr>
      <w:pBdr>
        <w:bottom w:val="single" w:color="auto" w:sz="6" w:space="1"/>
      </w:pBdr>
      <w:jc w:val="center"/>
    </w:pPr>
    <w:rPr>
      <w:rFonts w:ascii="Arial" w:eastAsia="宋体"/>
      <w:vanish/>
      <w:sz w:val="16"/>
    </w:rPr>
  </w:style>
  <w:style w:type="paragraph" w:customStyle="1" w:styleId="10">
    <w:name w:val="_Style 5"/>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2023-02-11T00:16:00Z</dcterms:created>
  <dc:creator>徐馨润</dc:creator>
  <cp:lastModifiedBy>徐馨润</cp:lastModifiedBy>
  <dcterms:modified xsi:type="dcterms:W3CDTF">2023-02-11T00:17:28Z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07DE98E84733F861EC6DE663BF7CDEB8</vt:lpwstr>
  </property>
</Properties>
</file>